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right="0" w:firstLine="0"/>
        <w:jc w:val="left"/>
      </w:pPr>
      <w:bookmarkStart w:id="0" w:name="bookmark0"/>
      <w:bookmarkStart w:id="1" w:name="bookmark1"/>
      <w:bookmarkStart w:id="2" w:name="bookmark2"/>
      <w:r>
        <w:rPr>
          <w:color w:val="000000"/>
          <w:spacing w:val="0"/>
          <w:w w:val="100"/>
          <w:position w:val="0"/>
        </w:rPr>
        <w:t>惠程料技</w:t>
      </w:r>
      <w:bookmarkEnd w:id="0"/>
      <w:bookmarkEnd w:id="1"/>
      <w:bookmarkEnd w:id="2"/>
    </w:p>
    <w:p>
      <w:pPr>
        <w:pStyle w:val="Style8"/>
        <w:keepNext/>
        <w:keepLines/>
        <w:widowControl w:val="0"/>
        <w:shd w:val="clear" w:color="auto" w:fill="auto"/>
        <w:bidi w:val="0"/>
        <w:spacing w:before="0"/>
        <w:ind w:right="0" w:firstLine="0"/>
        <w:jc w:val="left"/>
      </w:pPr>
      <w:bookmarkStart w:id="3" w:name="bookmark3"/>
      <w:bookmarkStart w:id="4" w:name="bookmark4"/>
      <w:bookmarkStart w:id="5" w:name="bookmark5"/>
      <w:r>
        <w:rPr>
          <w:spacing w:val="0"/>
          <w:w w:val="100"/>
          <w:position w:val="0"/>
        </w:rPr>
        <w:t>HI FUTURE</w:t>
      </w:r>
      <w:bookmarkEnd w:id="3"/>
      <w:bookmarkEnd w:id="4"/>
      <w:bookmarkEnd w:id="5"/>
    </w:p>
    <w:p>
      <w:pPr>
        <w:pStyle w:val="Style10"/>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深圳市惠程信息科技股份有限公司</w:t>
      </w:r>
    </w:p>
    <w:p>
      <w:pPr>
        <w:pStyle w:val="Style12"/>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5"/>
        <w:keepNext w:val="0"/>
        <w:keepLines w:val="0"/>
        <w:widowControl w:val="0"/>
        <w:shd w:val="clear" w:color="auto" w:fill="auto"/>
        <w:bidi w:val="0"/>
        <w:spacing w:before="0" w:after="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751" w:right="1104" w:bottom="2751" w:left="1104" w:header="0" w:footer="3" w:gutter="0"/>
          <w:pgNumType w:start="1"/>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8"/>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20"/>
        <w:keepNext w:val="0"/>
        <w:keepLines w:val="0"/>
        <w:widowControl w:val="0"/>
        <w:shd w:val="clear" w:color="auto" w:fill="auto"/>
        <w:bidi w:val="0"/>
        <w:spacing w:before="0"/>
        <w:ind w:left="0" w:right="0"/>
        <w:jc w:val="both"/>
      </w:pPr>
      <w:bookmarkStart w:id="9" w:name="bookmark9"/>
      <w:r>
        <w:rPr>
          <w:color w:val="000000"/>
          <w:spacing w:val="0"/>
          <w:w w:val="100"/>
          <w:position w:val="0"/>
        </w:rPr>
        <w:t>公司董事会、监事会及董事、监事、高级管理人员保证年度报告内容的真 实、准确、完整，不存在虚假记载、误导性陈述或重大遗漏，并承担个别和连带 的法律责任。</w:t>
      </w:r>
      <w:bookmarkEnd w:id="9"/>
    </w:p>
    <w:p>
      <w:pPr>
        <w:pStyle w:val="Style20"/>
        <w:keepNext w:val="0"/>
        <w:keepLines w:val="0"/>
        <w:widowControl w:val="0"/>
        <w:shd w:val="clear" w:color="auto" w:fill="auto"/>
        <w:bidi w:val="0"/>
        <w:spacing w:before="0" w:line="634" w:lineRule="exact"/>
        <w:ind w:left="0" w:right="0"/>
        <w:jc w:val="both"/>
      </w:pPr>
      <w:r>
        <w:rPr>
          <w:color w:val="000000"/>
          <w:spacing w:val="0"/>
          <w:w w:val="100"/>
          <w:position w:val="0"/>
        </w:rPr>
        <w:t>公司负责人汪超涌、主管会计工作负责人王蔚及会计机构负责人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张鹏声明：保证本年度报告中财务报告的真实、准确、完整。</w:t>
      </w:r>
    </w:p>
    <w:p>
      <w:pPr>
        <w:pStyle w:val="Style20"/>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20"/>
        <w:keepNext w:val="0"/>
        <w:keepLines w:val="0"/>
        <w:widowControl w:val="0"/>
        <w:shd w:val="clear" w:color="auto" w:fill="auto"/>
        <w:bidi w:val="0"/>
        <w:spacing w:before="0" w:line="619" w:lineRule="exact"/>
        <w:ind w:left="0" w:right="0"/>
        <w:jc w:val="both"/>
      </w:pPr>
      <w:r>
        <w:rPr>
          <w:color w:val="000000"/>
          <w:spacing w:val="0"/>
          <w:w w:val="100"/>
          <w:position w:val="0"/>
        </w:rPr>
        <w:t>大信会计师事务所（特殊普通合伙）为本公司出具了保留意见的审计报告， 本公司董事会、监事会对相关事项已有详细说明，请投资者注意阅读。</w:t>
      </w:r>
    </w:p>
    <w:p>
      <w:pPr>
        <w:pStyle w:val="Style20"/>
        <w:keepNext w:val="0"/>
        <w:keepLines w:val="0"/>
        <w:widowControl w:val="0"/>
        <w:shd w:val="clear" w:color="auto" w:fill="auto"/>
        <w:bidi w:val="0"/>
        <w:spacing w:before="0" w:line="605" w:lineRule="exact"/>
        <w:ind w:left="0" w:right="0"/>
        <w:jc w:val="both"/>
      </w:pPr>
      <w:r>
        <w:rPr>
          <w:color w:val="000000"/>
          <w:spacing w:val="0"/>
          <w:w w:val="100"/>
          <w:position w:val="0"/>
        </w:rPr>
        <w:t>本报告所涉公司未来计划等前瞻性陈述，不构成公司对任何投资者及相关 人士的实质承诺，敬请广大投资者注意投资风险。</w:t>
      </w:r>
    </w:p>
    <w:p>
      <w:pPr>
        <w:pStyle w:val="Style20"/>
        <w:keepNext w:val="0"/>
        <w:keepLines w:val="0"/>
        <w:widowControl w:val="0"/>
        <w:shd w:val="clear" w:color="auto" w:fill="auto"/>
        <w:bidi w:val="0"/>
        <w:spacing w:before="0" w:line="643" w:lineRule="exact"/>
        <w:ind w:left="0" w:right="0"/>
        <w:jc w:val="both"/>
      </w:pPr>
      <w:r>
        <w:rPr>
          <w:color w:val="000000"/>
          <w:spacing w:val="0"/>
          <w:w w:val="100"/>
          <w:position w:val="0"/>
        </w:rPr>
        <w:t>公司在本报告第四节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中描述了公司未来经营中可 能面临的风险和应对措施，敬请广大投资者注意查阅。</w:t>
      </w:r>
    </w:p>
    <w:p>
      <w:pPr>
        <w:pStyle w:val="Style20"/>
        <w:keepNext w:val="0"/>
        <w:keepLines w:val="0"/>
        <w:widowControl w:val="0"/>
        <w:shd w:val="clear" w:color="auto" w:fill="auto"/>
        <w:bidi w:val="0"/>
        <w:spacing w:before="0"/>
        <w:ind w:left="0" w:right="0"/>
        <w:jc w:val="both"/>
        <w:sectPr>
          <w:headerReference w:type="default" r:id="rId7"/>
          <w:footerReference w:type="default" r:id="rId8"/>
          <w:footnotePr>
            <w:pos w:val="pageBottom"/>
            <w:numFmt w:val="decimal"/>
            <w:numRestart w:val="continuous"/>
          </w:footnotePr>
          <w:pgSz w:w="11900" w:h="16840"/>
          <w:pgMar w:top="1974" w:right="1104" w:bottom="1974"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10"/>
        <w:keepNext w:val="0"/>
        <w:keepLines w:val="0"/>
        <w:widowControl w:val="0"/>
        <w:shd w:val="clear" w:color="auto" w:fill="auto"/>
        <w:bidi w:val="0"/>
        <w:spacing w:before="1480" w:after="1600" w:line="240" w:lineRule="auto"/>
        <w:ind w:left="0" w:right="0" w:firstLine="0"/>
        <w:jc w:val="center"/>
      </w:pPr>
      <w:r>
        <w:rPr>
          <w:color w:val="000000"/>
          <w:spacing w:val="0"/>
          <w:w w:val="100"/>
          <w:position w:val="0"/>
        </w:rPr>
        <w:t>目录</w:t>
      </w:r>
    </w:p>
    <w:p>
      <w:pPr>
        <w:pStyle w:val="Style23"/>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rPr>
          <w:t>第一节重要提示、目录和释义</w:t>
        </w:r>
        <w:r>
          <w:rPr>
            <w:color w:val="000000"/>
            <w:spacing w:val="0"/>
            <w:w w:val="100"/>
            <w:position w:val="0"/>
          </w:rPr>
          <w:tab/>
        </w:r>
        <w:r>
          <w:rPr>
            <w:color w:val="000000"/>
            <w:spacing w:val="0"/>
            <w:w w:val="100"/>
            <w:position w:val="0"/>
          </w:rPr>
          <w:t>2</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pPr>
      <w:hyperlink w:anchor="bookmark14" w:tooltip="Current Document">
        <w:r>
          <w:rPr>
            <w:color w:val="000000"/>
            <w:spacing w:val="0"/>
            <w:w w:val="100"/>
            <w:position w:val="0"/>
          </w:rPr>
          <w:t>第二节公司简介和主要财务指标</w:t>
        </w:r>
        <w:r>
          <w:rPr>
            <w:color w:val="000000"/>
            <w:spacing w:val="0"/>
            <w:w w:val="100"/>
            <w:position w:val="0"/>
          </w:rPr>
          <w:tab/>
        </w:r>
        <w:r>
          <w:rPr>
            <w:color w:val="000000"/>
            <w:spacing w:val="0"/>
            <w:w w:val="100"/>
            <w:position w:val="0"/>
          </w:rPr>
          <w:t>6</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pPr>
      <w:hyperlink w:anchor="bookmark62" w:tooltip="Current Document">
        <w:r>
          <w:rPr>
            <w:color w:val="000000"/>
            <w:spacing w:val="0"/>
            <w:w w:val="100"/>
            <w:position w:val="0"/>
          </w:rPr>
          <w:t>第三节公司业务概要</w:t>
        </w:r>
        <w:r>
          <w:rPr>
            <w:color w:val="000000"/>
            <w:spacing w:val="0"/>
            <w:w w:val="100"/>
            <w:position w:val="0"/>
          </w:rPr>
          <w:tab/>
        </w:r>
        <w:r>
          <w:rPr>
            <w:color w:val="000000"/>
            <w:spacing w:val="0"/>
            <w:w w:val="100"/>
            <w:position w:val="0"/>
          </w:rPr>
          <w:t>11</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pPr>
      <w:hyperlink w:anchor="bookmark88" w:tooltip="Current Document">
        <w:r>
          <w:rPr>
            <w:color w:val="000000"/>
            <w:spacing w:val="0"/>
            <w:w w:val="100"/>
            <w:position w:val="0"/>
          </w:rPr>
          <w:t>第四节经营情况讨论与分析</w:t>
        </w:r>
        <w:r>
          <w:rPr>
            <w:color w:val="000000"/>
            <w:spacing w:val="0"/>
            <w:w w:val="100"/>
            <w:position w:val="0"/>
          </w:rPr>
          <w:tab/>
        </w:r>
        <w:r>
          <w:rPr>
            <w:color w:val="000000"/>
            <w:spacing w:val="0"/>
            <w:w w:val="100"/>
            <w:position w:val="0"/>
          </w:rPr>
          <w:t>15</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pPr>
      <w:hyperlink w:anchor="bookmark253" w:tooltip="Current Document">
        <w:r>
          <w:rPr>
            <w:color w:val="000000"/>
            <w:spacing w:val="0"/>
            <w:w w:val="100"/>
            <w:position w:val="0"/>
          </w:rPr>
          <w:t>第五节重要事项</w:t>
        </w:r>
        <w:r>
          <w:rPr>
            <w:color w:val="000000"/>
            <w:spacing w:val="0"/>
            <w:w w:val="100"/>
            <w:position w:val="0"/>
          </w:rPr>
          <w:tab/>
        </w:r>
        <w:r>
          <w:rPr>
            <w:color w:val="000000"/>
            <w:spacing w:val="0"/>
            <w:w w:val="100"/>
            <w:position w:val="0"/>
          </w:rPr>
          <w:t>32</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pPr>
      <w:hyperlink w:anchor="bookmark417" w:tooltip="Current Document">
        <w:r>
          <w:rPr>
            <w:color w:val="000000"/>
            <w:spacing w:val="0"/>
            <w:w w:val="100"/>
            <w:position w:val="0"/>
          </w:rPr>
          <w:t>第六节股份变动及股东情况</w:t>
        </w:r>
        <w:r>
          <w:rPr>
            <w:color w:val="000000"/>
            <w:spacing w:val="0"/>
            <w:w w:val="100"/>
            <w:position w:val="0"/>
          </w:rPr>
          <w:tab/>
        </w:r>
        <w:r>
          <w:rPr>
            <w:color w:val="000000"/>
            <w:spacing w:val="0"/>
            <w:w w:val="100"/>
            <w:position w:val="0"/>
          </w:rPr>
          <w:t>55</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pPr>
      <w:hyperlink w:anchor="bookmark473" w:tooltip="Current Document">
        <w:r>
          <w:rPr>
            <w:color w:val="000000"/>
            <w:spacing w:val="0"/>
            <w:w w:val="100"/>
            <w:position w:val="0"/>
          </w:rPr>
          <w:t>第七节优先股相关情况</w:t>
        </w:r>
        <w:r>
          <w:rPr>
            <w:color w:val="000000"/>
            <w:spacing w:val="0"/>
            <w:w w:val="100"/>
            <w:position w:val="0"/>
          </w:rPr>
          <w:tab/>
        </w:r>
        <w:r>
          <w:rPr>
            <w:color w:val="000000"/>
            <w:spacing w:val="0"/>
            <w:w w:val="100"/>
            <w:position w:val="0"/>
          </w:rPr>
          <w:t>60</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pPr>
      <w:hyperlink w:anchor="bookmark477" w:tooltip="Current Document">
        <w:r>
          <w:rPr>
            <w:color w:val="000000"/>
            <w:spacing w:val="0"/>
            <w:w w:val="100"/>
            <w:position w:val="0"/>
          </w:rPr>
          <w:t>第八节可转换公司债券相关情况</w:t>
        </w:r>
        <w:r>
          <w:rPr>
            <w:color w:val="000000"/>
            <w:spacing w:val="0"/>
            <w:w w:val="100"/>
            <w:position w:val="0"/>
          </w:rPr>
          <w:tab/>
        </w:r>
        <w:r>
          <w:rPr>
            <w:color w:val="000000"/>
            <w:spacing w:val="0"/>
            <w:w w:val="100"/>
            <w:position w:val="0"/>
          </w:rPr>
          <w:t>61</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pPr>
      <w:hyperlink w:anchor="bookmark481" w:tooltip="Current Document">
        <w:r>
          <w:rPr>
            <w:color w:val="000000"/>
            <w:spacing w:val="0"/>
            <w:w w:val="100"/>
            <w:position w:val="0"/>
          </w:rPr>
          <w:t>第九节董事、监事、高级管理人员和员工情况</w:t>
        </w:r>
        <w:r>
          <w:rPr>
            <w:color w:val="000000"/>
            <w:spacing w:val="0"/>
            <w:w w:val="100"/>
            <w:position w:val="0"/>
          </w:rPr>
          <w:tab/>
        </w:r>
        <w:r>
          <w:rPr>
            <w:color w:val="000000"/>
            <w:spacing w:val="0"/>
            <w:w w:val="100"/>
            <w:position w:val="0"/>
          </w:rPr>
          <w:t>62</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pPr>
      <w:hyperlink w:anchor="bookmark547" w:tooltip="Current Document">
        <w:r>
          <w:rPr>
            <w:color w:val="000000"/>
            <w:spacing w:val="0"/>
            <w:w w:val="100"/>
            <w:position w:val="0"/>
          </w:rPr>
          <w:t>第十节公司治理</w:t>
        </w:r>
        <w:r>
          <w:rPr>
            <w:color w:val="000000"/>
            <w:spacing w:val="0"/>
            <w:w w:val="100"/>
            <w:position w:val="0"/>
          </w:rPr>
          <w:tab/>
        </w:r>
        <w:r>
          <w:rPr>
            <w:color w:val="000000"/>
            <w:spacing w:val="0"/>
            <w:w w:val="100"/>
            <w:position w:val="0"/>
          </w:rPr>
          <w:t>72</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pPr>
      <w:hyperlink w:anchor="bookmark636" w:tooltip="Current Document">
        <w:r>
          <w:rPr>
            <w:color w:val="000000"/>
            <w:spacing w:val="0"/>
            <w:w w:val="100"/>
            <w:position w:val="0"/>
          </w:rPr>
          <w:t>第十一节公司债券相关情况</w:t>
        </w:r>
        <w:r>
          <w:rPr>
            <w:color w:val="000000"/>
            <w:spacing w:val="0"/>
            <w:w w:val="100"/>
            <w:position w:val="0"/>
          </w:rPr>
          <w:tab/>
        </w:r>
        <w:r>
          <w:rPr>
            <w:color w:val="000000"/>
            <w:spacing w:val="0"/>
            <w:w w:val="100"/>
            <w:position w:val="0"/>
          </w:rPr>
          <w:t>79</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pPr>
      <w:hyperlink w:anchor="bookmark640" w:tooltip="Current Document">
        <w:r>
          <w:rPr>
            <w:color w:val="000000"/>
            <w:spacing w:val="0"/>
            <w:w w:val="100"/>
            <w:position w:val="0"/>
          </w:rPr>
          <w:t>第十二节财务报告</w:t>
        </w:r>
        <w:r>
          <w:rPr>
            <w:color w:val="000000"/>
            <w:spacing w:val="0"/>
            <w:w w:val="100"/>
            <w:position w:val="0"/>
          </w:rPr>
          <w:tab/>
        </w:r>
        <w:r>
          <w:rPr>
            <w:color w:val="000000"/>
            <w:spacing w:val="0"/>
            <w:w w:val="100"/>
            <w:position w:val="0"/>
          </w:rPr>
          <w:t>80</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pPr>
      <w:hyperlink w:anchor="bookmark1773" w:tooltip="Current Document">
        <w:r>
          <w:rPr>
            <w:color w:val="000000"/>
            <w:spacing w:val="0"/>
            <w:w w:val="100"/>
            <w:position w:val="0"/>
          </w:rPr>
          <w:t>第十三节 备查文件目录</w:t>
        </w:r>
        <w:r>
          <w:rPr>
            <w:color w:val="000000"/>
            <w:spacing w:val="0"/>
            <w:w w:val="100"/>
            <w:position w:val="0"/>
          </w:rPr>
          <w:tab/>
        </w:r>
        <w:r>
          <w:rPr>
            <w:color w:val="000000"/>
            <w:spacing w:val="0"/>
            <w:w w:val="100"/>
            <w:position w:val="0"/>
          </w:rPr>
          <w:t>205</w:t>
        </w:r>
      </w:hyperlink>
      <w:r>
        <w:br w:type="page"/>
      </w:r>
      <w:r>
        <w:fldChar w:fldCharType="end"/>
      </w:r>
    </w:p>
    <w:p>
      <w:pPr>
        <w:pStyle w:val="Style18"/>
        <w:keepNext/>
        <w:keepLines/>
        <w:widowControl w:val="0"/>
        <w:shd w:val="clear" w:color="auto" w:fill="auto"/>
        <w:bidi w:val="0"/>
        <w:spacing w:before="0" w:after="800" w:line="240" w:lineRule="auto"/>
        <w:ind w:left="0" w:right="0" w:firstLine="0"/>
        <w:jc w:val="center"/>
      </w:pPr>
      <w:bookmarkStart w:id="10" w:name="bookmark10"/>
      <w:bookmarkStart w:id="11" w:name="bookmark11"/>
      <w:bookmarkStart w:id="12" w:name="bookmark12"/>
      <w:r>
        <w:rPr>
          <w:color w:val="000000"/>
          <w:spacing w:val="0"/>
          <w:w w:val="100"/>
          <w:position w:val="0"/>
        </w:rPr>
        <w:t>释义</w:t>
      </w:r>
      <w:bookmarkEnd w:id="10"/>
      <w:bookmarkEnd w:id="11"/>
      <w:bookmarkEnd w:id="12"/>
    </w:p>
    <w:tbl>
      <w:tblPr>
        <w:tblOverlap w:val="never"/>
        <w:jc w:val="center"/>
        <w:tblLayout w:type="fixed"/>
      </w:tblPr>
      <w:tblGrid>
        <w:gridCol w:w="2102"/>
        <w:gridCol w:w="422"/>
        <w:gridCol w:w="7061"/>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9" w:lineRule="exact"/>
              <w:ind w:left="0" w:right="0" w:firstLine="0"/>
              <w:jc w:val="left"/>
            </w:pPr>
            <w:r>
              <w:rPr>
                <w:color w:val="000000"/>
                <w:spacing w:val="0"/>
                <w:w w:val="100"/>
                <w:position w:val="0"/>
              </w:rPr>
              <w:t>公司、本公司、上市公 司、深圳惠程、惠程科 技、惠程本部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深圳市惠程信息科技股份有限公司，原名</w:t>
            </w:r>
            <w:r>
              <w:rPr>
                <w:rFonts w:ascii="Times New Roman" w:eastAsia="Times New Roman" w:hAnsi="Times New Roman" w:cs="Times New Roman"/>
                <w:color w:val="000000"/>
                <w:spacing w:val="0"/>
                <w:w w:val="100"/>
                <w:position w:val="0"/>
              </w:rPr>
              <w:t>"</w:t>
            </w: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中驰惠程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中驰惠程企业管理有限公司，原名中驰极速体育文化发展有限公司，本公司控股股东</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中源信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共青城中源信投资管理合伙企业（有限合伙），中驰惠程一致行动人</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信中利</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北京信中利投资股份有限公司，截止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日为中驰惠程母公司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重庆信发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重庆信发企业管理咨询有限公司，自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日起成为中驰惠程母公司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信中利宝信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共青城信中利宝信投资合伙企业（有限合伙），信中利控制的企业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信中利普信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北京信中利普信股权投资中心（有限合伙），中驰惠程一致行动人</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深圳市惠程信息科技股份有限公司董事会</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深圳市惠程信息科技股份有限公司监事会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香港惠程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香港惠程有限公司，本公司全资子公司</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惠程智能</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深圳市惠程智能电力设备有限公司，原名深圳市惠程高能能源科技有限公司，本公司全 资子公司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北京中汇联银</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中汇联银投资管理（北京）有限公司，本公司全资子公司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喀什中汇联银</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喀什中汇联银创业投资有限公司，本公司全资子公司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链接世界</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链接世界株式会社，本公司在日本所设的全资子公司</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中汇联鑫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中汇联鑫股权投资管理（深圳）合伙企业（有限合伙），本公司与子公司喀什中汇联银共 同投资设立的合伙企业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哆可梦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成都哆可梦网络科技有限公司，本公司持股</w:t>
            </w:r>
            <w:r>
              <w:rPr>
                <w:rFonts w:ascii="Times New Roman" w:eastAsia="Times New Roman" w:hAnsi="Times New Roman" w:cs="Times New Roman"/>
                <w:color w:val="000000"/>
                <w:spacing w:val="0"/>
                <w:w w:val="100"/>
                <w:position w:val="0"/>
              </w:rPr>
              <w:t>77.57%</w:t>
            </w:r>
            <w:r>
              <w:rPr>
                <w:color w:val="000000"/>
                <w:spacing w:val="0"/>
                <w:w w:val="100"/>
                <w:position w:val="0"/>
              </w:rPr>
              <w:t>的控股子公司</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中汇同盈</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北京中汇同盈咨询服务有限公司，曾用名北京思泰德酒店管理有限公司、北京鼎同源科 技有限公司，北京中汇联银全资子公司，本公司间接控股子公司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中行置盛</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中行置盛投资（北京）有限公司，北京中汇联银全资子公司，本公司间接控股子公司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中融建银</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中融建银投资（北京）有限公司，北京中汇联银全资子公司，本公司间接控股子公司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豪琛投资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豪琛投资管理（上海）有限公司，北京中汇联银全资子公司，本公司间接控股子公司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鹏胤投资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鹏胤投资管理（上海）有限公司，北京中汇联银全资子公司，本公司间接控股子公司</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一零电力</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深圳市一零电力设备有限责任公司，本公司与子公司喀什中汇联银共同投资设立的子公 司</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零玖电力</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深圳市零玖电力设备有限责任公司，本公司与子公司喀什中汇联银共同投资设立的子公 司</w:t>
            </w:r>
          </w:p>
        </w:tc>
      </w:tr>
    </w:tbl>
    <w:p>
      <w:pPr>
        <w:spacing w:lineRule="exact" w:line="1"/>
        <w:rPr>
          <w:sz w:val="2"/>
          <w:szCs w:val="2"/>
        </w:rPr>
      </w:pPr>
      <w:r>
        <w:br w:type="page"/>
      </w:r>
    </w:p>
    <w:tbl>
      <w:tblPr>
        <w:tblOverlap w:val="never"/>
        <w:jc w:val="center"/>
        <w:tblLayout w:type="fixed"/>
      </w:tblPr>
      <w:tblGrid>
        <w:gridCol w:w="2102"/>
        <w:gridCol w:w="422"/>
        <w:gridCol w:w="7061"/>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铁匣电力</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铁匣电力设备（深圳）有限责任公司，本公司与子公司喀什中汇联银共同投资设立的子 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吉乾科技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成都吉乾科技有限公司，哆可梦全资子公司，本公司间接控股子公司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旭梅网络</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上海旭梅网络科技有限公司，哆可梦全资子公司，本公司间接控股子公司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华向文化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上海华向文化传播有限公司，哆可梦全资子公司，本公司间接控股子公司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游湛网络</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上海游湛网络科技有限公司，哆可梦全资子公司，本公司间接控股子公司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翔瑞科技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翔瑞科技有限公司，哆可梦全资子公司，本公司间接控股子公司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缘中缘网络</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成都缘中缘网络科技有限公司，哆可梦全资子公司，本公司间接控股子公司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致合世纪</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成都致合世纪网络科技有限公司，哆可梦全资子公司，本公司间接控股子公司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高奇网络</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江西省高奇网络科技有限公司，哆可梦全资子公司，本公司间接控股子公司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多趣网络</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成都多趣网络科技有限公司，哆可梦全资子公司，本公司间接控股子公司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惠智网联</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共青城惠智网联投资合伙企业（有限合伙），喀什中汇联银为有限合伙人的参股企业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上海季娱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上海季娱网络科技有限公司，本公司全资子公司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珂星网络</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成都珂星网络科技有限公司，上海季娱全资子公司，本公司间接控制子公司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爱酷游</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北京爱酷游科技股份有限公司，喀什中汇联银持股</w:t>
            </w:r>
            <w:r>
              <w:rPr>
                <w:rFonts w:ascii="Times New Roman" w:eastAsia="Times New Roman" w:hAnsi="Times New Roman" w:cs="Times New Roman"/>
                <w:color w:val="000000"/>
                <w:spacing w:val="0"/>
                <w:w w:val="100"/>
                <w:position w:val="0"/>
              </w:rPr>
              <w:t>5.67%</w:t>
            </w:r>
            <w:r>
              <w:rPr>
                <w:color w:val="000000"/>
                <w:spacing w:val="0"/>
                <w:w w:val="100"/>
                <w:position w:val="0"/>
              </w:rPr>
              <w:t>的参股公司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中航信托</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中航信托股份有限公司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深圳证监局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中国证券监督管理委员会深圳监管局</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中登公司</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中国证券登记结算有限责任公司深圳分公司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《深圳市惠程信息科技股份有限公司章程》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《股票上市规则》</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《深圳证券交易所股票上市规则》</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《规范运作指引》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《深圳证券交易所上市公司规范运作指引》</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报告期、本年、本期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兀、万兀</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bl>
    <w:p>
      <w:pPr>
        <w:spacing w:lineRule="exact" w:line="1"/>
        <w:rPr>
          <w:sz w:val="2"/>
          <w:szCs w:val="2"/>
        </w:rPr>
      </w:pPr>
      <w:r>
        <w:br w:type="page"/>
      </w:r>
    </w:p>
    <w:p>
      <w:pPr>
        <w:pStyle w:val="Style18"/>
        <w:keepNext/>
        <w:keepLines/>
        <w:widowControl w:val="0"/>
        <w:shd w:val="clear" w:color="auto" w:fill="auto"/>
        <w:bidi w:val="0"/>
        <w:spacing w:before="0" w:line="240" w:lineRule="auto"/>
        <w:ind w:left="0" w:right="0" w:firstLine="0"/>
        <w:jc w:val="center"/>
      </w:pPr>
      <w:bookmarkStart w:id="13" w:name="bookmark13"/>
      <w:bookmarkStart w:id="14" w:name="bookmark14"/>
      <w:bookmarkStart w:id="15" w:name="bookmark15"/>
      <w:r>
        <w:rPr>
          <w:color w:val="000000"/>
          <w:spacing w:val="0"/>
          <w:w w:val="100"/>
          <w:position w:val="0"/>
        </w:rPr>
        <w:t>第二节公司简介和主要财务指标</w:t>
      </w:r>
      <w:bookmarkEnd w:id="13"/>
      <w:bookmarkEnd w:id="14"/>
      <w:bookmarkEnd w:id="15"/>
    </w:p>
    <w:p>
      <w:pPr>
        <w:pStyle w:val="Style29"/>
        <w:keepNext/>
        <w:keepLines/>
        <w:widowControl w:val="0"/>
        <w:shd w:val="clear" w:color="auto" w:fill="auto"/>
        <w:bidi w:val="0"/>
        <w:spacing w:before="0" w:after="300" w:line="240" w:lineRule="auto"/>
        <w:ind w:left="0" w:right="0" w:firstLine="0"/>
        <w:jc w:val="left"/>
      </w:pPr>
      <w:bookmarkStart w:id="16" w:name="bookmark16"/>
      <w:bookmarkStart w:id="17" w:name="bookmark17"/>
      <w:bookmarkStart w:id="18" w:name="bookmark18"/>
      <w:bookmarkStart w:id="19" w:name="bookmark19"/>
      <w:bookmarkStart w:id="20" w:name="bookmark20"/>
      <w:r>
        <w:rPr>
          <w:color w:val="000000"/>
          <w:spacing w:val="0"/>
          <w:w w:val="100"/>
          <w:position w:val="0"/>
          <w:sz w:val="24"/>
          <w:szCs w:val="24"/>
        </w:rPr>
        <w:t>一</w:t>
      </w:r>
      <w:bookmarkEnd w:id="19"/>
      <w:r>
        <w:rPr>
          <w:color w:val="000000"/>
          <w:spacing w:val="0"/>
          <w:w w:val="100"/>
          <w:position w:val="0"/>
          <w:sz w:val="24"/>
          <w:szCs w:val="24"/>
        </w:rPr>
        <w:t>、公司信息</w:t>
      </w:r>
      <w:bookmarkEnd w:id="17"/>
      <w:bookmarkEnd w:id="18"/>
      <w:bookmarkEnd w:id="20"/>
      <w:bookmarkEnd w:id="16"/>
    </w:p>
    <w:tbl>
      <w:tblPr>
        <w:tblOverlap w:val="never"/>
        <w:jc w:val="center"/>
        <w:tblLayout w:type="fixed"/>
      </w:tblPr>
      <w:tblGrid>
        <w:gridCol w:w="2290"/>
        <w:gridCol w:w="7296"/>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tabs>
                <w:tab w:pos="2938" w:val="left"/>
                <w:tab w:pos="5093" w:val="left"/>
              </w:tabs>
              <w:bidi w:val="0"/>
              <w:spacing w:before="0" w:after="0" w:line="240" w:lineRule="auto"/>
              <w:ind w:left="0" w:right="0" w:firstLine="0"/>
              <w:jc w:val="left"/>
            </w:pPr>
            <w:r>
              <w:rPr>
                <w:color w:val="000000"/>
                <w:spacing w:val="0"/>
                <w:w w:val="100"/>
                <w:position w:val="0"/>
              </w:rPr>
              <w:t>惠程科技</w:t>
              <w:tab/>
              <w:t>股票代码</w:t>
              <w:tab/>
            </w:r>
            <w:r>
              <w:rPr>
                <w:rFonts w:ascii="Times New Roman" w:eastAsia="Times New Roman" w:hAnsi="Times New Roman" w:cs="Times New Roman"/>
                <w:color w:val="000000"/>
                <w:spacing w:val="0"/>
                <w:w w:val="100"/>
                <w:position w:val="0"/>
              </w:rPr>
              <w:t>002168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深圳市惠程信息科技股份有限公司</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惠程科技</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Shenzhen Hifuture Information Technology Co., Ltd.</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公司的外文名称缩写（如 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Hifuture Technology</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汪超涌</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深圳市坪山新区大工业区兰景路以东、锦绣路以南惠程科技工业厂区</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518118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深圳市坪山新区大工业区兰景路以东、锦绣路以南惠程科技工业厂区</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518118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fldChar w:fldCharType="begin"/>
            </w:r>
            <w:r>
              <w:rPr/>
              <w:instrText> HYPERLINK "http://www.hifuture" </w:instrText>
            </w:r>
            <w:r>
              <w:fldChar w:fldCharType="separate"/>
            </w:r>
            <w:r>
              <w:rPr>
                <w:rFonts w:ascii="Times New Roman" w:eastAsia="Times New Roman" w:hAnsi="Times New Roman" w:cs="Times New Roman"/>
                <w:color w:val="000000"/>
                <w:spacing w:val="0"/>
                <w:w w:val="100"/>
                <w:position w:val="0"/>
              </w:rPr>
              <w:t>www.hifuture</w:t>
            </w:r>
            <w:r>
              <w:fldChar w:fldCharType="end"/>
            </w:r>
            <w:r>
              <w:rPr>
                <w:rFonts w:ascii="Times New Roman" w:eastAsia="Times New Roman" w:hAnsi="Times New Roman" w:cs="Times New Roman"/>
                <w:color w:val="000000"/>
                <w:spacing w:val="0"/>
                <w:w w:val="100"/>
                <w:position w:val="0"/>
              </w:rPr>
              <w:t>. com</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szhc @hifuture .com</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二</w:t>
      </w:r>
      <w:bookmarkEnd w:id="23"/>
      <w:r>
        <w:rPr>
          <w:color w:val="000000"/>
          <w:spacing w:val="0"/>
          <w:w w:val="100"/>
          <w:position w:val="0"/>
          <w:sz w:val="24"/>
          <w:szCs w:val="24"/>
        </w:rPr>
        <w:t>、联系人和联系方式</w:t>
      </w:r>
      <w:bookmarkEnd w:id="21"/>
      <w:bookmarkEnd w:id="22"/>
      <w:bookmarkEnd w:id="24"/>
    </w:p>
    <w:tbl>
      <w:tblPr>
        <w:tblOverlap w:val="never"/>
        <w:jc w:val="center"/>
        <w:tblLayout w:type="fixed"/>
      </w:tblPr>
      <w:tblGrid>
        <w:gridCol w:w="2275"/>
        <w:gridCol w:w="3686"/>
        <w:gridCol w:w="362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付汝峰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刘维</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深圳市坪山新区大工业区兰景路以东、锦绣路 以南惠程科技工业厂区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深圳市坪山新区大工业区兰景路以东、锦绣 路以南惠程科技工业厂区</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0755-82767767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0755-82767767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0755-82760319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0755-82760319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fUrufeng @hifUture .com</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liuwei@hifuture. com</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三</w:t>
      </w:r>
      <w:bookmarkEnd w:id="27"/>
      <w:r>
        <w:rPr>
          <w:color w:val="000000"/>
          <w:spacing w:val="0"/>
          <w:w w:val="100"/>
          <w:position w:val="0"/>
          <w:sz w:val="24"/>
          <w:szCs w:val="24"/>
        </w:rPr>
        <w:t>、信息披露及备置地点</w:t>
      </w:r>
      <w:bookmarkEnd w:id="25"/>
      <w:bookmarkEnd w:id="26"/>
      <w:bookmarkEnd w:id="28"/>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《中国证券报》《证券时报》《上海证券报》《证券日报》</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com.cn</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公司证券部办公室</w:t>
            </w:r>
          </w:p>
        </w:tc>
      </w:tr>
    </w:tbl>
    <w:p>
      <w:pPr>
        <w:spacing w:lineRule="exact" w:line="1"/>
        <w:rPr>
          <w:sz w:val="2"/>
          <w:szCs w:val="2"/>
        </w:rPr>
      </w:pPr>
      <w:r>
        <w:br w:type="page"/>
      </w:r>
    </w:p>
    <w:p>
      <w:pPr>
        <w:pStyle w:val="Style29"/>
        <w:keepNext/>
        <w:keepLines/>
        <w:widowControl w:val="0"/>
        <w:shd w:val="clear" w:color="auto" w:fill="auto"/>
        <w:bidi w:val="0"/>
        <w:spacing w:before="0" w:after="32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四</w:t>
      </w:r>
      <w:bookmarkEnd w:id="31"/>
      <w:r>
        <w:rPr>
          <w:color w:val="000000"/>
          <w:spacing w:val="0"/>
          <w:w w:val="100"/>
          <w:position w:val="0"/>
          <w:sz w:val="24"/>
          <w:szCs w:val="24"/>
        </w:rPr>
        <w:t>、注册变更情况</w:t>
      </w:r>
      <w:bookmarkEnd w:id="29"/>
      <w:bookmarkEnd w:id="30"/>
      <w:bookmarkEnd w:id="32"/>
    </w:p>
    <w:tbl>
      <w:tblPr>
        <w:tblOverlap w:val="never"/>
        <w:jc w:val="center"/>
        <w:tblLayout w:type="fixed"/>
      </w:tblPr>
      <w:tblGrid>
        <w:gridCol w:w="1565"/>
        <w:gridCol w:w="808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914403007152119019</w:t>
            </w:r>
          </w:p>
        </w:tc>
      </w:tr>
      <w:tr>
        <w:trPr>
          <w:trHeight w:val="6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公司上市以来主 营业务的变化情 况（如有）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日，公司经营范围为</w:t>
            </w:r>
            <w:r>
              <w:rPr>
                <w:rFonts w:ascii="Times New Roman" w:eastAsia="Times New Roman" w:hAnsi="Times New Roman" w:cs="Times New Roman"/>
                <w:color w:val="000000"/>
                <w:spacing w:val="0"/>
                <w:w w:val="100"/>
                <w:position w:val="0"/>
              </w:rPr>
              <w:t>“</w:t>
            </w:r>
            <w:r>
              <w:rPr>
                <w:color w:val="000000"/>
                <w:spacing w:val="0"/>
                <w:w w:val="100"/>
                <w:position w:val="0"/>
              </w:rPr>
              <w:t>电缆分支箱、环网柜等相关电力配网设备、电力电缆附件等高 分子绝缘材料及相关制品的生产；高分子绝缘材料，电工器材的购销；经营进口业务；自有产品的 售后服务</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6"/>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日，公司经营范围增加</w:t>
            </w:r>
            <w:r>
              <w:rPr>
                <w:rFonts w:ascii="Times New Roman" w:eastAsia="Times New Roman" w:hAnsi="Times New Roman" w:cs="Times New Roman"/>
                <w:color w:val="000000"/>
                <w:spacing w:val="0"/>
                <w:w w:val="100"/>
                <w:position w:val="0"/>
              </w:rPr>
              <w:t>“</w:t>
            </w:r>
            <w:r>
              <w:rPr>
                <w:color w:val="000000"/>
                <w:spacing w:val="0"/>
                <w:w w:val="100"/>
                <w:position w:val="0"/>
              </w:rPr>
              <w:t>高低压电器、高低压成套开关设备、箱式变电站、电力自动 化产品、跌落式熔断器、柱上开关、柱上断路器、管母线等相关电力配网设备的生产、销售及施工 服务；聚酰亚胺纤维、纳米纤维、薄膜、树脂及复合材料的综合研究开发及相关材料购销</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6"/>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日，公司经营范围增加</w:t>
            </w:r>
            <w:r>
              <w:rPr>
                <w:rFonts w:ascii="Times New Roman" w:eastAsia="Times New Roman" w:hAnsi="Times New Roman" w:cs="Times New Roman"/>
                <w:color w:val="000000"/>
                <w:spacing w:val="0"/>
                <w:w w:val="100"/>
                <w:position w:val="0"/>
              </w:rPr>
              <w:t>“</w:t>
            </w:r>
            <w:r>
              <w:rPr>
                <w:color w:val="000000"/>
                <w:spacing w:val="0"/>
                <w:w w:val="100"/>
                <w:position w:val="0"/>
              </w:rPr>
              <w:t>股权投资、资产管理、投资咨询；物业投资、物业经营、物 业管理</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日，公司经营范围增加</w:t>
            </w:r>
            <w:r>
              <w:rPr>
                <w:rFonts w:ascii="Times New Roman" w:eastAsia="Times New Roman" w:hAnsi="Times New Roman" w:cs="Times New Roman"/>
                <w:color w:val="000000"/>
                <w:spacing w:val="0"/>
                <w:w w:val="100"/>
                <w:position w:val="0"/>
              </w:rPr>
              <w:t>“</w:t>
            </w:r>
            <w:r>
              <w:rPr>
                <w:color w:val="000000"/>
                <w:spacing w:val="0"/>
                <w:w w:val="100"/>
                <w:position w:val="0"/>
              </w:rPr>
              <w:t>智能配电、新能源汽车充电桩产业链、工业自动化及控 制、信息与安防监控系统、智能二次设备、电力网络信息安全系统技术开发、产品研制及工程集 成；电网与工控安全</w:t>
            </w:r>
            <w:r>
              <w:rPr>
                <w:color w:val="000000"/>
                <w:spacing w:val="0"/>
                <w:w w:val="100"/>
                <w:position w:val="0"/>
              </w:rPr>
              <w:t>''；</w:t>
            </w:r>
          </w:p>
          <w:p>
            <w:pPr>
              <w:pStyle w:val="Style26"/>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日，公司经营范围增加</w:t>
            </w:r>
            <w:r>
              <w:rPr>
                <w:rFonts w:ascii="Times New Roman" w:eastAsia="Times New Roman" w:hAnsi="Times New Roman" w:cs="Times New Roman"/>
                <w:color w:val="000000"/>
                <w:spacing w:val="0"/>
                <w:w w:val="100"/>
                <w:position w:val="0"/>
              </w:rPr>
              <w:t>“</w:t>
            </w:r>
            <w:r>
              <w:rPr>
                <w:color w:val="000000"/>
                <w:spacing w:val="0"/>
                <w:w w:val="100"/>
                <w:position w:val="0"/>
              </w:rPr>
              <w:t>电动汽车充电设备设计研发、生产、销售；新能源汽车充 电设施运营；新能源汽车充换电站规划设计、建设；离网、并网光伏电站的建设和运营；储能系统 设备研发制造及运营；动力电池回收；汽车租赁（不含金融租赁）；有形动产设备租赁服务</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6"/>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日，公司完成现金收购哆可梦</w:t>
            </w:r>
            <w:r>
              <w:rPr>
                <w:rFonts w:ascii="Times New Roman" w:eastAsia="Times New Roman" w:hAnsi="Times New Roman" w:cs="Times New Roman"/>
                <w:color w:val="000000"/>
                <w:spacing w:val="0"/>
                <w:w w:val="100"/>
                <w:position w:val="0"/>
              </w:rPr>
              <w:t>77.57%</w:t>
            </w:r>
            <w:r>
              <w:rPr>
                <w:color w:val="000000"/>
                <w:spacing w:val="0"/>
                <w:w w:val="100"/>
                <w:position w:val="0"/>
              </w:rPr>
              <w:t>股权，哆可梦成为公司控股子公司，哆可梦主 要从事基于大数据精细化营销的流量经营业务和移动游戏的研发、发行及游戏平台的运营业务，公 司增加互联网文化娱乐产业；</w:t>
            </w:r>
          </w:p>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日，公司经营范围增加“智能设备及软件、机器人及零部件、机器人系统、机器人应 用技术、软件产品、无人驾驶物流车整体技术、中低速无人驾驶系统、无人驾驶物流车的研发、设计、 生产、销售、咨询及服务”。</w:t>
            </w:r>
          </w:p>
        </w:tc>
      </w:tr>
      <w:tr>
        <w:trPr>
          <w:trHeight w:val="1118" w:hRule="exact"/>
        </w:trPr>
        <w:tc>
          <w:tcPr>
            <w:tcBorders>
              <w:top w:val="single" w:sz="4"/>
              <w:left w:val="single" w:sz="4"/>
              <w:bottom w:val="single" w:sz="4"/>
            </w:tcBorders>
            <w:shd w:val="clear" w:color="auto" w:fill="D3D3D3"/>
            <w:vAlign w:val="top"/>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历次控股股东的 变更情况（如有）</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日，公司控股股东兼实际控制人为吕晓义、何平、任金生；</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日，公司控股股东兼实际控制人为何平、任金生；</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日至今，公司控股股东为中驰惠程，实际控制人为汪超涌、李亦非。</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五</w:t>
      </w:r>
      <w:bookmarkEnd w:id="35"/>
      <w:r>
        <w:rPr>
          <w:color w:val="000000"/>
          <w:spacing w:val="0"/>
          <w:w w:val="100"/>
          <w:position w:val="0"/>
          <w:sz w:val="24"/>
          <w:szCs w:val="24"/>
        </w:rPr>
        <w:t>、其他有关资料</w:t>
      </w:r>
      <w:bookmarkEnd w:id="33"/>
      <w:bookmarkEnd w:id="34"/>
      <w:bookmarkEnd w:id="36"/>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北京市海淀区知春路</w:t>
            </w:r>
            <w:r>
              <w:rPr>
                <w:rFonts w:ascii="Times New Roman" w:eastAsia="Times New Roman" w:hAnsi="Times New Roman" w:cs="Times New Roman"/>
                <w:color w:val="000000"/>
                <w:spacing w:val="0"/>
                <w:w w:val="100"/>
                <w:position w:val="0"/>
              </w:rPr>
              <w:t>1</w:t>
            </w:r>
            <w:r>
              <w:rPr>
                <w:color w:val="000000"/>
                <w:spacing w:val="0"/>
                <w:w w:val="100"/>
                <w:position w:val="0"/>
              </w:rPr>
              <w:t>号学院国际大厦</w:t>
            </w:r>
            <w:r>
              <w:rPr>
                <w:rFonts w:ascii="Times New Roman" w:eastAsia="Times New Roman" w:hAnsi="Times New Roman" w:cs="Times New Roman"/>
                <w:color w:val="000000"/>
                <w:spacing w:val="0"/>
                <w:w w:val="100"/>
                <w:position w:val="0"/>
              </w:rPr>
              <w:t>1504</w:t>
            </w:r>
            <w:r>
              <w:rPr>
                <w:color w:val="000000"/>
                <w:spacing w:val="0"/>
                <w:w w:val="100"/>
                <w:position w:val="0"/>
              </w:rPr>
              <w:t>室</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蔡瑜、汪云飞</w:t>
            </w:r>
          </w:p>
        </w:tc>
      </w:tr>
    </w:tbl>
    <w:p>
      <w:pPr>
        <w:pStyle w:val="Style33"/>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8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102"/>
        <w:gridCol w:w="3259"/>
        <w:gridCol w:w="1824"/>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海通证券股份有限公司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上海市黄浦区广东路</w:t>
            </w:r>
            <w:r>
              <w:rPr>
                <w:rFonts w:ascii="Times New Roman" w:eastAsia="Times New Roman" w:hAnsi="Times New Roman" w:cs="Times New Roman"/>
                <w:color w:val="000000"/>
                <w:spacing w:val="0"/>
                <w:w w:val="100"/>
                <w:position w:val="0"/>
              </w:rPr>
              <w:t>689</w:t>
            </w:r>
            <w:r>
              <w:rPr>
                <w:color w:val="000000"/>
                <w:spacing w:val="0"/>
                <w:w w:val="100"/>
                <w:position w:val="0"/>
              </w:rPr>
              <w:t>号</w:t>
            </w:r>
            <w:r>
              <w:rPr>
                <w:rFonts w:ascii="Times New Roman" w:eastAsia="Times New Roman" w:hAnsi="Times New Roman" w:cs="Times New Roman"/>
                <w:color w:val="000000"/>
                <w:spacing w:val="0"/>
                <w:w w:val="100"/>
                <w:position w:val="0"/>
              </w:rPr>
              <w:t>2808</w:t>
            </w: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彭成浩、李希</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r>
    </w:tbl>
    <w:p>
      <w:pPr>
        <w:spacing w:lineRule="exact" w:line="1"/>
        <w:rPr>
          <w:sz w:val="2"/>
          <w:szCs w:val="2"/>
        </w:rPr>
      </w:pPr>
      <w:r>
        <w:br w:type="page"/>
      </w:r>
    </w:p>
    <w:p>
      <w:pPr>
        <w:pStyle w:val="Style29"/>
        <w:keepNext/>
        <w:keepLines/>
        <w:widowControl w:val="0"/>
        <w:shd w:val="clear" w:color="auto" w:fill="auto"/>
        <w:bidi w:val="0"/>
        <w:spacing w:before="0" w:after="360" w:line="240" w:lineRule="auto"/>
        <w:ind w:left="0" w:right="0" w:firstLine="0"/>
        <w:jc w:val="both"/>
      </w:pPr>
      <w:bookmarkStart w:id="37" w:name="bookmark37"/>
      <w:bookmarkStart w:id="38" w:name="bookmark38"/>
      <w:bookmarkStart w:id="39" w:name="bookmark39"/>
      <w:bookmarkStart w:id="40" w:name="bookmark40"/>
      <w:r>
        <w:rPr>
          <w:color w:val="000000"/>
          <w:spacing w:val="0"/>
          <w:w w:val="100"/>
          <w:position w:val="0"/>
          <w:sz w:val="24"/>
          <w:szCs w:val="24"/>
        </w:rPr>
        <w:t>六</w:t>
      </w:r>
      <w:bookmarkEnd w:id="39"/>
      <w:r>
        <w:rPr>
          <w:color w:val="000000"/>
          <w:spacing w:val="0"/>
          <w:w w:val="100"/>
          <w:position w:val="0"/>
          <w:sz w:val="24"/>
          <w:szCs w:val="24"/>
        </w:rPr>
        <w:t>、主要会计数据和财务指标</w:t>
      </w:r>
      <w:bookmarkEnd w:id="37"/>
      <w:bookmarkEnd w:id="38"/>
      <w:bookmarkEnd w:id="40"/>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公司是否需追溯调整或重述以前年度会计数据</w:t>
      </w:r>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追溯调整或重述原因</w:t>
      </w:r>
    </w:p>
    <w:p>
      <w:pPr>
        <w:pStyle w:val="Style33"/>
        <w:keepNext w:val="0"/>
        <w:keepLines w:val="0"/>
        <w:widowControl w:val="0"/>
        <w:shd w:val="clear" w:color="auto" w:fill="auto"/>
        <w:bidi w:val="0"/>
        <w:spacing w:before="0" w:after="80" w:line="240" w:lineRule="auto"/>
        <w:ind w:left="0" w:right="0" w:firstLine="0"/>
        <w:jc w:val="both"/>
      </w:pPr>
      <w:r>
        <w:rPr>
          <w:color w:val="000000"/>
          <w:spacing w:val="0"/>
          <w:w w:val="100"/>
          <w:position w:val="0"/>
        </w:rPr>
        <w:t>会计差错更正</w:t>
      </w:r>
    </w:p>
    <w:tbl>
      <w:tblPr>
        <w:tblOverlap w:val="never"/>
        <w:jc w:val="center"/>
        <w:tblLayout w:type="fixed"/>
      </w:tblPr>
      <w:tblGrid>
        <w:gridCol w:w="1675"/>
        <w:gridCol w:w="1421"/>
        <w:gridCol w:w="1416"/>
        <w:gridCol w:w="1416"/>
        <w:gridCol w:w="850"/>
        <w:gridCol w:w="1421"/>
        <w:gridCol w:w="1387"/>
      </w:tblGrid>
      <w:tr>
        <w:trPr>
          <w:trHeight w:val="720"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本年比上 年增减</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调整前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调整后</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785,008,872.15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1,092,321,442.57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1,092,321,442.57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1,898,158,382.53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1,898,158,382.53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 东的净利润（元）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-960,414,682.28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134,997,926.83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134,997,926.83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336,389,804.53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336,389,804.53</w:t>
            </w: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归属于上市公司股 东的扣除非经常性 损益的净利润</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-961,738,214.48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137,568,478.64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137,568,478.64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261,472,491.31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261,472,491.31</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经营活动产生的现 金流量净额（元）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126,934,949.45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-267,042,882.90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-378,042,882.90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133.58%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308,950,003.63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308,950,003.63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加权平均净资产收</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-71.20%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-78.12%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20.44%</w:t>
            </w:r>
          </w:p>
        </w:tc>
      </w:tr>
      <w:tr>
        <w:trPr>
          <w:trHeight w:val="1022"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本年末比</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上年末增</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调整前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调整后</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2,005,449,774.32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3,526,620,391.08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3,661,620,391.08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3,701,460,497.85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3,701,460,497.85</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归属于上市公司股 东的净资产（元）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829,526,471.31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1,923,429,539.99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1,923,429,539.99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-56.87%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1,943,899,800.92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1,943,899,800.92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会计政策变更的原因及会计差错更正的情况</w:t>
      </w:r>
    </w:p>
    <w:p>
      <w:pPr>
        <w:pStyle w:val="Style33"/>
        <w:keepNext w:val="0"/>
        <w:keepLines w:val="0"/>
        <w:widowControl w:val="0"/>
        <w:shd w:val="clear" w:color="auto" w:fill="auto"/>
        <w:bidi w:val="0"/>
        <w:spacing w:before="0" w:after="0" w:line="307" w:lineRule="exact"/>
        <w:ind w:left="0" w:right="0" w:firstLine="360"/>
        <w:jc w:val="left"/>
      </w:pPr>
      <w:r>
        <w:rPr>
          <w:color w:val="000000"/>
          <w:spacing w:val="0"/>
          <w:w w:val="100"/>
          <w:position w:val="0"/>
        </w:rPr>
        <w:t>公司在自查中发现存在控股股东及其关联方占用公司资金的情形。公司发现资金占用问题后，立即成立专项小组开展 全面自查工作。根据有关规定，公司对前期会计差错进行更正，并对受影响的</w:t>
      </w:r>
      <w:r>
        <w:rPr>
          <w:rFonts w:ascii="Times New Roman" w:eastAsia="Times New Roman" w:hAnsi="Times New Roman" w:cs="Times New Roman"/>
          <w:color w:val="000000"/>
          <w:spacing w:val="0"/>
          <w:w w:val="100"/>
          <w:position w:val="0"/>
        </w:rPr>
        <w:t>2019</w:t>
      </w:r>
      <w:r>
        <w:rPr>
          <w:color w:val="000000"/>
          <w:spacing w:val="0"/>
          <w:w w:val="100"/>
          <w:position w:val="0"/>
        </w:rPr>
        <w:t>年度的财务数据做如下追溯调整：</w:t>
      </w:r>
    </w:p>
    <w:p>
      <w:pPr>
        <w:pStyle w:val="Style33"/>
        <w:keepNext w:val="0"/>
        <w:keepLines w:val="0"/>
        <w:widowControl w:val="0"/>
        <w:shd w:val="clear" w:color="auto" w:fill="auto"/>
        <w:bidi w:val="0"/>
        <w:spacing w:before="0" w:after="0" w:line="314" w:lineRule="exact"/>
        <w:ind w:left="0" w:right="0" w:firstLine="460"/>
        <w:jc w:val="left"/>
      </w:pPr>
      <w:r>
        <w:rPr>
          <w:color w:val="000000"/>
          <w:spacing w:val="0"/>
          <w:w w:val="100"/>
          <w:position w:val="0"/>
        </w:rPr>
        <w:t>调减其他权益工具投资</w:t>
      </w:r>
      <w:r>
        <w:rPr>
          <w:rFonts w:ascii="Times New Roman" w:eastAsia="Times New Roman" w:hAnsi="Times New Roman" w:cs="Times New Roman"/>
          <w:color w:val="000000"/>
          <w:spacing w:val="0"/>
          <w:w w:val="100"/>
          <w:position w:val="0"/>
        </w:rPr>
        <w:t>11,100.00</w:t>
      </w:r>
      <w:r>
        <w:rPr>
          <w:color w:val="000000"/>
          <w:spacing w:val="0"/>
          <w:w w:val="100"/>
          <w:position w:val="0"/>
        </w:rPr>
        <w:t>万元，调增其他应收款</w:t>
      </w:r>
      <w:r>
        <w:rPr>
          <w:rFonts w:ascii="Times New Roman" w:eastAsia="Times New Roman" w:hAnsi="Times New Roman" w:cs="Times New Roman"/>
          <w:color w:val="000000"/>
          <w:spacing w:val="0"/>
          <w:w w:val="100"/>
          <w:position w:val="0"/>
        </w:rPr>
        <w:t>11,100.00</w:t>
      </w:r>
      <w:r>
        <w:rPr>
          <w:color w:val="000000"/>
          <w:spacing w:val="0"/>
          <w:w w:val="100"/>
          <w:position w:val="0"/>
        </w:rPr>
        <w:t>万元。调减投资支付的现金</w:t>
      </w:r>
      <w:r>
        <w:rPr>
          <w:rFonts w:ascii="Times New Roman" w:eastAsia="Times New Roman" w:hAnsi="Times New Roman" w:cs="Times New Roman"/>
          <w:color w:val="000000"/>
          <w:spacing w:val="0"/>
          <w:w w:val="100"/>
          <w:position w:val="0"/>
        </w:rPr>
        <w:t>11,100.00</w:t>
      </w:r>
      <w:r>
        <w:rPr>
          <w:color w:val="000000"/>
          <w:spacing w:val="0"/>
          <w:w w:val="100"/>
          <w:position w:val="0"/>
        </w:rPr>
        <w:t>万元，调增 支付其他与经营活动有关的现金</w:t>
      </w:r>
      <w:r>
        <w:rPr>
          <w:rFonts w:ascii="Times New Roman" w:eastAsia="Times New Roman" w:hAnsi="Times New Roman" w:cs="Times New Roman"/>
          <w:color w:val="000000"/>
          <w:spacing w:val="0"/>
          <w:w w:val="100"/>
          <w:position w:val="0"/>
        </w:rPr>
        <w:t>11,100.00</w:t>
      </w:r>
      <w:r>
        <w:rPr>
          <w:color w:val="000000"/>
          <w:spacing w:val="0"/>
          <w:w w:val="100"/>
          <w:position w:val="0"/>
        </w:rPr>
        <w:t>万元。调增应付账款</w:t>
      </w:r>
      <w:r>
        <w:rPr>
          <w:rFonts w:ascii="Times New Roman" w:eastAsia="Times New Roman" w:hAnsi="Times New Roman" w:cs="Times New Roman"/>
          <w:color w:val="000000"/>
          <w:spacing w:val="0"/>
          <w:w w:val="100"/>
          <w:position w:val="0"/>
        </w:rPr>
        <w:t>13,500.00</w:t>
      </w:r>
      <w:r>
        <w:rPr>
          <w:color w:val="000000"/>
          <w:spacing w:val="0"/>
          <w:w w:val="100"/>
          <w:position w:val="0"/>
        </w:rPr>
        <w:t>万元，调增其他应收款</w:t>
      </w:r>
      <w:r>
        <w:rPr>
          <w:rFonts w:ascii="Times New Roman" w:eastAsia="Times New Roman" w:hAnsi="Times New Roman" w:cs="Times New Roman"/>
          <w:color w:val="000000"/>
          <w:spacing w:val="0"/>
          <w:w w:val="100"/>
          <w:position w:val="0"/>
        </w:rPr>
        <w:t>13,500.00</w:t>
      </w:r>
      <w:r>
        <w:rPr>
          <w:color w:val="000000"/>
          <w:spacing w:val="0"/>
          <w:w w:val="100"/>
          <w:position w:val="0"/>
        </w:rPr>
        <w:t>万元。调减购买 商品、接受劳务支付的现金</w:t>
      </w:r>
      <w:r>
        <w:rPr>
          <w:rFonts w:ascii="Times New Roman" w:eastAsia="Times New Roman" w:hAnsi="Times New Roman" w:cs="Times New Roman"/>
          <w:color w:val="000000"/>
          <w:spacing w:val="0"/>
          <w:w w:val="100"/>
          <w:position w:val="0"/>
        </w:rPr>
        <w:t>13,500.00</w:t>
      </w:r>
      <w:r>
        <w:rPr>
          <w:color w:val="000000"/>
          <w:spacing w:val="0"/>
          <w:w w:val="100"/>
          <w:position w:val="0"/>
        </w:rPr>
        <w:t>万元，调增支付其他与经营活动有关的现金</w:t>
      </w:r>
      <w:r>
        <w:rPr>
          <w:rFonts w:ascii="Times New Roman" w:eastAsia="Times New Roman" w:hAnsi="Times New Roman" w:cs="Times New Roman"/>
          <w:color w:val="000000"/>
          <w:spacing w:val="0"/>
          <w:w w:val="100"/>
          <w:position w:val="0"/>
        </w:rPr>
        <w:t>13,500.00</w:t>
      </w:r>
      <w:r>
        <w:rPr>
          <w:color w:val="000000"/>
          <w:spacing w:val="0"/>
          <w:w w:val="100"/>
          <w:position w:val="0"/>
        </w:rPr>
        <w:t>万元。</w:t>
      </w:r>
    </w:p>
    <w:p>
      <w:pPr>
        <w:pStyle w:val="Style33"/>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以上会计差错更正只涉及资产负债表及现金流量表内部相关项目的调整，不会影响公司当年损益，不会导致公司相关 年度盈亏性质发生改变。</w:t>
      </w:r>
    </w:p>
    <w:p>
      <w:pPr>
        <w:pStyle w:val="Style33"/>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 确定性</w:t>
      </w:r>
    </w:p>
    <w:p>
      <w:pPr>
        <w:pStyle w:val="Style33"/>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扣除非经常损益前后的净利润孰低者为负值</w:t>
      </w:r>
    </w:p>
    <w:p>
      <w:pPr>
        <w:pStyle w:val="Style33"/>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2400"/>
        <w:gridCol w:w="1546"/>
        <w:gridCol w:w="1982"/>
        <w:gridCol w:w="365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785,008,872.15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1,092,321,442.57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主要是按主营业务及其他业务确认收入</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10,489,613.80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28,193,892.42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774,519,258.35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1,064,127,550.15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主要是按主营业务确认收入</w:t>
            </w:r>
          </w:p>
        </w:tc>
      </w:tr>
    </w:tbl>
    <w:p>
      <w:pPr>
        <w:widowControl w:val="0"/>
        <w:spacing w:after="359" w:line="1" w:lineRule="exact"/>
      </w:pPr>
    </w:p>
    <w:p>
      <w:pPr>
        <w:pStyle w:val="Style29"/>
        <w:keepNext/>
        <w:keepLines/>
        <w:widowControl w:val="0"/>
        <w:shd w:val="clear" w:color="auto" w:fill="auto"/>
        <w:tabs>
          <w:tab w:pos="522" w:val="left"/>
        </w:tabs>
        <w:bidi w:val="0"/>
        <w:spacing w:before="0" w:after="36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sz w:val="24"/>
          <w:szCs w:val="24"/>
        </w:rPr>
        <w:t>七</w:t>
      </w:r>
      <w:bookmarkEnd w:id="43"/>
      <w:r>
        <w:rPr>
          <w:color w:val="000000"/>
          <w:spacing w:val="0"/>
          <w:w w:val="100"/>
          <w:position w:val="0"/>
          <w:sz w:val="24"/>
          <w:szCs w:val="24"/>
        </w:rPr>
        <w:t>、</w:t>
        <w:tab/>
        <w:t>境内外会计准则下会计数据差异</w:t>
      </w:r>
      <w:bookmarkEnd w:id="41"/>
      <w:bookmarkEnd w:id="42"/>
      <w:bookmarkEnd w:id="44"/>
    </w:p>
    <w:p>
      <w:pPr>
        <w:pStyle w:val="Style37"/>
        <w:keepNext/>
        <w:keepLines/>
        <w:widowControl w:val="0"/>
        <w:shd w:val="clear" w:color="auto" w:fill="auto"/>
        <w:tabs>
          <w:tab w:pos="403" w:val="left"/>
        </w:tabs>
        <w:bidi w:val="0"/>
        <w:spacing w:before="0" w:line="240" w:lineRule="auto"/>
        <w:ind w:left="0" w:right="0" w:firstLine="0"/>
        <w:jc w:val="left"/>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1</w:t>
      </w:r>
      <w:bookmarkEnd w:id="47"/>
      <w:r>
        <w:rPr>
          <w:color w:val="000000"/>
          <w:spacing w:val="0"/>
          <w:w w:val="100"/>
          <w:position w:val="0"/>
        </w:rPr>
        <w:t>、</w:t>
        <w:tab/>
        <w:t>同时按照国际会计准则与按照中国会计准则披露的财务报告中净利润和净资产差异情况</w:t>
      </w:r>
      <w:bookmarkEnd w:id="45"/>
      <w:bookmarkEnd w:id="46"/>
      <w:bookmarkEnd w:id="48"/>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7"/>
        <w:keepNext/>
        <w:keepLines/>
        <w:widowControl w:val="0"/>
        <w:shd w:val="clear" w:color="auto" w:fill="auto"/>
        <w:tabs>
          <w:tab w:pos="403" w:val="left"/>
        </w:tabs>
        <w:bidi w:val="0"/>
        <w:spacing w:before="0" w:line="240" w:lineRule="auto"/>
        <w:ind w:left="0" w:right="0" w:firstLine="0"/>
        <w:jc w:val="left"/>
      </w:pPr>
      <w:bookmarkStart w:id="49" w:name="bookmark49"/>
      <w:bookmarkStart w:id="50" w:name="bookmark50"/>
      <w:bookmarkStart w:id="51" w:name="bookmark51"/>
      <w:bookmarkStart w:id="52" w:name="bookmark52"/>
      <w:r>
        <w:rPr>
          <w:rFonts w:ascii="Times New Roman" w:eastAsia="Times New Roman" w:hAnsi="Times New Roman" w:cs="Times New Roman"/>
          <w:color w:val="000000"/>
          <w:spacing w:val="0"/>
          <w:w w:val="100"/>
          <w:position w:val="0"/>
        </w:rPr>
        <w:t>2</w:t>
      </w:r>
      <w:bookmarkEnd w:id="51"/>
      <w:r>
        <w:rPr>
          <w:color w:val="000000"/>
          <w:spacing w:val="0"/>
          <w:w w:val="100"/>
          <w:position w:val="0"/>
        </w:rPr>
        <w:t>、</w:t>
        <w:tab/>
        <w:t>同时按照境外会计准则与按照中国会计准则披露的财务报告中净利润和净资产差异情况</w:t>
      </w:r>
      <w:bookmarkEnd w:id="49"/>
      <w:bookmarkEnd w:id="50"/>
      <w:bookmarkEnd w:id="52"/>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9"/>
        <w:keepNext/>
        <w:keepLines/>
        <w:widowControl w:val="0"/>
        <w:shd w:val="clear" w:color="auto" w:fill="auto"/>
        <w:tabs>
          <w:tab w:pos="522" w:val="left"/>
        </w:tabs>
        <w:bidi w:val="0"/>
        <w:spacing w:before="0" w:after="36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sz w:val="24"/>
          <w:szCs w:val="24"/>
        </w:rPr>
        <w:t>八</w:t>
      </w:r>
      <w:bookmarkEnd w:id="55"/>
      <w:r>
        <w:rPr>
          <w:color w:val="000000"/>
          <w:spacing w:val="0"/>
          <w:w w:val="100"/>
          <w:position w:val="0"/>
          <w:sz w:val="24"/>
          <w:szCs w:val="24"/>
        </w:rPr>
        <w:t>、</w:t>
        <w:tab/>
        <w:t>分季度主要财务指标</w:t>
      </w:r>
      <w:bookmarkEnd w:id="53"/>
      <w:bookmarkEnd w:id="54"/>
      <w:bookmarkEnd w:id="5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38"/>
        <w:gridCol w:w="1742"/>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334,529,594.43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178,919,258.00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162,777,940.19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108,782,079.53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27,693,225.01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5,269,976.19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-7,256,557.53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-986,121,325.95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25,779,440.70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3,965,777.31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-7,541,149.51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-983,942,282.98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137,766,940.05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1,768,404.40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29,328,635.21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-41,929,030.21</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keepLines/>
        <w:widowControl w:val="0"/>
        <w:shd w:val="clear" w:color="auto" w:fill="auto"/>
        <w:bidi w:val="0"/>
        <w:spacing w:before="0" w:after="360" w:line="240" w:lineRule="auto"/>
        <w:ind w:left="0" w:right="0" w:firstLine="0"/>
        <w:jc w:val="left"/>
      </w:pPr>
      <w:bookmarkStart w:id="57" w:name="bookmark57"/>
      <w:bookmarkStart w:id="58" w:name="bookmark58"/>
      <w:bookmarkStart w:id="59" w:name="bookmark59"/>
      <w:bookmarkStart w:id="60" w:name="bookmark60"/>
      <w:r>
        <w:rPr>
          <w:color w:val="000000"/>
          <w:spacing w:val="0"/>
          <w:w w:val="100"/>
          <w:position w:val="0"/>
          <w:sz w:val="24"/>
          <w:szCs w:val="24"/>
        </w:rPr>
        <w:t>九</w:t>
      </w:r>
      <w:bookmarkEnd w:id="59"/>
      <w:r>
        <w:rPr>
          <w:color w:val="000000"/>
          <w:spacing w:val="0"/>
          <w:w w:val="100"/>
          <w:position w:val="0"/>
          <w:sz w:val="24"/>
          <w:szCs w:val="24"/>
        </w:rPr>
        <w:t>、非经常性损益项目及金额</w:t>
      </w:r>
      <w:bookmarkEnd w:id="57"/>
      <w:bookmarkEnd w:id="58"/>
      <w:bookmarkEnd w:id="60"/>
    </w:p>
    <w:p>
      <w:pPr>
        <w:pStyle w:val="Style33"/>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518"/>
        <w:gridCol w:w="1560"/>
        <w:gridCol w:w="1267"/>
        <w:gridCol w:w="1522"/>
        <w:gridCol w:w="1718"/>
      </w:tblGrid>
      <w:tr>
        <w:trPr>
          <w:trHeight w:val="58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非流动资产处置损益（包括已计提资产减值 准备的冲销部分）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-155,172.32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-311,125.50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84,966,767.30</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计入当期损益的政府补助（与企业业务密切 相关，按照国家统一标准定额或定量享受的 政府补助除外）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13,588,816.13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6,229,569.68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3,863,955.89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主要系符合地方政府 招商引资等地方性扶 持政策而获得的补 助、增值税进项税加 计扣除及个税返还所 致</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采用公允价值模式进行后续计量的投资性房 地产公允价值变动产生的损益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-12,656,300.00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-11,571,380.61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-179,500.00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主要系报告期内公司 所持投资性房地产估 值降低所致</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468,940.70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73,885.42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-305,793.53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2,307,762.36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-677,319.72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-3,101,862.45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13,144,004.26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600,072.03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2,401,125.61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284,112.18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1,323,532.20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-2,570,551.81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74,917,313.22</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非经常性损益》定义界定的非经常性损益项目，以及把 《公开发行证券的公司信息披露解释性公告第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 目，应说明原因</w:t>
      </w:r>
    </w:p>
    <w:p>
      <w:pPr>
        <w:pStyle w:val="Style3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08"/>
        <w:gridCol w:w="1589"/>
        <w:gridCol w:w="5189"/>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惠程本部、中汇同盈理财产品收益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-381,767.05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公司理财业务属于经常性业务，未来将持续进行，收益可持续且 稳定；符合经常性损益与主营业务相关且持续稳定的特性。</w:t>
            </w:r>
          </w:p>
        </w:tc>
      </w:tr>
      <w:tr>
        <w:trPr>
          <w:trHeight w:val="134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北京中汇联银、中汇联鑫、喀什中 汇联银证券、股权、理财投资收益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11,538,919.65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北京中汇联银、中汇联鑫、喀什中汇联银作为公司设立的专门投 资业务平台，主要从事投资类业务，证券、股权、理财投资系三 家子公司经常性发生的业务，具有持续性；符合经常性损益与主 营业务相关且持续稳定的特性。</w:t>
            </w:r>
          </w:p>
        </w:tc>
      </w:tr>
    </w:tbl>
    <w:p>
      <w:pPr>
        <w:sectPr>
          <w:footnotePr>
            <w:pos w:val="pageBottom"/>
            <w:numFmt w:val="decimal"/>
            <w:numRestart w:val="continuous"/>
          </w:footnotePr>
          <w:pgSz w:w="11900" w:h="16840"/>
          <w:pgMar w:top="1374" w:right="1115" w:bottom="1710" w:left="1098" w:header="0" w:footer="3" w:gutter="0"/>
          <w:cols w:space="720"/>
          <w:noEndnote/>
          <w:rtlGutter w:val="0"/>
          <w:docGrid w:linePitch="360"/>
        </w:sectPr>
      </w:pPr>
    </w:p>
    <w:p>
      <w:pPr>
        <w:pStyle w:val="Style18"/>
        <w:keepNext/>
        <w:keepLines/>
        <w:widowControl w:val="0"/>
        <w:shd w:val="clear" w:color="auto" w:fill="auto"/>
        <w:bidi w:val="0"/>
        <w:spacing w:before="520" w:line="240" w:lineRule="auto"/>
        <w:ind w:left="0" w:right="0" w:firstLine="0"/>
        <w:jc w:val="center"/>
      </w:pPr>
      <w:bookmarkStart w:id="61" w:name="bookmark61"/>
      <w:bookmarkStart w:id="62" w:name="bookmark62"/>
      <w:bookmarkStart w:id="63" w:name="bookmark63"/>
      <w:r>
        <w:rPr>
          <w:color w:val="000000"/>
          <w:spacing w:val="0"/>
          <w:w w:val="100"/>
          <w:position w:val="0"/>
        </w:rPr>
        <w:t>第三节公司业务概要</w:t>
      </w:r>
      <w:bookmarkEnd w:id="61"/>
      <w:bookmarkEnd w:id="62"/>
      <w:bookmarkEnd w:id="63"/>
    </w:p>
    <w:p>
      <w:pPr>
        <w:pStyle w:val="Style29"/>
        <w:keepNext/>
        <w:keepLines/>
        <w:widowControl w:val="0"/>
        <w:shd w:val="clear" w:color="auto" w:fill="auto"/>
        <w:bidi w:val="0"/>
        <w:spacing w:before="0" w:after="260" w:line="240" w:lineRule="auto"/>
        <w:ind w:left="0" w:right="0" w:firstLine="0"/>
        <w:jc w:val="left"/>
      </w:pPr>
      <w:bookmarkStart w:id="64" w:name="bookmark64"/>
      <w:bookmarkStart w:id="65" w:name="bookmark65"/>
      <w:bookmarkStart w:id="66" w:name="bookmark66"/>
      <w:bookmarkStart w:id="67" w:name="bookmark67"/>
      <w:bookmarkStart w:id="68" w:name="bookmark68"/>
      <w:r>
        <w:rPr>
          <w:color w:val="000000"/>
          <w:spacing w:val="0"/>
          <w:w w:val="100"/>
          <w:position w:val="0"/>
          <w:sz w:val="24"/>
          <w:szCs w:val="24"/>
        </w:rPr>
        <w:t>一</w:t>
      </w:r>
      <w:bookmarkEnd w:id="67"/>
      <w:r>
        <w:rPr>
          <w:color w:val="000000"/>
          <w:spacing w:val="0"/>
          <w:w w:val="100"/>
          <w:position w:val="0"/>
          <w:sz w:val="24"/>
          <w:szCs w:val="24"/>
        </w:rPr>
        <w:t>、报告期内公司从事的主要业务</w:t>
      </w:r>
      <w:bookmarkEnd w:id="65"/>
      <w:bookmarkEnd w:id="66"/>
      <w:bookmarkEnd w:id="68"/>
      <w:bookmarkEnd w:id="64"/>
    </w:p>
    <w:p>
      <w:pPr>
        <w:pStyle w:val="Style33"/>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3"/>
        <w:keepNext w:val="0"/>
        <w:keepLines w:val="0"/>
        <w:widowControl w:val="0"/>
        <w:shd w:val="clear" w:color="auto" w:fill="auto"/>
        <w:tabs>
          <w:tab w:pos="861" w:val="left"/>
        </w:tabs>
        <w:bidi w:val="0"/>
        <w:spacing w:before="0" w:after="40" w:line="312" w:lineRule="exact"/>
        <w:ind w:left="0" w:right="0"/>
        <w:jc w:val="both"/>
      </w:pPr>
      <w:bookmarkStart w:id="69" w:name="bookmark69"/>
      <w:r>
        <w:rPr>
          <w:b/>
          <w:bCs/>
          <w:color w:val="000000"/>
          <w:spacing w:val="0"/>
          <w:w w:val="100"/>
          <w:position w:val="0"/>
        </w:rPr>
        <w:t>（</w:t>
      </w:r>
      <w:bookmarkEnd w:id="69"/>
      <w:r>
        <w:rPr>
          <w:b/>
          <w:bCs/>
          <w:color w:val="000000"/>
          <w:spacing w:val="0"/>
          <w:w w:val="100"/>
          <w:position w:val="0"/>
        </w:rPr>
        <w:t>一）</w:t>
        <w:tab/>
        <w:t>报告期内公司所从事的主要业务情况</w:t>
      </w:r>
    </w:p>
    <w:p>
      <w:pPr>
        <w:pStyle w:val="Style33"/>
        <w:keepNext w:val="0"/>
        <w:keepLines w:val="0"/>
        <w:widowControl w:val="0"/>
        <w:shd w:val="clear" w:color="auto" w:fill="auto"/>
        <w:bidi w:val="0"/>
        <w:spacing w:before="0" w:after="40" w:line="312" w:lineRule="exact"/>
        <w:ind w:left="0" w:right="0"/>
        <w:jc w:val="both"/>
      </w:pPr>
      <w:r>
        <w:rPr>
          <w:color w:val="000000"/>
          <w:spacing w:val="0"/>
          <w:w w:val="100"/>
          <w:position w:val="0"/>
        </w:rPr>
        <w:t>报告期内，公司继续坚持产业经营与资本运营协同发展的经营发展方向，形成</w:t>
      </w:r>
      <w:r>
        <w:rPr>
          <w:rFonts w:ascii="Times New Roman" w:eastAsia="Times New Roman" w:hAnsi="Times New Roman" w:cs="Times New Roman"/>
          <w:color w:val="000000"/>
          <w:spacing w:val="0"/>
          <w:w w:val="100"/>
          <w:position w:val="0"/>
        </w:rPr>
        <w:t>“</w:t>
      </w:r>
      <w:r>
        <w:rPr>
          <w:color w:val="000000"/>
          <w:spacing w:val="0"/>
          <w:w w:val="100"/>
          <w:position w:val="0"/>
        </w:rPr>
        <w:t>互联网游戏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高端智能制造</w:t>
      </w:r>
      <w:r>
        <w:rPr>
          <w:rFonts w:ascii="Times New Roman" w:eastAsia="Times New Roman" w:hAnsi="Times New Roman" w:cs="Times New Roman"/>
          <w:color w:val="000000"/>
          <w:spacing w:val="0"/>
          <w:w w:val="100"/>
          <w:position w:val="0"/>
        </w:rPr>
        <w:t>”</w:t>
      </w:r>
      <w:r>
        <w:rPr>
          <w:color w:val="000000"/>
          <w:spacing w:val="0"/>
          <w:w w:val="100"/>
          <w:position w:val="0"/>
        </w:rPr>
        <w:t>并参与</w:t>
      </w:r>
      <w:r>
        <w:rPr>
          <w:rFonts w:ascii="Times New Roman" w:eastAsia="Times New Roman" w:hAnsi="Times New Roman" w:cs="Times New Roman"/>
          <w:color w:val="000000"/>
          <w:spacing w:val="0"/>
          <w:w w:val="100"/>
          <w:position w:val="0"/>
        </w:rPr>
        <w:t>“</w:t>
      </w:r>
      <w:r>
        <w:rPr>
          <w:color w:val="000000"/>
          <w:spacing w:val="0"/>
          <w:w w:val="100"/>
          <w:position w:val="0"/>
        </w:rPr>
        <w:t>投 资</w:t>
      </w:r>
      <w:r>
        <w:rPr>
          <w:rFonts w:ascii="Times New Roman" w:eastAsia="Times New Roman" w:hAnsi="Times New Roman" w:cs="Times New Roman"/>
          <w:color w:val="000000"/>
          <w:spacing w:val="0"/>
          <w:w w:val="100"/>
          <w:position w:val="0"/>
        </w:rPr>
        <w:t>”</w:t>
      </w:r>
      <w:r>
        <w:rPr>
          <w:color w:val="000000"/>
          <w:spacing w:val="0"/>
          <w:w w:val="100"/>
          <w:position w:val="0"/>
        </w:rPr>
        <w:t>的多业务板块支撑格局。</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公司互联网游戏业务以控股子公司哆可梦为核心载体，从事基于大数据精细化营销的流量经营业务和移动游戏的研发、 发行及游戏平台的运营等业务。哆可梦拥有完善的网络游戏发行渠道，坚持精细营销策略，自建移动互联网流量平台提供手 </w:t>
      </w:r>
      <w:r>
        <w:rPr>
          <w:color w:val="000000"/>
          <w:spacing w:val="0"/>
          <w:w w:val="100"/>
          <w:position w:val="0"/>
        </w:rPr>
        <w:t>机娱乐资讯、产品下载、客户服务，旗下拥有</w:t>
      </w:r>
      <w:r>
        <w:rPr>
          <w:rFonts w:ascii="Times New Roman" w:eastAsia="Times New Roman" w:hAnsi="Times New Roman" w:cs="Times New Roman"/>
          <w:color w:val="000000"/>
          <w:spacing w:val="0"/>
          <w:w w:val="100"/>
          <w:position w:val="0"/>
        </w:rPr>
        <w:t>9187.cn</w:t>
      </w:r>
      <w:r>
        <w:rPr>
          <w:rFonts w:ascii="Times New Roman" w:eastAsia="Times New Roman" w:hAnsi="Times New Roman" w:cs="Times New Roman"/>
          <w:color w:val="000000"/>
          <w:spacing w:val="0"/>
          <w:w w:val="100"/>
          <w:position w:val="0"/>
        </w:rPr>
        <w:t xml:space="preserve"> </w:t>
      </w:r>
      <w:r>
        <w:rPr>
          <w:color w:val="000000"/>
          <w:spacing w:val="0"/>
          <w:w w:val="100"/>
          <w:position w:val="0"/>
        </w:rPr>
        <w:t>（国内）和</w:t>
      </w:r>
      <w:r>
        <w:rPr>
          <w:rFonts w:ascii="Times New Roman" w:eastAsia="Times New Roman" w:hAnsi="Times New Roman" w:cs="Times New Roman"/>
          <w:color w:val="000000"/>
          <w:spacing w:val="0"/>
          <w:w w:val="100"/>
          <w:position w:val="0"/>
        </w:rPr>
        <w:t xml:space="preserve">YahGame </w:t>
      </w:r>
      <w:r>
        <w:rPr>
          <w:color w:val="000000"/>
          <w:spacing w:val="0"/>
          <w:w w:val="100"/>
          <w:position w:val="0"/>
        </w:rPr>
        <w:t>（海外）两大游戏运营平台，全面覆盖海内外移动 互联网用户。报告期内哆可梦更是抓住</w:t>
      </w:r>
      <w:r>
        <w:rPr>
          <w:rFonts w:ascii="Times New Roman" w:eastAsia="Times New Roman" w:hAnsi="Times New Roman" w:cs="Times New Roman"/>
          <w:color w:val="000000"/>
          <w:spacing w:val="0"/>
          <w:w w:val="100"/>
          <w:position w:val="0"/>
        </w:rPr>
        <w:t>5G</w:t>
      </w:r>
      <w:r>
        <w:rPr>
          <w:color w:val="000000"/>
          <w:spacing w:val="0"/>
          <w:w w:val="100"/>
          <w:position w:val="0"/>
        </w:rPr>
        <w:t>发展新机遇，与华为云合作推出了哆可梦云游戏平台，其技术及游戏体验在行业 内都具有先发优势。与此同时，哆可梦坚持</w:t>
      </w:r>
      <w:r>
        <w:rPr>
          <w:rFonts w:ascii="Times New Roman" w:eastAsia="Times New Roman" w:hAnsi="Times New Roman" w:cs="Times New Roman"/>
          <w:color w:val="000000"/>
          <w:spacing w:val="0"/>
          <w:w w:val="100"/>
          <w:position w:val="0"/>
        </w:rPr>
        <w:t>“</w:t>
      </w:r>
      <w:r>
        <w:rPr>
          <w:color w:val="000000"/>
          <w:spacing w:val="0"/>
          <w:w w:val="100"/>
          <w:position w:val="0"/>
        </w:rPr>
        <w:t>研运一体</w:t>
      </w:r>
      <w:r>
        <w:rPr>
          <w:rFonts w:ascii="Times New Roman" w:eastAsia="Times New Roman" w:hAnsi="Times New Roman" w:cs="Times New Roman"/>
          <w:color w:val="000000"/>
          <w:spacing w:val="0"/>
          <w:w w:val="100"/>
          <w:position w:val="0"/>
        </w:rPr>
        <w:t>”</w:t>
      </w:r>
      <w:r>
        <w:rPr>
          <w:color w:val="000000"/>
          <w:spacing w:val="0"/>
          <w:w w:val="100"/>
          <w:position w:val="0"/>
        </w:rPr>
        <w:t>和原创精品战略，旗下拥有优秀的游戏研发和数字创意团队，成功开 发和运营《浩天奇缘</w:t>
      </w:r>
      <w:r>
        <w:rPr>
          <w:rFonts w:ascii="Times New Roman" w:eastAsia="Times New Roman" w:hAnsi="Times New Roman" w:cs="Times New Roman"/>
          <w:color w:val="000000"/>
          <w:spacing w:val="0"/>
          <w:w w:val="100"/>
          <w:position w:val="0"/>
        </w:rPr>
        <w:t>II</w:t>
      </w:r>
      <w:r>
        <w:rPr>
          <w:color w:val="000000"/>
          <w:spacing w:val="0"/>
          <w:w w:val="100"/>
          <w:position w:val="0"/>
        </w:rPr>
        <w:t>》《文明曙光》《天使圣域》《斗罗大陆神界传说》《神话大陆》《爆破三国》等数十款数字娱乐产 品，产品类型覆盖</w:t>
      </w:r>
      <w:r>
        <w:rPr>
          <w:rFonts w:ascii="Times New Roman" w:eastAsia="Times New Roman" w:hAnsi="Times New Roman" w:cs="Times New Roman"/>
          <w:color w:val="000000"/>
          <w:spacing w:val="0"/>
          <w:w w:val="100"/>
          <w:position w:val="0"/>
        </w:rPr>
        <w:t>MMORPG</w:t>
      </w:r>
      <w:r>
        <w:rPr>
          <w:color w:val="000000"/>
          <w:spacing w:val="0"/>
          <w:w w:val="100"/>
          <w:position w:val="0"/>
        </w:rPr>
        <w:t>、</w:t>
      </w:r>
      <w:r>
        <w:rPr>
          <w:rFonts w:ascii="Times New Roman" w:eastAsia="Times New Roman" w:hAnsi="Times New Roman" w:cs="Times New Roman"/>
          <w:color w:val="000000"/>
          <w:spacing w:val="0"/>
          <w:w w:val="100"/>
          <w:position w:val="0"/>
        </w:rPr>
        <w:t>2D</w:t>
      </w:r>
      <w:r>
        <w:rPr>
          <w:color w:val="000000"/>
          <w:spacing w:val="0"/>
          <w:w w:val="100"/>
          <w:position w:val="0"/>
        </w:rPr>
        <w:t>卡牌、</w:t>
      </w:r>
      <w:r>
        <w:rPr>
          <w:rFonts w:ascii="Times New Roman" w:eastAsia="Times New Roman" w:hAnsi="Times New Roman" w:cs="Times New Roman"/>
          <w:color w:val="000000"/>
          <w:spacing w:val="0"/>
          <w:w w:val="100"/>
          <w:position w:val="0"/>
        </w:rPr>
        <w:t>3D</w:t>
      </w:r>
      <w:r>
        <w:rPr>
          <w:color w:val="000000"/>
          <w:spacing w:val="0"/>
          <w:w w:val="100"/>
          <w:position w:val="0"/>
        </w:rPr>
        <w:t>动作</w:t>
      </w:r>
      <w:r>
        <w:rPr>
          <w:rFonts w:ascii="Times New Roman" w:eastAsia="Times New Roman" w:hAnsi="Times New Roman" w:cs="Times New Roman"/>
          <w:color w:val="000000"/>
          <w:spacing w:val="0"/>
          <w:w w:val="100"/>
          <w:position w:val="0"/>
        </w:rPr>
        <w:t>RPG</w:t>
      </w:r>
      <w:r>
        <w:rPr>
          <w:color w:val="000000"/>
          <w:spacing w:val="0"/>
          <w:w w:val="100"/>
          <w:position w:val="0"/>
        </w:rPr>
        <w:t>、</w:t>
      </w:r>
      <w:r>
        <w:rPr>
          <w:rFonts w:ascii="Times New Roman" w:eastAsia="Times New Roman" w:hAnsi="Times New Roman" w:cs="Times New Roman"/>
          <w:color w:val="000000"/>
          <w:spacing w:val="0"/>
          <w:w w:val="100"/>
          <w:position w:val="0"/>
        </w:rPr>
        <w:t>SLG</w:t>
      </w:r>
      <w:r>
        <w:rPr>
          <w:color w:val="000000"/>
          <w:spacing w:val="0"/>
          <w:w w:val="100"/>
          <w:position w:val="0"/>
        </w:rPr>
        <w:t>等，产品内容涉及东方玄幻、西方魔幻以及异次元文化等。报告 期内，哆可梦还推出了《刀剑情缘》《古剑飞仙》等新游戏，进一步巩固了公司在仙侠类手游中的行业地位。未来计划推出 的重磅产品还有《天堂之光》《荣耀大陆》等。</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公司高端智能制造业务以电气设备业务为基础，全力推进传统制造业务向网络化、数字化、智能化方向转型升级，涉足 新能源汽车智慧快充解决方案、户内外通用小型移动机器人的制造等高新技术领域。公司电气设备业务主要产品包括智能成 套开关设备、全密闭绝缘中低压电缆分接箱、电缆对接箱、硅橡胶电缆附件、可分离连接器、外置母线连接器、避雷器、电 气接点防护罩等硅橡胶绝缘制品、</w:t>
      </w:r>
      <w:r>
        <w:rPr>
          <w:rFonts w:ascii="Times New Roman" w:eastAsia="Times New Roman" w:hAnsi="Times New Roman" w:cs="Times New Roman"/>
          <w:color w:val="000000"/>
          <w:spacing w:val="0"/>
          <w:w w:val="100"/>
          <w:position w:val="0"/>
        </w:rPr>
        <w:t>APG</w:t>
      </w:r>
      <w:r>
        <w:rPr>
          <w:color w:val="000000"/>
          <w:spacing w:val="0"/>
          <w:w w:val="100"/>
          <w:position w:val="0"/>
        </w:rPr>
        <w:t>环氧树脂产品、管型母线、</w:t>
      </w:r>
      <w:r>
        <w:rPr>
          <w:rFonts w:ascii="Times New Roman" w:eastAsia="Times New Roman" w:hAnsi="Times New Roman" w:cs="Times New Roman"/>
          <w:color w:val="000000"/>
          <w:spacing w:val="0"/>
          <w:w w:val="100"/>
          <w:position w:val="0"/>
        </w:rPr>
        <w:t>SMC</w:t>
      </w:r>
      <w:r>
        <w:rPr>
          <w:color w:val="000000"/>
          <w:spacing w:val="0"/>
          <w:w w:val="100"/>
          <w:position w:val="0"/>
        </w:rPr>
        <w:t>电气设备箱体等，公司主打产品以新型高分子电气绝 缘材料技术为核心，具有高可靠、全密闭、全绝缘、小型化的特点，产品整体技术性能及质量稳定可靠。通过规范化的发展， 公司电气设备业务在质量、环境、安全等体系中进行持续改进，为企业的发展规模的提升和经济效益的增长奠定了良好的基 础。此外，为整合公司电气业务和充电桩业务的既有资源，拓宽市场，实现优势互补，经公司总裁办公会批准，公司与四川 中电启明星信息技术有限公司（以下简称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中电启明星''）、睿源清洁能源投资（天津）合伙企业（有限合伙）、德仕安（北 京）新能源科技有限公司共同出资设立思极星能科技（四川）有限公司（以下简称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思极星能</w:t>
      </w:r>
      <w:r>
        <w:rPr>
          <w:rFonts w:ascii="Times New Roman" w:eastAsia="Times New Roman" w:hAnsi="Times New Roman" w:cs="Times New Roman"/>
          <w:color w:val="000000"/>
          <w:spacing w:val="0"/>
          <w:w w:val="100"/>
          <w:position w:val="0"/>
        </w:rPr>
        <w:t>”</w:t>
      </w:r>
      <w:r>
        <w:rPr>
          <w:color w:val="000000"/>
          <w:spacing w:val="0"/>
          <w:w w:val="100"/>
          <w:position w:val="0"/>
        </w:rPr>
        <w:t>），思极星能专注提供线上线 下全方位的新能源车充电一体化服务，目前已完成工商注册登记并取得了营业执照。</w:t>
      </w:r>
    </w:p>
    <w:p>
      <w:pPr>
        <w:pStyle w:val="Style33"/>
        <w:keepNext w:val="0"/>
        <w:keepLines w:val="0"/>
        <w:widowControl w:val="0"/>
        <w:shd w:val="clear" w:color="auto" w:fill="auto"/>
        <w:bidi w:val="0"/>
        <w:spacing w:before="0" w:after="40" w:line="312" w:lineRule="exact"/>
        <w:ind w:left="0" w:right="0"/>
        <w:jc w:val="both"/>
      </w:pPr>
      <w:r>
        <w:rPr>
          <w:color w:val="000000"/>
          <w:spacing w:val="0"/>
          <w:w w:val="100"/>
          <w:position w:val="0"/>
        </w:rPr>
        <w:t>公司投资业务主要涵盖以资金管理和运用为主的理财产品投资、证券投资和股权投资。为提升公司盈利能力，积极探索 和尝试以自身或参与的产业并购基金等为主体、以公司发展战略为导向、围绕公司高端智能制造和互联网游戏开展的外延式 发展，以投资推动公司产业转型与升级并助力被投企业的发展，实现公司与被投企业的双赢。</w:t>
      </w:r>
    </w:p>
    <w:p>
      <w:pPr>
        <w:pStyle w:val="Style33"/>
        <w:keepNext w:val="0"/>
        <w:keepLines w:val="0"/>
        <w:widowControl w:val="0"/>
        <w:shd w:val="clear" w:color="auto" w:fill="auto"/>
        <w:tabs>
          <w:tab w:pos="861" w:val="left"/>
        </w:tabs>
        <w:bidi w:val="0"/>
        <w:spacing w:before="0" w:after="40" w:line="312" w:lineRule="exact"/>
        <w:ind w:left="0" w:right="0"/>
        <w:jc w:val="both"/>
      </w:pPr>
      <w:bookmarkStart w:id="70" w:name="bookmark70"/>
      <w:r>
        <w:rPr>
          <w:b/>
          <w:bCs/>
          <w:color w:val="000000"/>
          <w:spacing w:val="0"/>
          <w:w w:val="100"/>
          <w:position w:val="0"/>
        </w:rPr>
        <w:t>（</w:t>
      </w:r>
      <w:bookmarkEnd w:id="70"/>
      <w:r>
        <w:rPr>
          <w:b/>
          <w:bCs/>
          <w:color w:val="000000"/>
          <w:spacing w:val="0"/>
          <w:w w:val="100"/>
          <w:position w:val="0"/>
        </w:rPr>
        <w:t>二）</w:t>
        <w:tab/>
        <w:t>报告期内公司所属行业情况</w:t>
      </w:r>
    </w:p>
    <w:p>
      <w:pPr>
        <w:pStyle w:val="Style33"/>
        <w:keepNext w:val="0"/>
        <w:keepLines w:val="0"/>
        <w:widowControl w:val="0"/>
        <w:shd w:val="clear" w:color="auto" w:fill="auto"/>
        <w:bidi w:val="0"/>
        <w:spacing w:before="0" w:after="40" w:line="312" w:lineRule="exact"/>
        <w:ind w:left="0" w:right="0"/>
        <w:jc w:val="both"/>
      </w:pPr>
      <w:r>
        <w:rPr>
          <w:color w:val="000000"/>
          <w:spacing w:val="0"/>
          <w:w w:val="100"/>
          <w:position w:val="0"/>
        </w:rPr>
        <w:t>报告期内公司所属行业均不具有明显周期性特点。</w:t>
      </w:r>
    </w:p>
    <w:p>
      <w:pPr>
        <w:pStyle w:val="Style33"/>
        <w:keepNext w:val="0"/>
        <w:keepLines w:val="0"/>
        <w:widowControl w:val="0"/>
        <w:shd w:val="clear" w:color="auto" w:fill="auto"/>
        <w:bidi w:val="0"/>
        <w:spacing w:before="0" w:after="40" w:line="312" w:lineRule="exact"/>
        <w:ind w:left="0" w:right="0"/>
        <w:jc w:val="both"/>
      </w:pPr>
      <w:r>
        <w:rPr>
          <w:b/>
          <w:bCs/>
          <w:color w:val="000000"/>
          <w:spacing w:val="0"/>
          <w:w w:val="100"/>
          <w:position w:val="0"/>
        </w:rPr>
        <w:t>互联网游戏行业：</w:t>
      </w:r>
    </w:p>
    <w:p>
      <w:pPr>
        <w:pStyle w:val="Style33"/>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年一季度，因疫情的影响，居民主要活动以居家休闲为主，这给互联网应用和在线娱乐产业发展带来了新的想象空 间，互联网游戏在此期间获得了阶段性、爆发式增长，特别是在移动游戏领域表现出色。根据中国音数协游戏工委</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GPC）</w:t>
      </w:r>
      <w:r>
        <w:rPr>
          <w:color w:val="000000"/>
          <w:spacing w:val="0"/>
          <w:w w:val="100"/>
          <w:position w:val="0"/>
        </w:rPr>
        <w:t>与 国际数据公司</w:t>
      </w:r>
      <w:r>
        <w:rPr>
          <w:rFonts w:ascii="Times New Roman" w:eastAsia="Times New Roman" w:hAnsi="Times New Roman" w:cs="Times New Roman"/>
          <w:color w:val="000000"/>
          <w:spacing w:val="0"/>
          <w:w w:val="100"/>
          <w:position w:val="0"/>
        </w:rPr>
        <w:t>IDC</w:t>
      </w:r>
      <w:r>
        <w:rPr>
          <w:color w:val="000000"/>
          <w:spacing w:val="0"/>
          <w:w w:val="100"/>
          <w:position w:val="0"/>
        </w:rPr>
        <w:t>共同发布的《</w:t>
      </w:r>
      <w:r>
        <w:rPr>
          <w:rFonts w:ascii="Times New Roman" w:eastAsia="Times New Roman" w:hAnsi="Times New Roman" w:cs="Times New Roman"/>
          <w:color w:val="000000"/>
          <w:spacing w:val="0"/>
          <w:w w:val="100"/>
          <w:position w:val="0"/>
        </w:rPr>
        <w:t>2020</w:t>
      </w:r>
      <w:r>
        <w:rPr>
          <w:color w:val="000000"/>
          <w:spacing w:val="0"/>
          <w:w w:val="100"/>
          <w:position w:val="0"/>
        </w:rPr>
        <w:t>年度第一季度中国游戏产业报告》,</w:t>
      </w:r>
      <w:r>
        <w:rPr>
          <w:rFonts w:ascii="Times New Roman" w:eastAsia="Times New Roman" w:hAnsi="Times New Roman" w:cs="Times New Roman"/>
          <w:color w:val="000000"/>
          <w:spacing w:val="0"/>
          <w:w w:val="100"/>
          <w:position w:val="0"/>
        </w:rPr>
        <w:t>2020</w:t>
      </w:r>
      <w:r>
        <w:rPr>
          <w:color w:val="000000"/>
          <w:spacing w:val="0"/>
          <w:w w:val="100"/>
          <w:position w:val="0"/>
        </w:rPr>
        <w:t>年一季度，中国移动游戏市场实际销售收入</w:t>
      </w:r>
      <w:r>
        <w:rPr>
          <w:rFonts w:ascii="Times New Roman" w:eastAsia="Times New Roman" w:hAnsi="Times New Roman" w:cs="Times New Roman"/>
          <w:color w:val="000000"/>
          <w:spacing w:val="0"/>
          <w:w w:val="100"/>
          <w:position w:val="0"/>
        </w:rPr>
        <w:t xml:space="preserve">553.70 </w:t>
      </w:r>
      <w:r>
        <w:rPr>
          <w:color w:val="000000"/>
          <w:spacing w:val="0"/>
          <w:w w:val="100"/>
          <w:position w:val="0"/>
        </w:rPr>
        <w:t>亿元，环比增长</w:t>
      </w:r>
      <w:r>
        <w:rPr>
          <w:rFonts w:ascii="Times New Roman" w:eastAsia="Times New Roman" w:hAnsi="Times New Roman" w:cs="Times New Roman"/>
          <w:color w:val="000000"/>
          <w:spacing w:val="0"/>
          <w:w w:val="100"/>
          <w:position w:val="0"/>
        </w:rPr>
        <w:t>37.63%</w:t>
      </w:r>
      <w:r>
        <w:rPr>
          <w:color w:val="000000"/>
          <w:spacing w:val="0"/>
          <w:w w:val="100"/>
          <w:position w:val="0"/>
        </w:rPr>
        <w:t>。但与此同时，头部厂商大规模进入中重度游戏买量市场，手游市场买量竞争加剧，买量集中化使得 整体游戏买量的成本上升，再加上版号政策的影响对传统买量市场带来了巨大的冲击。政策层面，报告期内游戏行业监管重 心转向监督执法层面，对游戏出版、游戏运营做出了多方面的要求，直指无版号游戏推广、无版号收费运营、套版号、上线 版本与审批产品内容不一致等违规行为，报告期内传统买量市场行业整合速度加快。</w:t>
      </w:r>
    </w:p>
    <w:p>
      <w:pPr>
        <w:pStyle w:val="Style33"/>
        <w:keepNext w:val="0"/>
        <w:keepLines w:val="0"/>
        <w:widowControl w:val="0"/>
        <w:shd w:val="clear" w:color="auto" w:fill="auto"/>
        <w:bidi w:val="0"/>
        <w:spacing w:before="0" w:after="40" w:line="313" w:lineRule="exact"/>
        <w:ind w:left="0" w:right="0"/>
        <w:jc w:val="both"/>
      </w:pPr>
      <w:r>
        <w:rPr>
          <w:color w:val="000000"/>
          <w:spacing w:val="0"/>
          <w:w w:val="100"/>
          <w:position w:val="0"/>
        </w:rPr>
        <w:t xml:space="preserve">报告期内，公司为保持行业竞争地位、紧跟行业发展趋势，在互联网流量资源等方面保持较高的投入力度，倚靠短视频 </w:t>
      </w:r>
      <w:r>
        <w:rPr>
          <w:color w:val="000000"/>
          <w:spacing w:val="0"/>
          <w:w w:val="100"/>
          <w:position w:val="0"/>
        </w:rPr>
        <w:t>平台流量红利，与字节跳动等头部平台开展游戏推广合作，进一步巩固了公司在买量市场的地位。报告期内，哆可梦已获得 数款新版号，未来会继续提升游戏自研实力以及积极开展与优秀外部研发商的合作，精细打磨自身产品，向精品化、差异化 转型升级。</w:t>
      </w:r>
    </w:p>
    <w:p>
      <w:pPr>
        <w:pStyle w:val="Style33"/>
        <w:keepNext w:val="0"/>
        <w:keepLines w:val="0"/>
        <w:widowControl w:val="0"/>
        <w:shd w:val="clear" w:color="auto" w:fill="auto"/>
        <w:bidi w:val="0"/>
        <w:spacing w:before="0" w:after="40" w:line="312" w:lineRule="exact"/>
        <w:ind w:left="0" w:right="0"/>
        <w:jc w:val="both"/>
      </w:pPr>
      <w:r>
        <w:rPr>
          <w:b/>
          <w:bCs/>
          <w:color w:val="000000"/>
          <w:spacing w:val="0"/>
          <w:w w:val="100"/>
          <w:position w:val="0"/>
        </w:rPr>
        <w:t>高端智能制造行业：</w:t>
      </w:r>
    </w:p>
    <w:p>
      <w:pPr>
        <w:pStyle w:val="Style33"/>
        <w:keepNext w:val="0"/>
        <w:keepLines w:val="0"/>
        <w:widowControl w:val="0"/>
        <w:shd w:val="clear" w:color="auto" w:fill="auto"/>
        <w:bidi w:val="0"/>
        <w:spacing w:before="0" w:after="40" w:line="313"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月，国家提出要加快新型基础设施建设，主要包括：</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工业互联网、数据中心、人工智能、特高压、城际高 铁和城际轨交、新能源汽车及充电桩等</w:t>
      </w:r>
      <w:r>
        <w:rPr>
          <w:rFonts w:ascii="Times New Roman" w:eastAsia="Times New Roman" w:hAnsi="Times New Roman" w:cs="Times New Roman"/>
          <w:color w:val="000000"/>
          <w:spacing w:val="0"/>
          <w:w w:val="100"/>
          <w:position w:val="0"/>
        </w:rPr>
        <w:t>7</w:t>
      </w:r>
      <w:r>
        <w:rPr>
          <w:color w:val="000000"/>
          <w:spacing w:val="0"/>
          <w:w w:val="100"/>
          <w:position w:val="0"/>
        </w:rPr>
        <w:t>大领域。传统基建与新基建有天然的契合性，发展新基建的过程，同样也支撑传统 产业向网络化、数字化、智能化方向发展，使其发挥出更大的价值。报告期内国家电网重点规划推动整个行业向电力物联网 方向前进，</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月国家电网印发《国家电网有限公司</w:t>
      </w:r>
      <w:r>
        <w:rPr>
          <w:rFonts w:ascii="Times New Roman" w:eastAsia="Times New Roman" w:hAnsi="Times New Roman" w:cs="Times New Roman"/>
          <w:color w:val="000000"/>
          <w:spacing w:val="0"/>
          <w:w w:val="100"/>
          <w:position w:val="0"/>
        </w:rPr>
        <w:t>2020</w:t>
      </w:r>
      <w:r>
        <w:rPr>
          <w:color w:val="000000"/>
          <w:spacing w:val="0"/>
          <w:w w:val="100"/>
          <w:position w:val="0"/>
        </w:rPr>
        <w:t>年重点工作任务》，表示将全力推进电力物联网高质量发展， 加强配电网建设改造，推进新一代配电自动化主站建设，积极支持增量配电试点项目落地，对配网建设的强调程度超预期。 随着</w:t>
      </w:r>
      <w:r>
        <w:rPr>
          <w:rFonts w:ascii="Times New Roman" w:eastAsia="Times New Roman" w:hAnsi="Times New Roman" w:cs="Times New Roman"/>
          <w:color w:val="000000"/>
          <w:spacing w:val="0"/>
          <w:w w:val="100"/>
          <w:position w:val="0"/>
        </w:rPr>
        <w:t>5G</w:t>
      </w:r>
      <w:r>
        <w:rPr>
          <w:color w:val="000000"/>
          <w:spacing w:val="0"/>
          <w:w w:val="100"/>
          <w:position w:val="0"/>
        </w:rPr>
        <w:t>通信技术的商用化，国家电网对现有智能化设备的通信要求将更高，智能化电气设备的升级迭代将是未来几年的发 展红利，相关产品也步入快速成长期。此外，</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月国务院办公厅印发《新能源汽车产业发展规划</w:t>
      </w:r>
      <w:r>
        <w:rPr>
          <w:color w:val="000000"/>
          <w:spacing w:val="0"/>
          <w:w w:val="100"/>
          <w:position w:val="0"/>
        </w:rPr>
        <w:t>（</w:t>
      </w:r>
      <w:r>
        <w:rPr>
          <w:rFonts w:ascii="Times New Roman" w:eastAsia="Times New Roman" w:hAnsi="Times New Roman" w:cs="Times New Roman"/>
          <w:color w:val="000000"/>
          <w:spacing w:val="0"/>
          <w:w w:val="100"/>
          <w:position w:val="0"/>
        </w:rPr>
        <w:t>2021—2035</w:t>
      </w:r>
      <w:r>
        <w:rPr>
          <w:color w:val="000000"/>
          <w:spacing w:val="0"/>
          <w:w w:val="100"/>
          <w:position w:val="0"/>
        </w:rPr>
        <w:t>年）》， 提出加快充换电基础设施建设，提升充电基础设施服务水平；构建智能绿色物流运输体系，推动新能源汽车在城市配送、港 口作业等领域应用，为新能源货车通行提供便利；推动充换电等基础设施科学布局、加快建设，对作为公共设施的充电桩建 设给予财政支持。</w:t>
      </w:r>
    </w:p>
    <w:p>
      <w:pPr>
        <w:pStyle w:val="Style33"/>
        <w:keepNext w:val="0"/>
        <w:keepLines w:val="0"/>
        <w:widowControl w:val="0"/>
        <w:shd w:val="clear" w:color="auto" w:fill="auto"/>
        <w:bidi w:val="0"/>
        <w:spacing w:before="0" w:after="40" w:line="312" w:lineRule="exact"/>
        <w:ind w:left="0" w:right="0"/>
        <w:jc w:val="both"/>
      </w:pPr>
      <w:r>
        <w:rPr>
          <w:color w:val="000000"/>
          <w:spacing w:val="0"/>
          <w:w w:val="100"/>
          <w:position w:val="0"/>
        </w:rPr>
        <w:t>公司高端智能制造业务以电气业务为基础，加大对配电设备一二次融合</w:t>
      </w:r>
      <w:r>
        <w:rPr>
          <w:rFonts w:ascii="Times New Roman" w:eastAsia="Times New Roman" w:hAnsi="Times New Roman" w:cs="Times New Roman"/>
          <w:color w:val="000000"/>
          <w:spacing w:val="0"/>
          <w:w w:val="100"/>
          <w:position w:val="0"/>
        </w:rPr>
        <w:t>/</w:t>
      </w:r>
      <w:r>
        <w:rPr>
          <w:color w:val="000000"/>
          <w:spacing w:val="0"/>
          <w:w w:val="100"/>
          <w:position w:val="0"/>
        </w:rPr>
        <w:t>智能成套产品的研发力度，继续借助</w:t>
      </w:r>
      <w:r>
        <w:rPr>
          <w:rFonts w:ascii="Times New Roman" w:eastAsia="Times New Roman" w:hAnsi="Times New Roman" w:cs="Times New Roman"/>
          <w:color w:val="000000"/>
          <w:spacing w:val="0"/>
          <w:w w:val="100"/>
          <w:position w:val="0"/>
        </w:rPr>
        <w:t>20</w:t>
      </w:r>
      <w:r>
        <w:rPr>
          <w:color w:val="000000"/>
          <w:spacing w:val="0"/>
          <w:w w:val="100"/>
          <w:position w:val="0"/>
        </w:rPr>
        <w:t>年电气 行业的深厚技术和客户资源，抓住电气设备智能化和信息化的电力物联网创新发展机遇。在充电桩领域，公司发布了以</w:t>
      </w:r>
      <w:r>
        <w:rPr>
          <w:rFonts w:ascii="Times New Roman" w:eastAsia="Times New Roman" w:hAnsi="Times New Roman" w:cs="Times New Roman"/>
          <w:color w:val="000000"/>
          <w:spacing w:val="0"/>
          <w:w w:val="100"/>
          <w:position w:val="0"/>
        </w:rPr>
        <w:t>“</w:t>
      </w:r>
      <w:r>
        <w:rPr>
          <w:color w:val="000000"/>
          <w:spacing w:val="0"/>
          <w:w w:val="100"/>
          <w:position w:val="0"/>
        </w:rPr>
        <w:t>超 级直流智能充电桩</w:t>
      </w:r>
      <w:r>
        <w:rPr>
          <w:rFonts w:ascii="Times New Roman" w:eastAsia="Times New Roman" w:hAnsi="Times New Roman" w:cs="Times New Roman"/>
          <w:color w:val="000000"/>
          <w:spacing w:val="0"/>
          <w:w w:val="100"/>
          <w:position w:val="0"/>
        </w:rPr>
        <w:t>”</w:t>
      </w:r>
      <w:r>
        <w:rPr>
          <w:color w:val="000000"/>
          <w:spacing w:val="0"/>
          <w:w w:val="100"/>
          <w:position w:val="0"/>
        </w:rPr>
        <w:t>为主打产品的场站级</w:t>
      </w:r>
      <w:r>
        <w:rPr>
          <w:rFonts w:ascii="Times New Roman" w:eastAsia="Times New Roman" w:hAnsi="Times New Roman" w:cs="Times New Roman"/>
          <w:color w:val="000000"/>
          <w:spacing w:val="0"/>
          <w:w w:val="100"/>
          <w:position w:val="0"/>
        </w:rPr>
        <w:t>“</w:t>
      </w:r>
      <w:r>
        <w:rPr>
          <w:color w:val="000000"/>
          <w:spacing w:val="0"/>
          <w:w w:val="100"/>
          <w:position w:val="0"/>
        </w:rPr>
        <w:t>智慧商业高速快充解决方案</w:t>
      </w:r>
      <w:r>
        <w:rPr>
          <w:rFonts w:ascii="Times New Roman" w:eastAsia="Times New Roman" w:hAnsi="Times New Roman" w:cs="Times New Roman"/>
          <w:color w:val="000000"/>
          <w:spacing w:val="0"/>
          <w:w w:val="100"/>
          <w:position w:val="0"/>
        </w:rPr>
        <w:t>”</w:t>
      </w:r>
      <w:r>
        <w:rPr>
          <w:color w:val="000000"/>
          <w:spacing w:val="0"/>
          <w:w w:val="100"/>
          <w:position w:val="0"/>
        </w:rPr>
        <w:t>，瞄准城镇绿色物流快充领域进行战略布局，目前已 和国网信息通信产业集团有限公司（以下简称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国网信通产业集团</w:t>
      </w:r>
      <w:r>
        <w:rPr>
          <w:rFonts w:ascii="Times New Roman" w:eastAsia="Times New Roman" w:hAnsi="Times New Roman" w:cs="Times New Roman"/>
          <w:color w:val="000000"/>
          <w:spacing w:val="0"/>
          <w:w w:val="100"/>
          <w:position w:val="0"/>
        </w:rPr>
        <w:t>”</w:t>
      </w:r>
      <w:r>
        <w:rPr>
          <w:color w:val="000000"/>
          <w:spacing w:val="0"/>
          <w:w w:val="100"/>
          <w:position w:val="0"/>
        </w:rPr>
        <w:t>）签订了战略合作协议，并与其控股上市公司国网信息通 信股份有限公司（以下简称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国网信通</w:t>
      </w:r>
      <w:r>
        <w:rPr>
          <w:rFonts w:ascii="Times New Roman" w:eastAsia="Times New Roman" w:hAnsi="Times New Roman" w:cs="Times New Roman"/>
          <w:color w:val="000000"/>
          <w:spacing w:val="0"/>
          <w:w w:val="100"/>
          <w:position w:val="0"/>
        </w:rPr>
        <w:t>”</w:t>
      </w:r>
      <w:r>
        <w:rPr>
          <w:color w:val="000000"/>
          <w:spacing w:val="0"/>
          <w:w w:val="100"/>
          <w:position w:val="0"/>
        </w:rPr>
        <w:t>）的全资子公司中电启明星等共同投资设立专注于城市绿色物流的充换电综合服务场 站</w:t>
      </w:r>
      <w:r>
        <w:rPr>
          <w:color w:val="000000"/>
          <w:spacing w:val="0"/>
          <w:w w:val="100"/>
          <w:position w:val="0"/>
        </w:rPr>
        <w:t>一</w:t>
      </w:r>
      <w:r>
        <w:rPr>
          <w:color w:val="000000"/>
          <w:spacing w:val="0"/>
          <w:w w:val="100"/>
          <w:position w:val="0"/>
        </w:rPr>
        <w:t>思极星能。</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月，公司还与重庆市璧山区政府签署了合作协议，拟以不超过</w:t>
      </w:r>
      <w:r>
        <w:rPr>
          <w:rFonts w:ascii="Times New Roman" w:eastAsia="Times New Roman" w:hAnsi="Times New Roman" w:cs="Times New Roman"/>
          <w:color w:val="000000"/>
          <w:spacing w:val="0"/>
          <w:w w:val="100"/>
          <w:position w:val="0"/>
        </w:rPr>
        <w:t>3</w:t>
      </w:r>
      <w:r>
        <w:rPr>
          <w:color w:val="000000"/>
          <w:spacing w:val="0"/>
          <w:w w:val="100"/>
          <w:position w:val="0"/>
        </w:rPr>
        <w:t>亿元在重庆市璧山区建设高速智能 充电桩项目。此外，在人工智能方面，公司投资的真机智能致力于用户内外通用小型移动机器人赋能行业，由公司进行生产 的真机智能无人机器人通过零人工干预的高速实时闭环，依据数百维特征数据，形成智能派单和智能规划，构建了无人配送 局部网络，其具备的自主智能系统符合新基建人工智能的发展方向。</w:t>
      </w:r>
    </w:p>
    <w:p>
      <w:pPr>
        <w:pStyle w:val="Style33"/>
        <w:keepNext w:val="0"/>
        <w:keepLines w:val="0"/>
        <w:widowControl w:val="0"/>
        <w:shd w:val="clear" w:color="auto" w:fill="auto"/>
        <w:bidi w:val="0"/>
        <w:spacing w:before="0" w:after="40" w:line="312" w:lineRule="exact"/>
        <w:ind w:left="0" w:right="0"/>
        <w:jc w:val="both"/>
      </w:pPr>
      <w:r>
        <w:rPr>
          <w:b/>
          <w:bCs/>
          <w:color w:val="000000"/>
          <w:spacing w:val="0"/>
          <w:w w:val="100"/>
          <w:position w:val="0"/>
        </w:rPr>
        <w:t>投资行业：</w:t>
      </w:r>
    </w:p>
    <w:p>
      <w:pPr>
        <w:pStyle w:val="Style33"/>
        <w:keepNext w:val="0"/>
        <w:keepLines w:val="0"/>
        <w:widowControl w:val="0"/>
        <w:shd w:val="clear" w:color="auto" w:fill="auto"/>
        <w:bidi w:val="0"/>
        <w:spacing w:before="0" w:after="40" w:line="312" w:lineRule="exact"/>
        <w:ind w:left="0" w:right="0"/>
        <w:jc w:val="both"/>
      </w:pPr>
      <w:r>
        <w:rPr>
          <w:color w:val="000000"/>
          <w:spacing w:val="0"/>
          <w:w w:val="100"/>
          <w:position w:val="0"/>
        </w:rPr>
        <w:t>报告期内，受疫情影响，国内外经济、金融市场均出现了大幅波动。一季度国内经济受疫情影响严重，二季度中后期在 疫情防控得当、政策逆周期调节作用下开始逐渐修复。供给端复工复产提速扩面，工业生产秩序加快恢复，工业生产各项指 标呈现积极变化；需求端出现边际改善，投资、消费处于稳步回升阶段；出口端则因国内疫情防控得力及外围经济受疫情影 响呈现快速回暖的态势。同时，报告期内，资本市场改革政策不断推出：金融委办公室发布</w:t>
      </w:r>
      <w:r>
        <w:rPr>
          <w:rFonts w:ascii="Times New Roman" w:eastAsia="Times New Roman" w:hAnsi="Times New Roman" w:cs="Times New Roman"/>
          <w:color w:val="000000"/>
          <w:spacing w:val="0"/>
          <w:w w:val="100"/>
          <w:position w:val="0"/>
        </w:rPr>
        <w:t>11</w:t>
      </w:r>
      <w:r>
        <w:rPr>
          <w:color w:val="000000"/>
          <w:spacing w:val="0"/>
          <w:w w:val="100"/>
          <w:position w:val="0"/>
        </w:rPr>
        <w:t>条金融改革措施、创业板启动 试点注册制改革、富时罗素纳</w:t>
      </w:r>
      <w:r>
        <w:rPr>
          <w:rFonts w:ascii="Times New Roman" w:eastAsia="Times New Roman" w:hAnsi="Times New Roman" w:cs="Times New Roman"/>
          <w:color w:val="000000"/>
          <w:spacing w:val="0"/>
          <w:w w:val="100"/>
          <w:position w:val="0"/>
        </w:rPr>
        <w:t>A</w:t>
      </w:r>
      <w:r>
        <w:rPr>
          <w:color w:val="000000"/>
          <w:spacing w:val="0"/>
          <w:w w:val="100"/>
          <w:position w:val="0"/>
        </w:rPr>
        <w:t>因子从</w:t>
      </w:r>
      <w:r>
        <w:rPr>
          <w:rFonts w:ascii="Times New Roman" w:eastAsia="Times New Roman" w:hAnsi="Times New Roman" w:cs="Times New Roman"/>
          <w:color w:val="000000"/>
          <w:spacing w:val="0"/>
          <w:w w:val="100"/>
          <w:position w:val="0"/>
        </w:rPr>
        <w:t>17.5%</w:t>
      </w:r>
      <w:r>
        <w:rPr>
          <w:color w:val="000000"/>
          <w:spacing w:val="0"/>
          <w:w w:val="100"/>
          <w:position w:val="0"/>
        </w:rPr>
        <w:t>提升至</w:t>
      </w:r>
      <w:r>
        <w:rPr>
          <w:rFonts w:ascii="Times New Roman" w:eastAsia="Times New Roman" w:hAnsi="Times New Roman" w:cs="Times New Roman"/>
          <w:color w:val="000000"/>
          <w:spacing w:val="0"/>
          <w:w w:val="100"/>
          <w:position w:val="0"/>
        </w:rPr>
        <w:t>25%</w:t>
      </w:r>
      <w:r>
        <w:rPr>
          <w:color w:val="000000"/>
          <w:spacing w:val="0"/>
          <w:w w:val="100"/>
          <w:position w:val="0"/>
        </w:rPr>
        <w:t>代表纳</w:t>
      </w:r>
      <w:r>
        <w:rPr>
          <w:rFonts w:ascii="Times New Roman" w:eastAsia="Times New Roman" w:hAnsi="Times New Roman" w:cs="Times New Roman"/>
          <w:color w:val="000000"/>
          <w:spacing w:val="0"/>
          <w:w w:val="100"/>
          <w:position w:val="0"/>
        </w:rPr>
        <w:t>A</w:t>
      </w:r>
      <w:r>
        <w:rPr>
          <w:color w:val="000000"/>
          <w:spacing w:val="0"/>
          <w:w w:val="100"/>
          <w:position w:val="0"/>
        </w:rPr>
        <w:t>第一阶段完成、沪深交易所修订退市制度等，在上述政策引 导之下，国内资本市场正发生重大变化，对证券、股权投资行业带来一定的机遇的和挑战。此外，</w:t>
      </w:r>
      <w:r>
        <w:rPr>
          <w:rFonts w:ascii="Times New Roman" w:eastAsia="Times New Roman" w:hAnsi="Times New Roman" w:cs="Times New Roman"/>
          <w:color w:val="000000"/>
          <w:spacing w:val="0"/>
          <w:w w:val="100"/>
          <w:position w:val="0"/>
        </w:rPr>
        <w:t>2020</w:t>
      </w:r>
      <w:r>
        <w:rPr>
          <w:color w:val="000000"/>
          <w:spacing w:val="0"/>
          <w:w w:val="100"/>
          <w:position w:val="0"/>
        </w:rPr>
        <w:t>年，受流动性宽松和 疫情影响，银行理财产品发行量和收益率均下降，理财产品打破刚性兑付取得积极进展，各家银行正积极布局成立理财子公 司，在转型过程中将逐渐产生盈利能力和规模上的分化。</w:t>
      </w:r>
    </w:p>
    <w:p>
      <w:pPr>
        <w:pStyle w:val="Style33"/>
        <w:keepNext w:val="0"/>
        <w:keepLines w:val="0"/>
        <w:widowControl w:val="0"/>
        <w:shd w:val="clear" w:color="auto" w:fill="auto"/>
        <w:bidi w:val="0"/>
        <w:spacing w:before="0" w:after="360" w:line="312" w:lineRule="exact"/>
        <w:ind w:left="0" w:right="0" w:firstLine="300"/>
        <w:jc w:val="both"/>
      </w:pPr>
      <w:r>
        <w:rPr>
          <w:color w:val="000000"/>
          <w:spacing w:val="0"/>
          <w:w w:val="100"/>
          <w:position w:val="0"/>
        </w:rPr>
        <w:t>面对投资业务相关行情变化，报告期内公司重点加强投资业务的风险管控，适度下调证券投资及银行理财的额度，降低 投资频率，谋求投资业务的持续稳定发展及满足公司生产经营需要。</w:t>
      </w:r>
    </w:p>
    <w:p>
      <w:pPr>
        <w:pStyle w:val="Style29"/>
        <w:keepNext/>
        <w:keepLines/>
        <w:widowControl w:val="0"/>
        <w:shd w:val="clear" w:color="auto" w:fill="auto"/>
        <w:bidi w:val="0"/>
        <w:spacing w:before="0" w:after="360" w:line="240" w:lineRule="auto"/>
        <w:ind w:left="0" w:right="0" w:firstLine="0"/>
        <w:jc w:val="left"/>
      </w:pPr>
      <w:bookmarkStart w:id="71" w:name="bookmark71"/>
      <w:bookmarkStart w:id="72" w:name="bookmark72"/>
      <w:bookmarkStart w:id="73" w:name="bookmark73"/>
      <w:bookmarkStart w:id="74" w:name="bookmark74"/>
      <w:r>
        <w:rPr>
          <w:color w:val="000000"/>
          <w:spacing w:val="0"/>
          <w:w w:val="100"/>
          <w:position w:val="0"/>
          <w:sz w:val="24"/>
          <w:szCs w:val="24"/>
        </w:rPr>
        <w:t>二</w:t>
      </w:r>
      <w:bookmarkEnd w:id="73"/>
      <w:r>
        <w:rPr>
          <w:color w:val="000000"/>
          <w:spacing w:val="0"/>
          <w:w w:val="100"/>
          <w:position w:val="0"/>
          <w:sz w:val="24"/>
          <w:szCs w:val="24"/>
        </w:rPr>
        <w:t>、主要资产重大变化情况</w:t>
      </w:r>
      <w:bookmarkEnd w:id="71"/>
      <w:bookmarkEnd w:id="72"/>
      <w:bookmarkEnd w:id="74"/>
    </w:p>
    <w:p>
      <w:pPr>
        <w:pStyle w:val="Style37"/>
        <w:keepNext/>
        <w:keepLines/>
        <w:widowControl w:val="0"/>
        <w:shd w:val="clear" w:color="auto" w:fill="auto"/>
        <w:bidi w:val="0"/>
        <w:spacing w:before="0" w:after="320" w:line="240" w:lineRule="auto"/>
        <w:ind w:left="0" w:right="0" w:firstLine="0"/>
        <w:jc w:val="left"/>
      </w:pPr>
      <w:bookmarkStart w:id="75" w:name="bookmark75"/>
      <w:bookmarkStart w:id="76" w:name="bookmark76"/>
      <w:bookmarkStart w:id="77" w:name="bookmark77"/>
      <w:bookmarkStart w:id="78" w:name="bookmark78"/>
      <w:r>
        <w:rPr>
          <w:rFonts w:ascii="Times New Roman" w:eastAsia="Times New Roman" w:hAnsi="Times New Roman" w:cs="Times New Roman"/>
          <w:color w:val="000000"/>
          <w:spacing w:val="0"/>
          <w:w w:val="100"/>
          <w:position w:val="0"/>
        </w:rPr>
        <w:t>1</w:t>
      </w:r>
      <w:bookmarkEnd w:id="77"/>
      <w:r>
        <w:rPr>
          <w:color w:val="000000"/>
          <w:spacing w:val="0"/>
          <w:w w:val="100"/>
          <w:position w:val="0"/>
        </w:rPr>
        <w:t>、主要资产重大变化情况</w:t>
      </w:r>
      <w:bookmarkEnd w:id="75"/>
      <w:bookmarkEnd w:id="76"/>
      <w:bookmarkEnd w:id="78"/>
    </w:p>
    <w:tbl>
      <w:tblPr>
        <w:tblOverlap w:val="never"/>
        <w:jc w:val="center"/>
        <w:tblLayout w:type="fixed"/>
      </w:tblPr>
      <w:tblGrid>
        <w:gridCol w:w="2102"/>
        <w:gridCol w:w="7483"/>
      </w:tblGrid>
      <w:tr>
        <w:trPr>
          <w:trHeight w:val="76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较期初减少</w:t>
            </w:r>
            <w:r>
              <w:rPr>
                <w:rFonts w:ascii="Times New Roman" w:eastAsia="Times New Roman" w:hAnsi="Times New Roman" w:cs="Times New Roman"/>
                <w:color w:val="000000"/>
                <w:spacing w:val="0"/>
                <w:w w:val="100"/>
                <w:position w:val="0"/>
              </w:rPr>
              <w:t>37,724.33</w:t>
            </w:r>
            <w:r>
              <w:rPr>
                <w:color w:val="000000"/>
                <w:spacing w:val="0"/>
                <w:w w:val="100"/>
                <w:position w:val="0"/>
              </w:rPr>
              <w:t>万，主要系报告期内投资款调整所致</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较期初增加</w:t>
            </w:r>
            <w:r>
              <w:rPr>
                <w:rFonts w:ascii="Times New Roman" w:eastAsia="Times New Roman" w:hAnsi="Times New Roman" w:cs="Times New Roman"/>
                <w:color w:val="000000"/>
                <w:spacing w:val="0"/>
                <w:w w:val="100"/>
                <w:position w:val="0"/>
              </w:rPr>
              <w:t>7,723.55</w:t>
            </w:r>
            <w:r>
              <w:rPr>
                <w:color w:val="000000"/>
                <w:spacing w:val="0"/>
                <w:w w:val="100"/>
                <w:position w:val="0"/>
              </w:rPr>
              <w:t>万，主要系报告期内投资性房产转自用所致</w:t>
            </w:r>
          </w:p>
        </w:tc>
      </w:tr>
    </w:tbl>
    <w:p>
      <w:pPr>
        <w:spacing w:lineRule="exact" w:line="1"/>
        <w:rPr>
          <w:sz w:val="2"/>
          <w:szCs w:val="2"/>
        </w:rPr>
      </w:pPr>
      <w:r>
        <w:br w:type="page"/>
      </w:r>
    </w:p>
    <w:tbl>
      <w:tblPr>
        <w:tblOverlap w:val="never"/>
        <w:jc w:val="center"/>
        <w:tblLayout w:type="fixed"/>
      </w:tblPr>
      <w:tblGrid>
        <w:gridCol w:w="2102"/>
        <w:gridCol w:w="748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较期初减少</w:t>
            </w:r>
            <w:r>
              <w:rPr>
                <w:rFonts w:ascii="Times New Roman" w:eastAsia="Times New Roman" w:hAnsi="Times New Roman" w:cs="Times New Roman"/>
                <w:color w:val="000000"/>
                <w:spacing w:val="0"/>
                <w:w w:val="100"/>
                <w:position w:val="0"/>
              </w:rPr>
              <w:t>236.18</w:t>
            </w:r>
            <w:r>
              <w:rPr>
                <w:color w:val="000000"/>
                <w:spacing w:val="0"/>
                <w:w w:val="100"/>
                <w:position w:val="0"/>
              </w:rPr>
              <w:t>万，主要系报告期内正常摊销所致</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较年初减少</w:t>
            </w:r>
            <w:r>
              <w:rPr>
                <w:rFonts w:ascii="Times New Roman" w:eastAsia="Times New Roman" w:hAnsi="Times New Roman" w:cs="Times New Roman"/>
                <w:color w:val="000000"/>
                <w:spacing w:val="0"/>
                <w:w w:val="100"/>
                <w:position w:val="0"/>
              </w:rPr>
              <w:t>13,552.55</w:t>
            </w:r>
            <w:r>
              <w:rPr>
                <w:color w:val="000000"/>
                <w:spacing w:val="0"/>
                <w:w w:val="100"/>
                <w:position w:val="0"/>
              </w:rPr>
              <w:t>万元，主要系报告期内偿还中航信托部分贷款所致</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较年初减少</w:t>
            </w:r>
            <w:r>
              <w:rPr>
                <w:rFonts w:ascii="Times New Roman" w:eastAsia="Times New Roman" w:hAnsi="Times New Roman" w:cs="Times New Roman"/>
                <w:color w:val="000000"/>
                <w:spacing w:val="0"/>
                <w:w w:val="100"/>
                <w:position w:val="0"/>
              </w:rPr>
              <w:t>1,691.45</w:t>
            </w:r>
            <w:r>
              <w:rPr>
                <w:color w:val="000000"/>
                <w:spacing w:val="0"/>
                <w:w w:val="100"/>
                <w:position w:val="0"/>
              </w:rPr>
              <w:t>万元，主要系报告期内正常结算所致</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较年初减少</w:t>
            </w:r>
            <w:r>
              <w:rPr>
                <w:rFonts w:ascii="Times New Roman" w:eastAsia="Times New Roman" w:hAnsi="Times New Roman" w:cs="Times New Roman"/>
                <w:color w:val="000000"/>
                <w:spacing w:val="0"/>
                <w:w w:val="100"/>
                <w:position w:val="0"/>
              </w:rPr>
              <w:t>20,671.60</w:t>
            </w:r>
            <w:r>
              <w:rPr>
                <w:color w:val="000000"/>
                <w:spacing w:val="0"/>
                <w:w w:val="100"/>
                <w:position w:val="0"/>
              </w:rPr>
              <w:t>万元，主要系报告期内货款收回所致</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较年初减少</w:t>
            </w:r>
            <w:r>
              <w:rPr>
                <w:rFonts w:ascii="Times New Roman" w:eastAsia="Times New Roman" w:hAnsi="Times New Roman" w:cs="Times New Roman"/>
                <w:color w:val="000000"/>
                <w:spacing w:val="0"/>
                <w:w w:val="100"/>
                <w:position w:val="0"/>
              </w:rPr>
              <w:t>1,956.13</w:t>
            </w:r>
            <w:r>
              <w:rPr>
                <w:color w:val="000000"/>
                <w:spacing w:val="0"/>
                <w:w w:val="100"/>
                <w:position w:val="0"/>
              </w:rPr>
              <w:t>万元，主要系报告期内正常结算所致</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较年初减少</w:t>
            </w:r>
            <w:r>
              <w:rPr>
                <w:rFonts w:ascii="Times New Roman" w:eastAsia="Times New Roman" w:hAnsi="Times New Roman" w:cs="Times New Roman"/>
                <w:color w:val="000000"/>
                <w:spacing w:val="0"/>
                <w:w w:val="100"/>
                <w:position w:val="0"/>
              </w:rPr>
              <w:t>10,095.28</w:t>
            </w:r>
            <w:r>
              <w:rPr>
                <w:color w:val="000000"/>
                <w:spacing w:val="0"/>
                <w:w w:val="100"/>
                <w:position w:val="0"/>
              </w:rPr>
              <w:t>万元，主要系报告期内投资性房地产转固定资产和公允价值变动所致</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较年初减少</w:t>
            </w:r>
            <w:r>
              <w:rPr>
                <w:rFonts w:ascii="Times New Roman" w:eastAsia="Times New Roman" w:hAnsi="Times New Roman" w:cs="Times New Roman"/>
                <w:color w:val="000000"/>
                <w:spacing w:val="0"/>
                <w:w w:val="100"/>
                <w:position w:val="0"/>
              </w:rPr>
              <w:t>618.58</w:t>
            </w:r>
            <w:r>
              <w:rPr>
                <w:color w:val="000000"/>
                <w:spacing w:val="0"/>
                <w:w w:val="100"/>
                <w:position w:val="0"/>
              </w:rPr>
              <w:t>万元，主要系报告期内中航信托</w:t>
            </w:r>
            <w:r>
              <w:rPr>
                <w:rFonts w:ascii="Times New Roman" w:eastAsia="Times New Roman" w:hAnsi="Times New Roman" w:cs="Times New Roman"/>
                <w:color w:val="000000"/>
                <w:spacing w:val="0"/>
                <w:w w:val="100"/>
                <w:position w:val="0"/>
              </w:rPr>
              <w:t>-</w:t>
            </w:r>
            <w:r>
              <w:rPr>
                <w:color w:val="000000"/>
                <w:spacing w:val="0"/>
                <w:w w:val="100"/>
                <w:position w:val="0"/>
              </w:rPr>
              <w:t>信托业保障基金以及融资租赁保证金收回 所致</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较年初减少</w:t>
            </w:r>
            <w:r>
              <w:rPr>
                <w:rFonts w:ascii="Times New Roman" w:eastAsia="Times New Roman" w:hAnsi="Times New Roman" w:cs="Times New Roman"/>
                <w:color w:val="000000"/>
                <w:spacing w:val="0"/>
                <w:w w:val="100"/>
                <w:position w:val="0"/>
              </w:rPr>
              <w:t>14,987.23</w:t>
            </w:r>
            <w:r>
              <w:rPr>
                <w:color w:val="000000"/>
                <w:spacing w:val="0"/>
                <w:w w:val="100"/>
                <w:position w:val="0"/>
              </w:rPr>
              <w:t>万元，主要系报告期内将惠智网联投资款调整到其他应付款所致</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较年初减少</w:t>
            </w:r>
            <w:r>
              <w:rPr>
                <w:rFonts w:ascii="Times New Roman" w:eastAsia="Times New Roman" w:hAnsi="Times New Roman" w:cs="Times New Roman"/>
                <w:color w:val="000000"/>
                <w:spacing w:val="0"/>
                <w:w w:val="100"/>
                <w:position w:val="0"/>
              </w:rPr>
              <w:t>800.98</w:t>
            </w:r>
            <w:r>
              <w:rPr>
                <w:color w:val="000000"/>
                <w:spacing w:val="0"/>
                <w:w w:val="100"/>
                <w:position w:val="0"/>
              </w:rPr>
              <w:t>万元，主要系报告期因哆可梦流量采购费用摊销所致</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较年初减少</w:t>
            </w:r>
            <w:r>
              <w:rPr>
                <w:rFonts w:ascii="Times New Roman" w:eastAsia="Times New Roman" w:hAnsi="Times New Roman" w:cs="Times New Roman"/>
                <w:color w:val="000000"/>
                <w:spacing w:val="0"/>
                <w:w w:val="100"/>
                <w:position w:val="0"/>
              </w:rPr>
              <w:t>90,798.15</w:t>
            </w:r>
            <w:r>
              <w:rPr>
                <w:color w:val="000000"/>
                <w:spacing w:val="0"/>
                <w:w w:val="100"/>
                <w:position w:val="0"/>
              </w:rPr>
              <w:t>万元，主要系对控股子公司哆可梦计提了商誉减值准备所致</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较年初减少</w:t>
            </w:r>
            <w:r>
              <w:rPr>
                <w:rFonts w:ascii="Times New Roman" w:eastAsia="Times New Roman" w:hAnsi="Times New Roman" w:cs="Times New Roman"/>
                <w:color w:val="000000"/>
                <w:spacing w:val="0"/>
                <w:w w:val="100"/>
                <w:position w:val="0"/>
              </w:rPr>
              <w:t>25,938.10</w:t>
            </w:r>
            <w:r>
              <w:rPr>
                <w:color w:val="000000"/>
                <w:spacing w:val="0"/>
                <w:w w:val="100"/>
                <w:position w:val="0"/>
              </w:rPr>
              <w:t>万元，主要系报告期内证券投资已处置，转让理财产品收益所致</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较年初增加</w:t>
            </w:r>
            <w:r>
              <w:rPr>
                <w:rFonts w:ascii="Times New Roman" w:eastAsia="Times New Roman" w:hAnsi="Times New Roman" w:cs="Times New Roman"/>
                <w:color w:val="000000"/>
                <w:spacing w:val="0"/>
                <w:w w:val="100"/>
                <w:position w:val="0"/>
              </w:rPr>
              <w:t>2,504.24</w:t>
            </w:r>
            <w:r>
              <w:rPr>
                <w:color w:val="000000"/>
                <w:spacing w:val="0"/>
                <w:w w:val="100"/>
                <w:position w:val="0"/>
              </w:rPr>
              <w:t>万元，主要系报告期内可抵扣亏损增加所致</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较年初减少</w:t>
            </w:r>
            <w:r>
              <w:rPr>
                <w:rFonts w:ascii="Times New Roman" w:eastAsia="Times New Roman" w:hAnsi="Times New Roman" w:cs="Times New Roman"/>
                <w:color w:val="000000"/>
                <w:spacing w:val="0"/>
                <w:w w:val="100"/>
                <w:position w:val="0"/>
              </w:rPr>
              <w:t>433.24</w:t>
            </w:r>
            <w:r>
              <w:rPr>
                <w:color w:val="000000"/>
                <w:spacing w:val="0"/>
                <w:w w:val="100"/>
                <w:position w:val="0"/>
              </w:rPr>
              <w:t>万元，主要系报告期内预付服务费减少所致</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较年初减少</w:t>
            </w:r>
            <w:r>
              <w:rPr>
                <w:rFonts w:ascii="Times New Roman" w:eastAsia="Times New Roman" w:hAnsi="Times New Roman" w:cs="Times New Roman"/>
                <w:color w:val="000000"/>
                <w:spacing w:val="0"/>
                <w:w w:val="100"/>
                <w:position w:val="0"/>
              </w:rPr>
              <w:t>21,472.20</w:t>
            </w:r>
            <w:r>
              <w:rPr>
                <w:color w:val="000000"/>
                <w:spacing w:val="0"/>
                <w:w w:val="100"/>
                <w:position w:val="0"/>
              </w:rPr>
              <w:t>万元，主要系报告期内偿还中航信托发放的并购贷款所致</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较年初减少</w:t>
            </w:r>
            <w:r>
              <w:rPr>
                <w:rFonts w:ascii="Times New Roman" w:eastAsia="Times New Roman" w:hAnsi="Times New Roman" w:cs="Times New Roman"/>
                <w:color w:val="000000"/>
                <w:spacing w:val="0"/>
                <w:w w:val="100"/>
                <w:position w:val="0"/>
              </w:rPr>
              <w:t>11,706.51</w:t>
            </w:r>
            <w:r>
              <w:rPr>
                <w:color w:val="000000"/>
                <w:spacing w:val="0"/>
                <w:w w:val="100"/>
                <w:position w:val="0"/>
              </w:rPr>
              <w:t>万元，主要系报告期内控股子公司哆可梦产品上线时间推迟、业务规模 下降、收入减少所致</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较年初减少</w:t>
            </w:r>
            <w:r>
              <w:rPr>
                <w:rFonts w:ascii="Times New Roman" w:eastAsia="Times New Roman" w:hAnsi="Times New Roman" w:cs="Times New Roman"/>
                <w:color w:val="000000"/>
                <w:spacing w:val="0"/>
                <w:w w:val="100"/>
                <w:position w:val="0"/>
              </w:rPr>
              <w:t>320.80</w:t>
            </w:r>
            <w:r>
              <w:rPr>
                <w:color w:val="000000"/>
                <w:spacing w:val="0"/>
                <w:w w:val="100"/>
                <w:position w:val="0"/>
              </w:rPr>
              <w:t>万元，主要系报告期内根据新收入准则重分类为合同负债所致</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较年初减少</w:t>
            </w:r>
            <w:r>
              <w:rPr>
                <w:rFonts w:ascii="Times New Roman" w:eastAsia="Times New Roman" w:hAnsi="Times New Roman" w:cs="Times New Roman"/>
                <w:color w:val="000000"/>
                <w:spacing w:val="0"/>
                <w:w w:val="100"/>
                <w:position w:val="0"/>
              </w:rPr>
              <w:t>519.56</w:t>
            </w:r>
            <w:r>
              <w:rPr>
                <w:color w:val="000000"/>
                <w:spacing w:val="0"/>
                <w:w w:val="100"/>
                <w:position w:val="0"/>
              </w:rPr>
              <w:t>万元，主要系报告期内缴纳及冲回以前年度计提增值税、所得税费用以及 收入下降所致</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较年初减少</w:t>
            </w:r>
            <w:r>
              <w:rPr>
                <w:rFonts w:ascii="Times New Roman" w:eastAsia="Times New Roman" w:hAnsi="Times New Roman" w:cs="Times New Roman"/>
                <w:color w:val="000000"/>
                <w:spacing w:val="0"/>
                <w:w w:val="100"/>
                <w:position w:val="0"/>
              </w:rPr>
              <w:t>2,306.09</w:t>
            </w:r>
            <w:r>
              <w:rPr>
                <w:color w:val="000000"/>
                <w:spacing w:val="0"/>
                <w:w w:val="100"/>
                <w:position w:val="0"/>
              </w:rPr>
              <w:t>万元，主要系报告期内应付利息减少所致</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较年初减少</w:t>
            </w:r>
            <w:r>
              <w:rPr>
                <w:rFonts w:ascii="Times New Roman" w:eastAsia="Times New Roman" w:hAnsi="Times New Roman" w:cs="Times New Roman"/>
                <w:color w:val="000000"/>
                <w:spacing w:val="0"/>
                <w:w w:val="100"/>
                <w:position w:val="0"/>
              </w:rPr>
              <w:t>7,440.22</w:t>
            </w:r>
            <w:r>
              <w:rPr>
                <w:color w:val="000000"/>
                <w:spacing w:val="0"/>
                <w:w w:val="100"/>
                <w:position w:val="0"/>
              </w:rPr>
              <w:t>万元，主要系报告期内支付部分哆可梦股权受让款所致</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较年初减少</w:t>
            </w:r>
            <w:r>
              <w:rPr>
                <w:rFonts w:ascii="Times New Roman" w:eastAsia="Times New Roman" w:hAnsi="Times New Roman" w:cs="Times New Roman"/>
                <w:color w:val="000000"/>
                <w:spacing w:val="0"/>
                <w:w w:val="100"/>
                <w:position w:val="0"/>
              </w:rPr>
              <w:t>126.62</w:t>
            </w:r>
            <w:r>
              <w:rPr>
                <w:color w:val="000000"/>
                <w:spacing w:val="0"/>
                <w:w w:val="100"/>
                <w:position w:val="0"/>
              </w:rPr>
              <w:t>万元，主要系报告期内控股子公司哆可梦以前年度已充值未消费的金币在 本报告期内被消费进而确认收入及会计政策变更所致</w:t>
            </w:r>
          </w:p>
        </w:tc>
      </w:tr>
    </w:tbl>
    <w:p>
      <w:pPr>
        <w:widowControl w:val="0"/>
        <w:spacing w:after="339" w:line="1" w:lineRule="exact"/>
      </w:pPr>
    </w:p>
    <w:p>
      <w:pPr>
        <w:pStyle w:val="Style37"/>
        <w:keepNext/>
        <w:keepLines/>
        <w:widowControl w:val="0"/>
        <w:shd w:val="clear" w:color="auto" w:fill="auto"/>
        <w:bidi w:val="0"/>
        <w:spacing w:before="0" w:after="280" w:line="240" w:lineRule="auto"/>
        <w:ind w:left="0" w:right="0" w:firstLine="0"/>
        <w:jc w:val="left"/>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2</w:t>
      </w:r>
      <w:bookmarkEnd w:id="81"/>
      <w:r>
        <w:rPr>
          <w:color w:val="000000"/>
          <w:spacing w:val="0"/>
          <w:w w:val="100"/>
          <w:position w:val="0"/>
        </w:rPr>
        <w:t>、主要境外资产情况</w:t>
      </w:r>
      <w:bookmarkEnd w:id="79"/>
      <w:bookmarkEnd w:id="80"/>
      <w:bookmarkEnd w:id="82"/>
    </w:p>
    <w:p>
      <w:pPr>
        <w:pStyle w:val="Style33"/>
        <w:keepNext w:val="0"/>
        <w:keepLines w:val="0"/>
        <w:widowControl w:val="0"/>
        <w:shd w:val="clear" w:color="auto" w:fill="auto"/>
        <w:bidi w:val="0"/>
        <w:spacing w:before="0" w:after="340" w:line="31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280" w:line="240" w:lineRule="auto"/>
        <w:ind w:left="0" w:right="0" w:firstLine="0"/>
        <w:jc w:val="left"/>
      </w:pPr>
      <w:bookmarkStart w:id="83" w:name="bookmark83"/>
      <w:bookmarkStart w:id="84" w:name="bookmark84"/>
      <w:bookmarkStart w:id="85" w:name="bookmark85"/>
      <w:bookmarkStart w:id="86" w:name="bookmark86"/>
      <w:r>
        <w:rPr>
          <w:color w:val="000000"/>
          <w:spacing w:val="0"/>
          <w:w w:val="100"/>
          <w:position w:val="0"/>
          <w:sz w:val="24"/>
          <w:szCs w:val="24"/>
        </w:rPr>
        <w:t>三</w:t>
      </w:r>
      <w:bookmarkEnd w:id="85"/>
      <w:r>
        <w:rPr>
          <w:color w:val="000000"/>
          <w:spacing w:val="0"/>
          <w:w w:val="100"/>
          <w:position w:val="0"/>
          <w:sz w:val="24"/>
          <w:szCs w:val="24"/>
        </w:rPr>
        <w:t>、核心竞争力分析</w:t>
      </w:r>
      <w:bookmarkEnd w:id="83"/>
      <w:bookmarkEnd w:id="84"/>
      <w:bookmarkEnd w:id="86"/>
    </w:p>
    <w:p>
      <w:pPr>
        <w:pStyle w:val="Style33"/>
        <w:keepNext w:val="0"/>
        <w:keepLines w:val="0"/>
        <w:widowControl w:val="0"/>
        <w:shd w:val="clear" w:color="auto" w:fill="auto"/>
        <w:bidi w:val="0"/>
        <w:spacing w:before="0" w:after="0" w:line="310" w:lineRule="exact"/>
        <w:ind w:left="0" w:right="0"/>
        <w:jc w:val="both"/>
      </w:pPr>
      <w:r>
        <w:rPr>
          <w:color w:val="000000"/>
          <w:spacing w:val="0"/>
          <w:w w:val="100"/>
          <w:position w:val="0"/>
        </w:rPr>
        <w:t>报告期内公司核心竞争力没有发生变化。</w:t>
      </w:r>
    </w:p>
    <w:p>
      <w:pPr>
        <w:pStyle w:val="Style33"/>
        <w:keepNext w:val="0"/>
        <w:keepLines w:val="0"/>
        <w:widowControl w:val="0"/>
        <w:shd w:val="clear" w:color="auto" w:fill="auto"/>
        <w:bidi w:val="0"/>
        <w:spacing w:before="0" w:after="0" w:line="310" w:lineRule="exact"/>
        <w:ind w:left="0" w:right="0"/>
        <w:jc w:val="both"/>
      </w:pPr>
      <w:r>
        <w:rPr>
          <w:color w:val="000000"/>
          <w:spacing w:val="0"/>
          <w:w w:val="100"/>
          <w:position w:val="0"/>
        </w:rPr>
        <w:t>公司互联网游戏业务的核心竞争力在于拥有经验丰富、勇于创新的互联网游戏行业团队和用户认知度高、活跃度高的自 有平台。控股子公司哆可梦下属研发团队的大部分专业人员曾任职于腾讯、盛大、完美世界、巨人等行业知名游戏制作公司， 核心负责人员从事游戏行业近</w:t>
      </w:r>
      <w:r>
        <w:rPr>
          <w:rFonts w:ascii="Times New Roman" w:eastAsia="Times New Roman" w:hAnsi="Times New Roman" w:cs="Times New Roman"/>
          <w:color w:val="000000"/>
          <w:spacing w:val="0"/>
          <w:w w:val="100"/>
          <w:position w:val="0"/>
        </w:rPr>
        <w:t>10</w:t>
      </w:r>
      <w:r>
        <w:rPr>
          <w:color w:val="000000"/>
          <w:spacing w:val="0"/>
          <w:w w:val="100"/>
          <w:position w:val="0"/>
        </w:rPr>
        <w:t>年，均有完整从事端游、页游和手机游戏制作的成功经验;发行团队专业人员曾任职于腾讯、 网易等知名游戏公司，核心负责人员具有</w:t>
      </w:r>
      <w:r>
        <w:rPr>
          <w:rFonts w:ascii="Times New Roman" w:eastAsia="Times New Roman" w:hAnsi="Times New Roman" w:cs="Times New Roman"/>
          <w:color w:val="000000"/>
          <w:spacing w:val="0"/>
          <w:w w:val="100"/>
          <w:position w:val="0"/>
        </w:rPr>
        <w:t>10</w:t>
      </w:r>
      <w:r>
        <w:rPr>
          <w:color w:val="000000"/>
          <w:spacing w:val="0"/>
          <w:w w:val="100"/>
          <w:position w:val="0"/>
        </w:rPr>
        <w:t>年以上游戏行业从业经验，均有完整从事端游、页游和手机游戏发行的成功经验。 同时哆可梦拥有面向国内市场的</w:t>
      </w:r>
      <w:r>
        <w:rPr>
          <w:rFonts w:ascii="Times New Roman" w:eastAsia="Times New Roman" w:hAnsi="Times New Roman" w:cs="Times New Roman"/>
          <w:color w:val="000000"/>
          <w:spacing w:val="0"/>
          <w:w w:val="100"/>
          <w:position w:val="0"/>
        </w:rPr>
        <w:t>9187.cn</w:t>
      </w:r>
      <w:r>
        <w:rPr>
          <w:color w:val="000000"/>
          <w:spacing w:val="0"/>
          <w:w w:val="100"/>
          <w:position w:val="0"/>
        </w:rPr>
        <w:t>、</w:t>
      </w:r>
      <w:r>
        <w:rPr>
          <w:color w:val="000000"/>
          <w:spacing w:val="0"/>
          <w:w w:val="100"/>
          <w:position w:val="0"/>
        </w:rPr>
        <w:t>面向全球市场的</w:t>
      </w:r>
      <w:r>
        <w:rPr>
          <w:rFonts w:ascii="Times New Roman" w:eastAsia="Times New Roman" w:hAnsi="Times New Roman" w:cs="Times New Roman"/>
          <w:color w:val="000000"/>
          <w:spacing w:val="0"/>
          <w:w w:val="100"/>
          <w:position w:val="0"/>
        </w:rPr>
        <w:t>Yahgame</w:t>
      </w:r>
      <w:r>
        <w:rPr>
          <w:color w:val="000000"/>
          <w:spacing w:val="0"/>
          <w:w w:val="100"/>
          <w:position w:val="0"/>
        </w:rPr>
        <w:t>游戏运营平台，</w:t>
      </w:r>
      <w:r>
        <w:rPr>
          <w:rFonts w:ascii="Times New Roman" w:eastAsia="Times New Roman" w:hAnsi="Times New Roman" w:cs="Times New Roman"/>
          <w:color w:val="000000"/>
          <w:spacing w:val="0"/>
          <w:w w:val="100"/>
          <w:position w:val="0"/>
        </w:rPr>
        <w:t>9187.cn</w:t>
      </w:r>
      <w:r>
        <w:rPr>
          <w:color w:val="000000"/>
          <w:spacing w:val="0"/>
          <w:w w:val="100"/>
          <w:position w:val="0"/>
        </w:rPr>
        <w:t>自</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年成立至今已跃居国内一 </w:t>
      </w:r>
      <w:r>
        <w:rPr>
          <w:color w:val="000000"/>
          <w:spacing w:val="0"/>
          <w:w w:val="100"/>
          <w:position w:val="0"/>
        </w:rPr>
        <w:t>线手游发行平台，其流量聚合能力、变现能力均处于国内同行领先地位，同期海外游戏运营平台</w:t>
      </w:r>
      <w:r>
        <w:rPr>
          <w:rFonts w:ascii="Times New Roman" w:eastAsia="Times New Roman" w:hAnsi="Times New Roman" w:cs="Times New Roman"/>
          <w:color w:val="000000"/>
          <w:spacing w:val="0"/>
          <w:w w:val="100"/>
          <w:position w:val="0"/>
        </w:rPr>
        <w:t>Yahgame</w:t>
      </w:r>
      <w:r>
        <w:rPr>
          <w:color w:val="000000"/>
          <w:spacing w:val="0"/>
          <w:w w:val="100"/>
          <w:position w:val="0"/>
        </w:rPr>
        <w:t>在海外也具有较高 的用户知名度和行业影响力。优秀的行业团队和自有平台结合哆可梦自主开发的可对所运营游戏进行实时数据监控的游戏 数据分析平台</w:t>
      </w:r>
      <w:r>
        <w:rPr>
          <w:rFonts w:ascii="Times New Roman" w:eastAsia="Times New Roman" w:hAnsi="Times New Roman" w:cs="Times New Roman"/>
          <w:color w:val="000000"/>
          <w:spacing w:val="0"/>
          <w:w w:val="100"/>
          <w:position w:val="0"/>
        </w:rPr>
        <w:t>GM Tool</w:t>
      </w:r>
      <w:r>
        <w:rPr>
          <w:color w:val="000000"/>
          <w:spacing w:val="0"/>
          <w:w w:val="100"/>
          <w:position w:val="0"/>
        </w:rPr>
        <w:t>，</w:t>
      </w:r>
      <w:r>
        <w:rPr>
          <w:color w:val="000000"/>
          <w:spacing w:val="0"/>
          <w:w w:val="100"/>
          <w:position w:val="0"/>
        </w:rPr>
        <w:t>通过优秀的数据分析能力实现精准市场投放，建立了以数据为基础、以用户行为为导向的精细化运 营体系，从而成功打造</w:t>
      </w:r>
      <w:r>
        <w:rPr>
          <w:rFonts w:ascii="Times New Roman" w:eastAsia="Times New Roman" w:hAnsi="Times New Roman" w:cs="Times New Roman"/>
          <w:color w:val="000000"/>
          <w:spacing w:val="0"/>
          <w:w w:val="100"/>
          <w:position w:val="0"/>
        </w:rPr>
        <w:t>“</w:t>
      </w:r>
      <w:r>
        <w:rPr>
          <w:color w:val="000000"/>
          <w:spacing w:val="0"/>
          <w:w w:val="100"/>
          <w:position w:val="0"/>
        </w:rPr>
        <w:t>自研为主、精品代理、精准流量运营</w:t>
      </w:r>
      <w:r>
        <w:rPr>
          <w:rFonts w:ascii="Times New Roman" w:eastAsia="Times New Roman" w:hAnsi="Times New Roman" w:cs="Times New Roman"/>
          <w:color w:val="000000"/>
          <w:spacing w:val="0"/>
          <w:w w:val="100"/>
          <w:position w:val="0"/>
        </w:rPr>
        <w:t>”</w:t>
      </w:r>
      <w:r>
        <w:rPr>
          <w:color w:val="000000"/>
          <w:spacing w:val="0"/>
          <w:w w:val="100"/>
          <w:position w:val="0"/>
        </w:rPr>
        <w:t>的立体发行模式。</w:t>
      </w:r>
    </w:p>
    <w:p>
      <w:pPr>
        <w:pStyle w:val="Style33"/>
        <w:keepNext w:val="0"/>
        <w:keepLines w:val="0"/>
        <w:widowControl w:val="0"/>
        <w:shd w:val="clear" w:color="auto" w:fill="auto"/>
        <w:bidi w:val="0"/>
        <w:spacing w:before="0" w:after="0" w:line="316" w:lineRule="exact"/>
        <w:ind w:left="0" w:right="0"/>
        <w:jc w:val="both"/>
      </w:pPr>
      <w:r>
        <w:rPr>
          <w:color w:val="000000"/>
          <w:spacing w:val="0"/>
          <w:w w:val="100"/>
          <w:position w:val="0"/>
        </w:rPr>
        <w:t>公司电气业务的核心竞争力在于拥有配电设备行业</w:t>
      </w:r>
      <w:r>
        <w:rPr>
          <w:rFonts w:ascii="Times New Roman" w:eastAsia="Times New Roman" w:hAnsi="Times New Roman" w:cs="Times New Roman"/>
          <w:color w:val="000000"/>
          <w:spacing w:val="0"/>
          <w:w w:val="100"/>
          <w:position w:val="0"/>
        </w:rPr>
        <w:t>20</w:t>
      </w:r>
      <w:r>
        <w:rPr>
          <w:color w:val="000000"/>
          <w:spacing w:val="0"/>
          <w:w w:val="100"/>
          <w:position w:val="0"/>
        </w:rPr>
        <w:t>年的产品、技术及市场沉淀，具备配网全套产品制造能力，具备金 融、供应商、渠道商等转型所需的平台整合能力，具备营销、制造、研发、客户、管理团队等完整的人才体系。在聚焦公司 传统电力业务之外，公司积极与清华大学、华北电力大学、华中科技大学等科研单位开展深入交流与合作，不断提升自身持 续创新能力，主动向智能电网和高端智能技术、产品和制造领域拓展和转型。此外，公司还与重庆市璧山区政府、国网信通 产业集团及其旗下的国网信通达成了战略合作，已成功布局智慧充电桩等高新技术领域。</w:t>
      </w:r>
    </w:p>
    <w:p>
      <w:pPr>
        <w:pStyle w:val="Style33"/>
        <w:keepNext w:val="0"/>
        <w:keepLines w:val="0"/>
        <w:widowControl w:val="0"/>
        <w:shd w:val="clear" w:color="auto" w:fill="auto"/>
        <w:bidi w:val="0"/>
        <w:spacing w:before="0" w:after="0" w:line="314" w:lineRule="exact"/>
        <w:ind w:left="0" w:right="0"/>
        <w:jc w:val="both"/>
        <w:sectPr>
          <w:footnotePr>
            <w:pos w:val="pageBottom"/>
            <w:numFmt w:val="decimal"/>
            <w:numRestart w:val="continuous"/>
          </w:footnotePr>
          <w:pgSz w:w="11900" w:h="16840"/>
          <w:pgMar w:top="1383" w:right="1045" w:bottom="1441" w:left="1082" w:header="0" w:footer="3" w:gutter="0"/>
          <w:cols w:space="720"/>
          <w:noEndnote/>
          <w:rtlGutter w:val="0"/>
          <w:docGrid w:linePitch="360"/>
        </w:sectPr>
      </w:pPr>
      <w:r>
        <w:rPr>
          <w:color w:val="000000"/>
          <w:spacing w:val="0"/>
          <w:w w:val="100"/>
          <w:position w:val="0"/>
        </w:rPr>
        <w:t>此外，公司拥有完善的管理体系和专业的管理团队。公司以精益生产为目标不断完善内部管理体系，提升内部运营效率、 减少浪费并严格控制经营费用；公司专业管理团队在把握行业发展趋势、严控产品质量、提高精细化管理水平、形成企业凝 聚力方面积累了丰富的经验和较高的管理能力，有力地推动了公司产品和服务的升级及业务领域的拓展。</w:t>
      </w:r>
    </w:p>
    <w:p>
      <w:pPr>
        <w:pStyle w:val="Style18"/>
        <w:keepNext/>
        <w:keepLines/>
        <w:widowControl w:val="0"/>
        <w:shd w:val="clear" w:color="auto" w:fill="auto"/>
        <w:bidi w:val="0"/>
        <w:spacing w:before="600" w:line="240" w:lineRule="auto"/>
        <w:ind w:left="0" w:right="0" w:firstLine="0"/>
        <w:jc w:val="center"/>
      </w:pPr>
      <w:bookmarkStart w:id="87" w:name="bookmark87"/>
      <w:bookmarkStart w:id="88" w:name="bookmark88"/>
      <w:bookmarkStart w:id="89" w:name="bookmark89"/>
      <w:r>
        <w:rPr>
          <w:color w:val="000000"/>
          <w:spacing w:val="0"/>
          <w:w w:val="100"/>
          <w:position w:val="0"/>
        </w:rPr>
        <w:t>第四节经营情况讨论与分析</w:t>
      </w:r>
      <w:bookmarkEnd w:id="87"/>
      <w:bookmarkEnd w:id="88"/>
      <w:bookmarkEnd w:id="89"/>
    </w:p>
    <w:p>
      <w:pPr>
        <w:pStyle w:val="Style29"/>
        <w:keepNext/>
        <w:keepLines/>
        <w:widowControl w:val="0"/>
        <w:shd w:val="clear" w:color="auto" w:fill="auto"/>
        <w:bidi w:val="0"/>
        <w:spacing w:before="0" w:after="260" w:line="240" w:lineRule="auto"/>
        <w:ind w:left="0" w:right="0" w:firstLine="0"/>
        <w:jc w:val="left"/>
      </w:pPr>
      <w:bookmarkStart w:id="90" w:name="bookmark90"/>
      <w:bookmarkStart w:id="91" w:name="bookmark91"/>
      <w:bookmarkStart w:id="92" w:name="bookmark92"/>
      <w:bookmarkStart w:id="93" w:name="bookmark93"/>
      <w:bookmarkStart w:id="94" w:name="bookmark94"/>
      <w:r>
        <w:rPr>
          <w:color w:val="000000"/>
          <w:spacing w:val="0"/>
          <w:w w:val="100"/>
          <w:position w:val="0"/>
          <w:sz w:val="24"/>
          <w:szCs w:val="24"/>
        </w:rPr>
        <w:t>一</w:t>
      </w:r>
      <w:bookmarkEnd w:id="93"/>
      <w:r>
        <w:rPr>
          <w:color w:val="000000"/>
          <w:spacing w:val="0"/>
          <w:w w:val="100"/>
          <w:position w:val="0"/>
          <w:sz w:val="24"/>
          <w:szCs w:val="24"/>
        </w:rPr>
        <w:t>、概述</w:t>
      </w:r>
      <w:bookmarkEnd w:id="91"/>
      <w:bookmarkEnd w:id="92"/>
      <w:bookmarkEnd w:id="94"/>
      <w:bookmarkEnd w:id="90"/>
    </w:p>
    <w:p>
      <w:pPr>
        <w:pStyle w:val="Style33"/>
        <w:keepNext w:val="0"/>
        <w:keepLines w:val="0"/>
        <w:widowControl w:val="0"/>
        <w:shd w:val="clear" w:color="auto" w:fill="auto"/>
        <w:bidi w:val="0"/>
        <w:spacing w:before="0" w:after="0" w:line="310" w:lineRule="exact"/>
        <w:ind w:left="0" w:right="0"/>
        <w:jc w:val="both"/>
      </w:pPr>
      <w:r>
        <w:rPr>
          <w:color w:val="000000"/>
          <w:spacing w:val="0"/>
          <w:w w:val="100"/>
          <w:position w:val="0"/>
        </w:rPr>
        <w:t>报告期内公司注重高端智能制造和互联网游戏两大主营业务板块的进一步深化发展，积极探索借助投资业务助力两大 业务板块延伸发展并完善产业链条的发展道路，夯实双轮业绩驱动的产业基础</w:t>
      </w:r>
      <w:r>
        <w:rPr>
          <w:color w:val="000000"/>
          <w:spacing w:val="0"/>
          <w:w w:val="100"/>
          <w:position w:val="0"/>
          <w:sz w:val="22"/>
          <w:szCs w:val="22"/>
        </w:rPr>
        <w:t xml:space="preserve">o </w:t>
      </w:r>
      <w:r>
        <w:rPr>
          <w:rFonts w:ascii="Times New Roman" w:eastAsia="Times New Roman" w:hAnsi="Times New Roman" w:cs="Times New Roman"/>
          <w:color w:val="000000"/>
          <w:spacing w:val="0"/>
          <w:w w:val="100"/>
          <w:position w:val="0"/>
        </w:rPr>
        <w:t>2020</w:t>
      </w:r>
      <w:r>
        <w:rPr>
          <w:color w:val="000000"/>
          <w:spacing w:val="0"/>
          <w:w w:val="100"/>
          <w:position w:val="0"/>
        </w:rPr>
        <w:t>年公司实现营业收入</w:t>
      </w:r>
      <w:r>
        <w:rPr>
          <w:rFonts w:ascii="Times New Roman" w:eastAsia="Times New Roman" w:hAnsi="Times New Roman" w:cs="Times New Roman"/>
          <w:color w:val="000000"/>
          <w:spacing w:val="0"/>
          <w:w w:val="100"/>
          <w:position w:val="0"/>
        </w:rPr>
        <w:t>78,500.89</w:t>
      </w:r>
      <w:r>
        <w:rPr>
          <w:color w:val="000000"/>
          <w:spacing w:val="0"/>
          <w:w w:val="100"/>
          <w:position w:val="0"/>
        </w:rPr>
        <w:t>万元，报 告期公司亏损的主要原因是计提了控股子公司哆可梦商誉减值准备所致。报告期内公司经营活动产生的现金流量净额为</w:t>
      </w:r>
      <w:r>
        <w:rPr>
          <w:rFonts w:ascii="Times New Roman" w:eastAsia="Times New Roman" w:hAnsi="Times New Roman" w:cs="Times New Roman"/>
          <w:color w:val="000000"/>
          <w:spacing w:val="0"/>
          <w:w w:val="100"/>
          <w:position w:val="0"/>
        </w:rPr>
        <w:t xml:space="preserve">1.27 </w:t>
      </w:r>
      <w:r>
        <w:rPr>
          <w:color w:val="000000"/>
          <w:spacing w:val="0"/>
          <w:w w:val="100"/>
          <w:position w:val="0"/>
        </w:rPr>
        <w:t>亿元，相较去年的</w:t>
      </w:r>
      <w:r>
        <w:rPr>
          <w:rFonts w:ascii="Times New Roman" w:eastAsia="Times New Roman" w:hAnsi="Times New Roman" w:cs="Times New Roman"/>
          <w:color w:val="000000"/>
          <w:spacing w:val="0"/>
          <w:w w:val="100"/>
          <w:position w:val="0"/>
        </w:rPr>
        <w:t>-3.78</w:t>
      </w:r>
      <w:r>
        <w:rPr>
          <w:color w:val="000000"/>
          <w:spacing w:val="0"/>
          <w:w w:val="100"/>
          <w:position w:val="0"/>
        </w:rPr>
        <w:t>亿元，同比增长</w:t>
      </w:r>
      <w:r>
        <w:rPr>
          <w:rFonts w:ascii="Times New Roman" w:eastAsia="Times New Roman" w:hAnsi="Times New Roman" w:cs="Times New Roman"/>
          <w:color w:val="000000"/>
          <w:spacing w:val="0"/>
          <w:w w:val="100"/>
          <w:position w:val="0"/>
        </w:rPr>
        <w:t>133.58%</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造血功能</w:t>
      </w:r>
      <w:r>
        <w:rPr>
          <w:rFonts w:ascii="Times New Roman" w:eastAsia="Times New Roman" w:hAnsi="Times New Roman" w:cs="Times New Roman"/>
          <w:color w:val="000000"/>
          <w:spacing w:val="0"/>
          <w:w w:val="100"/>
          <w:position w:val="0"/>
        </w:rPr>
        <w:t>”</w:t>
      </w:r>
      <w:r>
        <w:rPr>
          <w:color w:val="000000"/>
          <w:spacing w:val="0"/>
          <w:w w:val="100"/>
          <w:position w:val="0"/>
        </w:rPr>
        <w:t>不断增强。</w:t>
      </w:r>
    </w:p>
    <w:p>
      <w:pPr>
        <w:pStyle w:val="Style33"/>
        <w:keepNext w:val="0"/>
        <w:keepLines w:val="0"/>
        <w:widowControl w:val="0"/>
        <w:shd w:val="clear" w:color="auto" w:fill="auto"/>
        <w:tabs>
          <w:tab w:pos="801" w:val="left"/>
        </w:tabs>
        <w:bidi w:val="0"/>
        <w:spacing w:before="0" w:after="0" w:line="312" w:lineRule="exact"/>
        <w:ind w:left="0" w:right="0" w:firstLine="320"/>
        <w:jc w:val="both"/>
      </w:pPr>
      <w:bookmarkStart w:id="95" w:name="bookmark95"/>
      <w:r>
        <w:rPr>
          <w:b/>
          <w:bCs/>
          <w:color w:val="000000"/>
          <w:spacing w:val="0"/>
          <w:w w:val="100"/>
          <w:position w:val="0"/>
        </w:rPr>
        <w:t>（</w:t>
      </w:r>
      <w:bookmarkEnd w:id="95"/>
      <w:r>
        <w:rPr>
          <w:b/>
          <w:bCs/>
          <w:color w:val="000000"/>
          <w:spacing w:val="0"/>
          <w:w w:val="100"/>
          <w:position w:val="0"/>
        </w:rPr>
        <w:t>一）</w:t>
        <w:tab/>
        <w:t>顺应游戏行业转型趋势，率先推出哆可梦云游戏平台</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报告期内，国内游戏行业新增用户继续保持低位增长，行业监管制度逐步规范，过去依靠用户红利</w:t>
      </w:r>
      <w:r>
        <w:rPr>
          <w:rFonts w:ascii="Times New Roman" w:eastAsia="Times New Roman" w:hAnsi="Times New Roman" w:cs="Times New Roman"/>
          <w:color w:val="000000"/>
          <w:spacing w:val="0"/>
          <w:w w:val="100"/>
          <w:position w:val="0"/>
        </w:rPr>
        <w:t>“</w:t>
      </w:r>
      <w:r>
        <w:rPr>
          <w:color w:val="000000"/>
          <w:spacing w:val="0"/>
          <w:w w:val="100"/>
          <w:position w:val="0"/>
        </w:rPr>
        <w:t>野蛮生长</w:t>
      </w:r>
      <w:r>
        <w:rPr>
          <w:rFonts w:ascii="Times New Roman" w:eastAsia="Times New Roman" w:hAnsi="Times New Roman" w:cs="Times New Roman"/>
          <w:color w:val="000000"/>
          <w:spacing w:val="0"/>
          <w:w w:val="100"/>
          <w:position w:val="0"/>
        </w:rPr>
        <w:t>”</w:t>
      </w:r>
      <w:r>
        <w:rPr>
          <w:color w:val="000000"/>
          <w:spacing w:val="0"/>
          <w:w w:val="100"/>
          <w:position w:val="0"/>
        </w:rPr>
        <w:t>的模式已 成为历史。同时在版号政策影响下，市场第三方优质联运游戏越发稀缺，</w:t>
      </w:r>
      <w:r>
        <w:rPr>
          <w:rFonts w:ascii="Times New Roman" w:eastAsia="Times New Roman" w:hAnsi="Times New Roman" w:cs="Times New Roman"/>
          <w:color w:val="000000"/>
          <w:spacing w:val="0"/>
          <w:w w:val="100"/>
          <w:position w:val="0"/>
        </w:rPr>
        <w:t>“</w:t>
      </w:r>
      <w:r>
        <w:rPr>
          <w:color w:val="000000"/>
          <w:spacing w:val="0"/>
          <w:w w:val="100"/>
          <w:position w:val="0"/>
        </w:rPr>
        <w:t>产品荒</w:t>
      </w:r>
      <w:r>
        <w:rPr>
          <w:rFonts w:ascii="Times New Roman" w:eastAsia="Times New Roman" w:hAnsi="Times New Roman" w:cs="Times New Roman"/>
          <w:color w:val="000000"/>
          <w:spacing w:val="0"/>
          <w:w w:val="100"/>
          <w:position w:val="0"/>
        </w:rPr>
        <w:t>”</w:t>
      </w:r>
      <w:r>
        <w:rPr>
          <w:color w:val="000000"/>
          <w:spacing w:val="0"/>
          <w:w w:val="100"/>
          <w:position w:val="0"/>
        </w:rPr>
        <w:t>已成为中小游戏发行企业发展面临的最大 困境。在此背景下，依靠多年来在自研及定制独代游戏的长期谋划布局，公司控股子公司哆可梦依靠强大的流量组织能力、 分发能力、产品差异化能力，持续推进业务不断向产品精品化及流量运营精细化发展。哆可梦</w:t>
      </w:r>
      <w:r>
        <w:rPr>
          <w:rFonts w:ascii="Times New Roman" w:eastAsia="Times New Roman" w:hAnsi="Times New Roman" w:cs="Times New Roman"/>
          <w:color w:val="000000"/>
          <w:spacing w:val="0"/>
          <w:w w:val="100"/>
          <w:position w:val="0"/>
        </w:rPr>
        <w:t>2020</w:t>
      </w:r>
      <w:r>
        <w:rPr>
          <w:color w:val="000000"/>
          <w:spacing w:val="0"/>
          <w:w w:val="100"/>
          <w:position w:val="0"/>
        </w:rPr>
        <w:t>年已推出《刀剑情缘》《古 剑飞仙》《极限逃亡》等游戏；暗黑异界魔幻</w:t>
      </w:r>
      <w:r>
        <w:rPr>
          <w:rFonts w:ascii="Times New Roman" w:eastAsia="Times New Roman" w:hAnsi="Times New Roman" w:cs="Times New Roman"/>
          <w:color w:val="000000"/>
          <w:spacing w:val="0"/>
          <w:w w:val="100"/>
          <w:position w:val="0"/>
        </w:rPr>
        <w:t>RPG</w:t>
      </w:r>
      <w:r>
        <w:rPr>
          <w:color w:val="000000"/>
          <w:spacing w:val="0"/>
          <w:w w:val="100"/>
          <w:position w:val="0"/>
        </w:rPr>
        <w:t>《天堂之光》、大型英雄史诗</w:t>
      </w:r>
      <w:r>
        <w:rPr>
          <w:rFonts w:ascii="Times New Roman" w:eastAsia="Times New Roman" w:hAnsi="Times New Roman" w:cs="Times New Roman"/>
          <w:color w:val="000000"/>
          <w:spacing w:val="0"/>
          <w:w w:val="100"/>
          <w:position w:val="0"/>
        </w:rPr>
        <w:t>SLG</w:t>
      </w:r>
      <w:r>
        <w:rPr>
          <w:color w:val="000000"/>
          <w:spacing w:val="0"/>
          <w:w w:val="100"/>
          <w:position w:val="0"/>
        </w:rPr>
        <w:t>《荣耀大陆》目前正在进行商业化测试， 上述两款游戏都已获得版号。报告期内，哆可梦已获得数款版号，新游戏储备充足。</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此外，随着</w:t>
      </w:r>
      <w:r>
        <w:rPr>
          <w:rFonts w:ascii="Times New Roman" w:eastAsia="Times New Roman" w:hAnsi="Times New Roman" w:cs="Times New Roman"/>
          <w:color w:val="000000"/>
          <w:spacing w:val="0"/>
          <w:w w:val="100"/>
          <w:position w:val="0"/>
        </w:rPr>
        <w:t>5G</w:t>
      </w:r>
      <w:r>
        <w:rPr>
          <w:color w:val="000000"/>
          <w:spacing w:val="0"/>
          <w:w w:val="100"/>
          <w:position w:val="0"/>
        </w:rPr>
        <w:t>网络的逐渐铺开，哆可梦也对此进行了相应的布局，报告期内发布了自有云游戏平台一</w:t>
      </w:r>
      <w:r>
        <w:rPr>
          <w:rFonts w:ascii="Times New Roman" w:eastAsia="Times New Roman" w:hAnsi="Times New Roman" w:cs="Times New Roman"/>
          <w:color w:val="000000"/>
          <w:spacing w:val="0"/>
          <w:w w:val="100"/>
          <w:position w:val="0"/>
        </w:rPr>
        <w:t>“</w:t>
      </w:r>
      <w:r>
        <w:rPr>
          <w:color w:val="000000"/>
          <w:spacing w:val="0"/>
          <w:w w:val="100"/>
          <w:position w:val="0"/>
        </w:rPr>
        <w:t>哆可梦云游戏 平台哆可梦发展云游戏平台已具备一定优势：首先，哆可梦已有自有游戏平台，在发行和平台运营上已具备相当多的经 验，转云只需在技术层面上进行升级，提高了运营效率和用户体验；其次，云游戏时代的渠道价值将可能降低，研发能力将 被提升到前所未有的高度。哆可梦高度重视研发，拥有多个曾在头部游戏企业研发成功经验的团队，加大了对自研游戏产品 的版本优化和测试力度以及对代理游戏产品的精细化筛选程度，充分调研市场并利用大数据敏锐把握用户需求变化，进一步 提升云游戏产品品质。</w:t>
      </w:r>
    </w:p>
    <w:p>
      <w:pPr>
        <w:pStyle w:val="Style33"/>
        <w:keepNext w:val="0"/>
        <w:keepLines w:val="0"/>
        <w:widowControl w:val="0"/>
        <w:shd w:val="clear" w:color="auto" w:fill="auto"/>
        <w:tabs>
          <w:tab w:pos="861" w:val="left"/>
        </w:tabs>
        <w:bidi w:val="0"/>
        <w:spacing w:before="0" w:after="0" w:line="312" w:lineRule="exact"/>
        <w:ind w:left="0" w:right="0"/>
        <w:jc w:val="both"/>
      </w:pPr>
      <w:bookmarkStart w:id="96" w:name="bookmark96"/>
      <w:r>
        <w:rPr>
          <w:b/>
          <w:bCs/>
          <w:color w:val="000000"/>
          <w:spacing w:val="0"/>
          <w:w w:val="100"/>
          <w:position w:val="0"/>
        </w:rPr>
        <w:t>（</w:t>
      </w:r>
      <w:bookmarkEnd w:id="96"/>
      <w:r>
        <w:rPr>
          <w:b/>
          <w:bCs/>
          <w:color w:val="000000"/>
          <w:spacing w:val="0"/>
          <w:w w:val="100"/>
          <w:position w:val="0"/>
        </w:rPr>
        <w:t>二）</w:t>
        <w:tab/>
        <w:t>推进基础业务优化升级，深耕高端智能制造领域</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报告期内公司持续推进原有的电气设备业务在以新型高分子电气绝缘材料技术为特色核心优势的基础上发展，加大对 配电设备一二次融合</w:t>
      </w:r>
      <w:r>
        <w:rPr>
          <w:rFonts w:ascii="Times New Roman" w:eastAsia="Times New Roman" w:hAnsi="Times New Roman" w:cs="Times New Roman"/>
          <w:color w:val="000000"/>
          <w:spacing w:val="0"/>
          <w:w w:val="100"/>
          <w:position w:val="0"/>
        </w:rPr>
        <w:t>/</w:t>
      </w:r>
      <w:r>
        <w:rPr>
          <w:color w:val="000000"/>
          <w:spacing w:val="0"/>
          <w:w w:val="100"/>
          <w:position w:val="0"/>
        </w:rPr>
        <w:t>智能成套产品的研发力度，继续借助</w:t>
      </w:r>
      <w:r>
        <w:rPr>
          <w:rFonts w:ascii="Times New Roman" w:eastAsia="Times New Roman" w:hAnsi="Times New Roman" w:cs="Times New Roman"/>
          <w:color w:val="000000"/>
          <w:spacing w:val="0"/>
          <w:w w:val="100"/>
          <w:position w:val="0"/>
        </w:rPr>
        <w:t>20</w:t>
      </w:r>
      <w:r>
        <w:rPr>
          <w:color w:val="000000"/>
          <w:spacing w:val="0"/>
          <w:w w:val="100"/>
          <w:position w:val="0"/>
        </w:rPr>
        <w:t xml:space="preserve">年电气行业的深厚技术和客户资源，抓住电气设备智能化和信 息化的电力物联网创新发展机遇，夯实电气业务基础并实现向高端智能制造领域的战略转型。在充电桩领域，公司发布了以 </w:t>
      </w:r>
      <w:r>
        <w:rPr>
          <w:rFonts w:ascii="Times New Roman" w:eastAsia="Times New Roman" w:hAnsi="Times New Roman" w:cs="Times New Roman"/>
          <w:color w:val="000000"/>
          <w:spacing w:val="0"/>
          <w:w w:val="100"/>
          <w:position w:val="0"/>
        </w:rPr>
        <w:t>“</w:t>
      </w:r>
      <w:r>
        <w:rPr>
          <w:color w:val="000000"/>
          <w:spacing w:val="0"/>
          <w:w w:val="100"/>
          <w:position w:val="0"/>
        </w:rPr>
        <w:t>超级直流智能充电桩</w:t>
      </w:r>
      <w:r>
        <w:rPr>
          <w:rFonts w:ascii="Times New Roman" w:eastAsia="Times New Roman" w:hAnsi="Times New Roman" w:cs="Times New Roman"/>
          <w:color w:val="000000"/>
          <w:spacing w:val="0"/>
          <w:w w:val="100"/>
          <w:position w:val="0"/>
        </w:rPr>
        <w:t>”</w:t>
      </w:r>
      <w:r>
        <w:rPr>
          <w:color w:val="000000"/>
          <w:spacing w:val="0"/>
          <w:w w:val="100"/>
          <w:position w:val="0"/>
        </w:rPr>
        <w:t>为主打产品的场站级</w:t>
      </w:r>
      <w:r>
        <w:rPr>
          <w:rFonts w:ascii="Times New Roman" w:eastAsia="Times New Roman" w:hAnsi="Times New Roman" w:cs="Times New Roman"/>
          <w:color w:val="000000"/>
          <w:spacing w:val="0"/>
          <w:w w:val="100"/>
          <w:position w:val="0"/>
        </w:rPr>
        <w:t>“</w:t>
      </w:r>
      <w:r>
        <w:rPr>
          <w:color w:val="000000"/>
          <w:spacing w:val="0"/>
          <w:w w:val="100"/>
          <w:position w:val="0"/>
        </w:rPr>
        <w:t>智慧商业高速快充解决方案</w:t>
      </w:r>
      <w:r>
        <w:rPr>
          <w:rFonts w:ascii="Times New Roman" w:eastAsia="Times New Roman" w:hAnsi="Times New Roman" w:cs="Times New Roman"/>
          <w:color w:val="000000"/>
          <w:spacing w:val="0"/>
          <w:w w:val="100"/>
          <w:position w:val="0"/>
        </w:rPr>
        <w:t>”</w:t>
      </w:r>
      <w:r>
        <w:rPr>
          <w:color w:val="000000"/>
          <w:spacing w:val="0"/>
          <w:w w:val="100"/>
          <w:position w:val="0"/>
        </w:rPr>
        <w:t xml:space="preserve">，瞄准城镇绿色物流快充领域进行战略布局，目前 已和国网信通产业集团签订了战略合作协议，并与中电启明星等共同投资设立专注于城市绿色物流的充换电综合服务场站 </w:t>
      </w:r>
      <w:r>
        <w:rPr>
          <w:color w:val="000000"/>
          <w:spacing w:val="0"/>
          <w:w w:val="100"/>
          <w:position w:val="0"/>
        </w:rPr>
        <w:t>—</w:t>
      </w:r>
      <w:r>
        <w:rPr>
          <w:color w:val="000000"/>
          <w:spacing w:val="0"/>
          <w:w w:val="100"/>
          <w:position w:val="0"/>
        </w:rPr>
        <w:t>思极星能。思极星能的经营宗旨为：着力发展绿色、智慧的物流生态，建设新能源运营服务中心、线上服务平台、充换 电综合服务场站，围绕</w:t>
      </w:r>
      <w:r>
        <w:rPr>
          <w:rFonts w:ascii="Times New Roman" w:eastAsia="Times New Roman" w:hAnsi="Times New Roman" w:cs="Times New Roman"/>
          <w:color w:val="000000"/>
          <w:spacing w:val="0"/>
          <w:w w:val="100"/>
          <w:position w:val="0"/>
        </w:rPr>
        <w:t>“</w:t>
      </w:r>
      <w:r>
        <w:rPr>
          <w:color w:val="000000"/>
          <w:spacing w:val="0"/>
          <w:w w:val="100"/>
          <w:position w:val="0"/>
        </w:rPr>
        <w:t>人、车、桩、货、站</w:t>
      </w:r>
      <w:r>
        <w:rPr>
          <w:rFonts w:ascii="Times New Roman" w:eastAsia="Times New Roman" w:hAnsi="Times New Roman" w:cs="Times New Roman"/>
          <w:color w:val="000000"/>
          <w:spacing w:val="0"/>
          <w:w w:val="100"/>
          <w:position w:val="0"/>
        </w:rPr>
        <w:t>”</w:t>
      </w:r>
      <w:r>
        <w:rPr>
          <w:color w:val="000000"/>
          <w:spacing w:val="0"/>
          <w:w w:val="100"/>
          <w:position w:val="0"/>
        </w:rPr>
        <w:t>打造现代智慧物流服务体系</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月，公司还与重庆市璧山区政府签署了 合作协议，拟以不超过</w:t>
      </w:r>
      <w:r>
        <w:rPr>
          <w:rFonts w:ascii="Times New Roman" w:eastAsia="Times New Roman" w:hAnsi="Times New Roman" w:cs="Times New Roman"/>
          <w:color w:val="000000"/>
          <w:spacing w:val="0"/>
          <w:w w:val="100"/>
          <w:position w:val="0"/>
        </w:rPr>
        <w:t>3</w:t>
      </w:r>
      <w:r>
        <w:rPr>
          <w:color w:val="000000"/>
          <w:spacing w:val="0"/>
          <w:w w:val="100"/>
          <w:position w:val="0"/>
        </w:rPr>
        <w:t>亿元在重庆市璧山区建设高速智能充电桩项目。</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同时，公司加大对智能制造机器人的生产研发力度，报告期内公司继续深化与真机智能在智能小型移动机器人生产商业 化的合作，不仅成功在深圳惠程科技工业园开辟了真机无人配送机器人的生产线，实现了小规模量产；还结合当下疫情防控 及</w:t>
      </w:r>
      <w:r>
        <w:rPr>
          <w:rFonts w:ascii="Times New Roman" w:eastAsia="Times New Roman" w:hAnsi="Times New Roman" w:cs="Times New Roman"/>
          <w:color w:val="000000"/>
          <w:spacing w:val="0"/>
          <w:w w:val="100"/>
          <w:position w:val="0"/>
        </w:rPr>
        <w:t>“</w:t>
      </w:r>
      <w:r>
        <w:rPr>
          <w:color w:val="000000"/>
          <w:spacing w:val="0"/>
          <w:w w:val="100"/>
          <w:position w:val="0"/>
        </w:rPr>
        <w:t>后疫情</w:t>
      </w:r>
      <w:r>
        <w:rPr>
          <w:rFonts w:ascii="Times New Roman" w:eastAsia="Times New Roman" w:hAnsi="Times New Roman" w:cs="Times New Roman"/>
          <w:color w:val="000000"/>
          <w:spacing w:val="0"/>
          <w:w w:val="100"/>
          <w:position w:val="0"/>
        </w:rPr>
        <w:t>”</w:t>
      </w:r>
      <w:r>
        <w:rPr>
          <w:color w:val="000000"/>
          <w:spacing w:val="0"/>
          <w:w w:val="100"/>
          <w:position w:val="0"/>
        </w:rPr>
        <w:t>时代的需求，开发消毒、测温机器人等多场景机器人，培育新的利润增长点。目前由公司生产制造的真机智能无 人配送机器人已出口海内外多家知名企业，在封闭园区、高端小区及便利店到用户等多个应用场景实现了更高的投入产出 比，充分展现了公司在高端智能制造上的突破与实力。</w:t>
      </w:r>
    </w:p>
    <w:p>
      <w:pPr>
        <w:pStyle w:val="Style33"/>
        <w:keepNext w:val="0"/>
        <w:keepLines w:val="0"/>
        <w:widowControl w:val="0"/>
        <w:shd w:val="clear" w:color="auto" w:fill="auto"/>
        <w:bidi w:val="0"/>
        <w:spacing w:before="0" w:after="0" w:line="312" w:lineRule="exact"/>
        <w:ind w:left="0" w:right="0" w:firstLine="320"/>
        <w:jc w:val="both"/>
      </w:pPr>
      <w:bookmarkStart w:id="97" w:name="bookmark97"/>
      <w:r>
        <w:rPr>
          <w:b/>
          <w:bCs/>
          <w:color w:val="000000"/>
          <w:spacing w:val="0"/>
          <w:w w:val="100"/>
          <w:position w:val="0"/>
        </w:rPr>
        <w:t>（</w:t>
      </w:r>
      <w:bookmarkEnd w:id="97"/>
      <w:r>
        <w:rPr>
          <w:b/>
          <w:bCs/>
          <w:color w:val="000000"/>
          <w:spacing w:val="0"/>
          <w:w w:val="100"/>
          <w:position w:val="0"/>
        </w:rPr>
        <w:t>三）重视疫情防控工作，保障全体员工健康，保障安全复工复产</w:t>
      </w:r>
    </w:p>
    <w:p>
      <w:pPr>
        <w:pStyle w:val="Style33"/>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年初，突如其来的疫情，对全民的身体健康和生命安全造成了严重威胁，扰乱了正常的生产和生活秩序。面对疫情 蔓延，公司高度重视疫情防控工作，在公司领导的部署下，公司在春节休假期间即成立了以董事长</w:t>
      </w:r>
      <w:r>
        <w:rPr>
          <w:rFonts w:ascii="Times New Roman" w:eastAsia="Times New Roman" w:hAnsi="Times New Roman" w:cs="Times New Roman"/>
          <w:color w:val="000000"/>
          <w:spacing w:val="0"/>
          <w:w w:val="100"/>
          <w:position w:val="0"/>
        </w:rPr>
        <w:t>/</w:t>
      </w:r>
      <w:r>
        <w:rPr>
          <w:color w:val="000000"/>
          <w:spacing w:val="0"/>
          <w:w w:val="100"/>
          <w:position w:val="0"/>
        </w:rPr>
        <w:t>总裁为组长的疫情防控 领导小组和以各事业部</w:t>
      </w:r>
      <w:r>
        <w:rPr>
          <w:rFonts w:ascii="Times New Roman" w:eastAsia="Times New Roman" w:hAnsi="Times New Roman" w:cs="Times New Roman"/>
          <w:color w:val="000000"/>
          <w:spacing w:val="0"/>
          <w:w w:val="100"/>
          <w:position w:val="0"/>
        </w:rPr>
        <w:t>/</w:t>
      </w:r>
      <w:r>
        <w:rPr>
          <w:color w:val="000000"/>
          <w:spacing w:val="0"/>
          <w:w w:val="100"/>
          <w:position w:val="0"/>
        </w:rPr>
        <w:t>办事处负责人为组长的工作小组，负责疫情期间防控工作的信息收集上报、资源调配、落实防控措 施等工作。截至本报告披露日，公司全体员工在疫情期间零感染，复工复产进度也位列行业前列，公司疫情防控工作为平稳 经营和有序生产提供了安全保障。</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疫情期间，公司全力配合政府的疫情防控工作，勇于担当上市公司的社会责任。为保障疫情期间可靠供电，公司电气事 </w:t>
      </w:r>
      <w:r>
        <w:rPr>
          <w:color w:val="000000"/>
          <w:spacing w:val="0"/>
          <w:w w:val="100"/>
          <w:position w:val="0"/>
        </w:rPr>
        <w:t>业部各部门联动形成应急工作小组，制定了完善的紧急抢修预案，确保在接到各地疫情防控重点单位的用电需求后，第一时 间赶到现场提供产品、技术服务支持，设备安装和调试员工更是奔波在防控一线，保障疫情防控工作的顺利展开。春节期间 在中山版</w:t>
      </w:r>
      <w:r>
        <w:rPr>
          <w:rFonts w:ascii="Times New Roman" w:eastAsia="Times New Roman" w:hAnsi="Times New Roman" w:cs="Times New Roman"/>
          <w:color w:val="000000"/>
          <w:spacing w:val="0"/>
          <w:w w:val="100"/>
          <w:position w:val="0"/>
        </w:rPr>
        <w:t>“</w:t>
      </w:r>
      <w:r>
        <w:rPr>
          <w:color w:val="000000"/>
          <w:spacing w:val="0"/>
          <w:w w:val="100"/>
          <w:position w:val="0"/>
        </w:rPr>
        <w:t>火神山</w:t>
      </w:r>
      <w:r>
        <w:rPr>
          <w:color w:val="000000"/>
          <w:spacing w:val="0"/>
          <w:w w:val="100"/>
          <w:position w:val="0"/>
        </w:rPr>
        <w:t>''</w:t>
      </w:r>
      <w:r>
        <w:rPr>
          <w:color w:val="000000"/>
          <w:spacing w:val="0"/>
          <w:w w:val="100"/>
          <w:position w:val="0"/>
        </w:rPr>
        <w:t>医院的建设中，公司也全力以赴参与医院紧急通电任务。</w:t>
      </w:r>
    </w:p>
    <w:p>
      <w:pPr>
        <w:pStyle w:val="Style33"/>
        <w:keepNext w:val="0"/>
        <w:keepLines w:val="0"/>
        <w:widowControl w:val="0"/>
        <w:shd w:val="clear" w:color="auto" w:fill="auto"/>
        <w:bidi w:val="0"/>
        <w:spacing w:before="0" w:after="380" w:line="309" w:lineRule="exact"/>
        <w:ind w:left="0" w:right="0"/>
        <w:jc w:val="both"/>
      </w:pPr>
      <w:r>
        <w:rPr>
          <w:color w:val="000000"/>
          <w:spacing w:val="0"/>
          <w:w w:val="100"/>
          <w:position w:val="0"/>
        </w:rPr>
        <w:t>为了支援湖北武汉重疫区，公司控股股东母公司信中利和惠程科技电气事业部携手惠程科技工会于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日共同 发布《抗击疫情支援武汉倡议书》，号召各单位捐款支援重疫区，真正为打赢防疫阻击战作出贡献，公司总部及电气事业部 全体员工积极向信中利公益基金会捐进行捐款；同时公司免费提供约</w:t>
      </w:r>
      <w:r>
        <w:rPr>
          <w:rFonts w:ascii="Times New Roman" w:eastAsia="Times New Roman" w:hAnsi="Times New Roman" w:cs="Times New Roman"/>
          <w:color w:val="000000"/>
          <w:spacing w:val="0"/>
          <w:w w:val="100"/>
          <w:position w:val="0"/>
        </w:rPr>
        <w:t>100</w:t>
      </w:r>
      <w:r>
        <w:rPr>
          <w:color w:val="000000"/>
          <w:spacing w:val="0"/>
          <w:w w:val="100"/>
          <w:position w:val="0"/>
        </w:rPr>
        <w:t>万救助物资，用于疫情防控医护等公益救助。此外， 公司还积极参与慈善事业，报告期内向中华慈善总会捐赠人民币</w:t>
      </w:r>
      <w:r>
        <w:rPr>
          <w:rFonts w:ascii="Times New Roman" w:eastAsia="Times New Roman" w:hAnsi="Times New Roman" w:cs="Times New Roman"/>
          <w:color w:val="000000"/>
          <w:spacing w:val="0"/>
          <w:w w:val="100"/>
          <w:position w:val="0"/>
        </w:rPr>
        <w:t>200</w:t>
      </w:r>
      <w:r>
        <w:rPr>
          <w:color w:val="000000"/>
          <w:spacing w:val="0"/>
          <w:w w:val="100"/>
          <w:position w:val="0"/>
        </w:rPr>
        <w:t>万元整，定向用于永益关爱专项资金项目。</w:t>
      </w:r>
    </w:p>
    <w:p>
      <w:pPr>
        <w:pStyle w:val="Style29"/>
        <w:keepNext/>
        <w:keepLines/>
        <w:widowControl w:val="0"/>
        <w:shd w:val="clear" w:color="auto" w:fill="auto"/>
        <w:bidi w:val="0"/>
        <w:spacing w:before="0" w:after="380" w:line="240" w:lineRule="auto"/>
        <w:ind w:left="0" w:right="0" w:firstLine="0"/>
        <w:jc w:val="left"/>
      </w:pPr>
      <w:bookmarkStart w:id="100" w:name="bookmark100"/>
      <w:bookmarkStart w:id="101" w:name="bookmark101"/>
      <w:bookmarkStart w:id="98" w:name="bookmark98"/>
      <w:bookmarkStart w:id="99" w:name="bookmark99"/>
      <w:r>
        <w:rPr>
          <w:color w:val="000000"/>
          <w:spacing w:val="0"/>
          <w:w w:val="100"/>
          <w:position w:val="0"/>
          <w:sz w:val="24"/>
          <w:szCs w:val="24"/>
        </w:rPr>
        <w:t>二</w:t>
      </w:r>
      <w:bookmarkEnd w:id="100"/>
      <w:r>
        <w:rPr>
          <w:color w:val="000000"/>
          <w:spacing w:val="0"/>
          <w:w w:val="100"/>
          <w:position w:val="0"/>
          <w:sz w:val="24"/>
          <w:szCs w:val="24"/>
        </w:rPr>
        <w:t>、主营业务分析</w:t>
      </w:r>
      <w:bookmarkEnd w:id="101"/>
      <w:bookmarkEnd w:id="98"/>
      <w:bookmarkEnd w:id="99"/>
    </w:p>
    <w:p>
      <w:pPr>
        <w:pStyle w:val="Style37"/>
        <w:keepNext/>
        <w:keepLines/>
        <w:widowControl w:val="0"/>
        <w:shd w:val="clear" w:color="auto" w:fill="auto"/>
        <w:tabs>
          <w:tab w:pos="368" w:val="left"/>
        </w:tabs>
        <w:bidi w:val="0"/>
        <w:spacing w:before="0" w:after="260" w:line="240" w:lineRule="auto"/>
        <w:ind w:left="0" w:right="0" w:firstLine="0"/>
        <w:jc w:val="both"/>
      </w:pPr>
      <w:bookmarkStart w:id="102" w:name="bookmark102"/>
      <w:bookmarkStart w:id="103" w:name="bookmark103"/>
      <w:bookmarkStart w:id="104" w:name="bookmark104"/>
      <w:bookmarkStart w:id="105" w:name="bookmark105"/>
      <w:r>
        <w:rPr>
          <w:rFonts w:ascii="Times New Roman" w:eastAsia="Times New Roman" w:hAnsi="Times New Roman" w:cs="Times New Roman"/>
          <w:color w:val="000000"/>
          <w:spacing w:val="0"/>
          <w:w w:val="100"/>
          <w:position w:val="0"/>
        </w:rPr>
        <w:t>1</w:t>
      </w:r>
      <w:bookmarkEnd w:id="104"/>
      <w:r>
        <w:rPr>
          <w:color w:val="000000"/>
          <w:spacing w:val="0"/>
          <w:w w:val="100"/>
          <w:position w:val="0"/>
        </w:rPr>
        <w:t>、</w:t>
        <w:tab/>
        <w:t>概述</w:t>
      </w:r>
      <w:bookmarkEnd w:id="102"/>
      <w:bookmarkEnd w:id="103"/>
      <w:bookmarkEnd w:id="105"/>
    </w:p>
    <w:p>
      <w:pPr>
        <w:pStyle w:val="Style33"/>
        <w:keepNext w:val="0"/>
        <w:keepLines w:val="0"/>
        <w:widowControl w:val="0"/>
        <w:shd w:val="clear" w:color="auto" w:fill="auto"/>
        <w:bidi w:val="0"/>
        <w:spacing w:before="0" w:after="380" w:line="309"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7"/>
        <w:keepNext/>
        <w:keepLines/>
        <w:widowControl w:val="0"/>
        <w:shd w:val="clear" w:color="auto" w:fill="auto"/>
        <w:tabs>
          <w:tab w:pos="378" w:val="left"/>
        </w:tabs>
        <w:bidi w:val="0"/>
        <w:spacing w:before="0" w:after="380" w:line="240" w:lineRule="auto"/>
        <w:ind w:left="0" w:right="0" w:firstLine="0"/>
        <w:jc w:val="both"/>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2</w:t>
      </w:r>
      <w:bookmarkEnd w:id="108"/>
      <w:r>
        <w:rPr>
          <w:color w:val="000000"/>
          <w:spacing w:val="0"/>
          <w:w w:val="100"/>
          <w:position w:val="0"/>
        </w:rPr>
        <w:t>、</w:t>
        <w:tab/>
        <w:t>收入与成本</w:t>
      </w:r>
      <w:bookmarkEnd w:id="106"/>
      <w:bookmarkEnd w:id="107"/>
      <w:bookmarkEnd w:id="109"/>
    </w:p>
    <w:p>
      <w:pPr>
        <w:pStyle w:val="Style37"/>
        <w:keepNext/>
        <w:keepLines/>
        <w:widowControl w:val="0"/>
        <w:shd w:val="clear" w:color="auto" w:fill="auto"/>
        <w:bidi w:val="0"/>
        <w:spacing w:before="0" w:after="380" w:line="240" w:lineRule="auto"/>
        <w:ind w:left="0" w:right="0" w:firstLine="0"/>
        <w:jc w:val="both"/>
      </w:pPr>
      <w:bookmarkStart w:id="106" w:name="bookmark106"/>
      <w:bookmarkStart w:id="107" w:name="bookmark107"/>
      <w:bookmarkStart w:id="110" w:name="bookmark110"/>
      <w:bookmarkStart w:id="111" w:name="bookmark111"/>
      <w:r>
        <w:rPr>
          <w:color w:val="000000"/>
          <w:spacing w:val="0"/>
          <w:w w:val="100"/>
          <w:position w:val="0"/>
        </w:rPr>
        <w:t>（</w:t>
      </w:r>
      <w:bookmarkEnd w:id="11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6"/>
      <w:bookmarkEnd w:id="107"/>
      <w:bookmarkEnd w:id="11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785,008,872.15</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1,092,321,442.57</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-28.13%</w:t>
            </w:r>
          </w:p>
        </w:tc>
      </w:tr>
      <w:tr>
        <w:trPr>
          <w:trHeight w:val="403" w:hRule="exact"/>
        </w:trPr>
        <w:tc>
          <w:tcPr>
            <w:gridSpan w:val="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电力行业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225,563,848.02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279,877,006.52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游戏行业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548,955,410.33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784,250,543.63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10,489,613.80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28,193,892.42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-62.79%</w:t>
            </w:r>
          </w:p>
        </w:tc>
      </w:tr>
      <w:tr>
        <w:trPr>
          <w:trHeight w:val="403" w:hRule="exact"/>
        </w:trPr>
        <w:tc>
          <w:tcPr>
            <w:gridSpan w:val="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电气产品类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194,437,372.17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239,824,152.81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绝缘产品类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31,126,475.85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40,052,853.71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-22.29%</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游戏发行类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544,313,496.86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668,918,950.25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游戏研发类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4,641,913.47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115,331,593.38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10,489,613.80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28,193,892.42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-62.79%</w:t>
            </w:r>
          </w:p>
        </w:tc>
      </w:tr>
      <w:tr>
        <w:trPr>
          <w:trHeight w:val="403" w:hRule="exact"/>
        </w:trPr>
        <w:tc>
          <w:tcPr>
            <w:gridSpan w:val="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787,463,585.28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1,079,244,814.33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-27.04%</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-2,454,713.13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13,076,628.24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-118.77%</w:t>
            </w:r>
          </w:p>
        </w:tc>
      </w:tr>
    </w:tbl>
    <w:p>
      <w:pPr>
        <w:pStyle w:val="Style33"/>
        <w:keepNext w:val="0"/>
        <w:keepLines w:val="0"/>
        <w:widowControl w:val="0"/>
        <w:shd w:val="clear" w:color="auto" w:fill="auto"/>
        <w:bidi w:val="0"/>
        <w:spacing w:before="0" w:after="60" w:line="310" w:lineRule="exact"/>
        <w:ind w:left="0" w:right="0" w:firstLine="0"/>
        <w:jc w:val="left"/>
      </w:pPr>
      <w:r>
        <w:rPr>
          <w:color w:val="000000"/>
          <w:spacing w:val="0"/>
          <w:w w:val="100"/>
          <w:position w:val="0"/>
        </w:rPr>
        <w:t>注：报告期内，公司实现境外营业收入</w:t>
      </w:r>
      <w:r>
        <w:rPr>
          <w:rFonts w:ascii="Times New Roman" w:eastAsia="Times New Roman" w:hAnsi="Times New Roman" w:cs="Times New Roman"/>
          <w:color w:val="000000"/>
          <w:spacing w:val="0"/>
          <w:w w:val="100"/>
          <w:position w:val="0"/>
        </w:rPr>
        <w:t>584.56</w:t>
      </w:r>
      <w:r>
        <w:rPr>
          <w:color w:val="000000"/>
          <w:spacing w:val="0"/>
          <w:w w:val="100"/>
          <w:position w:val="0"/>
        </w:rPr>
        <w:t>万元，因公司对控股子公司成都吉乾的前期会计差错采取未来适用法进行处 理（详见财务报告十六、</w:t>
      </w:r>
      <w:r>
        <w:rPr>
          <w:rFonts w:ascii="Times New Roman" w:eastAsia="Times New Roman" w:hAnsi="Times New Roman" w:cs="Times New Roman"/>
          <w:color w:val="000000"/>
          <w:spacing w:val="0"/>
          <w:w w:val="100"/>
          <w:position w:val="0"/>
        </w:rPr>
        <w:t>1</w:t>
      </w:r>
      <w:r>
        <w:rPr>
          <w:color w:val="000000"/>
          <w:spacing w:val="0"/>
          <w:w w:val="100"/>
          <w:position w:val="0"/>
        </w:rPr>
        <w:t>、前期会计差错更正），故公司在本报告期调减境外营业收入</w:t>
      </w:r>
      <w:r>
        <w:rPr>
          <w:rFonts w:ascii="Times New Roman" w:eastAsia="Times New Roman" w:hAnsi="Times New Roman" w:cs="Times New Roman"/>
          <w:color w:val="000000"/>
          <w:spacing w:val="0"/>
          <w:w w:val="100"/>
          <w:position w:val="0"/>
        </w:rPr>
        <w:t>830.03</w:t>
      </w:r>
      <w:r>
        <w:rPr>
          <w:color w:val="000000"/>
          <w:spacing w:val="0"/>
          <w:w w:val="100"/>
          <w:position w:val="0"/>
        </w:rPr>
        <w:t>万元，导致上述境外营业收 入为</w:t>
      </w:r>
      <w:r>
        <w:rPr>
          <w:rFonts w:ascii="Times New Roman" w:eastAsia="Times New Roman" w:hAnsi="Times New Roman" w:cs="Times New Roman"/>
          <w:color w:val="000000"/>
          <w:spacing w:val="0"/>
          <w:w w:val="100"/>
          <w:position w:val="0"/>
        </w:rPr>
        <w:t>-245.47</w:t>
      </w:r>
      <w:r>
        <w:rPr>
          <w:color w:val="000000"/>
          <w:spacing w:val="0"/>
          <w:w w:val="100"/>
          <w:position w:val="0"/>
        </w:rPr>
        <w:t>万元。</w:t>
      </w:r>
    </w:p>
    <w:p>
      <w:pPr>
        <w:pStyle w:val="Style33"/>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r>
        <w:br w:type="page"/>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82"/>
        <w:gridCol w:w="1138"/>
        <w:gridCol w:w="1133"/>
        <w:gridCol w:w="1133"/>
        <w:gridCol w:w="1133"/>
        <w:gridCol w:w="1138"/>
        <w:gridCol w:w="1133"/>
        <w:gridCol w:w="1090"/>
        <w:gridCol w:w="10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营业收</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334,529,594.43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178,919,258.00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162,777,940.19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108,782,079.53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221,860,514.47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215,228,789.69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239,696,656.45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415,535,481.9</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w:t>
            </w:r>
          </w:p>
        </w:tc>
      </w:tr>
      <w:tr>
        <w:trPr>
          <w:trHeight w:val="166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归属于 上市公 司股东 的净利 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27,693,225.01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5,269,976.19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-7,256,557.53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-986,121,325.95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26,596,218.40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30,628,416.40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40,360,799.46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37,412,492.57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33"/>
        <w:keepNext w:val="0"/>
        <w:keepLines w:val="0"/>
        <w:widowControl w:val="0"/>
        <w:numPr>
          <w:ilvl w:val="0"/>
          <w:numId w:val="1"/>
        </w:numPr>
        <w:shd w:val="clear" w:color="auto" w:fill="auto"/>
        <w:tabs>
          <w:tab w:pos="718" w:val="left"/>
        </w:tabs>
        <w:bidi w:val="0"/>
        <w:spacing w:before="0" w:after="0" w:line="322" w:lineRule="exact"/>
        <w:ind w:left="0" w:right="0"/>
        <w:jc w:val="both"/>
      </w:pPr>
      <w:bookmarkStart w:id="112" w:name="bookmark112"/>
      <w:bookmarkEnd w:id="112"/>
      <w:r>
        <w:rPr>
          <w:rFonts w:ascii="Times New Roman" w:eastAsia="Times New Roman" w:hAnsi="Times New Roman" w:cs="Times New Roman"/>
          <w:color w:val="000000"/>
          <w:spacing w:val="0"/>
          <w:w w:val="100"/>
          <w:position w:val="0"/>
        </w:rPr>
        <w:t>2020</w:t>
      </w:r>
      <w:r>
        <w:rPr>
          <w:color w:val="000000"/>
          <w:spacing w:val="0"/>
          <w:w w:val="100"/>
          <w:position w:val="0"/>
        </w:rPr>
        <w:t>年第一季度受居家隔离政策的影响，中国移动游戏行业用户数量及用户在线时长均大幅增长，公司控股子公司 哆可梦游戏收入亦随之大幅增长。</w:t>
      </w:r>
    </w:p>
    <w:p>
      <w:pPr>
        <w:pStyle w:val="Style33"/>
        <w:keepNext w:val="0"/>
        <w:keepLines w:val="0"/>
        <w:widowControl w:val="0"/>
        <w:numPr>
          <w:ilvl w:val="0"/>
          <w:numId w:val="1"/>
        </w:numPr>
        <w:shd w:val="clear" w:color="auto" w:fill="auto"/>
        <w:tabs>
          <w:tab w:pos="728" w:val="left"/>
        </w:tabs>
        <w:bidi w:val="0"/>
        <w:spacing w:before="0" w:after="0" w:line="322" w:lineRule="exact"/>
        <w:ind w:left="0" w:right="0"/>
        <w:jc w:val="both"/>
      </w:pPr>
      <w:bookmarkStart w:id="113" w:name="bookmark113"/>
      <w:bookmarkEnd w:id="113"/>
      <w:r>
        <w:rPr>
          <w:color w:val="000000"/>
          <w:spacing w:val="0"/>
          <w:w w:val="100"/>
          <w:position w:val="0"/>
        </w:rPr>
        <w:t>从</w:t>
      </w:r>
      <w:r>
        <w:rPr>
          <w:rFonts w:ascii="Times New Roman" w:eastAsia="Times New Roman" w:hAnsi="Times New Roman" w:cs="Times New Roman"/>
          <w:color w:val="000000"/>
          <w:spacing w:val="0"/>
          <w:w w:val="100"/>
          <w:position w:val="0"/>
        </w:rPr>
        <w:t>2020</w:t>
      </w:r>
      <w:r>
        <w:rPr>
          <w:color w:val="000000"/>
          <w:spacing w:val="0"/>
          <w:w w:val="100"/>
          <w:position w:val="0"/>
        </w:rPr>
        <w:t>年二季度开始，由于移动游戏行业竞争加剧及移动互联网买量成本上涨等多方面原因的影响，导致哆可梦游 戏收入和利润下滑。此外，哆可梦部分新游戏上线时间推迟，未能如期为公司贡献收入。</w:t>
      </w:r>
    </w:p>
    <w:p>
      <w:pPr>
        <w:pStyle w:val="Style33"/>
        <w:keepNext w:val="0"/>
        <w:keepLines w:val="0"/>
        <w:widowControl w:val="0"/>
        <w:numPr>
          <w:ilvl w:val="0"/>
          <w:numId w:val="1"/>
        </w:numPr>
        <w:shd w:val="clear" w:color="auto" w:fill="auto"/>
        <w:tabs>
          <w:tab w:pos="728" w:val="left"/>
        </w:tabs>
        <w:bidi w:val="0"/>
        <w:spacing w:before="0" w:after="380" w:line="312" w:lineRule="exact"/>
        <w:ind w:left="0" w:right="0"/>
        <w:jc w:val="both"/>
      </w:pPr>
      <w:bookmarkStart w:id="114" w:name="bookmark114"/>
      <w:bookmarkEnd w:id="114"/>
      <w:r>
        <w:rPr>
          <w:color w:val="000000"/>
          <w:spacing w:val="0"/>
          <w:w w:val="100"/>
          <w:position w:val="0"/>
        </w:rPr>
        <w:t>公司第四度亏损主要是因为公司基于哆可梦</w:t>
      </w:r>
      <w:r>
        <w:rPr>
          <w:rFonts w:ascii="Times New Roman" w:eastAsia="Times New Roman" w:hAnsi="Times New Roman" w:cs="Times New Roman"/>
          <w:color w:val="000000"/>
          <w:spacing w:val="0"/>
          <w:w w:val="100"/>
          <w:position w:val="0"/>
        </w:rPr>
        <w:t>2020</w:t>
      </w:r>
      <w:r>
        <w:rPr>
          <w:color w:val="000000"/>
          <w:spacing w:val="0"/>
          <w:w w:val="100"/>
          <w:position w:val="0"/>
        </w:rPr>
        <w:t>年度的业绩表现，结合哆可梦未来经营情况的分析预测，对收购哆 可梦</w:t>
      </w:r>
      <w:r>
        <w:rPr>
          <w:rFonts w:ascii="Times New Roman" w:eastAsia="Times New Roman" w:hAnsi="Times New Roman" w:cs="Times New Roman"/>
          <w:color w:val="000000"/>
          <w:spacing w:val="0"/>
          <w:w w:val="100"/>
          <w:position w:val="0"/>
        </w:rPr>
        <w:t>77.57%</w:t>
      </w:r>
      <w:r>
        <w:rPr>
          <w:color w:val="000000"/>
          <w:spacing w:val="0"/>
          <w:w w:val="100"/>
          <w:position w:val="0"/>
        </w:rPr>
        <w:t>股权的商誉进行了测试，对其计提减值准备。</w:t>
      </w:r>
    </w:p>
    <w:p>
      <w:pPr>
        <w:pStyle w:val="Style37"/>
        <w:keepNext/>
        <w:keepLines/>
        <w:widowControl w:val="0"/>
        <w:shd w:val="clear" w:color="auto" w:fill="auto"/>
        <w:bidi w:val="0"/>
        <w:spacing w:before="0" w:after="28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5"/>
      <w:bookmarkEnd w:id="116"/>
      <w:bookmarkEnd w:id="118"/>
    </w:p>
    <w:p>
      <w:pPr>
        <w:pStyle w:val="Style3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120" w:line="32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970"/>
        <w:gridCol w:w="1762"/>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营业收入比上年同期</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电力行业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225,563,848.02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164,924,899.04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-19.41%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游戏行业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548,955,410.33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115,546,924.68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10,489,613.80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1,524,518.19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-62.79%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-83.85%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w:t>
            </w:r>
          </w:p>
        </w:tc>
      </w:tr>
      <w:tr>
        <w:trPr>
          <w:trHeight w:val="398"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电气产品类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194,437,372.17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145,683,827.17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-18.93%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绝缘产品类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31,126,475.85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19,241,071.87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-22.29%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-28.57%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游戏发行类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544,313,496.86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114,619,717.19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-18.63%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-0.59%</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游戏研发类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4,641,913.47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927,207.49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-95.98%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10,489,613.80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1,524,518.19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-62.79%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-83.85%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w:t>
            </w:r>
          </w:p>
        </w:tc>
      </w:tr>
      <w:tr>
        <w:trPr>
          <w:trHeight w:val="40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787,463,585.28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278,801,490.54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-27.04%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-17.67%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-2,454,713.13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3,194,851.37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-42.47%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-287.69%</w:t>
            </w:r>
          </w:p>
        </w:tc>
      </w:tr>
    </w:tbl>
    <w:p>
      <w:pPr>
        <w:pStyle w:val="Style33"/>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9"/>
      <w:bookmarkEnd w:id="120"/>
      <w:bookmarkEnd w:id="122"/>
    </w:p>
    <w:p>
      <w:pPr>
        <w:pStyle w:val="Style33"/>
        <w:keepNext w:val="0"/>
        <w:keepLines w:val="0"/>
        <w:widowControl w:val="0"/>
        <w:shd w:val="clear" w:color="auto" w:fill="auto"/>
        <w:bidi w:val="0"/>
        <w:spacing w:before="0" w:after="240" w:line="40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3"/>
      <w:bookmarkEnd w:id="124"/>
      <w:bookmarkEnd w:id="126"/>
    </w:p>
    <w:p>
      <w:pPr>
        <w:pStyle w:val="Style33"/>
        <w:keepNext w:val="0"/>
        <w:keepLines w:val="0"/>
        <w:widowControl w:val="0"/>
        <w:shd w:val="clear" w:color="auto" w:fill="auto"/>
        <w:bidi w:val="0"/>
        <w:spacing w:before="0" w:after="240" w:line="40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24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7"/>
      <w:bookmarkEnd w:id="128"/>
      <w:bookmarkEnd w:id="130"/>
    </w:p>
    <w:p>
      <w:pPr>
        <w:pStyle w:val="Style33"/>
        <w:keepNext w:val="0"/>
        <w:keepLines w:val="0"/>
        <w:widowControl w:val="0"/>
        <w:shd w:val="clear" w:color="auto" w:fill="auto"/>
        <w:bidi w:val="0"/>
        <w:spacing w:before="0" w:after="120" w:line="350" w:lineRule="exact"/>
        <w:ind w:left="0" w:right="0" w:firstLine="0"/>
        <w:jc w:val="left"/>
      </w:pPr>
      <w:r>
        <w:rPr>
          <w:color w:val="000000"/>
          <w:spacing w:val="0"/>
          <w:w w:val="100"/>
          <w:position w:val="0"/>
        </w:rPr>
        <w:t>行业和产品分类</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电力行业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164,924,899.04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196,728,573.24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游戏行业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115,546,924.68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138,001,705.35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1,524,518.19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9,441,314.64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-83.85%</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电气产品类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145,683,827.17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169,790,844.71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绝缘产品类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19,241,071.87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26,937,728.53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游戏发行类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114,619,717.19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136,907,890.16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游戏研发类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927,207.49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1,093,815.19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-15.23%</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1,524,518.19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9,441,314.64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-83.85%</w:t>
            </w:r>
          </w:p>
        </w:tc>
      </w:tr>
    </w:tbl>
    <w:p>
      <w:pPr>
        <w:pStyle w:val="Style33"/>
        <w:keepNext w:val="0"/>
        <w:keepLines w:val="0"/>
        <w:widowControl w:val="0"/>
        <w:shd w:val="clear" w:color="auto" w:fill="auto"/>
        <w:bidi w:val="0"/>
        <w:spacing w:before="0" w:after="0" w:line="360" w:lineRule="exact"/>
        <w:ind w:left="0" w:right="0" w:firstLine="0"/>
        <w:jc w:val="left"/>
      </w:pPr>
      <w:r>
        <w:rPr>
          <w:color w:val="000000"/>
          <w:spacing w:val="0"/>
          <w:w w:val="100"/>
          <w:position w:val="0"/>
        </w:rPr>
        <w:t>说明</w:t>
      </w:r>
    </w:p>
    <w:p>
      <w:pPr>
        <w:pStyle w:val="Style33"/>
        <w:keepNext w:val="0"/>
        <w:keepLines w:val="0"/>
        <w:widowControl w:val="0"/>
        <w:shd w:val="clear" w:color="auto" w:fill="auto"/>
        <w:bidi w:val="0"/>
        <w:spacing w:before="0" w:after="0" w:line="360" w:lineRule="exact"/>
        <w:ind w:left="0" w:right="0" w:firstLine="0"/>
        <w:jc w:val="left"/>
      </w:pPr>
      <w:r>
        <w:rPr>
          <w:color w:val="000000"/>
          <w:spacing w:val="0"/>
          <w:w w:val="100"/>
          <w:position w:val="0"/>
        </w:rPr>
        <w:t>无</w:t>
      </w:r>
    </w:p>
    <w:p>
      <w:pPr>
        <w:pStyle w:val="Style33"/>
        <w:keepNext w:val="0"/>
        <w:keepLines w:val="0"/>
        <w:widowControl w:val="0"/>
        <w:shd w:val="clear" w:color="auto" w:fill="auto"/>
        <w:bidi w:val="0"/>
        <w:spacing w:before="0" w:after="120" w:line="360"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 主营业务成本构成</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电力行业</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11,409,423.58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14,077,393.23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-18.95%</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140,461,029.98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163,357,899.33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-14.02%</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13,054,445.48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4.63%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19,293,280.68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游戏行业</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游戏分成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97,548,590.60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119,116,803.95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服务器成本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3,567,196.48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6,675,937.10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-46.57%</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版权金摊销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9,357,958.88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5,623,736.17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5,073,178.72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6,585,228.13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1,524,518.19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0.54%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9,441,314.64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2.74%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-83.85%</w:t>
            </w:r>
          </w:p>
        </w:tc>
      </w:tr>
    </w:tbl>
    <w:p>
      <w:pPr>
        <w:widowControl w:val="0"/>
        <w:spacing w:after="319" w:line="1" w:lineRule="exact"/>
      </w:pPr>
    </w:p>
    <w:p>
      <w:pPr>
        <w:pStyle w:val="Style37"/>
        <w:keepNext/>
        <w:keepLines/>
        <w:widowControl w:val="0"/>
        <w:shd w:val="clear" w:color="auto" w:fill="auto"/>
        <w:tabs>
          <w:tab w:pos="493" w:val="left"/>
        </w:tabs>
        <w:bidi w:val="0"/>
        <w:spacing w:before="0" w:after="38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1"/>
      <w:bookmarkEnd w:id="132"/>
      <w:bookmarkEnd w:id="134"/>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5"/>
      <w:bookmarkEnd w:id="136"/>
      <w:bookmarkEnd w:id="138"/>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rPr>
        <w:t>（</w:t>
      </w:r>
      <w:bookmarkEnd w:id="141"/>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9"/>
      <w:bookmarkEnd w:id="140"/>
      <w:bookmarkEnd w:id="142"/>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111,222,475.65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14.17%</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298"/>
        <w:gridCol w:w="2323"/>
        <w:gridCol w:w="315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31,969,650.93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4.07%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23,754,671.59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3.03%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22,285,635.39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2.84%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19,252,530.15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2.45%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13,959,987.59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1.78%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111,222,475.65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14.17%</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651"/>
        <w:gridCol w:w="493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232,085,365.72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39.99%</w:t>
            </w:r>
          </w:p>
        </w:tc>
      </w:tr>
    </w:tbl>
    <w:p>
      <w:pPr>
        <w:spacing w:lineRule="exact" w:line="1"/>
        <w:rPr>
          <w:sz w:val="2"/>
          <w:szCs w:val="2"/>
        </w:rPr>
      </w:pPr>
      <w:r>
        <w:br w:type="page"/>
      </w:r>
    </w:p>
    <w:tbl>
      <w:tblPr>
        <w:tblOverlap w:val="never"/>
        <w:jc w:val="center"/>
        <w:tblLayout w:type="fixed"/>
      </w:tblPr>
      <w:tblGrid>
        <w:gridCol w:w="4651"/>
        <w:gridCol w:w="4934"/>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323"/>
        <w:gridCol w:w="315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74,213,069.02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12.79%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69,924,352.56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12.05%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43,232,221.16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7.45%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22,621,569.63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3.90%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22,094,153.35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3.81%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232,085,365.72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39.99%</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3</w:t>
      </w:r>
      <w:bookmarkEnd w:id="145"/>
      <w:r>
        <w:rPr>
          <w:color w:val="000000"/>
          <w:spacing w:val="0"/>
          <w:w w:val="100"/>
          <w:position w:val="0"/>
        </w:rPr>
        <w:t>、费用</w:t>
      </w:r>
      <w:bookmarkEnd w:id="143"/>
      <w:bookmarkEnd w:id="144"/>
      <w:bookmarkEnd w:id="14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70"/>
        <w:gridCol w:w="1555"/>
        <w:gridCol w:w="1560"/>
        <w:gridCol w:w="1133"/>
        <w:gridCol w:w="436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371,510,434.17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360,381,637.91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104,971,742.08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99,841,837.89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63,410,783.99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63,522,070.77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57,050,211.71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72,319,838.15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主要系报告期内控股子公司哆可梦优化研发结构所致</w:t>
            </w:r>
          </w:p>
        </w:tc>
      </w:tr>
    </w:tbl>
    <w:p>
      <w:pPr>
        <w:widowControl w:val="0"/>
        <w:spacing w:after="319" w:line="1" w:lineRule="exact"/>
      </w:pPr>
    </w:p>
    <w:p>
      <w:pPr>
        <w:pStyle w:val="Style37"/>
        <w:keepNext/>
        <w:keepLines/>
        <w:widowControl w:val="0"/>
        <w:shd w:val="clear" w:color="auto" w:fill="auto"/>
        <w:bidi w:val="0"/>
        <w:spacing w:before="0" w:after="260" w:line="240" w:lineRule="auto"/>
        <w:ind w:left="0" w:right="0" w:firstLine="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4</w:t>
      </w:r>
      <w:bookmarkEnd w:id="149"/>
      <w:r>
        <w:rPr>
          <w:color w:val="000000"/>
          <w:spacing w:val="0"/>
          <w:w w:val="100"/>
          <w:position w:val="0"/>
        </w:rPr>
        <w:t>、研发投入</w:t>
      </w:r>
      <w:bookmarkEnd w:id="147"/>
      <w:bookmarkEnd w:id="148"/>
      <w:bookmarkEnd w:id="150"/>
    </w:p>
    <w:p>
      <w:pPr>
        <w:pStyle w:val="Style33"/>
        <w:keepNext w:val="0"/>
        <w:keepLines w:val="0"/>
        <w:widowControl w:val="0"/>
        <w:shd w:val="clear" w:color="auto" w:fill="auto"/>
        <w:bidi w:val="0"/>
        <w:spacing w:before="0" w:after="0" w:line="323"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323"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年公司进行的研发项目简要情况如下：</w:t>
      </w:r>
    </w:p>
    <w:p>
      <w:pPr>
        <w:pStyle w:val="Style33"/>
        <w:keepNext w:val="0"/>
        <w:keepLines w:val="0"/>
        <w:widowControl w:val="0"/>
        <w:shd w:val="clear" w:color="auto" w:fill="auto"/>
        <w:bidi w:val="0"/>
        <w:spacing w:before="0" w:after="0" w:line="323" w:lineRule="exact"/>
        <w:ind w:left="0" w:right="0"/>
        <w:jc w:val="both"/>
      </w:pPr>
      <w:bookmarkStart w:id="151" w:name="bookmark151"/>
      <w:r>
        <w:rPr>
          <w:color w:val="000000"/>
          <w:spacing w:val="0"/>
          <w:w w:val="100"/>
          <w:position w:val="0"/>
        </w:rPr>
        <w:t>（</w:t>
      </w:r>
      <w:bookmarkEnd w:id="151"/>
      <w:r>
        <w:rPr>
          <w:rFonts w:ascii="Times New Roman" w:eastAsia="Times New Roman" w:hAnsi="Times New Roman" w:cs="Times New Roman"/>
          <w:color w:val="000000"/>
          <w:spacing w:val="0"/>
          <w:w w:val="100"/>
          <w:position w:val="0"/>
        </w:rPr>
        <w:t>1</w:t>
      </w:r>
      <w:r>
        <w:rPr>
          <w:color w:val="000000"/>
          <w:spacing w:val="0"/>
          <w:w w:val="100"/>
          <w:position w:val="0"/>
        </w:rPr>
        <w:t>） 电气业务</w:t>
      </w:r>
      <w:r>
        <w:rPr>
          <w:rFonts w:ascii="Times New Roman" w:eastAsia="Times New Roman" w:hAnsi="Times New Roman" w:cs="Times New Roman"/>
          <w:color w:val="000000"/>
          <w:spacing w:val="0"/>
          <w:w w:val="100"/>
          <w:position w:val="0"/>
        </w:rPr>
        <w:t>2020</w:t>
      </w:r>
      <w:r>
        <w:rPr>
          <w:color w:val="000000"/>
          <w:spacing w:val="0"/>
          <w:w w:val="100"/>
          <w:position w:val="0"/>
        </w:rPr>
        <w:t>年开展了</w:t>
      </w:r>
      <w:r>
        <w:rPr>
          <w:rFonts w:ascii="Times New Roman" w:eastAsia="Times New Roman" w:hAnsi="Times New Roman" w:cs="Times New Roman"/>
          <w:color w:val="000000"/>
          <w:spacing w:val="0"/>
          <w:w w:val="100"/>
          <w:position w:val="0"/>
        </w:rPr>
        <w:t>7</w:t>
      </w:r>
      <w:r>
        <w:rPr>
          <w:color w:val="000000"/>
          <w:spacing w:val="0"/>
          <w:w w:val="100"/>
          <w:position w:val="0"/>
        </w:rPr>
        <w:t>项新技改项目，目的为改善现有工艺</w:t>
      </w:r>
      <w:r>
        <w:rPr>
          <w:rFonts w:ascii="Times New Roman" w:eastAsia="Times New Roman" w:hAnsi="Times New Roman" w:cs="Times New Roman"/>
          <w:color w:val="000000"/>
          <w:spacing w:val="0"/>
          <w:w w:val="100"/>
          <w:position w:val="0"/>
        </w:rPr>
        <w:t>/</w:t>
      </w:r>
      <w:r>
        <w:rPr>
          <w:color w:val="000000"/>
          <w:spacing w:val="0"/>
          <w:w w:val="100"/>
          <w:position w:val="0"/>
        </w:rPr>
        <w:t>技术升级</w:t>
      </w:r>
      <w:r>
        <w:rPr>
          <w:rFonts w:ascii="Times New Roman" w:eastAsia="Times New Roman" w:hAnsi="Times New Roman" w:cs="Times New Roman"/>
          <w:color w:val="000000"/>
          <w:spacing w:val="0"/>
          <w:w w:val="100"/>
          <w:position w:val="0"/>
        </w:rPr>
        <w:t>/</w:t>
      </w:r>
      <w:r>
        <w:rPr>
          <w:color w:val="000000"/>
          <w:spacing w:val="0"/>
          <w:w w:val="100"/>
          <w:position w:val="0"/>
        </w:rPr>
        <w:t>开发新产品</w:t>
      </w:r>
      <w:r>
        <w:rPr>
          <w:rFonts w:ascii="Times New Roman" w:eastAsia="Times New Roman" w:hAnsi="Times New Roman" w:cs="Times New Roman"/>
          <w:color w:val="000000"/>
          <w:spacing w:val="0"/>
          <w:w w:val="100"/>
          <w:position w:val="0"/>
        </w:rPr>
        <w:t>/</w:t>
      </w:r>
      <w:r>
        <w:rPr>
          <w:color w:val="000000"/>
          <w:spacing w:val="0"/>
          <w:w w:val="100"/>
          <w:position w:val="0"/>
        </w:rPr>
        <w:t>满足客户需求</w:t>
      </w:r>
      <w:r>
        <w:rPr>
          <w:rFonts w:ascii="Times New Roman" w:eastAsia="Times New Roman" w:hAnsi="Times New Roman" w:cs="Times New Roman"/>
          <w:color w:val="000000"/>
          <w:spacing w:val="0"/>
          <w:w w:val="100"/>
          <w:position w:val="0"/>
        </w:rPr>
        <w:t>/</w:t>
      </w:r>
      <w:r>
        <w:rPr>
          <w:color w:val="000000"/>
          <w:spacing w:val="0"/>
          <w:w w:val="100"/>
          <w:position w:val="0"/>
        </w:rPr>
        <w:t>开发实用新型 专利技术或外观专利，截至报告期末</w:t>
      </w:r>
      <w:r>
        <w:rPr>
          <w:rFonts w:ascii="Times New Roman" w:eastAsia="Times New Roman" w:hAnsi="Times New Roman" w:cs="Times New Roman"/>
          <w:color w:val="000000"/>
          <w:spacing w:val="0"/>
          <w:w w:val="100"/>
          <w:position w:val="0"/>
        </w:rPr>
        <w:t>2</w:t>
      </w:r>
      <w:r>
        <w:rPr>
          <w:color w:val="000000"/>
          <w:spacing w:val="0"/>
          <w:w w:val="100"/>
          <w:position w:val="0"/>
        </w:rPr>
        <w:t>项已结项，</w:t>
      </w:r>
      <w:r>
        <w:rPr>
          <w:rFonts w:ascii="Times New Roman" w:eastAsia="Times New Roman" w:hAnsi="Times New Roman" w:cs="Times New Roman"/>
          <w:color w:val="000000"/>
          <w:spacing w:val="0"/>
          <w:w w:val="100"/>
          <w:position w:val="0"/>
        </w:rPr>
        <w:t>5</w:t>
      </w:r>
      <w:r>
        <w:rPr>
          <w:color w:val="000000"/>
          <w:spacing w:val="0"/>
          <w:w w:val="100"/>
          <w:position w:val="0"/>
        </w:rPr>
        <w:t>项新技改项目均在研发、测试阶段，预计有利于增强公司技术实力、提高 公司产品技术含量、拓宽公司产品利润空间；</w:t>
      </w:r>
    </w:p>
    <w:p>
      <w:pPr>
        <w:pStyle w:val="Style33"/>
        <w:keepNext w:val="0"/>
        <w:keepLines w:val="0"/>
        <w:widowControl w:val="0"/>
        <w:shd w:val="clear" w:color="auto" w:fill="auto"/>
        <w:bidi w:val="0"/>
        <w:spacing w:before="0" w:after="480" w:line="323" w:lineRule="exact"/>
        <w:ind w:left="0" w:right="0"/>
        <w:jc w:val="both"/>
      </w:pPr>
      <w:bookmarkStart w:id="152" w:name="bookmark152"/>
      <w:r>
        <w:rPr>
          <w:color w:val="000000"/>
          <w:spacing w:val="0"/>
          <w:w w:val="100"/>
          <w:position w:val="0"/>
        </w:rPr>
        <w:t>（</w:t>
      </w:r>
      <w:bookmarkEnd w:id="152"/>
      <w:r>
        <w:rPr>
          <w:rFonts w:ascii="Times New Roman" w:eastAsia="Times New Roman" w:hAnsi="Times New Roman" w:cs="Times New Roman"/>
          <w:color w:val="000000"/>
          <w:spacing w:val="0"/>
          <w:w w:val="100"/>
          <w:position w:val="0"/>
        </w:rPr>
        <w:t>2</w:t>
      </w:r>
      <w:r>
        <w:rPr>
          <w:color w:val="000000"/>
          <w:spacing w:val="0"/>
          <w:w w:val="100"/>
          <w:position w:val="0"/>
        </w:rPr>
        <w:t>） 游戏业务</w:t>
      </w:r>
      <w:r>
        <w:rPr>
          <w:rFonts w:ascii="Times New Roman" w:eastAsia="Times New Roman" w:hAnsi="Times New Roman" w:cs="Times New Roman"/>
          <w:color w:val="000000"/>
          <w:spacing w:val="0"/>
          <w:w w:val="100"/>
          <w:position w:val="0"/>
        </w:rPr>
        <w:t>2020</w:t>
      </w:r>
      <w:r>
        <w:rPr>
          <w:color w:val="000000"/>
          <w:spacing w:val="0"/>
          <w:w w:val="100"/>
          <w:position w:val="0"/>
        </w:rPr>
        <w:t>年开展了</w:t>
      </w:r>
      <w:r>
        <w:rPr>
          <w:rFonts w:ascii="Times New Roman" w:eastAsia="Times New Roman" w:hAnsi="Times New Roman" w:cs="Times New Roman"/>
          <w:color w:val="000000"/>
          <w:spacing w:val="0"/>
          <w:w w:val="100"/>
          <w:position w:val="0"/>
        </w:rPr>
        <w:t>3</w:t>
      </w:r>
      <w:r>
        <w:rPr>
          <w:color w:val="000000"/>
          <w:spacing w:val="0"/>
          <w:w w:val="100"/>
          <w:position w:val="0"/>
        </w:rPr>
        <w:t>项在研游戏项目，目的为开发自研游戏，截至报告期末</w:t>
      </w:r>
      <w:r>
        <w:rPr>
          <w:rFonts w:ascii="Times New Roman" w:eastAsia="Times New Roman" w:hAnsi="Times New Roman" w:cs="Times New Roman"/>
          <w:color w:val="000000"/>
          <w:spacing w:val="0"/>
          <w:w w:val="100"/>
          <w:position w:val="0"/>
        </w:rPr>
        <w:t>2</w:t>
      </w:r>
      <w:r>
        <w:rPr>
          <w:color w:val="000000"/>
          <w:spacing w:val="0"/>
          <w:w w:val="100"/>
          <w:position w:val="0"/>
        </w:rPr>
        <w:t>个项目进入不同阶段测试、</w:t>
      </w:r>
      <w:r>
        <w:rPr>
          <w:rFonts w:ascii="Times New Roman" w:eastAsia="Times New Roman" w:hAnsi="Times New Roman" w:cs="Times New Roman"/>
          <w:color w:val="000000"/>
          <w:spacing w:val="0"/>
          <w:w w:val="100"/>
          <w:position w:val="0"/>
        </w:rPr>
        <w:t>1</w:t>
      </w:r>
      <w:r>
        <w:rPr>
          <w:color w:val="000000"/>
          <w:spacing w:val="0"/>
          <w:w w:val="100"/>
          <w:position w:val="0"/>
        </w:rPr>
        <w:t>个项 目仍在研发中，预计对公司未来游戏业务的业绩表现有积极的影响。</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3096"/>
        <w:gridCol w:w="2410"/>
        <w:gridCol w:w="168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57,050,211.71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77,370,912.34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r>
    </w:tbl>
    <w:tbl>
      <w:tblPr>
        <w:tblOverlap w:val="never"/>
        <w:jc w:val="center"/>
        <w:tblLayout w:type="fixed"/>
      </w:tblPr>
      <w:tblGrid>
        <w:gridCol w:w="3096"/>
        <w:gridCol w:w="2410"/>
        <w:gridCol w:w="1680"/>
        <w:gridCol w:w="240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5,051,074.19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研发投入总额占营业收入的比重较上年发生显著变化的原因</w:t>
      </w:r>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研发资本化金额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研发投入资本化率大幅变动的原因及其合理性说明</w:t>
      </w:r>
    </w:p>
    <w:p>
      <w:pPr>
        <w:pStyle w:val="Style3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both"/>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5</w:t>
      </w:r>
      <w:bookmarkEnd w:id="155"/>
      <w:r>
        <w:rPr>
          <w:color w:val="000000"/>
          <w:spacing w:val="0"/>
          <w:w w:val="100"/>
          <w:position w:val="0"/>
        </w:rPr>
        <w:t>、现金流</w:t>
      </w:r>
      <w:bookmarkEnd w:id="153"/>
      <w:bookmarkEnd w:id="154"/>
      <w:bookmarkEnd w:id="15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69"/>
        <w:gridCol w:w="2410"/>
        <w:gridCol w:w="2266"/>
        <w:gridCol w:w="224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1,228,476,586.34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1,214,525,337.20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1,101,541,636.89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1,592,568,220.10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126,934,949.45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-378,042,882.90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133.58%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448,663,154.90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2,731,045,240.42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223,251,286.25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2,659,482,738.04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225,411,868.65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71,562,502.38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214.99%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190,100,000.00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1,212,800,000.00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703,959,427.60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1,424,799,661.14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-513,859,427.60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-211,999,661.14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142.39%</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-161,326,932.35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-518,512,924.04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-68.89%</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3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numPr>
          <w:ilvl w:val="0"/>
          <w:numId w:val="3"/>
        </w:numPr>
        <w:shd w:val="clear" w:color="auto" w:fill="auto"/>
        <w:tabs>
          <w:tab w:pos="825" w:val="left"/>
        </w:tabs>
        <w:bidi w:val="0"/>
        <w:spacing w:before="0" w:after="0" w:line="326" w:lineRule="exact"/>
        <w:ind w:left="0" w:right="0"/>
        <w:jc w:val="both"/>
      </w:pPr>
      <w:bookmarkStart w:id="157" w:name="bookmark157"/>
      <w:bookmarkEnd w:id="157"/>
      <w:r>
        <w:rPr>
          <w:color w:val="000000"/>
          <w:spacing w:val="0"/>
          <w:w w:val="100"/>
          <w:position w:val="0"/>
        </w:rPr>
        <w:t>经营活动现金流出同比下降，主要系报告期公司控股子公司哆可梦收入减少所致。</w:t>
      </w:r>
    </w:p>
    <w:p>
      <w:pPr>
        <w:pStyle w:val="Style33"/>
        <w:keepNext w:val="0"/>
        <w:keepLines w:val="0"/>
        <w:widowControl w:val="0"/>
        <w:numPr>
          <w:ilvl w:val="0"/>
          <w:numId w:val="3"/>
        </w:numPr>
        <w:shd w:val="clear" w:color="auto" w:fill="auto"/>
        <w:tabs>
          <w:tab w:pos="901" w:val="left"/>
        </w:tabs>
        <w:bidi w:val="0"/>
        <w:spacing w:before="0" w:after="0" w:line="326" w:lineRule="exact"/>
        <w:ind w:left="0" w:right="0"/>
        <w:jc w:val="both"/>
      </w:pPr>
      <w:bookmarkStart w:id="158" w:name="bookmark158"/>
      <w:bookmarkEnd w:id="158"/>
      <w:r>
        <w:rPr>
          <w:color w:val="000000"/>
          <w:spacing w:val="0"/>
          <w:w w:val="100"/>
          <w:position w:val="0"/>
        </w:rPr>
        <w:t>投资活动现金流入、流出同比下降，主要系是报告期内公司国债逆回购投资频率较低所致；公司本报告期内投资 活动产生的现金流量净额同比大幅上升，主要原因是公司转让中航信托理财产品收益所致。</w:t>
      </w:r>
    </w:p>
    <w:p>
      <w:pPr>
        <w:pStyle w:val="Style33"/>
        <w:keepNext w:val="0"/>
        <w:keepLines w:val="0"/>
        <w:widowControl w:val="0"/>
        <w:numPr>
          <w:ilvl w:val="0"/>
          <w:numId w:val="3"/>
        </w:numPr>
        <w:shd w:val="clear" w:color="auto" w:fill="auto"/>
        <w:tabs>
          <w:tab w:pos="825" w:val="left"/>
        </w:tabs>
        <w:bidi w:val="0"/>
        <w:spacing w:before="0" w:after="0" w:line="326" w:lineRule="exact"/>
        <w:ind w:left="0" w:right="0"/>
        <w:jc w:val="both"/>
      </w:pPr>
      <w:bookmarkStart w:id="159" w:name="bookmark159"/>
      <w:bookmarkEnd w:id="159"/>
      <w:r>
        <w:rPr>
          <w:color w:val="000000"/>
          <w:spacing w:val="0"/>
          <w:w w:val="100"/>
          <w:position w:val="0"/>
        </w:rPr>
        <w:t>筹资活动现金流入、流出同比下降，主要系公司报告期内向银行申请贷款同比减少所致。</w:t>
      </w:r>
    </w:p>
    <w:p>
      <w:pPr>
        <w:pStyle w:val="Style33"/>
        <w:keepNext w:val="0"/>
        <w:keepLines w:val="0"/>
        <w:widowControl w:val="0"/>
        <w:shd w:val="clear" w:color="auto" w:fill="auto"/>
        <w:bidi w:val="0"/>
        <w:spacing w:before="0" w:after="0" w:line="320"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33"/>
        <w:keepNext w:val="0"/>
        <w:keepLines w:val="0"/>
        <w:widowControl w:val="0"/>
        <w:shd w:val="clear" w:color="auto" w:fill="auto"/>
        <w:bidi w:val="0"/>
        <w:spacing w:before="0" w:after="0" w:line="320"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80" w:line="313" w:lineRule="exact"/>
        <w:ind w:left="0" w:right="0"/>
        <w:jc w:val="both"/>
      </w:pPr>
      <w:r>
        <w:rPr>
          <w:color w:val="000000"/>
          <w:spacing w:val="0"/>
          <w:w w:val="100"/>
          <w:position w:val="0"/>
        </w:rPr>
        <w:t>报告期内，公司各项业务均正常开展，经营活动产生的现金流量净额为</w:t>
      </w:r>
      <w:r>
        <w:rPr>
          <w:rFonts w:ascii="Times New Roman" w:eastAsia="Times New Roman" w:hAnsi="Times New Roman" w:cs="Times New Roman"/>
          <w:color w:val="000000"/>
          <w:spacing w:val="0"/>
          <w:w w:val="100"/>
          <w:position w:val="0"/>
        </w:rPr>
        <w:t>1.27</w:t>
      </w:r>
      <w:r>
        <w:rPr>
          <w:color w:val="000000"/>
          <w:spacing w:val="0"/>
          <w:w w:val="100"/>
          <w:position w:val="0"/>
        </w:rPr>
        <w:t>亿元。但由于控股子公司哆可梦自研游戏 产品和代理游戏产品的上线时间表有所推迟，业务规模下降，收入减少，与此同时，面对报告期内游戏行业竞争加剧，哆 可梦游戏的体量、渠道、市场普及程度、新游戏上线频率等与头部游戏公司差距较大，经公司对收购哆可梦形成的商誉进 行的减值测试，公司结合哆可梦未来经营情况的分析预测，在此基础上对其计提了商誉减值</w:t>
      </w:r>
      <w:r>
        <w:rPr>
          <w:rFonts w:ascii="Times New Roman" w:eastAsia="Times New Roman" w:hAnsi="Times New Roman" w:cs="Times New Roman"/>
          <w:color w:val="000000"/>
          <w:spacing w:val="0"/>
          <w:w w:val="100"/>
          <w:position w:val="0"/>
        </w:rPr>
        <w:t>9.08</w:t>
      </w:r>
      <w:r>
        <w:rPr>
          <w:color w:val="000000"/>
          <w:spacing w:val="0"/>
          <w:w w:val="100"/>
          <w:position w:val="0"/>
        </w:rPr>
        <w:t>亿元，导致报告期内净利 润出现较大亏损，从而导致报告期内公司经营活动产生的现金净流量与本年度净利润存在较大差异。</w:t>
      </w:r>
      <w:r>
        <w:br w:type="page"/>
      </w:r>
    </w:p>
    <w:p>
      <w:pPr>
        <w:pStyle w:val="Style29"/>
        <w:keepNext/>
        <w:keepLines/>
        <w:widowControl w:val="0"/>
        <w:shd w:val="clear" w:color="auto" w:fill="auto"/>
        <w:tabs>
          <w:tab w:pos="522" w:val="left"/>
        </w:tabs>
        <w:bidi w:val="0"/>
        <w:spacing w:before="0" w:after="36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sz w:val="24"/>
          <w:szCs w:val="24"/>
        </w:rPr>
        <w:t>三</w:t>
      </w:r>
      <w:bookmarkEnd w:id="162"/>
      <w:r>
        <w:rPr>
          <w:color w:val="000000"/>
          <w:spacing w:val="0"/>
          <w:w w:val="100"/>
          <w:position w:val="0"/>
          <w:sz w:val="24"/>
          <w:szCs w:val="24"/>
        </w:rPr>
        <w:t>、</w:t>
        <w:tab/>
        <w:t>非主营业务分析</w:t>
      </w:r>
      <w:bookmarkEnd w:id="160"/>
      <w:bookmarkEnd w:id="161"/>
      <w:bookmarkEnd w:id="163"/>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522" w:val="left"/>
        </w:tabs>
        <w:bidi w:val="0"/>
        <w:spacing w:before="0" w:after="36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sz w:val="24"/>
          <w:szCs w:val="24"/>
        </w:rPr>
        <w:t>四</w:t>
      </w:r>
      <w:bookmarkEnd w:id="166"/>
      <w:r>
        <w:rPr>
          <w:color w:val="000000"/>
          <w:spacing w:val="0"/>
          <w:w w:val="100"/>
          <w:position w:val="0"/>
          <w:sz w:val="24"/>
          <w:szCs w:val="24"/>
        </w:rPr>
        <w:t>、</w:t>
        <w:tab/>
        <w:t>资产及负债状况分析</w:t>
      </w:r>
      <w:bookmarkEnd w:id="164"/>
      <w:bookmarkEnd w:id="165"/>
      <w:bookmarkEnd w:id="167"/>
    </w:p>
    <w:p>
      <w:pPr>
        <w:pStyle w:val="Style37"/>
        <w:keepNext/>
        <w:keepLines/>
        <w:widowControl w:val="0"/>
        <w:shd w:val="clear" w:color="auto" w:fill="auto"/>
        <w:bidi w:val="0"/>
        <w:spacing w:before="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1</w:t>
      </w:r>
      <w:bookmarkEnd w:id="170"/>
      <w:r>
        <w:rPr>
          <w:color w:val="000000"/>
          <w:spacing w:val="0"/>
          <w:w w:val="100"/>
          <w:position w:val="0"/>
        </w:rPr>
        <w:t>、资产构成重大变动情况</w:t>
      </w:r>
      <w:bookmarkEnd w:id="168"/>
      <w:bookmarkEnd w:id="169"/>
      <w:bookmarkEnd w:id="171"/>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291"/>
        <w:gridCol w:w="936"/>
        <w:gridCol w:w="1334"/>
        <w:gridCol w:w="706"/>
        <w:gridCol w:w="710"/>
        <w:gridCol w:w="323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占总资 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115,070,299.38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250,595,780.44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主要系报告期内偿还贷款所致</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114,716,678.77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321,432,727.36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主要系报告期内应收款项收回所致</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29,082,550.02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48,643,871.33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151,726,800.00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252,679,600.00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20,708,042.24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170,580,295.60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主要系报告期内将惠智网联投资款调整 到其他应收款所致</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162,023,924.68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84,788,453.31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主要系报告期内投资性房地产转入所致</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142,277,974.80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357,000,000.00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主要系报告期内偿还中航信托并购贷款 所致</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459,221,163.50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22.90%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558,850,000.00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主要系报告期内计提商誉减值导致总资 产减少，长期借款占比增加所致</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259,381,030.19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主要系报告期内处置证券投资资产及转 让理财产品收益权所致</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428,270,370.94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21.36%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394,655,355.78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主要系报告期内预付推广费增加所致</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328,358,362.41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16.37%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318,342,177.74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主要系报告期内增加股权转让诚意金所 致</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其他权益工具投</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143,508,291.68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111,498,291.68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主要系报告期内增加对外投资增加所致</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312,618,971.30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15.59%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1,220,600,461.98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主要系报告期内计提商誉减值准备所致</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83,331,192.93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98,594,526.22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主要系报告期内总资产减少，导致长期 待摊费用占比增加所致</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57,086,287.25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32,043,929.80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0.88%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1.97%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主要系报告期内由于弥补亏损，确认递 延所得税资产增加所致</w:t>
            </w:r>
          </w:p>
        </w:tc>
      </w:tr>
    </w:tbl>
    <w:p>
      <w:pPr>
        <w:spacing w:lineRule="exact" w:line="1"/>
        <w:rPr>
          <w:sz w:val="2"/>
          <w:szCs w:val="2"/>
        </w:rPr>
      </w:pPr>
      <w:r>
        <w:br w:type="page"/>
      </w:r>
    </w:p>
    <w:tbl>
      <w:tblPr>
        <w:tblOverlap w:val="never"/>
        <w:jc w:val="center"/>
        <w:tblLayout w:type="fixed"/>
      </w:tblPr>
      <w:tblGrid>
        <w:gridCol w:w="1378"/>
        <w:gridCol w:w="1291"/>
        <w:gridCol w:w="936"/>
        <w:gridCol w:w="1334"/>
        <w:gridCol w:w="706"/>
        <w:gridCol w:w="710"/>
        <w:gridCol w:w="3230"/>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220,760,275.98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337,825,358.23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主要系报告期内总资产减少，导致应付 账款占比增加所致</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257,952,651.54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368,203,739.75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left"/>
            </w:pPr>
            <w:r>
              <w:rPr>
                <w:color w:val="000000"/>
                <w:spacing w:val="0"/>
                <w:w w:val="100"/>
                <w:position w:val="0"/>
              </w:rPr>
              <w:t>主要系报告期内收购控股子公司上海季 娱</w:t>
            </w:r>
            <w:r>
              <w:rPr>
                <w:rFonts w:ascii="Times New Roman" w:eastAsia="Times New Roman" w:hAnsi="Times New Roman" w:cs="Times New Roman"/>
                <w:color w:val="000000"/>
                <w:spacing w:val="0"/>
                <w:w w:val="100"/>
                <w:position w:val="0"/>
              </w:rPr>
              <w:t>49%</w:t>
            </w:r>
            <w:r>
              <w:rPr>
                <w:color w:val="000000"/>
                <w:spacing w:val="0"/>
                <w:w w:val="100"/>
                <w:position w:val="0"/>
              </w:rPr>
              <w:t>少数股权所致</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2</w:t>
      </w:r>
      <w:bookmarkEnd w:id="174"/>
      <w:r>
        <w:rPr>
          <w:color w:val="000000"/>
          <w:spacing w:val="0"/>
          <w:w w:val="100"/>
          <w:position w:val="0"/>
        </w:rPr>
        <w:t>、以公允价值计量的资产和负债</w:t>
      </w:r>
      <w:bookmarkEnd w:id="172"/>
      <w:bookmarkEnd w:id="173"/>
      <w:bookmarkEnd w:id="175"/>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26"/>
        <w:gridCol w:w="1133"/>
        <w:gridCol w:w="1138"/>
        <w:gridCol w:w="1133"/>
        <w:gridCol w:w="710"/>
        <w:gridCol w:w="1133"/>
        <w:gridCol w:w="1133"/>
        <w:gridCol w:w="1277"/>
        <w:gridCol w:w="1104"/>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 提的减 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 金融资产</w:t>
            </w:r>
          </w:p>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(不含衍 生金融资 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259,381,030.19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7,504,056.53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23,858,221.85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31,781,980.62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-247,020,013.70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其他权 益工具投 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111,498,291.68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-5,450,837.03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54,970,000.00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143,508,291.68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金融资产</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370,879,321.87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7,504,056.53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-5,450,837.03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78,828,221.85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31,781,980.62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-247,020,013.70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143,508,291.68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投资性房 地产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252,679,600.00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-12,656,300.00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-87,096,500.00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151,726,800.00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623,558,921.87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-5,152,243.47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-5,450,837.03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78,828,221.85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32,981,980.62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-334,116,513.70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295,235,091.68</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bl>
    <w:p>
      <w:pPr>
        <w:pStyle w:val="Style33"/>
        <w:keepNext w:val="0"/>
        <w:keepLines w:val="0"/>
        <w:widowControl w:val="0"/>
        <w:shd w:val="clear" w:color="auto" w:fill="auto"/>
        <w:bidi w:val="0"/>
        <w:spacing w:before="0" w:after="140" w:line="331" w:lineRule="exact"/>
        <w:ind w:left="0" w:right="0" w:firstLine="0"/>
        <w:jc w:val="left"/>
      </w:pPr>
      <w:r>
        <w:rPr>
          <w:color w:val="000000"/>
          <w:spacing w:val="0"/>
          <w:w w:val="100"/>
          <w:position w:val="0"/>
        </w:rPr>
        <w:t>其他变动的内容</w:t>
      </w:r>
    </w:p>
    <w:p>
      <w:pPr>
        <w:pStyle w:val="Style33"/>
        <w:keepNext w:val="0"/>
        <w:keepLines w:val="0"/>
        <w:widowControl w:val="0"/>
        <w:numPr>
          <w:ilvl w:val="0"/>
          <w:numId w:val="5"/>
        </w:numPr>
        <w:shd w:val="clear" w:color="auto" w:fill="auto"/>
        <w:tabs>
          <w:tab w:pos="445" w:val="left"/>
        </w:tabs>
        <w:bidi w:val="0"/>
        <w:spacing w:before="0" w:after="0" w:line="240" w:lineRule="auto"/>
        <w:ind w:left="0" w:right="0" w:firstLine="0"/>
        <w:jc w:val="left"/>
      </w:pPr>
      <w:bookmarkStart w:id="176" w:name="bookmark176"/>
      <w:bookmarkEnd w:id="176"/>
      <w:r>
        <w:rPr>
          <w:color w:val="000000"/>
          <w:spacing w:val="0"/>
          <w:w w:val="100"/>
          <w:position w:val="0"/>
        </w:rPr>
        <w:t>交易性金融资产(不含衍生金融资产)的其他变动主要系报告期内转让理财产品受益权所致。</w:t>
      </w:r>
    </w:p>
    <w:p>
      <w:pPr>
        <w:pStyle w:val="Style33"/>
        <w:keepNext w:val="0"/>
        <w:keepLines w:val="0"/>
        <w:widowControl w:val="0"/>
        <w:numPr>
          <w:ilvl w:val="0"/>
          <w:numId w:val="5"/>
        </w:numPr>
        <w:shd w:val="clear" w:color="auto" w:fill="auto"/>
        <w:tabs>
          <w:tab w:pos="546" w:val="left"/>
        </w:tabs>
        <w:bidi w:val="0"/>
        <w:spacing w:before="0" w:after="0" w:line="331" w:lineRule="exact"/>
        <w:ind w:left="0" w:right="0" w:firstLine="0"/>
        <w:jc w:val="left"/>
      </w:pPr>
      <w:bookmarkStart w:id="177" w:name="bookmark177"/>
      <w:bookmarkEnd w:id="177"/>
      <w:r>
        <w:rPr>
          <w:color w:val="000000"/>
          <w:spacing w:val="0"/>
          <w:w w:val="100"/>
          <w:position w:val="0"/>
        </w:rPr>
        <w:t>投资性房地产的其他变动主要系报告期内公司投资性房地产的部分房产因用途由出租转为自用，变为由固定资产核算 所致。</w:t>
      </w:r>
    </w:p>
    <w:p>
      <w:pPr>
        <w:pStyle w:val="Style33"/>
        <w:keepNext w:val="0"/>
        <w:keepLines w:val="0"/>
        <w:widowControl w:val="0"/>
        <w:shd w:val="clear" w:color="auto" w:fill="auto"/>
        <w:bidi w:val="0"/>
        <w:spacing w:before="0" w:after="140" w:line="331" w:lineRule="exact"/>
        <w:ind w:left="0" w:right="0" w:firstLine="0"/>
        <w:jc w:val="left"/>
      </w:pPr>
      <w:r>
        <w:rPr>
          <w:color w:val="000000"/>
          <w:spacing w:val="0"/>
          <w:w w:val="100"/>
          <w:position w:val="0"/>
        </w:rPr>
        <w:t>报告期内公司主要资产计量属性是否发生重大变化</w:t>
      </w:r>
    </w:p>
    <w:p>
      <w:pPr>
        <w:pStyle w:val="Style33"/>
        <w:keepNext w:val="0"/>
        <w:keepLines w:val="0"/>
        <w:widowControl w:val="0"/>
        <w:shd w:val="clear" w:color="auto" w:fill="auto"/>
        <w:bidi w:val="0"/>
        <w:spacing w:before="0" w:after="240" w:line="38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37"/>
        <w:keepNext/>
        <w:keepLines/>
        <w:widowControl w:val="0"/>
        <w:shd w:val="clear" w:color="auto" w:fill="auto"/>
        <w:bidi w:val="0"/>
        <w:spacing w:before="0" w:after="32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3</w:t>
      </w:r>
      <w:bookmarkEnd w:id="180"/>
      <w:r>
        <w:rPr>
          <w:color w:val="000000"/>
          <w:spacing w:val="0"/>
          <w:w w:val="100"/>
          <w:position w:val="0"/>
        </w:rPr>
        <w:t>、截至报告期末的资产权利受限情况</w:t>
      </w:r>
      <w:bookmarkEnd w:id="178"/>
      <w:bookmarkEnd w:id="179"/>
      <w:bookmarkEnd w:id="181"/>
    </w:p>
    <w:tbl>
      <w:tblPr>
        <w:tblOverlap w:val="never"/>
        <w:jc w:val="center"/>
        <w:tblLayout w:type="fixed"/>
      </w:tblPr>
      <w:tblGrid>
        <w:gridCol w:w="2107"/>
        <w:gridCol w:w="2098"/>
        <w:gridCol w:w="5443"/>
      </w:tblGrid>
      <w:tr>
        <w:trPr>
          <w:trHeight w:val="35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61,606,498.44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保函、银承、贷款保证金、冻结资金</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160,095,174.62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抵押贷款</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113,341,600.00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抵押贷款</w:t>
            </w:r>
          </w:p>
        </w:tc>
      </w:tr>
    </w:tbl>
    <w:tbl>
      <w:tblPr>
        <w:tblOverlap w:val="never"/>
        <w:jc w:val="center"/>
        <w:tblLayout w:type="fixed"/>
      </w:tblPr>
      <w:tblGrid>
        <w:gridCol w:w="2107"/>
        <w:gridCol w:w="2098"/>
        <w:gridCol w:w="5443"/>
      </w:tblGrid>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751,278,684.79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抵押贷款</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1,086,321,957.85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619" w:line="1" w:lineRule="exact"/>
      </w:pPr>
    </w:p>
    <w:p>
      <w:pPr>
        <w:pStyle w:val="Style29"/>
        <w:keepNext/>
        <w:keepLines/>
        <w:widowControl w:val="0"/>
        <w:shd w:val="clear" w:color="auto" w:fill="auto"/>
        <w:bidi w:val="0"/>
        <w:spacing w:before="0" w:after="36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sz w:val="24"/>
          <w:szCs w:val="24"/>
        </w:rPr>
        <w:t>五</w:t>
      </w:r>
      <w:bookmarkEnd w:id="184"/>
      <w:r>
        <w:rPr>
          <w:color w:val="000000"/>
          <w:spacing w:val="0"/>
          <w:w w:val="100"/>
          <w:position w:val="0"/>
          <w:sz w:val="24"/>
          <w:szCs w:val="24"/>
        </w:rPr>
        <w:t>、投资状况分析</w:t>
      </w:r>
      <w:bookmarkEnd w:id="182"/>
      <w:bookmarkEnd w:id="183"/>
      <w:bookmarkEnd w:id="185"/>
    </w:p>
    <w:p>
      <w:pPr>
        <w:pStyle w:val="Style37"/>
        <w:keepNext/>
        <w:keepLines/>
        <w:widowControl w:val="0"/>
        <w:shd w:val="clear" w:color="auto" w:fill="auto"/>
        <w:bidi w:val="0"/>
        <w:spacing w:before="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1</w:t>
      </w:r>
      <w:bookmarkEnd w:id="188"/>
      <w:r>
        <w:rPr>
          <w:color w:val="000000"/>
          <w:spacing w:val="0"/>
          <w:w w:val="100"/>
          <w:position w:val="0"/>
        </w:rPr>
        <w:t>、总体情况</w:t>
      </w:r>
      <w:bookmarkEnd w:id="186"/>
      <w:bookmarkEnd w:id="187"/>
      <w:bookmarkEnd w:id="189"/>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608,278,970.85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2,704,890,052.22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77.51%</w:t>
            </w:r>
          </w:p>
        </w:tc>
      </w:tr>
    </w:tbl>
    <w:p>
      <w:pPr>
        <w:widowControl w:val="0"/>
        <w:spacing w:after="359" w:line="1" w:lineRule="exact"/>
      </w:pPr>
    </w:p>
    <w:p>
      <w:pPr>
        <w:pStyle w:val="Style37"/>
        <w:keepNext/>
        <w:keepLines/>
        <w:widowControl w:val="0"/>
        <w:shd w:val="clear" w:color="auto" w:fill="auto"/>
        <w:tabs>
          <w:tab w:pos="378" w:val="left"/>
        </w:tabs>
        <w:bidi w:val="0"/>
        <w:spacing w:before="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2</w:t>
      </w:r>
      <w:bookmarkEnd w:id="192"/>
      <w:r>
        <w:rPr>
          <w:color w:val="000000"/>
          <w:spacing w:val="0"/>
          <w:w w:val="100"/>
          <w:position w:val="0"/>
        </w:rPr>
        <w:t>、</w:t>
        <w:tab/>
        <w:t>报告期内获取的重大的股权投资情况</w:t>
      </w:r>
      <w:bookmarkEnd w:id="190"/>
      <w:bookmarkEnd w:id="191"/>
      <w:bookmarkEnd w:id="193"/>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3</w:t>
      </w:r>
      <w:bookmarkEnd w:id="196"/>
      <w:r>
        <w:rPr>
          <w:color w:val="000000"/>
          <w:spacing w:val="0"/>
          <w:w w:val="100"/>
          <w:position w:val="0"/>
        </w:rPr>
        <w:t>、</w:t>
        <w:tab/>
        <w:t>报告期内正在进行的重大的非股权投资情况</w:t>
      </w:r>
      <w:bookmarkEnd w:id="194"/>
      <w:bookmarkEnd w:id="195"/>
      <w:bookmarkEnd w:id="197"/>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4</w:t>
      </w:r>
      <w:bookmarkEnd w:id="200"/>
      <w:r>
        <w:rPr>
          <w:color w:val="000000"/>
          <w:spacing w:val="0"/>
          <w:w w:val="100"/>
          <w:position w:val="0"/>
        </w:rPr>
        <w:t>、</w:t>
        <w:tab/>
        <w:t>金融资产投资</w:t>
      </w:r>
      <w:bookmarkEnd w:id="198"/>
      <w:bookmarkEnd w:id="199"/>
      <w:bookmarkEnd w:id="201"/>
    </w:p>
    <w:p>
      <w:pPr>
        <w:pStyle w:val="Style37"/>
        <w:keepNext/>
        <w:keepLines/>
        <w:widowControl w:val="0"/>
        <w:shd w:val="clear" w:color="auto" w:fill="auto"/>
        <w:bidi w:val="0"/>
        <w:spacing w:before="0" w:line="240" w:lineRule="auto"/>
        <w:ind w:left="0" w:right="0" w:firstLine="0"/>
        <w:jc w:val="left"/>
      </w:pPr>
      <w:bookmarkStart w:id="198" w:name="bookmark198"/>
      <w:bookmarkStart w:id="199" w:name="bookmark199"/>
      <w:bookmarkStart w:id="202" w:name="bookmark202"/>
      <w:bookmarkStart w:id="203" w:name="bookmark203"/>
      <w:r>
        <w:rPr>
          <w:color w:val="000000"/>
          <w:spacing w:val="0"/>
          <w:w w:val="100"/>
          <w:position w:val="0"/>
        </w:rPr>
        <w:t>（</w:t>
      </w:r>
      <w:bookmarkEnd w:id="202"/>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198"/>
      <w:bookmarkEnd w:id="199"/>
      <w:bookmarkEnd w:id="203"/>
    </w:p>
    <w:p>
      <w:pPr>
        <w:pStyle w:val="Style3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59" w:right="1060" w:bottom="1508" w:left="1062" w:header="0" w:footer="3" w:gutter="0"/>
          <w:cols w:space="720"/>
          <w:noEndnote/>
          <w:rtlGutter w:val="0"/>
          <w:docGrid w:linePitch="360"/>
        </w:sectPr>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734"/>
        <w:gridCol w:w="979"/>
        <w:gridCol w:w="1152"/>
        <w:gridCol w:w="1094"/>
        <w:gridCol w:w="941"/>
        <w:gridCol w:w="1090"/>
        <w:gridCol w:w="1003"/>
        <w:gridCol w:w="936"/>
        <w:gridCol w:w="1094"/>
        <w:gridCol w:w="1090"/>
        <w:gridCol w:w="1085"/>
        <w:gridCol w:w="850"/>
        <w:gridCol w:w="941"/>
        <w:gridCol w:w="979"/>
      </w:tblGrid>
      <w:tr>
        <w:trPr>
          <w:trHeight w:val="134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证券品 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证券代码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证券简称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最初投资成 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会计计量 模式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期初账面价 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 的累计公 允价值变</w:t>
            </w:r>
          </w:p>
          <w:p>
            <w:pPr>
              <w:pStyle w:val="Style26"/>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期末账面 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境内外</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002475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立讯精密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7,472,820.52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公允价值</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7,472,820.52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8,328,084.89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857,664.13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交易性金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境内外</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600196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复星医药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4,668,621.86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公允价值</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4,668,621.86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5,418,239.31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751,567.45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交易性金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境内外</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601066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8,193,739.93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公允价值</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8,193,739.93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8,761,177.11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582,712.18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交易性金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境内外</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002278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神开股份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15,096,488.42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公允价值</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7,596,208.89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7,500,279.53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6,151,631.66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-1,444,577.23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交易性金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境内外</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603687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大胜达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3,523,039.54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公允价值</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3,523,039.54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3,122,847.65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-400,191.89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交易性金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511880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银华日利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4,768,584.80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公允价值</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4,764,807.60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4,808,858.80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163,955.60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交易性金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398" w:hRule="exact"/>
        </w:trPr>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期末持有的其他证券投资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420" w:firstLine="0"/>
              <w:jc w:val="right"/>
            </w:pPr>
            <w:r>
              <w:rPr>
                <w:rFonts w:ascii="Times New Roman" w:eastAsia="Times New Roman" w:hAnsi="Times New Roman" w:cs="Times New Roman"/>
                <w:color w:val="000000"/>
                <w:spacing w:val="0"/>
                <w:w w:val="100"/>
                <w:position w:val="0"/>
              </w:rPr>
              <w:t>--</w:t>
            </w:r>
          </w:p>
        </w:tc>
      </w:tr>
      <w:tr>
        <w:trPr>
          <w:trHeight w:val="403" w:hRule="exact"/>
        </w:trPr>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43,723,295.07</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12,361,016.49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7,504,056.53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23,858,221.85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36,590,839.42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511,130.24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420" w:firstLine="0"/>
              <w:jc w:val="right"/>
            </w:pPr>
            <w:r>
              <w:rPr>
                <w:rFonts w:ascii="Times New Roman" w:eastAsia="Times New Roman" w:hAnsi="Times New Roman" w:cs="Times New Roman"/>
                <w:color w:val="000000"/>
                <w:spacing w:val="0"/>
                <w:w w:val="100"/>
                <w:position w:val="0"/>
              </w:rPr>
              <w:t>--</w:t>
            </w:r>
          </w:p>
        </w:tc>
      </w:tr>
      <w:tr>
        <w:trPr>
          <w:trHeight w:val="403" w:hRule="exact"/>
        </w:trPr>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证券投资审批董事会公告披露日期</w:t>
            </w:r>
          </w:p>
        </w:tc>
        <w:tc>
          <w:tcPr>
            <w:gridSpan w:val="11"/>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r>
        <w:trPr>
          <w:trHeight w:val="725" w:hRule="exact"/>
        </w:trPr>
        <w:tc>
          <w:tcPr>
            <w:gridSpan w:val="3"/>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证券投资审批股东会公告披露日期</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r>
              <w:rPr>
                <w:color w:val="000000"/>
                <w:spacing w:val="0"/>
                <w:w w:val="100"/>
                <w:position w:val="0"/>
              </w:rPr>
              <w:t>）</w:t>
            </w:r>
          </w:p>
        </w:tc>
        <w:tc>
          <w:tcPr>
            <w:gridSpan w:val="11"/>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2</w:t>
      </w:r>
      <w:bookmarkEnd w:id="206"/>
      <w:r>
        <w:rPr>
          <w:color w:val="000000"/>
          <w:spacing w:val="0"/>
          <w:w w:val="100"/>
          <w:position w:val="0"/>
        </w:rPr>
        <w:t>）衍生品投资情况</w:t>
      </w:r>
      <w:bookmarkEnd w:id="204"/>
      <w:bookmarkEnd w:id="205"/>
      <w:bookmarkEnd w:id="207"/>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公司报告期不存在衍生品投资。</w:t>
      </w:r>
    </w:p>
    <w:p>
      <w:pPr>
        <w:pStyle w:val="Style37"/>
        <w:keepNext/>
        <w:keepLines/>
        <w:widowControl w:val="0"/>
        <w:shd w:val="clear" w:color="auto" w:fill="auto"/>
        <w:bidi w:val="0"/>
        <w:spacing w:before="0" w:line="240" w:lineRule="auto"/>
        <w:ind w:left="0" w:right="0" w:firstLine="0"/>
        <w:jc w:val="both"/>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5</w:t>
      </w:r>
      <w:bookmarkEnd w:id="210"/>
      <w:r>
        <w:rPr>
          <w:color w:val="000000"/>
          <w:spacing w:val="0"/>
          <w:w w:val="100"/>
          <w:position w:val="0"/>
        </w:rPr>
        <w:t>、募集资金使用情况</w:t>
      </w:r>
      <w:bookmarkEnd w:id="208"/>
      <w:bookmarkEnd w:id="209"/>
      <w:bookmarkEnd w:id="211"/>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公司报告期无募集资金使用情况。</w:t>
      </w:r>
    </w:p>
    <w:p>
      <w:pPr>
        <w:pStyle w:val="Style29"/>
        <w:keepNext/>
        <w:keepLines/>
        <w:widowControl w:val="0"/>
        <w:shd w:val="clear" w:color="auto" w:fill="auto"/>
        <w:bidi w:val="0"/>
        <w:spacing w:before="0" w:after="360" w:line="240" w:lineRule="auto"/>
        <w:ind w:left="0" w:right="0" w:firstLine="0"/>
        <w:jc w:val="both"/>
      </w:pPr>
      <w:bookmarkStart w:id="212" w:name="bookmark212"/>
      <w:bookmarkStart w:id="213" w:name="bookmark213"/>
      <w:bookmarkStart w:id="214" w:name="bookmark214"/>
      <w:bookmarkStart w:id="215" w:name="bookmark215"/>
      <w:r>
        <w:rPr>
          <w:color w:val="000000"/>
          <w:spacing w:val="0"/>
          <w:w w:val="100"/>
          <w:position w:val="0"/>
          <w:sz w:val="24"/>
          <w:szCs w:val="24"/>
        </w:rPr>
        <w:t>六</w:t>
      </w:r>
      <w:bookmarkEnd w:id="214"/>
      <w:r>
        <w:rPr>
          <w:color w:val="000000"/>
          <w:spacing w:val="0"/>
          <w:w w:val="100"/>
          <w:position w:val="0"/>
          <w:sz w:val="24"/>
          <w:szCs w:val="24"/>
        </w:rPr>
        <w:t>、重大资产和股权出售</w:t>
      </w:r>
      <w:bookmarkEnd w:id="212"/>
      <w:bookmarkEnd w:id="213"/>
      <w:bookmarkEnd w:id="215"/>
    </w:p>
    <w:p>
      <w:pPr>
        <w:pStyle w:val="Style37"/>
        <w:keepNext/>
        <w:keepLines/>
        <w:widowControl w:val="0"/>
        <w:shd w:val="clear" w:color="auto" w:fill="auto"/>
        <w:bidi w:val="0"/>
        <w:spacing w:before="0" w:line="240" w:lineRule="auto"/>
        <w:ind w:left="0" w:right="0" w:firstLine="0"/>
        <w:jc w:val="both"/>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1</w:t>
      </w:r>
      <w:bookmarkEnd w:id="218"/>
      <w:r>
        <w:rPr>
          <w:color w:val="000000"/>
          <w:spacing w:val="0"/>
          <w:w w:val="100"/>
          <w:position w:val="0"/>
        </w:rPr>
        <w:t>、出售重大资产情况</w:t>
      </w:r>
      <w:bookmarkEnd w:id="216"/>
      <w:bookmarkEnd w:id="217"/>
      <w:bookmarkEnd w:id="219"/>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69"/>
        <w:gridCol w:w="859"/>
        <w:gridCol w:w="864"/>
        <w:gridCol w:w="859"/>
        <w:gridCol w:w="864"/>
        <w:gridCol w:w="864"/>
        <w:gridCol w:w="859"/>
        <w:gridCol w:w="864"/>
        <w:gridCol w:w="864"/>
        <w:gridCol w:w="864"/>
        <w:gridCol w:w="864"/>
        <w:gridCol w:w="864"/>
        <w:gridCol w:w="864"/>
        <w:gridCol w:w="864"/>
        <w:gridCol w:w="1882"/>
      </w:tblGrid>
      <w:tr>
        <w:trPr>
          <w:trHeight w:val="290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交易对方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被出售资</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交易价格</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本期初起 至出售日 该资产为 上市公司 贡献的净 利润（万 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出售对公 司的影响</w:t>
            </w:r>
          </w:p>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资产出售 为上市公 司贡献的 净利润占 净利润总 额的比例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资产出售 定价原则</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是否为关</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联交易</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与交易对 方的关联 关系（适 用关联交 易情形）</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所涉及的 资产产权 是否已全 部过户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所涉及的 债权债务 是否已全 部转移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是否按计 划如期实 施，如未 按计划实 施，应当 说明原因 及公司已 采取的措 施</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66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程某</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深圳市南 山区粤海 路四达大 厦 </w:t>
            </w:r>
            <w:r>
              <w:rPr>
                <w:rFonts w:ascii="Times New Roman" w:eastAsia="Times New Roman" w:hAnsi="Times New Roman" w:cs="Times New Roman"/>
                <w:color w:val="000000"/>
                <w:spacing w:val="0"/>
                <w:w w:val="100"/>
                <w:position w:val="0"/>
              </w:rPr>
              <w:t>A-14F</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rPr>
              <w:t xml:space="preserve">-16.50 </w:t>
            </w:r>
            <w:r>
              <w:rPr>
                <w:color w:val="000000"/>
                <w:spacing w:val="0"/>
                <w:w w:val="100"/>
                <w:position w:val="0"/>
              </w:rPr>
              <w:t>万 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评估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6"/>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 xml:space="preserve">） </w:t>
            </w:r>
            <w:r>
              <w:rPr>
                <w:color w:val="000000"/>
                <w:spacing w:val="0"/>
                <w:w w:val="100"/>
                <w:position w:val="0"/>
              </w:rPr>
              <w:t>上的《关于处置公司房 产的公告》（公告编 号：</w:t>
            </w:r>
            <w:r>
              <w:rPr>
                <w:rFonts w:ascii="Times New Roman" w:eastAsia="Times New Roman" w:hAnsi="Times New Roman" w:cs="Times New Roman"/>
                <w:color w:val="000000"/>
                <w:spacing w:val="0"/>
                <w:w w:val="100"/>
                <w:position w:val="0"/>
              </w:rPr>
              <w:t>2017-037</w:t>
            </w:r>
            <w:r>
              <w:rPr>
                <w:color w:val="000000"/>
                <w:spacing w:val="0"/>
                <w:w w:val="100"/>
                <w:position w:val="0"/>
              </w:rPr>
              <w:t>）</w:t>
            </w:r>
          </w:p>
        </w:tc>
      </w:tr>
    </w:tbl>
    <w:p>
      <w:pPr>
        <w:sectPr>
          <w:headerReference w:type="default" r:id="rId9"/>
          <w:footerReference w:type="default" r:id="rId10"/>
          <w:footnotePr>
            <w:pos w:val="pageBottom"/>
            <w:numFmt w:val="decimal"/>
            <w:numRestart w:val="continuous"/>
          </w:footnotePr>
          <w:pgSz w:w="16840" w:h="11900" w:orient="landscape"/>
          <w:pgMar w:top="1158" w:right="1426" w:bottom="1320" w:left="1428" w:header="0" w:footer="3" w:gutter="0"/>
          <w:cols w:space="720"/>
          <w:noEndnote/>
          <w:rtlGutter w:val="0"/>
          <w:docGrid w:linePitch="360"/>
        </w:sectPr>
      </w:pPr>
    </w:p>
    <w:p>
      <w:pPr>
        <w:pStyle w:val="Style37"/>
        <w:keepNext/>
        <w:keepLines/>
        <w:widowControl w:val="0"/>
        <w:shd w:val="clear" w:color="auto" w:fill="auto"/>
        <w:bidi w:val="0"/>
        <w:spacing w:before="80" w:line="240" w:lineRule="auto"/>
        <w:ind w:left="0" w:right="0" w:firstLine="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2</w:t>
      </w:r>
      <w:bookmarkEnd w:id="222"/>
      <w:r>
        <w:rPr>
          <w:color w:val="000000"/>
          <w:spacing w:val="0"/>
          <w:w w:val="100"/>
          <w:position w:val="0"/>
        </w:rPr>
        <w:t>、出售重大股权情况</w:t>
      </w:r>
      <w:bookmarkEnd w:id="220"/>
      <w:bookmarkEnd w:id="221"/>
      <w:bookmarkEnd w:id="223"/>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sz w:val="24"/>
          <w:szCs w:val="24"/>
        </w:rPr>
        <w:t>七</w:t>
      </w:r>
      <w:bookmarkEnd w:id="226"/>
      <w:r>
        <w:rPr>
          <w:color w:val="000000"/>
          <w:spacing w:val="0"/>
          <w:w w:val="100"/>
          <w:position w:val="0"/>
          <w:sz w:val="24"/>
          <w:szCs w:val="24"/>
        </w:rPr>
        <w:t>、主要控股参股公司分析</w:t>
      </w:r>
      <w:bookmarkEnd w:id="224"/>
      <w:bookmarkEnd w:id="225"/>
      <w:bookmarkEnd w:id="227"/>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9"/>
        <w:gridCol w:w="283"/>
        <w:gridCol w:w="1843"/>
        <w:gridCol w:w="1133"/>
        <w:gridCol w:w="1277"/>
        <w:gridCol w:w="1277"/>
        <w:gridCol w:w="1272"/>
        <w:gridCol w:w="1138"/>
        <w:gridCol w:w="1104"/>
      </w:tblGrid>
      <w:tr>
        <w:trPr>
          <w:trHeight w:val="134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 司 名 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 司 类 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321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哆</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子 公 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网络技术服务；电脑 游戏软件开发。计算 机、软件及辅助设备 销售；第二类增值电 信业务中的信息服务 业务（不含固定网电 话信息服务和互联网 信息服务）；互联网游 戏出版；手机游戏出 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752,249,617.13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579,585,579.60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461,885,429.74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45,011,082.82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46,242,772.43</w:t>
            </w:r>
          </w:p>
        </w:tc>
      </w:tr>
    </w:tbl>
    <w:p>
      <w:pPr>
        <w:widowControl w:val="0"/>
        <w:spacing w:after="5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60" w:line="240" w:lineRule="auto"/>
        <w:ind w:left="0" w:right="0" w:firstLine="0"/>
        <w:jc w:val="left"/>
      </w:pPr>
      <w:r>
        <w:rPr>
          <w:color w:val="000000"/>
          <w:spacing w:val="0"/>
          <w:w w:val="100"/>
          <w:position w:val="0"/>
        </w:rPr>
        <w:t>主要控股参股公司情况说明</w:t>
      </w:r>
    </w:p>
    <w:p>
      <w:pPr>
        <w:pStyle w:val="Style33"/>
        <w:keepNext w:val="0"/>
        <w:keepLines w:val="0"/>
        <w:widowControl w:val="0"/>
        <w:shd w:val="clear" w:color="auto" w:fill="auto"/>
        <w:bidi w:val="0"/>
        <w:spacing w:before="0" w:after="360" w:line="298" w:lineRule="exact"/>
        <w:ind w:left="0" w:right="0"/>
        <w:jc w:val="both"/>
      </w:pPr>
      <w:bookmarkStart w:id="228" w:name="bookmark228"/>
      <w:r>
        <w:rPr>
          <w:rFonts w:ascii="Times New Roman" w:eastAsia="Times New Roman" w:hAnsi="Times New Roman" w:cs="Times New Roman"/>
          <w:color w:val="000000"/>
          <w:spacing w:val="0"/>
          <w:w w:val="100"/>
          <w:position w:val="0"/>
        </w:rPr>
        <w:t>1</w:t>
      </w:r>
      <w:bookmarkEnd w:id="228"/>
      <w:r>
        <w:rPr>
          <w:color w:val="000000"/>
          <w:spacing w:val="0"/>
          <w:w w:val="100"/>
          <w:position w:val="0"/>
        </w:rPr>
        <w:t>、报告期内，受游戏行业买量成本上涨、哆可梦多款产品延迟上线及哆可梦新产品业绩不达预期等综合因素的影响， 哆可梦</w:t>
      </w:r>
      <w:r>
        <w:rPr>
          <w:rFonts w:ascii="Times New Roman" w:eastAsia="Times New Roman" w:hAnsi="Times New Roman" w:cs="Times New Roman"/>
          <w:color w:val="000000"/>
          <w:spacing w:val="0"/>
          <w:w w:val="100"/>
          <w:position w:val="0"/>
        </w:rPr>
        <w:t>2020</w:t>
      </w:r>
      <w:r>
        <w:rPr>
          <w:color w:val="000000"/>
          <w:spacing w:val="0"/>
          <w:w w:val="100"/>
          <w:position w:val="0"/>
        </w:rPr>
        <w:t>年度营业收入及利润均出现较大幅度的下滑。</w:t>
      </w:r>
    </w:p>
    <w:p>
      <w:pPr>
        <w:pStyle w:val="Style29"/>
        <w:keepNext/>
        <w:keepLines/>
        <w:widowControl w:val="0"/>
        <w:shd w:val="clear" w:color="auto" w:fill="auto"/>
        <w:tabs>
          <w:tab w:pos="517" w:val="left"/>
        </w:tabs>
        <w:bidi w:val="0"/>
        <w:spacing w:before="0" w:after="28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sz w:val="24"/>
          <w:szCs w:val="24"/>
        </w:rPr>
        <w:t>八</w:t>
      </w:r>
      <w:bookmarkEnd w:id="231"/>
      <w:r>
        <w:rPr>
          <w:color w:val="000000"/>
          <w:spacing w:val="0"/>
          <w:w w:val="100"/>
          <w:position w:val="0"/>
          <w:sz w:val="24"/>
          <w:szCs w:val="24"/>
        </w:rPr>
        <w:t>、</w:t>
        <w:tab/>
        <w:t>公司控制的结构化主体情况</w:t>
      </w:r>
      <w:bookmarkEnd w:id="229"/>
      <w:bookmarkEnd w:id="230"/>
      <w:bookmarkEnd w:id="232"/>
    </w:p>
    <w:p>
      <w:pPr>
        <w:pStyle w:val="Style33"/>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28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sz w:val="24"/>
          <w:szCs w:val="24"/>
        </w:rPr>
        <w:t>九</w:t>
      </w:r>
      <w:bookmarkEnd w:id="235"/>
      <w:r>
        <w:rPr>
          <w:color w:val="000000"/>
          <w:spacing w:val="0"/>
          <w:w w:val="100"/>
          <w:position w:val="0"/>
          <w:sz w:val="24"/>
          <w:szCs w:val="24"/>
        </w:rPr>
        <w:t>、</w:t>
        <w:tab/>
        <w:t>公司未来发展的展望</w:t>
      </w:r>
      <w:bookmarkEnd w:id="233"/>
      <w:bookmarkEnd w:id="234"/>
      <w:bookmarkEnd w:id="236"/>
    </w:p>
    <w:p>
      <w:pPr>
        <w:pStyle w:val="Style33"/>
        <w:keepNext w:val="0"/>
        <w:keepLines w:val="0"/>
        <w:widowControl w:val="0"/>
        <w:shd w:val="clear" w:color="auto" w:fill="auto"/>
        <w:bidi w:val="0"/>
        <w:spacing w:before="0" w:after="0" w:line="313" w:lineRule="exact"/>
        <w:ind w:left="0" w:right="0"/>
        <w:jc w:val="left"/>
      </w:pPr>
      <w:bookmarkStart w:id="237" w:name="bookmark237"/>
      <w:r>
        <w:rPr>
          <w:rFonts w:ascii="Times New Roman" w:eastAsia="Times New Roman" w:hAnsi="Times New Roman" w:cs="Times New Roman"/>
          <w:b/>
          <w:bCs/>
          <w:color w:val="000000"/>
          <w:spacing w:val="0"/>
          <w:w w:val="100"/>
          <w:position w:val="0"/>
        </w:rPr>
        <w:t>1</w:t>
      </w:r>
      <w:bookmarkEnd w:id="237"/>
      <w:r>
        <w:rPr>
          <w:b/>
          <w:bCs/>
          <w:color w:val="000000"/>
          <w:spacing w:val="0"/>
          <w:w w:val="100"/>
          <w:position w:val="0"/>
        </w:rPr>
        <w:t>、行业情况</w:t>
      </w:r>
    </w:p>
    <w:p>
      <w:pPr>
        <w:pStyle w:val="Style33"/>
        <w:keepNext w:val="0"/>
        <w:keepLines w:val="0"/>
        <w:widowControl w:val="0"/>
        <w:shd w:val="clear" w:color="auto" w:fill="auto"/>
        <w:bidi w:val="0"/>
        <w:spacing w:before="0" w:after="0" w:line="313" w:lineRule="exact"/>
        <w:ind w:left="0" w:right="0"/>
        <w:jc w:val="left"/>
      </w:pPr>
      <w:r>
        <w:rPr>
          <w:b/>
          <w:bCs/>
          <w:color w:val="000000"/>
          <w:spacing w:val="0"/>
          <w:w w:val="100"/>
          <w:position w:val="0"/>
        </w:rPr>
        <w:t>互联网游戏行业：</w:t>
      </w:r>
    </w:p>
    <w:p>
      <w:pPr>
        <w:pStyle w:val="Style33"/>
        <w:keepNext w:val="0"/>
        <w:keepLines w:val="0"/>
        <w:widowControl w:val="0"/>
        <w:shd w:val="clear" w:color="auto" w:fill="auto"/>
        <w:bidi w:val="0"/>
        <w:spacing w:before="0" w:after="200" w:line="313" w:lineRule="exact"/>
        <w:ind w:left="0" w:right="0"/>
        <w:jc w:val="left"/>
      </w:pPr>
      <w:r>
        <w:rPr>
          <w:color w:val="000000"/>
          <w:spacing w:val="0"/>
          <w:w w:val="100"/>
          <w:position w:val="0"/>
        </w:rPr>
        <w:t>根据中国音数协游戏工委（</w:t>
      </w:r>
      <w:r>
        <w:rPr>
          <w:rFonts w:ascii="Times New Roman" w:eastAsia="Times New Roman" w:hAnsi="Times New Roman" w:cs="Times New Roman"/>
          <w:color w:val="000000"/>
          <w:spacing w:val="0"/>
          <w:w w:val="100"/>
          <w:position w:val="0"/>
        </w:rPr>
        <w:t>GPC</w:t>
      </w:r>
      <w:r>
        <w:rPr>
          <w:color w:val="000000"/>
          <w:spacing w:val="0"/>
          <w:w w:val="100"/>
          <w:position w:val="0"/>
        </w:rPr>
        <w:t>）发布的《</w:t>
      </w:r>
      <w:r>
        <w:rPr>
          <w:rFonts w:ascii="Times New Roman" w:eastAsia="Times New Roman" w:hAnsi="Times New Roman" w:cs="Times New Roman"/>
          <w:color w:val="000000"/>
          <w:spacing w:val="0"/>
          <w:w w:val="100"/>
          <w:position w:val="0"/>
        </w:rPr>
        <w:t>2020</w:t>
      </w:r>
      <w:r>
        <w:rPr>
          <w:color w:val="000000"/>
          <w:spacing w:val="0"/>
          <w:w w:val="100"/>
          <w:position w:val="0"/>
        </w:rPr>
        <w:t>年中国游戏产业报告》，</w:t>
      </w:r>
      <w:r>
        <w:rPr>
          <w:rFonts w:ascii="Times New Roman" w:eastAsia="Times New Roman" w:hAnsi="Times New Roman" w:cs="Times New Roman"/>
          <w:color w:val="000000"/>
          <w:spacing w:val="0"/>
          <w:w w:val="100"/>
          <w:position w:val="0"/>
        </w:rPr>
        <w:t>2020</w:t>
      </w:r>
      <w:r>
        <w:rPr>
          <w:color w:val="000000"/>
          <w:spacing w:val="0"/>
          <w:w w:val="100"/>
          <w:position w:val="0"/>
        </w:rPr>
        <w:t>年移动游戏市场实际营销收入为</w:t>
      </w:r>
      <w:r>
        <w:rPr>
          <w:rFonts w:ascii="Times New Roman" w:eastAsia="Times New Roman" w:hAnsi="Times New Roman" w:cs="Times New Roman"/>
          <w:color w:val="000000"/>
          <w:spacing w:val="0"/>
          <w:w w:val="100"/>
          <w:position w:val="0"/>
        </w:rPr>
        <w:t xml:space="preserve">2,096.76 </w:t>
      </w:r>
      <w:r>
        <w:rPr>
          <w:color w:val="000000"/>
          <w:spacing w:val="0"/>
          <w:w w:val="100"/>
          <w:position w:val="0"/>
        </w:rPr>
        <w:t>亿元，比上年增加</w:t>
      </w:r>
      <w:r>
        <w:rPr>
          <w:rFonts w:ascii="Times New Roman" w:eastAsia="Times New Roman" w:hAnsi="Times New Roman" w:cs="Times New Roman"/>
          <w:color w:val="000000"/>
          <w:spacing w:val="0"/>
          <w:w w:val="100"/>
          <w:position w:val="0"/>
        </w:rPr>
        <w:t>515.65</w:t>
      </w:r>
      <w:r>
        <w:rPr>
          <w:color w:val="000000"/>
          <w:spacing w:val="0"/>
          <w:w w:val="100"/>
          <w:position w:val="0"/>
        </w:rPr>
        <w:t>亿元，同比增长</w:t>
      </w:r>
      <w:r>
        <w:rPr>
          <w:rFonts w:ascii="Times New Roman" w:eastAsia="Times New Roman" w:hAnsi="Times New Roman" w:cs="Times New Roman"/>
          <w:color w:val="000000"/>
          <w:spacing w:val="0"/>
          <w:w w:val="100"/>
          <w:position w:val="0"/>
        </w:rPr>
        <w:t>32.61%</w:t>
      </w:r>
      <w:r>
        <w:rPr>
          <w:color w:val="000000"/>
          <w:spacing w:val="0"/>
          <w:w w:val="100"/>
          <w:position w:val="0"/>
        </w:rPr>
        <w:t>，成为拉动游戏市场整体增长的主要因素。</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年，移动游戏用户规模为 </w:t>
      </w:r>
      <w:r>
        <w:rPr>
          <w:rFonts w:ascii="Times New Roman" w:eastAsia="Times New Roman" w:hAnsi="Times New Roman" w:cs="Times New Roman"/>
          <w:color w:val="000000"/>
          <w:spacing w:val="0"/>
          <w:w w:val="100"/>
          <w:position w:val="0"/>
        </w:rPr>
        <w:t>6.54</w:t>
      </w:r>
      <w:r>
        <w:rPr>
          <w:color w:val="000000"/>
          <w:spacing w:val="0"/>
          <w:w w:val="100"/>
          <w:position w:val="0"/>
        </w:rPr>
        <w:t>亿人，同比增长</w:t>
      </w:r>
      <w:r>
        <w:rPr>
          <w:rFonts w:ascii="Times New Roman" w:eastAsia="Times New Roman" w:hAnsi="Times New Roman" w:cs="Times New Roman"/>
          <w:color w:val="000000"/>
          <w:spacing w:val="0"/>
          <w:w w:val="100"/>
          <w:position w:val="0"/>
        </w:rPr>
        <w:t>4.84%</w:t>
      </w:r>
      <w:r>
        <w:rPr>
          <w:color w:val="000000"/>
          <w:spacing w:val="0"/>
          <w:w w:val="100"/>
          <w:position w:val="0"/>
        </w:rPr>
        <w:t>，继续维持存量用户市场竞争格局；同时国内游戏产业链持续升级，云游戏、</w:t>
      </w:r>
      <w:r>
        <w:rPr>
          <w:rFonts w:ascii="Times New Roman" w:eastAsia="Times New Roman" w:hAnsi="Times New Roman" w:cs="Times New Roman"/>
          <w:color w:val="000000"/>
          <w:spacing w:val="0"/>
          <w:w w:val="100"/>
          <w:position w:val="0"/>
        </w:rPr>
        <w:t>VR/AR</w:t>
      </w:r>
      <w:r>
        <w:rPr>
          <w:color w:val="000000"/>
          <w:spacing w:val="0"/>
          <w:w w:val="100"/>
          <w:position w:val="0"/>
        </w:rPr>
        <w:t>、电竞直播 等前沿技术在游戏领域将陆续得以应用并催生更多新型细分板块。随着物质生活的不断丰富，精神文化生活正成为人民日 益增长的美好生活需要的重要组成部分，作为整个文化娱乐产业消费的重要驱动力，游戏将依托蓬勃的用户需求获得持续 发展，市场规模有望进一步保持正向增长。</w:t>
      </w:r>
    </w:p>
    <w:p>
      <w:pPr>
        <w:pStyle w:val="Style33"/>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2018</w:t>
      </w:r>
      <w:r>
        <w:rPr>
          <w:color w:val="000000"/>
          <w:spacing w:val="0"/>
          <w:w w:val="100"/>
          <w:position w:val="0"/>
        </w:rPr>
        <w:t xml:space="preserve">年以来，随着行业监管政策的变化，游戏行业在行业准入、商业变现以及融资渠道等方面都面临着机遇与挑战。 </w:t>
      </w:r>
      <w:r>
        <w:rPr>
          <w:rFonts w:ascii="Times New Roman" w:eastAsia="Times New Roman" w:hAnsi="Times New Roman" w:cs="Times New Roman"/>
          <w:color w:val="000000"/>
          <w:spacing w:val="0"/>
          <w:w w:val="100"/>
          <w:position w:val="0"/>
        </w:rPr>
        <w:t>2020</w:t>
      </w:r>
      <w:r>
        <w:rPr>
          <w:color w:val="000000"/>
          <w:spacing w:val="0"/>
          <w:w w:val="100"/>
          <w:position w:val="0"/>
        </w:rPr>
        <w:t>年发放版号数量进一步收紧，</w:t>
      </w:r>
      <w:r>
        <w:rPr>
          <w:rFonts w:ascii="Times New Roman" w:eastAsia="Times New Roman" w:hAnsi="Times New Roman" w:cs="Times New Roman"/>
          <w:color w:val="000000"/>
          <w:spacing w:val="0"/>
          <w:w w:val="100"/>
          <w:position w:val="0"/>
        </w:rPr>
        <w:t>2020</w:t>
      </w:r>
      <w:r>
        <w:rPr>
          <w:color w:val="000000"/>
          <w:spacing w:val="0"/>
          <w:w w:val="100"/>
          <w:position w:val="0"/>
        </w:rPr>
        <w:t>年全年共有</w:t>
      </w:r>
      <w:r>
        <w:rPr>
          <w:rFonts w:ascii="Times New Roman" w:eastAsia="Times New Roman" w:hAnsi="Times New Roman" w:cs="Times New Roman"/>
          <w:color w:val="000000"/>
          <w:spacing w:val="0"/>
          <w:w w:val="100"/>
          <w:position w:val="0"/>
        </w:rPr>
        <w:t>1,405</w:t>
      </w:r>
      <w:r>
        <w:rPr>
          <w:color w:val="000000"/>
          <w:spacing w:val="0"/>
          <w:w w:val="100"/>
          <w:position w:val="0"/>
        </w:rPr>
        <w:t>款游戏获得版号，其中国产网络游戏</w:t>
      </w:r>
      <w:r>
        <w:rPr>
          <w:rFonts w:ascii="Times New Roman" w:eastAsia="Times New Roman" w:hAnsi="Times New Roman" w:cs="Times New Roman"/>
          <w:color w:val="000000"/>
          <w:spacing w:val="0"/>
          <w:w w:val="100"/>
          <w:position w:val="0"/>
        </w:rPr>
        <w:t>1,308</w:t>
      </w:r>
      <w:r>
        <w:rPr>
          <w:color w:val="000000"/>
          <w:spacing w:val="0"/>
          <w:w w:val="100"/>
          <w:position w:val="0"/>
        </w:rPr>
        <w:t>款，相比</w:t>
      </w:r>
      <w:r>
        <w:rPr>
          <w:rFonts w:ascii="Times New Roman" w:eastAsia="Times New Roman" w:hAnsi="Times New Roman" w:cs="Times New Roman"/>
          <w:color w:val="000000"/>
          <w:spacing w:val="0"/>
          <w:w w:val="100"/>
          <w:position w:val="0"/>
        </w:rPr>
        <w:t>2019</w:t>
      </w:r>
      <w:r>
        <w:rPr>
          <w:color w:val="000000"/>
          <w:spacing w:val="0"/>
          <w:w w:val="100"/>
          <w:position w:val="0"/>
        </w:rPr>
        <w:t>年全年过审 的版号数量呈继续减少的态势。版号将成为衡量游戏企业发展的重要风向标，市场竞争将会越发规范。作为游戏行业的供 给侧改革，下架无版号游戏对行业而言短期有阵痛，中小游戏团队受到较大的影响，但从长远来看，利好的是具有产品力 的公司。市场重新洗牌后，规范化、精品化的产品团队可以获得更好的向上空间。</w:t>
      </w:r>
    </w:p>
    <w:p>
      <w:pPr>
        <w:pStyle w:val="Style33"/>
        <w:keepNext w:val="0"/>
        <w:keepLines w:val="0"/>
        <w:widowControl w:val="0"/>
        <w:shd w:val="clear" w:color="auto" w:fill="auto"/>
        <w:bidi w:val="0"/>
        <w:spacing w:before="0" w:after="0" w:line="314" w:lineRule="exact"/>
        <w:ind w:left="0" w:right="0"/>
        <w:jc w:val="both"/>
      </w:pPr>
      <w:r>
        <w:rPr>
          <w:b/>
          <w:bCs/>
          <w:color w:val="000000"/>
          <w:spacing w:val="0"/>
          <w:w w:val="100"/>
          <w:position w:val="0"/>
        </w:rPr>
        <w:t>高端智能制造行业：</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从电气设备行业来看，第一，随着我国</w:t>
      </w:r>
      <w:r>
        <w:rPr>
          <w:rFonts w:ascii="Times New Roman" w:eastAsia="Times New Roman" w:hAnsi="Times New Roman" w:cs="Times New Roman"/>
          <w:color w:val="000000"/>
          <w:spacing w:val="0"/>
          <w:w w:val="100"/>
          <w:position w:val="0"/>
        </w:rPr>
        <w:t>“</w:t>
      </w:r>
      <w:r>
        <w:rPr>
          <w:color w:val="000000"/>
          <w:spacing w:val="0"/>
          <w:w w:val="100"/>
          <w:position w:val="0"/>
        </w:rPr>
        <w:t>碳达峰、碳中和</w:t>
      </w:r>
      <w:r>
        <w:rPr>
          <w:rFonts w:ascii="Times New Roman" w:eastAsia="Times New Roman" w:hAnsi="Times New Roman" w:cs="Times New Roman"/>
          <w:color w:val="000000"/>
          <w:spacing w:val="0"/>
          <w:w w:val="100"/>
          <w:position w:val="0"/>
        </w:rPr>
        <w:t>”</w:t>
      </w:r>
      <w:r>
        <w:rPr>
          <w:color w:val="000000"/>
          <w:spacing w:val="0"/>
          <w:w w:val="100"/>
          <w:position w:val="0"/>
        </w:rPr>
        <w:t>、新型基础设施建设等战略的推进实施，能源电力将逐步 从高碳向低碳、从以化石能源为主向以清洁能源为主转变，行业迎来新的发展契机；第二，工业和信息化部等多个部委推 动变压器产业链优化升级，加快电网企业变压器升级改造，加大高效节能变压器推广力度；第三，配网装备将向高端化、 智能化、绿色化方向发展，一体化、全绝缘、免维护、环保型配网设备将成为发展主流；第四，以</w:t>
      </w:r>
      <w:r>
        <w:rPr>
          <w:rFonts w:ascii="Times New Roman" w:eastAsia="Times New Roman" w:hAnsi="Times New Roman" w:cs="Times New Roman"/>
          <w:color w:val="000000"/>
          <w:spacing w:val="0"/>
          <w:w w:val="100"/>
          <w:position w:val="0"/>
        </w:rPr>
        <w:t>“</w:t>
      </w:r>
      <w:r>
        <w:rPr>
          <w:color w:val="000000"/>
          <w:spacing w:val="0"/>
          <w:w w:val="100"/>
          <w:position w:val="0"/>
        </w:rPr>
        <w:t>大云物移智</w:t>
      </w:r>
      <w:r>
        <w:rPr>
          <w:rFonts w:ascii="Times New Roman" w:eastAsia="Times New Roman" w:hAnsi="Times New Roman" w:cs="Times New Roman"/>
          <w:color w:val="000000"/>
          <w:spacing w:val="0"/>
          <w:w w:val="100"/>
          <w:position w:val="0"/>
        </w:rPr>
        <w:t>”</w:t>
      </w:r>
      <w:r>
        <w:rPr>
          <w:color w:val="000000"/>
          <w:spacing w:val="0"/>
          <w:w w:val="100"/>
          <w:position w:val="0"/>
        </w:rPr>
        <w:t>为代表的 先进信息技术加快迭代，将推动以提高能源利用效率、促进新能源发展为目标的综合能源服务加速发展。</w:t>
      </w:r>
    </w:p>
    <w:p>
      <w:pPr>
        <w:pStyle w:val="Style33"/>
        <w:keepNext w:val="0"/>
        <w:keepLines w:val="0"/>
        <w:widowControl w:val="0"/>
        <w:shd w:val="clear" w:color="auto" w:fill="auto"/>
        <w:tabs>
          <w:tab w:pos="1542" w:val="left"/>
        </w:tabs>
        <w:bidi w:val="0"/>
        <w:spacing w:before="0" w:after="0" w:line="314" w:lineRule="exact"/>
        <w:ind w:left="0" w:right="0"/>
        <w:jc w:val="both"/>
      </w:pPr>
      <w:r>
        <w:rPr>
          <w:color w:val="000000"/>
          <w:spacing w:val="0"/>
          <w:w w:val="100"/>
          <w:position w:val="0"/>
        </w:rPr>
        <w:t>从新能源汽车充电桩基础设施建设来看，首先，政策导向清晰且支持力度巨大，新能源汽车充电行业发展空间广阔。 根据中国电动汽车充电基础设施促进联盟的统计数据，截止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月，全国充电基础设施累计数量为</w:t>
      </w:r>
      <w:r>
        <w:rPr>
          <w:rFonts w:ascii="Times New Roman" w:eastAsia="Times New Roman" w:hAnsi="Times New Roman" w:cs="Times New Roman"/>
          <w:color w:val="000000"/>
          <w:spacing w:val="0"/>
          <w:w w:val="100"/>
          <w:position w:val="0"/>
        </w:rPr>
        <w:t>168.</w:t>
      </w:r>
      <w:r>
        <w:rPr>
          <w:rFonts w:ascii="Times New Roman" w:eastAsia="Times New Roman" w:hAnsi="Times New Roman" w:cs="Times New Roman"/>
          <w:color w:val="000000"/>
          <w:spacing w:val="0"/>
          <w:w w:val="100"/>
          <w:position w:val="0"/>
        </w:rPr>
        <w:t>1</w:t>
      </w:r>
      <w:r>
        <w:rPr>
          <w:color w:val="000000"/>
          <w:spacing w:val="0"/>
          <w:w w:val="100"/>
          <w:position w:val="0"/>
        </w:rPr>
        <w:t>万台，同比增 加</w:t>
      </w:r>
      <w:r>
        <w:rPr>
          <w:rFonts w:ascii="Times New Roman" w:eastAsia="Times New Roman" w:hAnsi="Times New Roman" w:cs="Times New Roman"/>
          <w:color w:val="000000"/>
          <w:spacing w:val="0"/>
          <w:w w:val="100"/>
          <w:position w:val="0"/>
        </w:rPr>
        <w:t>37.9%</w:t>
      </w:r>
      <w:r>
        <w:rPr>
          <w:color w:val="000000"/>
          <w:spacing w:val="0"/>
          <w:w w:val="100"/>
          <w:position w:val="0"/>
        </w:rPr>
        <w:t>。而根据公安部发布的相关数据，截至</w:t>
      </w:r>
      <w:r>
        <w:rPr>
          <w:rFonts w:ascii="Times New Roman" w:eastAsia="Times New Roman" w:hAnsi="Times New Roman" w:cs="Times New Roman"/>
          <w:color w:val="000000"/>
          <w:spacing w:val="0"/>
          <w:w w:val="100"/>
          <w:position w:val="0"/>
        </w:rPr>
        <w:t>2020</w:t>
      </w:r>
      <w:r>
        <w:rPr>
          <w:color w:val="000000"/>
          <w:spacing w:val="0"/>
          <w:w w:val="100"/>
          <w:position w:val="0"/>
        </w:rPr>
        <w:t>年底，全国新能源汽车保有量达</w:t>
      </w:r>
      <w:r>
        <w:rPr>
          <w:rFonts w:ascii="Times New Roman" w:eastAsia="Times New Roman" w:hAnsi="Times New Roman" w:cs="Times New Roman"/>
          <w:color w:val="000000"/>
          <w:spacing w:val="0"/>
          <w:w w:val="100"/>
          <w:position w:val="0"/>
        </w:rPr>
        <w:t>492</w:t>
      </w:r>
      <w:r>
        <w:rPr>
          <w:color w:val="000000"/>
          <w:spacing w:val="0"/>
          <w:w w:val="100"/>
          <w:position w:val="0"/>
        </w:rPr>
        <w:t>万辆。据此测算，截至</w:t>
      </w:r>
      <w:r>
        <w:rPr>
          <w:rFonts w:ascii="Times New Roman" w:eastAsia="Times New Roman" w:hAnsi="Times New Roman" w:cs="Times New Roman"/>
          <w:color w:val="000000"/>
          <w:spacing w:val="0"/>
          <w:w w:val="100"/>
          <w:position w:val="0"/>
        </w:rPr>
        <w:t>2020</w:t>
      </w:r>
      <w:r>
        <w:rPr>
          <w:color w:val="000000"/>
          <w:spacing w:val="0"/>
          <w:w w:val="100"/>
          <w:position w:val="0"/>
        </w:rPr>
        <w:t>年底， 国内车桩比约为</w:t>
      </w:r>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1</w:t>
      </w:r>
      <w:r>
        <w:rPr>
          <w:color w:val="000000"/>
          <w:spacing w:val="0"/>
          <w:w w:val="100"/>
          <w:position w:val="0"/>
        </w:rPr>
        <w:t>。可见在新能源汽车行业蓬勃发展的背景下，我国充电基础设施建设已经落后于新能源汽车产业的发</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展。因此在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月，国务院政府工作报告中继续提出要增加充电桩、换电站等基础设施建设。同时，各地方政府为响应 国家对于新能源汽车充电基础设施建设的支持，陆续出台了多项区域性质的财政补贴政策，为充电基础设施建设提供有力 的关键配套保障。在多项利好政策的积极推动下，充电设施建设将有望迎来持续快速发展。</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其次，新能源汽车行业发展持续向好也将为充电桩行业提供广阔的市场空间。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月国务院办公厅印发《新能源 汽车产业发展规划（</w:t>
      </w:r>
      <w:r>
        <w:rPr>
          <w:rFonts w:ascii="Times New Roman" w:eastAsia="Times New Roman" w:hAnsi="Times New Roman" w:cs="Times New Roman"/>
          <w:color w:val="000000"/>
          <w:spacing w:val="0"/>
          <w:w w:val="100"/>
          <w:position w:val="0"/>
        </w:rPr>
        <w:t>2021—2035</w:t>
      </w:r>
      <w:r>
        <w:rPr>
          <w:color w:val="000000"/>
          <w:spacing w:val="0"/>
          <w:w w:val="100"/>
          <w:position w:val="0"/>
        </w:rPr>
        <w:t>年）》，提出到</w:t>
      </w:r>
      <w:r>
        <w:rPr>
          <w:rFonts w:ascii="Times New Roman" w:eastAsia="Times New Roman" w:hAnsi="Times New Roman" w:cs="Times New Roman"/>
          <w:color w:val="000000"/>
          <w:spacing w:val="0"/>
          <w:w w:val="100"/>
          <w:position w:val="0"/>
        </w:rPr>
        <w:t>2025</w:t>
      </w:r>
      <w:r>
        <w:rPr>
          <w:color w:val="000000"/>
          <w:spacing w:val="0"/>
          <w:w w:val="100"/>
          <w:position w:val="0"/>
        </w:rPr>
        <w:t>年我国新能源汽车新车销售量达到汽车新车销售总量的</w:t>
      </w:r>
      <w:r>
        <w:rPr>
          <w:rFonts w:ascii="Times New Roman" w:eastAsia="Times New Roman" w:hAnsi="Times New Roman" w:cs="Times New Roman"/>
          <w:color w:val="000000"/>
          <w:spacing w:val="0"/>
          <w:w w:val="100"/>
          <w:position w:val="0"/>
        </w:rPr>
        <w:t>20%</w:t>
      </w:r>
      <w:r>
        <w:rPr>
          <w:color w:val="000000"/>
          <w:spacing w:val="0"/>
          <w:w w:val="100"/>
          <w:position w:val="0"/>
        </w:rPr>
        <w:t>左右，充 换电服务便利性显著提高的发展愿景；明确</w:t>
      </w:r>
      <w:r>
        <w:rPr>
          <w:rFonts w:ascii="Times New Roman" w:eastAsia="Times New Roman" w:hAnsi="Times New Roman" w:cs="Times New Roman"/>
          <w:color w:val="000000"/>
          <w:spacing w:val="0"/>
          <w:w w:val="100"/>
          <w:position w:val="0"/>
        </w:rPr>
        <w:t>2021</w:t>
      </w:r>
      <w:r>
        <w:rPr>
          <w:color w:val="000000"/>
          <w:spacing w:val="0"/>
          <w:w w:val="100"/>
          <w:position w:val="0"/>
        </w:rPr>
        <w:t>年起，国家生态文明试验区、大气污染防治重点区域的公共领域新增或更 新公交、出租、物流配送等车辆中新能源汽车比例不低于</w:t>
      </w:r>
      <w:r>
        <w:rPr>
          <w:rFonts w:ascii="Times New Roman" w:eastAsia="Times New Roman" w:hAnsi="Times New Roman" w:cs="Times New Roman"/>
          <w:color w:val="000000"/>
          <w:spacing w:val="0"/>
          <w:w w:val="100"/>
          <w:position w:val="0"/>
        </w:rPr>
        <w:t>80%</w:t>
      </w:r>
      <w:r>
        <w:rPr>
          <w:color w:val="000000"/>
          <w:spacing w:val="0"/>
          <w:w w:val="100"/>
          <w:position w:val="0"/>
        </w:rPr>
        <w:t>。随着新能源汽车的进一步普及推广，对上游充电基础设施 的需求将更为旺盛，而电动汽车充电基础设施建设的快速发展也将进一步促进新能源汽车市场的持续向好，形成双向良性 互动。</w:t>
      </w:r>
    </w:p>
    <w:p>
      <w:pPr>
        <w:pStyle w:val="Style33"/>
        <w:keepNext w:val="0"/>
        <w:keepLines w:val="0"/>
        <w:widowControl w:val="0"/>
        <w:shd w:val="clear" w:color="auto" w:fill="auto"/>
        <w:bidi w:val="0"/>
        <w:spacing w:before="0" w:after="0" w:line="314" w:lineRule="exact"/>
        <w:ind w:left="0" w:right="0"/>
        <w:jc w:val="left"/>
      </w:pPr>
      <w:r>
        <w:rPr>
          <w:b/>
          <w:bCs/>
          <w:color w:val="000000"/>
          <w:spacing w:val="0"/>
          <w:w w:val="100"/>
          <w:position w:val="0"/>
        </w:rPr>
        <w:t>投资行业：</w:t>
      </w:r>
    </w:p>
    <w:p>
      <w:pPr>
        <w:pStyle w:val="Style33"/>
        <w:keepNext w:val="0"/>
        <w:keepLines w:val="0"/>
        <w:widowControl w:val="0"/>
        <w:shd w:val="clear" w:color="auto" w:fill="auto"/>
        <w:bidi w:val="0"/>
        <w:spacing w:before="0" w:after="0" w:line="314" w:lineRule="exact"/>
        <w:ind w:left="0" w:right="0"/>
        <w:jc w:val="left"/>
      </w:pPr>
      <w:r>
        <w:rPr>
          <w:color w:val="000000"/>
          <w:spacing w:val="0"/>
          <w:w w:val="100"/>
          <w:position w:val="0"/>
        </w:rPr>
        <w:t>全球主要经济体有望于</w:t>
      </w:r>
      <w:r>
        <w:rPr>
          <w:rFonts w:ascii="Times New Roman" w:eastAsia="Times New Roman" w:hAnsi="Times New Roman" w:cs="Times New Roman"/>
          <w:color w:val="000000"/>
          <w:spacing w:val="0"/>
          <w:w w:val="100"/>
          <w:position w:val="0"/>
        </w:rPr>
        <w:t>2021</w:t>
      </w:r>
      <w:r>
        <w:rPr>
          <w:color w:val="000000"/>
          <w:spacing w:val="0"/>
          <w:w w:val="100"/>
          <w:position w:val="0"/>
        </w:rPr>
        <w:t>年二季度逐渐放开疫情防控措施，工业生产、住宿餐饮等密集接触类经济活动将加速回 缓，并带动经济复苏。</w:t>
      </w:r>
      <w:r>
        <w:rPr>
          <w:rFonts w:ascii="Times New Roman" w:eastAsia="Times New Roman" w:hAnsi="Times New Roman" w:cs="Times New Roman"/>
          <w:color w:val="000000"/>
          <w:spacing w:val="0"/>
          <w:w w:val="100"/>
          <w:position w:val="0"/>
        </w:rPr>
        <w:t>2021</w:t>
      </w:r>
      <w:r>
        <w:rPr>
          <w:color w:val="000000"/>
          <w:spacing w:val="0"/>
          <w:w w:val="100"/>
          <w:position w:val="0"/>
        </w:rPr>
        <w:t>年国内消费、服务业预计将保持回暖趋势，工业生产和制造业投资也将继续发挥关键拉动作 用，推动中国经济复苏。但与此同时，为应对疫情，部分国家推出的巨额经济刺激方案，预计将给未来全球金融市场带来 更多的不确定性。</w:t>
      </w:r>
    </w:p>
    <w:p>
      <w:pPr>
        <w:pStyle w:val="Style33"/>
        <w:keepNext w:val="0"/>
        <w:keepLines w:val="0"/>
        <w:widowControl w:val="0"/>
        <w:shd w:val="clear" w:color="auto" w:fill="auto"/>
        <w:bidi w:val="0"/>
        <w:spacing w:before="0" w:after="0" w:line="314" w:lineRule="exact"/>
        <w:ind w:left="0" w:right="0"/>
        <w:jc w:val="left"/>
      </w:pPr>
      <w:r>
        <w:rPr>
          <w:color w:val="000000"/>
          <w:spacing w:val="0"/>
          <w:w w:val="100"/>
          <w:position w:val="0"/>
        </w:rPr>
        <w:t>资管新规明确要求银行理财产品打破刚性兑付，银行理财市场走向净值化转型。</w:t>
      </w:r>
      <w:r>
        <w:rPr>
          <w:rFonts w:ascii="Times New Roman" w:eastAsia="Times New Roman" w:hAnsi="Times New Roman" w:cs="Times New Roman"/>
          <w:color w:val="000000"/>
          <w:spacing w:val="0"/>
          <w:w w:val="100"/>
          <w:position w:val="0"/>
        </w:rPr>
        <w:t>2021</w:t>
      </w:r>
      <w:r>
        <w:rPr>
          <w:color w:val="000000"/>
          <w:spacing w:val="0"/>
          <w:w w:val="100"/>
          <w:position w:val="0"/>
        </w:rPr>
        <w:t>年是银行打破刚性兑付的最后期 限，银行理财子公司加快设立，在股市行情回暖背景下，银行及银行理财子公司对权益类产品的布局力度正在不断加大。</w:t>
      </w:r>
    </w:p>
    <w:p>
      <w:pPr>
        <w:pStyle w:val="Style33"/>
        <w:keepNext w:val="0"/>
        <w:keepLines w:val="0"/>
        <w:widowControl w:val="0"/>
        <w:shd w:val="clear" w:color="auto" w:fill="auto"/>
        <w:tabs>
          <w:tab w:pos="674" w:val="left"/>
        </w:tabs>
        <w:bidi w:val="0"/>
        <w:spacing w:before="0" w:after="0" w:line="314" w:lineRule="exact"/>
        <w:ind w:left="0" w:right="0"/>
        <w:jc w:val="both"/>
      </w:pPr>
      <w:bookmarkStart w:id="238" w:name="bookmark238"/>
      <w:r>
        <w:rPr>
          <w:rFonts w:ascii="Times New Roman" w:eastAsia="Times New Roman" w:hAnsi="Times New Roman" w:cs="Times New Roman"/>
          <w:b/>
          <w:bCs/>
          <w:color w:val="000000"/>
          <w:spacing w:val="0"/>
          <w:w w:val="100"/>
          <w:position w:val="0"/>
        </w:rPr>
        <w:t>2</w:t>
      </w:r>
      <w:bookmarkEnd w:id="238"/>
      <w:r>
        <w:rPr>
          <w:b/>
          <w:bCs/>
          <w:color w:val="000000"/>
          <w:spacing w:val="0"/>
          <w:w w:val="100"/>
          <w:position w:val="0"/>
        </w:rPr>
        <w:t>、</w:t>
        <w:tab/>
        <w:t>公司未来发展战略</w:t>
      </w:r>
    </w:p>
    <w:p>
      <w:pPr>
        <w:pStyle w:val="Style33"/>
        <w:keepNext w:val="0"/>
        <w:keepLines w:val="0"/>
        <w:widowControl w:val="0"/>
        <w:shd w:val="clear" w:color="auto" w:fill="auto"/>
        <w:bidi w:val="0"/>
        <w:spacing w:before="0" w:after="100" w:line="314" w:lineRule="exact"/>
        <w:ind w:left="0" w:right="0"/>
        <w:jc w:val="left"/>
      </w:pPr>
      <w:r>
        <w:rPr>
          <w:color w:val="000000"/>
          <w:spacing w:val="0"/>
          <w:w w:val="100"/>
          <w:position w:val="0"/>
        </w:rPr>
        <w:t>公司已形成</w:t>
      </w:r>
      <w:r>
        <w:rPr>
          <w:rFonts w:ascii="Times New Roman" w:eastAsia="Times New Roman" w:hAnsi="Times New Roman" w:cs="Times New Roman"/>
          <w:color w:val="000000"/>
          <w:spacing w:val="0"/>
          <w:w w:val="100"/>
          <w:position w:val="0"/>
        </w:rPr>
        <w:t>“</w:t>
      </w:r>
      <w:r>
        <w:rPr>
          <w:color w:val="000000"/>
          <w:spacing w:val="0"/>
          <w:w w:val="100"/>
          <w:position w:val="0"/>
        </w:rPr>
        <w:t>互联网游戏</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高端智能制造</w:t>
      </w:r>
      <w:r>
        <w:rPr>
          <w:rFonts w:ascii="Times New Roman" w:eastAsia="Times New Roman" w:hAnsi="Times New Roman" w:cs="Times New Roman"/>
          <w:color w:val="000000"/>
          <w:spacing w:val="0"/>
          <w:w w:val="100"/>
          <w:position w:val="0"/>
        </w:rPr>
        <w:t>”</w:t>
      </w:r>
      <w:r>
        <w:rPr>
          <w:color w:val="000000"/>
          <w:spacing w:val="0"/>
          <w:w w:val="100"/>
          <w:position w:val="0"/>
        </w:rPr>
        <w:t>双轮驱动的多业务板块支撑且重点突出的业务格局。未来，在</w:t>
      </w:r>
      <w:r>
        <w:rPr>
          <w:rFonts w:ascii="Times New Roman" w:eastAsia="Times New Roman" w:hAnsi="Times New Roman" w:cs="Times New Roman"/>
          <w:color w:val="000000"/>
          <w:spacing w:val="0"/>
          <w:w w:val="100"/>
          <w:position w:val="0"/>
        </w:rPr>
        <w:t>“</w:t>
      </w:r>
      <w:r>
        <w:rPr>
          <w:color w:val="000000"/>
          <w:spacing w:val="0"/>
          <w:w w:val="100"/>
          <w:position w:val="0"/>
        </w:rPr>
        <w:t>互联网游 戏</w:t>
      </w:r>
      <w:r>
        <w:rPr>
          <w:rFonts w:ascii="Times New Roman" w:eastAsia="Times New Roman" w:hAnsi="Times New Roman" w:cs="Times New Roman"/>
          <w:color w:val="000000"/>
          <w:spacing w:val="0"/>
          <w:w w:val="100"/>
          <w:position w:val="0"/>
        </w:rPr>
        <w:t>”</w:t>
      </w:r>
      <w:r>
        <w:rPr>
          <w:color w:val="000000"/>
          <w:spacing w:val="0"/>
          <w:w w:val="100"/>
          <w:position w:val="0"/>
        </w:rPr>
        <w:t>板块，公司将更加重视哆可梦品牌的塑造，不断加大自研产品的研发力度，提高自研和定制独代产品的收入比重，充分 发挥哆可梦在大数据精准流量营销的核心竞争力，依靠自身流量组织能力和分发能力，通过丰富的产品布局，打造闭环生 态。在</w:t>
      </w:r>
      <w:r>
        <w:rPr>
          <w:rFonts w:ascii="Times New Roman" w:eastAsia="Times New Roman" w:hAnsi="Times New Roman" w:cs="Times New Roman"/>
          <w:color w:val="000000"/>
          <w:spacing w:val="0"/>
          <w:w w:val="100"/>
          <w:position w:val="0"/>
        </w:rPr>
        <w:t>“</w:t>
      </w:r>
      <w:r>
        <w:rPr>
          <w:color w:val="000000"/>
          <w:spacing w:val="0"/>
          <w:w w:val="100"/>
          <w:position w:val="0"/>
        </w:rPr>
        <w:t>高端智能制造</w:t>
      </w:r>
      <w:r>
        <w:rPr>
          <w:rFonts w:ascii="Times New Roman" w:eastAsia="Times New Roman" w:hAnsi="Times New Roman" w:cs="Times New Roman"/>
          <w:color w:val="000000"/>
          <w:spacing w:val="0"/>
          <w:w w:val="100"/>
          <w:position w:val="0"/>
        </w:rPr>
        <w:t>”</w:t>
      </w:r>
      <w:r>
        <w:rPr>
          <w:color w:val="000000"/>
          <w:spacing w:val="0"/>
          <w:w w:val="100"/>
          <w:position w:val="0"/>
        </w:rPr>
        <w:t>板块，</w:t>
      </w:r>
      <w:r>
        <w:rPr>
          <w:rFonts w:ascii="Times New Roman" w:eastAsia="Times New Roman" w:hAnsi="Times New Roman" w:cs="Times New Roman"/>
          <w:color w:val="000000"/>
          <w:spacing w:val="0"/>
          <w:w w:val="100"/>
          <w:position w:val="0"/>
        </w:rPr>
        <w:t>2021</w:t>
      </w:r>
      <w:r>
        <w:rPr>
          <w:color w:val="000000"/>
          <w:spacing w:val="0"/>
          <w:w w:val="100"/>
          <w:position w:val="0"/>
        </w:rPr>
        <w:t>年，公司将延续</w:t>
      </w:r>
      <w:r>
        <w:rPr>
          <w:rFonts w:ascii="Times New Roman" w:eastAsia="Times New Roman" w:hAnsi="Times New Roman" w:cs="Times New Roman"/>
          <w:color w:val="000000"/>
          <w:spacing w:val="0"/>
          <w:w w:val="100"/>
          <w:position w:val="0"/>
        </w:rPr>
        <w:t>2020</w:t>
      </w:r>
      <w:r>
        <w:rPr>
          <w:color w:val="000000"/>
          <w:spacing w:val="0"/>
          <w:w w:val="100"/>
          <w:position w:val="0"/>
        </w:rPr>
        <w:t>年下半年确定的高速智能充电桩及电气智能化方向，在保持基础电 气业务稳定增长的同时，在新领域扎实布局，培育新的利润增长点。公司将利用自身核心技术和持续创新能力，加大产品 的自主研发力度，将低附加值竞争力弱的产品转变为适应并引领市场需求的智能化高附加值产品；此外，公司还将充分发 挥投资业务对产业发展的促进作用，按照发展战略寻找</w:t>
      </w:r>
      <w:r>
        <w:rPr>
          <w:rFonts w:ascii="Times New Roman" w:eastAsia="Times New Roman" w:hAnsi="Times New Roman" w:cs="Times New Roman"/>
          <w:color w:val="000000"/>
          <w:spacing w:val="0"/>
          <w:w w:val="100"/>
          <w:position w:val="0"/>
        </w:rPr>
        <w:t>“</w:t>
      </w:r>
      <w:r>
        <w:rPr>
          <w:color w:val="000000"/>
          <w:spacing w:val="0"/>
          <w:w w:val="100"/>
          <w:position w:val="0"/>
        </w:rPr>
        <w:t>互联网游戏</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高端智能制造</w:t>
      </w:r>
      <w:r>
        <w:rPr>
          <w:rFonts w:ascii="Times New Roman" w:eastAsia="Times New Roman" w:hAnsi="Times New Roman" w:cs="Times New Roman"/>
          <w:color w:val="000000"/>
          <w:spacing w:val="0"/>
          <w:w w:val="100"/>
          <w:position w:val="0"/>
        </w:rPr>
        <w:t>”</w:t>
      </w:r>
      <w:r>
        <w:rPr>
          <w:color w:val="000000"/>
          <w:spacing w:val="0"/>
          <w:w w:val="100"/>
          <w:position w:val="0"/>
        </w:rPr>
        <w:t>领域的优质标的，夯实产业基础并 延伸生产链条，以进一步完善公司产业布局，寻求更多的发展机会，增强公司的竞争力，改善公司产品质量和经营业绩， 维护广大投资者利益。</w:t>
      </w:r>
    </w:p>
    <w:p>
      <w:pPr>
        <w:pStyle w:val="Style33"/>
        <w:keepNext w:val="0"/>
        <w:keepLines w:val="0"/>
        <w:widowControl w:val="0"/>
        <w:shd w:val="clear" w:color="auto" w:fill="auto"/>
        <w:tabs>
          <w:tab w:pos="674" w:val="left"/>
        </w:tabs>
        <w:bidi w:val="0"/>
        <w:spacing w:before="0" w:after="0"/>
        <w:ind w:left="0" w:right="0"/>
        <w:jc w:val="both"/>
      </w:pPr>
      <w:bookmarkStart w:id="239" w:name="bookmark239"/>
      <w:r>
        <w:rPr>
          <w:rFonts w:ascii="Times New Roman" w:eastAsia="Times New Roman" w:hAnsi="Times New Roman" w:cs="Times New Roman"/>
          <w:b/>
          <w:bCs/>
          <w:color w:val="000000"/>
          <w:spacing w:val="0"/>
          <w:w w:val="100"/>
          <w:position w:val="0"/>
        </w:rPr>
        <w:t>3</w:t>
      </w:r>
      <w:bookmarkEnd w:id="239"/>
      <w:r>
        <w:rPr>
          <w:b/>
          <w:bCs/>
          <w:color w:val="000000"/>
          <w:spacing w:val="0"/>
          <w:w w:val="100"/>
          <w:position w:val="0"/>
        </w:rPr>
        <w:t>、</w:t>
        <w:tab/>
      </w: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年度经营计划</w:t>
      </w:r>
    </w:p>
    <w:p>
      <w:pPr>
        <w:pStyle w:val="Style33"/>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 xml:space="preserve">年公司将注重各业务板块优秀人才的引进及管理团队的长期激励机制，构建核心管理团队及技术团队，提高公司 创新能力，完善公司各项业务的规范运作，提升自身的运营效率和核心竞争力，认真分析发展方向并抓住机遇，充分利用 </w:t>
      </w:r>
      <w:r>
        <w:rPr>
          <w:color w:val="000000"/>
          <w:spacing w:val="0"/>
          <w:w w:val="100"/>
          <w:position w:val="0"/>
        </w:rPr>
        <w:t>资本市场的积极政策，促进公司各业务板块进一步转型升级，提高自身品牌影响力，增强持续盈利能力和综合竞争力，保 证公司稳健发展。</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互联网游戏层面：公司将认真学习和领会各项监管政策及行业发展动态，保证产品内容的合法合规性，实现业务规范 运作。公司继续围绕</w:t>
      </w:r>
      <w:r>
        <w:rPr>
          <w:rFonts w:ascii="Times New Roman" w:eastAsia="Times New Roman" w:hAnsi="Times New Roman" w:cs="Times New Roman"/>
          <w:color w:val="000000"/>
          <w:spacing w:val="0"/>
          <w:w w:val="100"/>
          <w:position w:val="0"/>
        </w:rPr>
        <w:t>IP</w:t>
      </w:r>
      <w:r>
        <w:rPr>
          <w:color w:val="000000"/>
          <w:spacing w:val="0"/>
          <w:w w:val="100"/>
          <w:position w:val="0"/>
        </w:rPr>
        <w:t>化，坚持既定的</w:t>
      </w:r>
      <w:r>
        <w:rPr>
          <w:rFonts w:ascii="Times New Roman" w:eastAsia="Times New Roman" w:hAnsi="Times New Roman" w:cs="Times New Roman"/>
          <w:color w:val="000000"/>
          <w:spacing w:val="0"/>
          <w:w w:val="100"/>
          <w:position w:val="0"/>
        </w:rPr>
        <w:t>“</w:t>
      </w:r>
      <w:r>
        <w:rPr>
          <w:color w:val="000000"/>
          <w:spacing w:val="0"/>
          <w:w w:val="100"/>
          <w:position w:val="0"/>
        </w:rPr>
        <w:t>业务平台化、产品精细化、流量自主化、市场全球化</w:t>
      </w:r>
      <w:r>
        <w:rPr>
          <w:rFonts w:ascii="Times New Roman" w:eastAsia="Times New Roman" w:hAnsi="Times New Roman" w:cs="Times New Roman"/>
          <w:color w:val="000000"/>
          <w:spacing w:val="0"/>
          <w:w w:val="100"/>
          <w:position w:val="0"/>
        </w:rPr>
        <w:t>”</w:t>
      </w:r>
      <w:r>
        <w:rPr>
          <w:color w:val="000000"/>
          <w:spacing w:val="0"/>
          <w:w w:val="100"/>
          <w:position w:val="0"/>
        </w:rPr>
        <w:t>的发展战略，同时注重</w:t>
      </w:r>
      <w:r>
        <w:rPr>
          <w:rFonts w:ascii="Times New Roman" w:eastAsia="Times New Roman" w:hAnsi="Times New Roman" w:cs="Times New Roman"/>
          <w:color w:val="000000"/>
          <w:spacing w:val="0"/>
          <w:w w:val="100"/>
          <w:position w:val="0"/>
        </w:rPr>
        <w:t>“</w:t>
      </w:r>
      <w:r>
        <w:rPr>
          <w:color w:val="000000"/>
          <w:spacing w:val="0"/>
          <w:w w:val="100"/>
          <w:position w:val="0"/>
        </w:rPr>
        <w:t>研运 一体</w:t>
      </w:r>
      <w:r>
        <w:rPr>
          <w:rFonts w:ascii="Times New Roman" w:eastAsia="Times New Roman" w:hAnsi="Times New Roman" w:cs="Times New Roman"/>
          <w:color w:val="000000"/>
          <w:spacing w:val="0"/>
          <w:w w:val="100"/>
          <w:position w:val="0"/>
        </w:rPr>
        <w:t>”</w:t>
      </w:r>
      <w:r>
        <w:rPr>
          <w:color w:val="000000"/>
          <w:spacing w:val="0"/>
          <w:w w:val="100"/>
          <w:position w:val="0"/>
        </w:rPr>
        <w:t>，持续加大产品研发投入和人才培养力度，充分调研市场并利用大数据以敏锐把握用户需求变化，增强自身研发能 力，不断完善产品研发体系和产品类型，推出更多有质量、有内容、具有智能化和创新性的精品游戏；公司已构建一套较 为成熟的流量精准营销的自主经营及分发模式，取得了一定的市场占有率，未来将进一步充分利用大数据及云计算等核心 手段，夯实业务基础；会充分利用上市公司的平台优势、品牌优势和资金优势，也将根据行业的竞争态势及时调整业务发 展节奏，以保持公司长久持续的发展潜力。</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高端智能制造层面：公司将继续推进原有的电气设备业务发展，加大对配电设备一二次融合</w:t>
      </w:r>
      <w:r>
        <w:rPr>
          <w:rFonts w:ascii="Times New Roman" w:eastAsia="Times New Roman" w:hAnsi="Times New Roman" w:cs="Times New Roman"/>
          <w:color w:val="000000"/>
          <w:spacing w:val="0"/>
          <w:w w:val="100"/>
          <w:position w:val="0"/>
        </w:rPr>
        <w:t>/</w:t>
      </w:r>
      <w:r>
        <w:rPr>
          <w:color w:val="000000"/>
          <w:spacing w:val="0"/>
          <w:w w:val="100"/>
          <w:position w:val="0"/>
        </w:rPr>
        <w:t>智能成套产品的研发力 度，继续借助</w:t>
      </w:r>
      <w:r>
        <w:rPr>
          <w:rFonts w:ascii="Times New Roman" w:eastAsia="Times New Roman" w:hAnsi="Times New Roman" w:cs="Times New Roman"/>
          <w:color w:val="000000"/>
          <w:spacing w:val="0"/>
          <w:w w:val="100"/>
          <w:position w:val="0"/>
        </w:rPr>
        <w:t>20</w:t>
      </w:r>
      <w:r>
        <w:rPr>
          <w:color w:val="000000"/>
          <w:spacing w:val="0"/>
          <w:w w:val="100"/>
          <w:position w:val="0"/>
        </w:rPr>
        <w:t>年电气行业的深厚技术和客户资源，抓住电气设备智能化和信息化的创新发展机遇，夯实电气业务基础并 实现向高端智能制造领域的战略转型；公司将重视制造板块人才引进工作，构建核心管理团队以及研发、销售团队，进一 步增强公司的核心竞争力；公司将围绕充电桩等高新技术领域深化传统业务的转型升级，提高技术附加值，为公司的长远 发展夯实基础。</w:t>
      </w:r>
    </w:p>
    <w:p>
      <w:pPr>
        <w:pStyle w:val="Style33"/>
        <w:keepNext w:val="0"/>
        <w:keepLines w:val="0"/>
        <w:widowControl w:val="0"/>
        <w:shd w:val="clear" w:color="auto" w:fill="auto"/>
        <w:bidi w:val="0"/>
        <w:spacing w:before="0" w:after="100" w:line="312" w:lineRule="exact"/>
        <w:ind w:left="0" w:right="0"/>
        <w:jc w:val="both"/>
      </w:pPr>
      <w:r>
        <w:rPr>
          <w:color w:val="000000"/>
          <w:spacing w:val="0"/>
          <w:w w:val="100"/>
          <w:position w:val="0"/>
        </w:rPr>
        <w:t>投资层面：鉴于投资业务相关行情的变化，</w:t>
      </w:r>
      <w:r>
        <w:rPr>
          <w:rFonts w:ascii="Times New Roman" w:eastAsia="Times New Roman" w:hAnsi="Times New Roman" w:cs="Times New Roman"/>
          <w:color w:val="000000"/>
          <w:spacing w:val="0"/>
          <w:w w:val="100"/>
          <w:position w:val="0"/>
        </w:rPr>
        <w:t>2020</w:t>
      </w:r>
      <w:r>
        <w:rPr>
          <w:color w:val="000000"/>
          <w:spacing w:val="0"/>
          <w:w w:val="100"/>
          <w:position w:val="0"/>
        </w:rPr>
        <w:t>年度公司重点加强投资业务的风险管控，适度下调证券投资额度，降 低证券投资频率，谋求投资业务的持续稳定发展。未来，公司将继续重点加强投资业务的风险管控，明确投资方向，坚持 价值投资理念，谋求投资业务的持续稳定发展，公司将时刻关注最新的政策导向，充分利用再融资政策支持智能制造业务 和互联网游戏业务的发展，充分发挥上市公司平台的投融资功效，让资本驱动产业发展，通过内生式增长和外延式并购相 结合的方式不断完善公司上下游产业链，谋求新的利润增长点。</w:t>
      </w:r>
    </w:p>
    <w:p>
      <w:pPr>
        <w:pStyle w:val="Style33"/>
        <w:keepNext w:val="0"/>
        <w:keepLines w:val="0"/>
        <w:widowControl w:val="0"/>
        <w:shd w:val="clear" w:color="auto" w:fill="auto"/>
        <w:bidi w:val="0"/>
        <w:spacing w:before="0" w:after="0"/>
        <w:ind w:left="0" w:right="0"/>
        <w:jc w:val="both"/>
      </w:pPr>
      <w:bookmarkStart w:id="240" w:name="bookmark240"/>
      <w:r>
        <w:rPr>
          <w:rFonts w:ascii="Times New Roman" w:eastAsia="Times New Roman" w:hAnsi="Times New Roman" w:cs="Times New Roman"/>
          <w:b/>
          <w:bCs/>
          <w:color w:val="000000"/>
          <w:spacing w:val="0"/>
          <w:w w:val="100"/>
          <w:position w:val="0"/>
        </w:rPr>
        <w:t>4</w:t>
      </w:r>
      <w:bookmarkEnd w:id="240"/>
      <w:r>
        <w:rPr>
          <w:b/>
          <w:bCs/>
          <w:color w:val="000000"/>
          <w:spacing w:val="0"/>
          <w:w w:val="100"/>
          <w:position w:val="0"/>
        </w:rPr>
        <w:t>、可能面对的风险及解决方案</w:t>
      </w:r>
    </w:p>
    <w:p>
      <w:pPr>
        <w:pStyle w:val="Style33"/>
        <w:keepNext w:val="0"/>
        <w:keepLines w:val="0"/>
        <w:widowControl w:val="0"/>
        <w:shd w:val="clear" w:color="auto" w:fill="auto"/>
        <w:tabs>
          <w:tab w:pos="770" w:val="left"/>
        </w:tabs>
        <w:bidi w:val="0"/>
        <w:spacing w:before="0" w:after="0" w:line="312" w:lineRule="exact"/>
        <w:ind w:left="0" w:right="0"/>
        <w:jc w:val="both"/>
      </w:pPr>
      <w:bookmarkStart w:id="241" w:name="bookmark241"/>
      <w:r>
        <w:rPr>
          <w:b/>
          <w:bCs/>
          <w:color w:val="000000"/>
          <w:spacing w:val="0"/>
          <w:w w:val="100"/>
          <w:position w:val="0"/>
        </w:rPr>
        <w:t>（</w:t>
      </w:r>
      <w:bookmarkEnd w:id="24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行业政策变化风险</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互联网行业受文化和国家新闻出版广电总局、工业信息等部门监管，尤其</w:t>
      </w:r>
      <w:r>
        <w:rPr>
          <w:rFonts w:ascii="Times New Roman" w:eastAsia="Times New Roman" w:hAnsi="Times New Roman" w:cs="Times New Roman"/>
          <w:color w:val="000000"/>
          <w:spacing w:val="0"/>
          <w:w w:val="100"/>
          <w:position w:val="0"/>
        </w:rPr>
        <w:t>2 018</w:t>
      </w:r>
      <w:r>
        <w:rPr>
          <w:color w:val="000000"/>
          <w:spacing w:val="0"/>
          <w:w w:val="100"/>
          <w:position w:val="0"/>
        </w:rPr>
        <w:t>年以来国家加强对互联网游戏行业的监 管力度，控制游戏版号审批发放、控制未成年人上网时间及充值消费等政策对游戏行业影响较大，尽管</w:t>
      </w:r>
      <w:r>
        <w:rPr>
          <w:rFonts w:ascii="Times New Roman" w:eastAsia="Times New Roman" w:hAnsi="Times New Roman" w:cs="Times New Roman"/>
          <w:color w:val="000000"/>
          <w:spacing w:val="0"/>
          <w:w w:val="100"/>
          <w:position w:val="0"/>
        </w:rPr>
        <w:t>2018</w:t>
      </w:r>
      <w:r>
        <w:rPr>
          <w:color w:val="000000"/>
          <w:spacing w:val="0"/>
          <w:w w:val="100"/>
          <w:position w:val="0"/>
        </w:rPr>
        <w:t>年底版号审批 重启，但行业监管严格化、规范化是大势所趋。哆可梦所运营游戏产品不涉及棋牌类、主要玩家为成年人，并且在报告期 内已获得了多款版号；哆可梦在研发上注重推出对我国青少年儿童身心健康发展的有益产品及内容，在游戏内树立正确的 世界观、价值观，投放运营中对未成年人作出隔绝和限制，以符合</w:t>
      </w:r>
      <w:r>
        <w:rPr>
          <w:rFonts w:ascii="Times New Roman" w:eastAsia="Times New Roman" w:hAnsi="Times New Roman" w:cs="Times New Roman"/>
          <w:color w:val="000000"/>
          <w:spacing w:val="0"/>
          <w:w w:val="100"/>
          <w:position w:val="0"/>
        </w:rPr>
        <w:t>18</w:t>
      </w:r>
      <w:r>
        <w:rPr>
          <w:color w:val="000000"/>
          <w:spacing w:val="0"/>
          <w:w w:val="100"/>
          <w:position w:val="0"/>
        </w:rPr>
        <w:t>周岁为限制准入条件，这些都将有助于在行业竞争中 占据优势；公司将密切关注相关行业政策发展的动态，加强对行业政策变化的分析，并针对行业政策变化及时调整公司的 经营策略，在充分把握当前监管政策精神及行业发展趋势的前提下，加强对优质游戏产品内容的研发，提升市场竞争实 力。</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公司电气业务的主要客户为国家电网公司、南方电网公司及其各省级电力公司，如果国家调整电网投资规模，国家电 网公司和南方电网公司调整采购或招投标模式，将可能改变市场竞争格局，进而对公司的经营产生较大影响。针对此种情 况，公司将积极响应国家电网关于</w:t>
      </w:r>
      <w:r>
        <w:rPr>
          <w:rFonts w:ascii="Times New Roman" w:eastAsia="Times New Roman" w:hAnsi="Times New Roman" w:cs="Times New Roman"/>
          <w:color w:val="000000"/>
          <w:spacing w:val="0"/>
          <w:w w:val="100"/>
          <w:position w:val="0"/>
        </w:rPr>
        <w:t>“</w:t>
      </w:r>
      <w:r>
        <w:rPr>
          <w:color w:val="000000"/>
          <w:spacing w:val="0"/>
          <w:w w:val="100"/>
          <w:position w:val="0"/>
        </w:rPr>
        <w:t>电力物联网</w:t>
      </w:r>
      <w:r>
        <w:rPr>
          <w:rFonts w:ascii="Times New Roman" w:eastAsia="Times New Roman" w:hAnsi="Times New Roman" w:cs="Times New Roman"/>
          <w:color w:val="000000"/>
          <w:spacing w:val="0"/>
          <w:w w:val="100"/>
          <w:position w:val="0"/>
        </w:rPr>
        <w:t>”</w:t>
      </w:r>
      <w:r>
        <w:rPr>
          <w:color w:val="000000"/>
          <w:spacing w:val="0"/>
          <w:w w:val="100"/>
          <w:position w:val="0"/>
        </w:rPr>
        <w:t>规划建设，加大对配电设备一二次融合</w:t>
      </w:r>
      <w:r>
        <w:rPr>
          <w:rFonts w:ascii="Times New Roman" w:eastAsia="Times New Roman" w:hAnsi="Times New Roman" w:cs="Times New Roman"/>
          <w:color w:val="000000"/>
          <w:spacing w:val="0"/>
          <w:w w:val="100"/>
          <w:position w:val="0"/>
        </w:rPr>
        <w:t>/</w:t>
      </w:r>
      <w:r>
        <w:rPr>
          <w:color w:val="000000"/>
          <w:spacing w:val="0"/>
          <w:w w:val="100"/>
          <w:position w:val="0"/>
        </w:rPr>
        <w:t>智能成套产品的研发力度，抓住电 气设备智能化和信息化的电力物联网创新发展机遇，夯实电气业务基础并实现向高端智能制造领域的战略转型。</w:t>
      </w:r>
    </w:p>
    <w:p>
      <w:pPr>
        <w:pStyle w:val="Style33"/>
        <w:keepNext w:val="0"/>
        <w:keepLines w:val="0"/>
        <w:widowControl w:val="0"/>
        <w:shd w:val="clear" w:color="auto" w:fill="auto"/>
        <w:tabs>
          <w:tab w:pos="770" w:val="left"/>
        </w:tabs>
        <w:bidi w:val="0"/>
        <w:spacing w:before="0" w:after="0" w:line="314" w:lineRule="exact"/>
        <w:ind w:left="0" w:right="0"/>
        <w:jc w:val="both"/>
      </w:pPr>
      <w:bookmarkStart w:id="242" w:name="bookmark242"/>
      <w:r>
        <w:rPr>
          <w:b/>
          <w:bCs/>
          <w:color w:val="000000"/>
          <w:spacing w:val="0"/>
          <w:w w:val="100"/>
          <w:position w:val="0"/>
        </w:rPr>
        <w:t>（</w:t>
      </w:r>
      <w:bookmarkEnd w:id="24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市场竞争风险</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随着游戏行业增量用户红利期的逐渐消失，进入存量时代，其他娱乐形式的出现及兴起，用户对产品的要求也日趋提 高，激烈的市场竞争，将会从产品和市场渠道等方面给公司互联网游戏业务的发展带来挑战。作为应对措施，在产品方 面，公司及哆可梦一方面将持续加大研发投入，积极进行精品游戏研发和创新，另一方面，公司及哆可梦将保持与优秀研 发厂商的密切合作并参与培育优秀的独立游戏工作室，保障优质产品的供给，用持续的精品游戏实现与用户的持续连接； 在市场渠道方面，哆可梦将进一步发挥流量经营的作用，深化立体营销、精准推送和长线服务的经营策略，持续提升市场 核心竞争力，另一方面，公司将顺应行业发展趋势，积极开拓游戏出海模式，以保持公司长久持续的发展潜力。</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随着国家经济和电力设备行业的快速发展，输配电设备企业数量迅速增加，同时国外输配电企业纷纷进入我国市场， 导致供给增加、竞争加剧。公司将紧跟市场，采取差异化产品战略，加快产品结构调整，提高产品智能化水平，优化生产 管理流程，完善销售网络建设，切实提高公司竞争实力和抗风险能力。</w:t>
      </w:r>
    </w:p>
    <w:p>
      <w:pPr>
        <w:pStyle w:val="Style33"/>
        <w:keepNext w:val="0"/>
        <w:keepLines w:val="0"/>
        <w:widowControl w:val="0"/>
        <w:shd w:val="clear" w:color="auto" w:fill="auto"/>
        <w:tabs>
          <w:tab w:pos="770" w:val="left"/>
        </w:tabs>
        <w:bidi w:val="0"/>
        <w:spacing w:before="0" w:after="60" w:line="314" w:lineRule="exact"/>
        <w:ind w:left="0" w:right="0"/>
        <w:jc w:val="both"/>
      </w:pPr>
      <w:bookmarkStart w:id="243" w:name="bookmark243"/>
      <w:r>
        <w:rPr>
          <w:b/>
          <w:bCs/>
          <w:color w:val="000000"/>
          <w:spacing w:val="0"/>
          <w:w w:val="100"/>
          <w:position w:val="0"/>
        </w:rPr>
        <w:t>（</w:t>
      </w:r>
      <w:bookmarkEnd w:id="243"/>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商誉减值风险</w:t>
      </w:r>
    </w:p>
    <w:p>
      <w:pPr>
        <w:pStyle w:val="Style33"/>
        <w:keepNext w:val="0"/>
        <w:keepLines w:val="0"/>
        <w:widowControl w:val="0"/>
        <w:shd w:val="clear" w:color="auto" w:fill="auto"/>
        <w:bidi w:val="0"/>
        <w:spacing w:before="0" w:after="0" w:line="313" w:lineRule="exact"/>
        <w:ind w:left="0" w:right="0" w:firstLine="360"/>
        <w:jc w:val="left"/>
      </w:pPr>
      <w:r>
        <w:rPr>
          <w:rFonts w:ascii="Times New Roman" w:eastAsia="Times New Roman" w:hAnsi="Times New Roman" w:cs="Times New Roman"/>
          <w:color w:val="000000"/>
          <w:spacing w:val="0"/>
          <w:w w:val="100"/>
          <w:position w:val="0"/>
        </w:rPr>
        <w:t>2017</w:t>
      </w:r>
      <w:r>
        <w:rPr>
          <w:color w:val="000000"/>
          <w:spacing w:val="0"/>
          <w:w w:val="100"/>
          <w:position w:val="0"/>
        </w:rPr>
        <w:t>年公司以现金方式收购哆可梦</w:t>
      </w:r>
      <w:r>
        <w:rPr>
          <w:rFonts w:ascii="Times New Roman" w:eastAsia="Times New Roman" w:hAnsi="Times New Roman" w:cs="Times New Roman"/>
          <w:color w:val="000000"/>
          <w:spacing w:val="0"/>
          <w:w w:val="100"/>
          <w:position w:val="0"/>
        </w:rPr>
        <w:t>77.57%</w:t>
      </w:r>
      <w:r>
        <w:rPr>
          <w:color w:val="000000"/>
          <w:spacing w:val="0"/>
          <w:w w:val="100"/>
          <w:position w:val="0"/>
        </w:rPr>
        <w:t>股权为非同一控制下企业合并，且哆可梦为轻资产型公司，报告期内，受移 动互联网买量成本上涨、哆可梦新产品上线推迟等因素影响，哆可梦游戏收入和利润发生下滑。公司根据《企业会计准 则》等相关规定，计提商誉减值准备</w:t>
      </w:r>
      <w:r>
        <w:rPr>
          <w:rFonts w:ascii="Times New Roman" w:eastAsia="Times New Roman" w:hAnsi="Times New Roman" w:cs="Times New Roman"/>
          <w:color w:val="000000"/>
          <w:spacing w:val="0"/>
          <w:w w:val="100"/>
          <w:position w:val="0"/>
        </w:rPr>
        <w:t>9.08</w:t>
      </w:r>
      <w:r>
        <w:rPr>
          <w:color w:val="000000"/>
          <w:spacing w:val="0"/>
          <w:w w:val="100"/>
          <w:position w:val="0"/>
        </w:rPr>
        <w:t>亿元，本次计提后，公司收购哆可梦形成的商誉账面价值为</w:t>
      </w:r>
      <w:r>
        <w:rPr>
          <w:rFonts w:ascii="Times New Roman" w:eastAsia="Times New Roman" w:hAnsi="Times New Roman" w:cs="Times New Roman"/>
          <w:color w:val="000000"/>
          <w:spacing w:val="0"/>
          <w:w w:val="100"/>
          <w:position w:val="0"/>
        </w:rPr>
        <w:t>3.13</w:t>
      </w:r>
      <w:r>
        <w:rPr>
          <w:color w:val="000000"/>
          <w:spacing w:val="0"/>
          <w:w w:val="100"/>
          <w:position w:val="0"/>
        </w:rPr>
        <w:t>亿元。未来如哆可 梦受到行业政策和行业竞争白炽化、核心团队人员流失、产品竞争力下降等因素影响导致业务发展滞后、未来经营状况恶 化，则公司将存在商誉减值的风险，从而对公司当期损益造成不利影响。</w:t>
      </w:r>
    </w:p>
    <w:p>
      <w:pPr>
        <w:pStyle w:val="Style33"/>
        <w:keepNext w:val="0"/>
        <w:keepLines w:val="0"/>
        <w:widowControl w:val="0"/>
        <w:shd w:val="clear" w:color="auto" w:fill="auto"/>
        <w:bidi w:val="0"/>
        <w:spacing w:before="0" w:after="0" w:line="313" w:lineRule="exact"/>
        <w:ind w:left="0" w:right="0" w:firstLine="360"/>
        <w:jc w:val="left"/>
      </w:pPr>
      <w:r>
        <w:rPr>
          <w:color w:val="000000"/>
          <w:spacing w:val="0"/>
          <w:w w:val="100"/>
          <w:position w:val="0"/>
        </w:rPr>
        <w:t>本报告期末，公司对收购哆可梦形成的商誉减值后，公司商誉账面价值已大幅下降，对公司未来财务状况的不确定性 影响也将大幅降低。公司将采取多种措施调动哆可梦团队的积极性和创造性，为哆可梦提供发展所需的各种资源和机会， 保持哆可梦的持续盈利能力，保证公司与哆可梦的整体利益最大化。公司还将进一步完善和加强并购标的公司的管理运营 和考核机制，强化母子公司之间的资源整合及协同效应，促进标的子公司良性的可持续性发展，助力其提升盈利能力，使 其经营情况回归预期。</w:t>
      </w:r>
    </w:p>
    <w:p>
      <w:pPr>
        <w:pStyle w:val="Style33"/>
        <w:keepNext w:val="0"/>
        <w:keepLines w:val="0"/>
        <w:widowControl w:val="0"/>
        <w:shd w:val="clear" w:color="auto" w:fill="auto"/>
        <w:bidi w:val="0"/>
        <w:spacing w:before="0" w:after="0" w:line="313" w:lineRule="exact"/>
        <w:ind w:left="0" w:right="0" w:firstLine="360"/>
        <w:jc w:val="left"/>
      </w:pPr>
      <w:bookmarkStart w:id="244" w:name="bookmark244"/>
      <w:r>
        <w:rPr>
          <w:b/>
          <w:bCs/>
          <w:color w:val="000000"/>
          <w:spacing w:val="0"/>
          <w:w w:val="100"/>
          <w:position w:val="0"/>
        </w:rPr>
        <w:t>（</w:t>
      </w:r>
      <w:bookmarkEnd w:id="244"/>
      <w:r>
        <w:rPr>
          <w:rFonts w:ascii="Times New Roman" w:eastAsia="Times New Roman" w:hAnsi="Times New Roman" w:cs="Times New Roman"/>
          <w:b/>
          <w:bCs/>
          <w:color w:val="000000"/>
          <w:spacing w:val="0"/>
          <w:w w:val="100"/>
          <w:position w:val="0"/>
        </w:rPr>
        <w:t>4</w:t>
      </w:r>
      <w:r>
        <w:rPr>
          <w:b/>
          <w:bCs/>
          <w:color w:val="000000"/>
          <w:spacing w:val="0"/>
          <w:w w:val="100"/>
          <w:position w:val="0"/>
        </w:rPr>
        <w:t>）人才流失风险</w:t>
      </w:r>
    </w:p>
    <w:p>
      <w:pPr>
        <w:pStyle w:val="Style33"/>
        <w:keepNext w:val="0"/>
        <w:keepLines w:val="0"/>
        <w:widowControl w:val="0"/>
        <w:shd w:val="clear" w:color="auto" w:fill="auto"/>
        <w:bidi w:val="0"/>
        <w:spacing w:before="0" w:after="0" w:line="313" w:lineRule="exact"/>
        <w:ind w:left="0" w:right="0" w:firstLine="360"/>
        <w:jc w:val="left"/>
      </w:pPr>
      <w:r>
        <w:rPr>
          <w:color w:val="000000"/>
          <w:spacing w:val="0"/>
          <w:w w:val="100"/>
          <w:position w:val="0"/>
        </w:rPr>
        <w:t>优秀的管理团队和人才团队是公司的核心优势之一，公司高端智能制造行业需要具有高素质的专业人才，同样互联网 综合服务行业属于轻资产运营模式，人才的重要性尤为突出。如果公司不能有效保持核心人员的激励机制并根据环境变化 而不断完善，将会影响到核心人员积极性、创造性的发挥，甚至造成核心人员的流失。</w:t>
      </w:r>
    </w:p>
    <w:p>
      <w:pPr>
        <w:pStyle w:val="Style33"/>
        <w:keepNext w:val="0"/>
        <w:keepLines w:val="0"/>
        <w:widowControl w:val="0"/>
        <w:shd w:val="clear" w:color="auto" w:fill="auto"/>
        <w:bidi w:val="0"/>
        <w:spacing w:before="0" w:after="360" w:line="312" w:lineRule="exact"/>
        <w:ind w:left="0" w:right="0" w:firstLine="300"/>
        <w:jc w:val="left"/>
      </w:pPr>
      <w:r>
        <w:rPr>
          <w:color w:val="000000"/>
          <w:spacing w:val="0"/>
          <w:w w:val="100"/>
          <w:position w:val="0"/>
        </w:rPr>
        <w:t>公司将更加注重吸引人才、培养人才，向员工制定培训计划，为人员提供锻炼机会、业务发展及职务晋升空间，给予其 更大的创新空间；从外部引进并保留与业务发展所需密切相关的技术及运营人才，重视企业文化的建设，增强员工对公司的 归属感，提升员工的主人翁精神。</w:t>
      </w:r>
    </w:p>
    <w:p>
      <w:pPr>
        <w:pStyle w:val="Style29"/>
        <w:keepNext/>
        <w:keepLines/>
        <w:widowControl w:val="0"/>
        <w:shd w:val="clear" w:color="auto" w:fill="auto"/>
        <w:bidi w:val="0"/>
        <w:spacing w:before="0" w:after="200" w:line="240" w:lineRule="auto"/>
        <w:ind w:left="0" w:right="0" w:firstLine="0"/>
        <w:jc w:val="left"/>
        <w:sectPr>
          <w:headerReference w:type="default" r:id="rId11"/>
          <w:footerReference w:type="default" r:id="rId12"/>
          <w:footnotePr>
            <w:pos w:val="pageBottom"/>
            <w:numFmt w:val="decimal"/>
            <w:numRestart w:val="continuous"/>
          </w:footnotePr>
          <w:pgSz w:w="11900" w:h="16840"/>
          <w:pgMar w:top="1388" w:right="1118" w:bottom="1628" w:left="1096" w:header="0" w:footer="3" w:gutter="0"/>
          <w:cols w:space="720"/>
          <w:noEndnote/>
          <w:rtlGutter w:val="0"/>
          <w:docGrid w:linePitch="360"/>
        </w:sectPr>
      </w:pPr>
      <w:bookmarkStart w:id="245" w:name="bookmark245"/>
      <w:bookmarkStart w:id="246" w:name="bookmark246"/>
      <w:bookmarkStart w:id="247" w:name="bookmark247"/>
      <w:r>
        <w:rPr>
          <w:color w:val="000000"/>
          <w:spacing w:val="0"/>
          <w:w w:val="100"/>
          <w:position w:val="0"/>
          <w:sz w:val="24"/>
          <w:szCs w:val="24"/>
        </w:rPr>
        <w:t>十、接待调研、沟通、采访等活动</w:t>
      </w:r>
      <w:bookmarkEnd w:id="245"/>
      <w:bookmarkEnd w:id="246"/>
      <w:bookmarkEnd w:id="247"/>
    </w:p>
    <w:p>
      <w:pPr>
        <w:pStyle w:val="Style37"/>
        <w:keepNext/>
        <w:keepLines/>
        <w:widowControl w:val="0"/>
        <w:shd w:val="clear" w:color="auto" w:fill="auto"/>
        <w:bidi w:val="0"/>
        <w:spacing w:before="0" w:after="340" w:line="240" w:lineRule="auto"/>
        <w:ind w:left="0" w:right="0" w:firstLine="0"/>
        <w:jc w:val="left"/>
      </w:pPr>
      <w:bookmarkStart w:id="248" w:name="bookmark248"/>
      <w:bookmarkStart w:id="249" w:name="bookmark249"/>
      <w:bookmarkStart w:id="250" w:name="bookmark250"/>
      <w:bookmarkStart w:id="251" w:name="bookmark251"/>
      <w:r>
        <w:rPr>
          <w:rFonts w:ascii="Times New Roman" w:eastAsia="Times New Roman" w:hAnsi="Times New Roman" w:cs="Times New Roman"/>
          <w:color w:val="000000"/>
          <w:spacing w:val="0"/>
          <w:w w:val="100"/>
          <w:position w:val="0"/>
        </w:rPr>
        <w:t>1</w:t>
      </w:r>
      <w:bookmarkEnd w:id="250"/>
      <w:r>
        <w:rPr>
          <w:color w:val="000000"/>
          <w:spacing w:val="0"/>
          <w:w w:val="100"/>
          <w:position w:val="0"/>
        </w:rPr>
        <w:t>、报告期内接待调研、沟通、采访等活动登记表</w:t>
      </w:r>
      <w:bookmarkEnd w:id="248"/>
      <w:bookmarkEnd w:id="249"/>
      <w:bookmarkEnd w:id="251"/>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65"/>
        <w:gridCol w:w="2126"/>
        <w:gridCol w:w="850"/>
        <w:gridCol w:w="706"/>
        <w:gridCol w:w="4824"/>
        <w:gridCol w:w="1982"/>
        <w:gridCol w:w="1915"/>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接待对 象类型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谈论的主要内容及提供</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的资料</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调研的基本情况索引</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惠程科技深圳总部会议室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长生人寿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left"/>
            </w:pPr>
            <w:r>
              <w:rPr>
                <w:color w:val="000000"/>
                <w:spacing w:val="0"/>
                <w:w w:val="100"/>
                <w:position w:val="0"/>
              </w:rPr>
              <w:t>《投资者关系活动记录 表》（编号：</w:t>
            </w:r>
            <w:r>
              <w:rPr>
                <w:rFonts w:ascii="Times New Roman" w:eastAsia="Times New Roman" w:hAnsi="Times New Roman" w:cs="Times New Roman"/>
                <w:color w:val="000000"/>
                <w:spacing w:val="0"/>
                <w:w w:val="100"/>
                <w:position w:val="0"/>
              </w:rPr>
              <w:t>2020-001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见巨潮资讯网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 cn</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惠程科技深圳总部会议室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新时代证券股份有限公司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left"/>
            </w:pPr>
            <w:r>
              <w:rPr>
                <w:color w:val="000000"/>
                <w:spacing w:val="0"/>
                <w:w w:val="100"/>
                <w:position w:val="0"/>
              </w:rPr>
              <w:t>《投资者关系活动记录 表》（编号:</w:t>
            </w:r>
            <w:r>
              <w:rPr>
                <w:rFonts w:ascii="Times New Roman" w:eastAsia="Times New Roman" w:hAnsi="Times New Roman" w:cs="Times New Roman"/>
                <w:color w:val="000000"/>
                <w:spacing w:val="0"/>
                <w:w w:val="100"/>
                <w:position w:val="0"/>
              </w:rPr>
              <w:t>2020-002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见巨潮资讯网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 cn</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惠程科技深圳总部会议室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新时代证券、万家基金、长城基金、中银基金、华夏久盈、 泰信基金、东方资管、国泰君安、光大证券、华富基金、财 通基金、中科沃土基金、人保资产、安信基金、东吴证券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left"/>
            </w:pPr>
            <w:r>
              <w:rPr>
                <w:color w:val="000000"/>
                <w:spacing w:val="0"/>
                <w:w w:val="100"/>
                <w:position w:val="0"/>
              </w:rPr>
              <w:t>《投资者关系活动记录 表》（编号:</w:t>
            </w:r>
            <w:r>
              <w:rPr>
                <w:rFonts w:ascii="Times New Roman" w:eastAsia="Times New Roman" w:hAnsi="Times New Roman" w:cs="Times New Roman"/>
                <w:color w:val="000000"/>
                <w:spacing w:val="0"/>
                <w:w w:val="100"/>
                <w:position w:val="0"/>
              </w:rPr>
              <w:t>2020-003</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见巨潮资讯网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 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惠程科技北京办公室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平安证券股份有限公司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left"/>
            </w:pPr>
            <w:r>
              <w:rPr>
                <w:color w:val="000000"/>
                <w:spacing w:val="0"/>
                <w:w w:val="100"/>
                <w:position w:val="0"/>
              </w:rPr>
              <w:t>《投资者关系活动记录 表》（编号:</w:t>
            </w:r>
            <w:r>
              <w:rPr>
                <w:rFonts w:ascii="Times New Roman" w:eastAsia="Times New Roman" w:hAnsi="Times New Roman" w:cs="Times New Roman"/>
                <w:color w:val="000000"/>
                <w:spacing w:val="0"/>
                <w:w w:val="100"/>
                <w:position w:val="0"/>
              </w:rPr>
              <w:t>2020-004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见巨潮资讯网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 cn</w:t>
            </w:r>
            <w:r>
              <w:rPr>
                <w:color w:val="000000"/>
                <w:spacing w:val="0"/>
                <w:w w:val="100"/>
                <w:position w:val="0"/>
              </w:rPr>
              <w:t>)</w:t>
            </w:r>
          </w:p>
        </w:tc>
      </w:tr>
      <w:tr>
        <w:trPr>
          <w:trHeight w:val="321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北京市朝阳区宏泰东街绿 地中心中国锦</w:t>
            </w:r>
            <w:r>
              <w:rPr>
                <w:rFonts w:ascii="Times New Roman" w:eastAsia="Times New Roman" w:hAnsi="Times New Roman" w:cs="Times New Roman"/>
                <w:color w:val="000000"/>
                <w:spacing w:val="0"/>
                <w:w w:val="100"/>
                <w:position w:val="0"/>
              </w:rPr>
              <w:t>51</w:t>
            </w:r>
            <w:r>
              <w:rPr>
                <w:color w:val="000000"/>
                <w:spacing w:val="0"/>
                <w:w w:val="100"/>
                <w:position w:val="0"/>
              </w:rPr>
              <w:t>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国元证券股份有限公司、北京高信百诺投资管理有限公司、 北京乐正资本管理有限公司、北京鑫乐达投资管理有限公 司、北京公能达投资管理有限公司、北京思源恒岳资产管理 有限公司、中衡一元投资集团有限公司、北京格雷资产管 理中心（有限合伙）、西藏香山投资管理有限公司、北京星 台投资管理有限公司、北京景富运通投资管理有限公司、北 京华清紫荆创业投资中心（有限合伙）、北京招银国金投资 有限公司、北京企业迦投资有限公司、华觉（北京）资产管 理有限公司、河北昂泰投资管理有限公司、德清库银投资管 理合伙企业（有限合伙）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left"/>
            </w:pPr>
            <w:r>
              <w:rPr>
                <w:color w:val="000000"/>
                <w:spacing w:val="0"/>
                <w:w w:val="100"/>
                <w:position w:val="0"/>
              </w:rPr>
              <w:t>《投资者关系活动记录 表》（编号：</w:t>
            </w:r>
            <w:r>
              <w:rPr>
                <w:rFonts w:ascii="Times New Roman" w:eastAsia="Times New Roman" w:hAnsi="Times New Roman" w:cs="Times New Roman"/>
                <w:color w:val="000000"/>
                <w:spacing w:val="0"/>
                <w:w w:val="100"/>
                <w:position w:val="0"/>
              </w:rPr>
              <w:t>2020-005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见巨潮资讯网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 cn</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惠程科技工业园会议室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兴业证券、中国证券报、证券时报、每日经济新闻、和讯 网、投资者报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left"/>
            </w:pPr>
            <w:r>
              <w:rPr>
                <w:color w:val="000000"/>
                <w:spacing w:val="0"/>
                <w:w w:val="100"/>
                <w:position w:val="0"/>
              </w:rPr>
              <w:t>《投资者关系活动记录 表》（编号:</w:t>
            </w:r>
            <w:r>
              <w:rPr>
                <w:rFonts w:ascii="Times New Roman" w:eastAsia="Times New Roman" w:hAnsi="Times New Roman" w:cs="Times New Roman"/>
                <w:color w:val="000000"/>
                <w:spacing w:val="0"/>
                <w:w w:val="100"/>
                <w:position w:val="0"/>
              </w:rPr>
              <w:t>2020-006</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见巨潮资讯网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 cn</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惠程科技工业园会议室</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红塔红土基金、新天成基金、天风证券、每日经济新闻、和 讯网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left"/>
            </w:pPr>
            <w:r>
              <w:rPr>
                <w:color w:val="000000"/>
                <w:spacing w:val="0"/>
                <w:w w:val="100"/>
                <w:position w:val="0"/>
              </w:rPr>
              <w:t>《投资者关系活动记录 表》（编号:</w:t>
            </w:r>
            <w:r>
              <w:rPr>
                <w:rFonts w:ascii="Times New Roman" w:eastAsia="Times New Roman" w:hAnsi="Times New Roman" w:cs="Times New Roman"/>
                <w:color w:val="000000"/>
                <w:spacing w:val="0"/>
                <w:w w:val="100"/>
                <w:position w:val="0"/>
              </w:rPr>
              <w:t>2020-007</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见巨潮资讯网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 cn</w:t>
            </w:r>
            <w:r>
              <w:rPr>
                <w:color w:val="000000"/>
                <w:spacing w:val="0"/>
                <w:w w:val="100"/>
                <w:position w:val="0"/>
              </w:rPr>
              <w:t>)</w:t>
            </w:r>
          </w:p>
        </w:tc>
      </w:tr>
    </w:tbl>
    <w:p>
      <w:pPr>
        <w:sectPr>
          <w:headerReference w:type="default" r:id="rId13"/>
          <w:footerReference w:type="default" r:id="rId14"/>
          <w:footnotePr>
            <w:pos w:val="pageBottom"/>
            <w:numFmt w:val="decimal"/>
            <w:numRestart w:val="continuous"/>
          </w:footnotePr>
          <w:pgSz w:w="16840" w:h="11900" w:orient="landscape"/>
          <w:pgMar w:top="1158" w:right="1436" w:bottom="1158" w:left="1422" w:header="0" w:footer="3" w:gutter="0"/>
          <w:cols w:space="720"/>
          <w:noEndnote/>
          <w:rtlGutter w:val="0"/>
          <w:docGrid w:linePitch="360"/>
        </w:sectPr>
      </w:pPr>
    </w:p>
    <w:p>
      <w:pPr>
        <w:pStyle w:val="Style18"/>
        <w:keepNext/>
        <w:keepLines/>
        <w:widowControl w:val="0"/>
        <w:shd w:val="clear" w:color="auto" w:fill="auto"/>
        <w:bidi w:val="0"/>
        <w:spacing w:before="480" w:line="240" w:lineRule="auto"/>
        <w:ind w:left="0" w:right="0" w:firstLine="0"/>
        <w:jc w:val="center"/>
      </w:pPr>
      <w:bookmarkStart w:id="252" w:name="bookmark252"/>
      <w:bookmarkStart w:id="253" w:name="bookmark253"/>
      <w:bookmarkStart w:id="254" w:name="bookmark254"/>
      <w:r>
        <w:rPr>
          <w:color w:val="000000"/>
          <w:spacing w:val="0"/>
          <w:w w:val="100"/>
          <w:position w:val="0"/>
        </w:rPr>
        <w:t>第五节重要事项</w:t>
      </w:r>
      <w:bookmarkEnd w:id="252"/>
      <w:bookmarkEnd w:id="253"/>
      <w:bookmarkEnd w:id="254"/>
    </w:p>
    <w:p>
      <w:pPr>
        <w:pStyle w:val="Style29"/>
        <w:keepNext/>
        <w:keepLines/>
        <w:widowControl w:val="0"/>
        <w:shd w:val="clear" w:color="auto" w:fill="auto"/>
        <w:bidi w:val="0"/>
        <w:spacing w:before="0" w:after="220" w:line="240" w:lineRule="auto"/>
        <w:ind w:left="0" w:right="0" w:firstLine="0"/>
        <w:jc w:val="both"/>
      </w:pPr>
      <w:bookmarkStart w:id="255" w:name="bookmark255"/>
      <w:bookmarkStart w:id="256" w:name="bookmark256"/>
      <w:bookmarkStart w:id="257" w:name="bookmark257"/>
      <w:bookmarkStart w:id="258" w:name="bookmark258"/>
      <w:bookmarkStart w:id="259" w:name="bookmark259"/>
      <w:r>
        <w:rPr>
          <w:color w:val="000000"/>
          <w:spacing w:val="0"/>
          <w:w w:val="100"/>
          <w:position w:val="0"/>
          <w:sz w:val="24"/>
          <w:szCs w:val="24"/>
        </w:rPr>
        <w:t>一</w:t>
      </w:r>
      <w:bookmarkEnd w:id="258"/>
      <w:r>
        <w:rPr>
          <w:color w:val="000000"/>
          <w:spacing w:val="0"/>
          <w:w w:val="100"/>
          <w:position w:val="0"/>
          <w:sz w:val="24"/>
          <w:szCs w:val="24"/>
        </w:rPr>
        <w:t>、公司普通股利润分配及资本公积金转增股本情况</w:t>
      </w:r>
      <w:bookmarkEnd w:id="256"/>
      <w:bookmarkEnd w:id="257"/>
      <w:bookmarkEnd w:id="259"/>
      <w:bookmarkEnd w:id="255"/>
    </w:p>
    <w:p>
      <w:pPr>
        <w:pStyle w:val="Style33"/>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报告期内普通股利润分配政策，特别是现金分红政策的制定、执行或调整情况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313" w:lineRule="exact"/>
        <w:ind w:left="0" w:right="0" w:firstLine="360"/>
        <w:jc w:val="left"/>
      </w:pPr>
      <w:r>
        <w:rPr>
          <w:color w:val="000000"/>
          <w:spacing w:val="0"/>
          <w:w w:val="100"/>
          <w:position w:val="0"/>
        </w:rPr>
        <w:t>根据中国证监会《关于进一步落实上市公司现金分红有关事项的通知》及深圳证监局有关文件等的规定和要求，</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日公司第六届董事会第四十九次会议、第六届监事会第二十二次会议审议通过并发布了《深圳市惠程信息科技股份 有限公司未来三年（</w:t>
      </w:r>
      <w:r>
        <w:rPr>
          <w:rFonts w:ascii="Times New Roman" w:eastAsia="Times New Roman" w:hAnsi="Times New Roman" w:cs="Times New Roman"/>
          <w:color w:val="000000"/>
          <w:spacing w:val="0"/>
          <w:w w:val="100"/>
          <w:position w:val="0"/>
        </w:rPr>
        <w:t>2020-2022</w:t>
      </w:r>
      <w:r>
        <w:rPr>
          <w:color w:val="000000"/>
          <w:spacing w:val="0"/>
          <w:w w:val="100"/>
          <w:position w:val="0"/>
        </w:rPr>
        <w:t>年）股东回报规划》，</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日公司召开的</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年第二次临时股东大会审议通过了该 规划。公司制定的股东回报规划，明确了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-2022</w:t>
      </w:r>
      <w:r>
        <w:rPr>
          <w:color w:val="000000"/>
          <w:spacing w:val="0"/>
          <w:w w:val="100"/>
          <w:position w:val="0"/>
        </w:rPr>
        <w:t>年期间公司的利润分配形式、利润分配周期、利润分配比例和利润分 配方案的制定和执行。</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3"/>
        <w:keepNext w:val="0"/>
        <w:keepLines w:val="0"/>
        <w:widowControl w:val="0"/>
        <w:shd w:val="clear" w:color="auto" w:fill="auto"/>
        <w:tabs>
          <w:tab w:pos="869" w:val="left"/>
        </w:tabs>
        <w:bidi w:val="0"/>
        <w:spacing w:before="0" w:after="0" w:line="326" w:lineRule="exact"/>
        <w:ind w:left="0" w:right="0" w:firstLine="360"/>
        <w:jc w:val="left"/>
      </w:pPr>
      <w:bookmarkStart w:id="260" w:name="bookmark260"/>
      <w:r>
        <w:rPr>
          <w:color w:val="000000"/>
          <w:spacing w:val="0"/>
          <w:w w:val="100"/>
          <w:position w:val="0"/>
        </w:rPr>
        <w:t>（</w:t>
      </w:r>
      <w:bookmarkEnd w:id="260"/>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年度利润分配方案：公司</w:t>
      </w:r>
      <w:r>
        <w:rPr>
          <w:rFonts w:ascii="Times New Roman" w:eastAsia="Times New Roman" w:hAnsi="Times New Roman" w:cs="Times New Roman"/>
          <w:color w:val="000000"/>
          <w:spacing w:val="0"/>
          <w:w w:val="100"/>
          <w:position w:val="0"/>
        </w:rPr>
        <w:t>2018</w:t>
      </w:r>
      <w:r>
        <w:rPr>
          <w:color w:val="000000"/>
          <w:spacing w:val="0"/>
          <w:w w:val="100"/>
          <w:position w:val="0"/>
        </w:rPr>
        <w:t>年度不进行利润分配，不进行分红送股，也不以资本公积金转增股本，留存收 益全部用于公司日常生产经营。</w:t>
      </w:r>
    </w:p>
    <w:p>
      <w:pPr>
        <w:pStyle w:val="Style33"/>
        <w:keepNext w:val="0"/>
        <w:keepLines w:val="0"/>
        <w:widowControl w:val="0"/>
        <w:shd w:val="clear" w:color="auto" w:fill="auto"/>
        <w:tabs>
          <w:tab w:pos="869" w:val="left"/>
        </w:tabs>
        <w:bidi w:val="0"/>
        <w:spacing w:before="0" w:after="0" w:line="316" w:lineRule="exact"/>
        <w:ind w:left="0" w:right="0" w:firstLine="360"/>
        <w:jc w:val="left"/>
      </w:pPr>
      <w:bookmarkStart w:id="261" w:name="bookmark261"/>
      <w:r>
        <w:rPr>
          <w:color w:val="000000"/>
          <w:spacing w:val="0"/>
          <w:w w:val="100"/>
          <w:position w:val="0"/>
        </w:rPr>
        <w:t>（</w:t>
      </w:r>
      <w:bookmarkEnd w:id="261"/>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年度利润分配预案：鉴于截至到</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日公司以现金为对价，采用集中竞价方式已累计回购公司股份 </w:t>
      </w:r>
      <w:r>
        <w:rPr>
          <w:rFonts w:ascii="Times New Roman" w:eastAsia="Times New Roman" w:hAnsi="Times New Roman" w:cs="Times New Roman"/>
          <w:color w:val="000000"/>
          <w:spacing w:val="0"/>
          <w:w w:val="100"/>
          <w:position w:val="0"/>
        </w:rPr>
        <w:t>17,766,200</w:t>
      </w:r>
      <w:r>
        <w:rPr>
          <w:color w:val="000000"/>
          <w:spacing w:val="0"/>
          <w:w w:val="100"/>
          <w:position w:val="0"/>
        </w:rPr>
        <w:t>股，支付的总金额为</w:t>
      </w:r>
      <w:r>
        <w:rPr>
          <w:rFonts w:ascii="Times New Roman" w:eastAsia="Times New Roman" w:hAnsi="Times New Roman" w:cs="Times New Roman"/>
          <w:color w:val="000000"/>
          <w:spacing w:val="0"/>
          <w:w w:val="100"/>
          <w:position w:val="0"/>
        </w:rPr>
        <w:t>147,613,580.50</w:t>
      </w:r>
      <w:r>
        <w:rPr>
          <w:color w:val="000000"/>
          <w:spacing w:val="0"/>
          <w:w w:val="100"/>
          <w:position w:val="0"/>
        </w:rPr>
        <w:t>元（不含交易费用）</w:t>
      </w:r>
      <w:r>
        <w:rPr>
          <w:i/>
          <w:iCs/>
          <w:color w:val="000000"/>
          <w:spacing w:val="0"/>
          <w:w w:val="100"/>
          <w:position w:val="0"/>
        </w:rPr>
        <w:t>。</w:t>
      </w:r>
      <w:r>
        <w:rPr>
          <w:color w:val="000000"/>
          <w:spacing w:val="0"/>
          <w:w w:val="100"/>
          <w:position w:val="0"/>
        </w:rPr>
        <w:t>根据《深圳证券交易所上市公司回购股份实施细则》第 七条的相关规定，</w:t>
      </w:r>
      <w:r>
        <w:rPr>
          <w:rFonts w:ascii="Times New Roman" w:eastAsia="Times New Roman" w:hAnsi="Times New Roman" w:cs="Times New Roman"/>
          <w:color w:val="000000"/>
          <w:spacing w:val="0"/>
          <w:w w:val="100"/>
          <w:position w:val="0"/>
        </w:rPr>
        <w:t>“</w:t>
      </w:r>
      <w:r>
        <w:rPr>
          <w:color w:val="000000"/>
          <w:spacing w:val="0"/>
          <w:w w:val="100"/>
          <w:position w:val="0"/>
        </w:rPr>
        <w:t>上市公司以现金为对价，采用要约方式、集中竞价方式回购股份的，当年已实施的回购股份金额视同现 金分红金额，纳入该年度现金分红的相关比例计算。</w:t>
      </w:r>
      <w:r>
        <w:rPr>
          <w:rFonts w:ascii="Times New Roman" w:eastAsia="Times New Roman" w:hAnsi="Times New Roman" w:cs="Times New Roman"/>
          <w:color w:val="000000"/>
          <w:spacing w:val="0"/>
          <w:w w:val="100"/>
          <w:position w:val="0"/>
        </w:rPr>
        <w:t>”</w:t>
      </w:r>
      <w:r>
        <w:rPr>
          <w:color w:val="000000"/>
          <w:spacing w:val="0"/>
          <w:w w:val="100"/>
          <w:position w:val="0"/>
        </w:rPr>
        <w:t>同时考虑到公司日常生产经营、未来投资和发展需要大量资金，所以 公司不再派发现金红利，不送红股，不以资本公积金转增股本。</w:t>
      </w:r>
    </w:p>
    <w:p>
      <w:pPr>
        <w:pStyle w:val="Style33"/>
        <w:keepNext w:val="0"/>
        <w:keepLines w:val="0"/>
        <w:widowControl w:val="0"/>
        <w:shd w:val="clear" w:color="auto" w:fill="auto"/>
        <w:tabs>
          <w:tab w:pos="773" w:val="left"/>
        </w:tabs>
        <w:bidi w:val="0"/>
        <w:spacing w:before="0" w:after="0" w:line="316" w:lineRule="exact"/>
        <w:ind w:left="0" w:right="0" w:firstLine="360"/>
        <w:jc w:val="left"/>
      </w:pPr>
      <w:bookmarkStart w:id="262" w:name="bookmark262"/>
      <w:r>
        <w:rPr>
          <w:color w:val="000000"/>
          <w:spacing w:val="0"/>
          <w:w w:val="100"/>
          <w:position w:val="0"/>
        </w:rPr>
        <w:t>（</w:t>
      </w:r>
      <w:bookmarkEnd w:id="262"/>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年度利润分配方案：不向股东派发现金红利，不送红股，不以资本公积金转增股本。</w:t>
      </w:r>
    </w:p>
    <w:p>
      <w:pPr>
        <w:pStyle w:val="Style33"/>
        <w:keepNext w:val="0"/>
        <w:keepLines w:val="0"/>
        <w:widowControl w:val="0"/>
        <w:shd w:val="clear" w:color="auto" w:fill="auto"/>
        <w:bidi w:val="0"/>
        <w:spacing w:before="0" w:after="140" w:line="316" w:lineRule="exact"/>
        <w:ind w:left="0" w:right="0" w:firstLine="0"/>
        <w:jc w:val="both"/>
      </w:pPr>
      <w:r>
        <w:rPr>
          <w:color w:val="000000"/>
          <w:spacing w:val="0"/>
          <w:w w:val="100"/>
          <w:position w:val="0"/>
        </w:rPr>
        <w:t>公司近三年（包括本报告期）普通股现金分红情况表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82"/>
        <w:gridCol w:w="994"/>
        <w:gridCol w:w="1421"/>
        <w:gridCol w:w="1272"/>
        <w:gridCol w:w="1277"/>
        <w:gridCol w:w="1277"/>
        <w:gridCol w:w="1277"/>
        <w:gridCol w:w="1387"/>
      </w:tblGrid>
      <w:tr>
        <w:trPr>
          <w:trHeight w:val="196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 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right"/>
            </w:pPr>
            <w:r>
              <w:rPr>
                <w:color w:val="000000"/>
                <w:spacing w:val="0"/>
                <w:w w:val="100"/>
                <w:position w:val="0"/>
              </w:rPr>
              <w:t>现金分红金 额（含税）</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以其他方式</w:t>
            </w:r>
          </w:p>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现金分红总额 （含其他方式） 占合并报表中归 属于上市公司普 通股股东的净利 润的比率</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-960,414,682.28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tbl>
      <w:tblPr>
        <w:tblOverlap w:val="never"/>
        <w:jc w:val="center"/>
        <w:tblLayout w:type="fixed"/>
      </w:tblPr>
      <w:tblGrid>
        <w:gridCol w:w="682"/>
        <w:gridCol w:w="994"/>
        <w:gridCol w:w="1421"/>
        <w:gridCol w:w="1272"/>
        <w:gridCol w:w="1277"/>
        <w:gridCol w:w="1277"/>
        <w:gridCol w:w="1277"/>
        <w:gridCol w:w="138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134,997,926.83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147,613,580.50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147,613,580.50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109.35%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336,389,804.53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360" w:line="240" w:lineRule="auto"/>
        <w:ind w:left="0" w:right="0" w:firstLine="0"/>
        <w:jc w:val="left"/>
      </w:pPr>
      <w:bookmarkStart w:id="263" w:name="bookmark263"/>
      <w:bookmarkStart w:id="264" w:name="bookmark264"/>
      <w:bookmarkStart w:id="265" w:name="bookmark265"/>
      <w:bookmarkStart w:id="266" w:name="bookmark266"/>
      <w:r>
        <w:rPr>
          <w:color w:val="000000"/>
          <w:spacing w:val="0"/>
          <w:w w:val="100"/>
          <w:position w:val="0"/>
          <w:sz w:val="24"/>
          <w:szCs w:val="24"/>
        </w:rPr>
        <w:t>二</w:t>
      </w:r>
      <w:bookmarkEnd w:id="265"/>
      <w:r>
        <w:rPr>
          <w:color w:val="000000"/>
          <w:spacing w:val="0"/>
          <w:w w:val="100"/>
          <w:position w:val="0"/>
          <w:sz w:val="24"/>
          <w:szCs w:val="24"/>
        </w:rPr>
        <w:t>、</w:t>
        <w:tab/>
        <w:t>本报告期利润分配及资本公积金转增股本情况</w:t>
      </w:r>
      <w:bookmarkEnd w:id="263"/>
      <w:bookmarkEnd w:id="264"/>
      <w:bookmarkEnd w:id="266"/>
    </w:p>
    <w:p>
      <w:pPr>
        <w:pStyle w:val="Style3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公司计划年度不派发现金红利，不送红股，不以公积金转增股本。</w:t>
      </w:r>
    </w:p>
    <w:p>
      <w:pPr>
        <w:pStyle w:val="Style29"/>
        <w:keepNext/>
        <w:keepLines/>
        <w:widowControl w:val="0"/>
        <w:shd w:val="clear" w:color="auto" w:fill="auto"/>
        <w:tabs>
          <w:tab w:pos="522" w:val="left"/>
        </w:tabs>
        <w:bidi w:val="0"/>
        <w:spacing w:before="0" w:after="360" w:line="240" w:lineRule="auto"/>
        <w:ind w:left="0" w:right="0" w:firstLine="0"/>
        <w:jc w:val="left"/>
        <w:sectPr>
          <w:headerReference w:type="default" r:id="rId15"/>
          <w:footerReference w:type="default" r:id="rId16"/>
          <w:footnotePr>
            <w:pos w:val="pageBottom"/>
            <w:numFmt w:val="decimal"/>
            <w:numRestart w:val="continuous"/>
          </w:footnotePr>
          <w:pgSz w:w="11900" w:h="16840"/>
          <w:pgMar w:top="1441" w:right="1123" w:bottom="1604" w:left="1095" w:header="0" w:footer="3" w:gutter="0"/>
          <w:cols w:space="720"/>
          <w:noEndnote/>
          <w:rtlGutter w:val="0"/>
          <w:docGrid w:linePitch="360"/>
        </w:sectPr>
      </w:pPr>
      <w:bookmarkStart w:id="267" w:name="bookmark267"/>
      <w:bookmarkStart w:id="268" w:name="bookmark268"/>
      <w:bookmarkStart w:id="269" w:name="bookmark269"/>
      <w:bookmarkStart w:id="270" w:name="bookmark270"/>
      <w:r>
        <w:rPr>
          <w:color w:val="000000"/>
          <w:spacing w:val="0"/>
          <w:w w:val="100"/>
          <w:position w:val="0"/>
          <w:sz w:val="24"/>
          <w:szCs w:val="24"/>
        </w:rPr>
        <w:t>三</w:t>
      </w:r>
      <w:bookmarkEnd w:id="269"/>
      <w:r>
        <w:rPr>
          <w:color w:val="000000"/>
          <w:spacing w:val="0"/>
          <w:w w:val="100"/>
          <w:position w:val="0"/>
          <w:sz w:val="24"/>
          <w:szCs w:val="24"/>
        </w:rPr>
        <w:t>、</w:t>
        <w:tab/>
        <w:t>承诺事项履行情况</w:t>
      </w:r>
      <w:bookmarkEnd w:id="267"/>
      <w:bookmarkEnd w:id="268"/>
      <w:bookmarkEnd w:id="270"/>
    </w:p>
    <w:p>
      <w:pPr>
        <w:pStyle w:val="Style37"/>
        <w:keepNext/>
        <w:keepLines/>
        <w:widowControl w:val="0"/>
        <w:shd w:val="clear" w:color="auto" w:fill="auto"/>
        <w:bidi w:val="0"/>
        <w:spacing w:before="0" w:after="340" w:line="240" w:lineRule="auto"/>
        <w:ind w:left="0" w:right="0" w:firstLine="0"/>
        <w:jc w:val="left"/>
      </w:pPr>
      <w:bookmarkStart w:id="271" w:name="bookmark271"/>
      <w:bookmarkStart w:id="272" w:name="bookmark272"/>
      <w:bookmarkStart w:id="273" w:name="bookmark273"/>
      <w:bookmarkStart w:id="274" w:name="bookmark274"/>
      <w:r>
        <w:rPr>
          <w:rFonts w:ascii="Times New Roman" w:eastAsia="Times New Roman" w:hAnsi="Times New Roman" w:cs="Times New Roman"/>
          <w:color w:val="000000"/>
          <w:spacing w:val="0"/>
          <w:w w:val="100"/>
          <w:position w:val="0"/>
        </w:rPr>
        <w:t>1</w:t>
      </w:r>
      <w:bookmarkEnd w:id="273"/>
      <w:r>
        <w:rPr>
          <w:color w:val="000000"/>
          <w:spacing w:val="0"/>
          <w:w w:val="100"/>
          <w:position w:val="0"/>
        </w:rPr>
        <w:t>、公司实际控制人、股东、关联方、收购人以及公司等承诺相关方在报告期内履行完毕及截至报告期末尚未履行完毕的承诺事项</w:t>
      </w:r>
      <w:bookmarkEnd w:id="271"/>
      <w:bookmarkEnd w:id="272"/>
      <w:bookmarkEnd w:id="274"/>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4"/>
        <w:gridCol w:w="1416"/>
        <w:gridCol w:w="2126"/>
        <w:gridCol w:w="5813"/>
        <w:gridCol w:w="1421"/>
        <w:gridCol w:w="1277"/>
        <w:gridCol w:w="1061"/>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rPr>
              <w:t>承诺方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履行情况</w:t>
            </w:r>
          </w:p>
        </w:tc>
      </w:tr>
      <w:tr>
        <w:trPr>
          <w:trHeight w:val="165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收购报告 书或权益 变动报告 书中所作 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中驰惠程；中源 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保证深圳惠程在资产、人员、财务、业务和机构等方面独立。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日至长期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334"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资产重组</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时所作承</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中驰惠程；中源 信；信中利；汪 超涌、田勇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关于同业竞争、关联交 易、资金占用方面的承诺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自身及其控制的企业不会直接或间接从事或参与任何与深圳惠程及其下 属企业构成竞争的任何业务或活动，不以任何方式从事或参与任何与深 圳惠程及其下属企业业务相同、相似或可能取代深圳惠程及其下属企业 业务的活动。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日至长期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中驰惠程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自交易完成之日起六十个月内，保证不主动放弃对上市公司的控股股东 地位，详见</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日《重大资产购买暨关联交易报告书（草 案）（二次修订稿）》。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汪超涌；李亦非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自交易完成之日起六十个月内，本人及本人控制的主体保证不会主动放 弃对上市公司的控制权，保证上市公司控制权不发生变化，详见</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日《重大资产购买暨关联交易报告书（草案）（二次修订稿）》。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信中利；中源信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自交易完成之日起六十个月内，本公司（本企业）保证在维护上市公司 实际控制权稳定的前提下不主动终止与上市公司控股股东的一致行动关 系，并积极维护上市公司实际控制权的稳定。详见</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《重大资产购买暨关联交易报告书（草案）（二次修订稿）》。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334"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寇汉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关于同业竞争、关联交 易、资金占用方面的承诺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本次交易完成后，本人及本人控制的企业不会直接或间接经营任何与哆 可梦、上市公司及其下属公司经营的业务构成竞争或可能构成竞争的业 务，亦不会投资任何与哆可梦、上市公司及其下属公司经营的业务构成 竞争或可能构成竞争的其他企业。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日至长期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寇汉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关于同业竞争、关联交</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本次交易完成后，本人及本人控制的企业将尽可能减少与上市公司及其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854"/>
        <w:gridCol w:w="1416"/>
        <w:gridCol w:w="2126"/>
        <w:gridCol w:w="5813"/>
        <w:gridCol w:w="1421"/>
        <w:gridCol w:w="1277"/>
        <w:gridCol w:w="1061"/>
      </w:tblGrid>
      <w:tr>
        <w:trPr>
          <w:trHeight w:val="70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易、资金占用方面的承诺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下属公司的关联交易，若发生必要且不可避免的关联交易，保证关联交 易价格具有公允性，不损害上市公司及上市公司其他股东的合法权益。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日至长期</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寇汉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关于同业竞争、关联交 易、资金占用方面的承诺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本次交易完成后，本人不会占用哆可梦的资金或要求其为本人及本人控 制的企业提供担保，否则，本人应承担个别及连带责任。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日至长期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寇汉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若因哆可梦及其下属子公司存在因资产交割日前已形成的事实原因受到 相关主管部门处罚，而导致哆可梦及其下属子公司遭受罚款或其他经济 损失的，由本人无条件代哆可梦及其下属子公司承担，并放弃对哆可梦 及其下属子公司的追索权。详见</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日《重大资产购买暨关 联交易报告书（草案）（二次修订稿）》。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日至长期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寇汉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本人在哆可梦（包括其全资</w:t>
            </w:r>
            <w:r>
              <w:rPr>
                <w:rFonts w:ascii="Times New Roman" w:eastAsia="Times New Roman" w:hAnsi="Times New Roman" w:cs="Times New Roman"/>
                <w:color w:val="000000"/>
                <w:spacing w:val="0"/>
                <w:w w:val="100"/>
                <w:position w:val="0"/>
              </w:rPr>
              <w:t>/</w:t>
            </w:r>
            <w:r>
              <w:rPr>
                <w:color w:val="000000"/>
                <w:spacing w:val="0"/>
                <w:w w:val="100"/>
                <w:position w:val="0"/>
              </w:rPr>
              <w:t>控股子公司、参股公司、分公司）的任职期 限将自哆可梦</w:t>
            </w:r>
            <w:r>
              <w:rPr>
                <w:rFonts w:ascii="Times New Roman" w:eastAsia="Times New Roman" w:hAnsi="Times New Roman" w:cs="Times New Roman"/>
                <w:color w:val="000000"/>
                <w:spacing w:val="0"/>
                <w:w w:val="100"/>
                <w:position w:val="0"/>
              </w:rPr>
              <w:t>77.57%</w:t>
            </w:r>
            <w:r>
              <w:rPr>
                <w:color w:val="000000"/>
                <w:spacing w:val="0"/>
                <w:w w:val="100"/>
                <w:position w:val="0"/>
              </w:rPr>
              <w:t>股权过户至上市公司名下之日起不少于</w:t>
            </w:r>
            <w:r>
              <w:rPr>
                <w:rFonts w:ascii="Times New Roman" w:eastAsia="Times New Roman" w:hAnsi="Times New Roman" w:cs="Times New Roman"/>
                <w:color w:val="000000"/>
                <w:spacing w:val="0"/>
                <w:w w:val="100"/>
                <w:position w:val="0"/>
              </w:rPr>
              <w:t>4</w:t>
            </w:r>
            <w:r>
              <w:rPr>
                <w:color w:val="000000"/>
                <w:spacing w:val="0"/>
                <w:w w:val="100"/>
                <w:position w:val="0"/>
              </w:rPr>
              <w:t>年（</w:t>
            </w:r>
            <w:r>
              <w:rPr>
                <w:rFonts w:ascii="Times New Roman" w:eastAsia="Times New Roman" w:hAnsi="Times New Roman" w:cs="Times New Roman"/>
                <w:color w:val="000000"/>
                <w:spacing w:val="0"/>
                <w:w w:val="100"/>
                <w:position w:val="0"/>
              </w:rPr>
              <w:t xml:space="preserve">365 </w:t>
            </w:r>
            <w:r>
              <w:rPr>
                <w:color w:val="000000"/>
                <w:spacing w:val="0"/>
                <w:w w:val="100"/>
                <w:position w:val="0"/>
              </w:rPr>
              <w:t>天为</w:t>
            </w:r>
            <w:r>
              <w:rPr>
                <w:rFonts w:ascii="Times New Roman" w:eastAsia="Times New Roman" w:hAnsi="Times New Roman" w:cs="Times New Roman"/>
                <w:color w:val="000000"/>
                <w:spacing w:val="0"/>
                <w:w w:val="100"/>
                <w:position w:val="0"/>
              </w:rPr>
              <w:t>1</w:t>
            </w:r>
            <w:r>
              <w:rPr>
                <w:color w:val="000000"/>
                <w:spacing w:val="0"/>
                <w:w w:val="100"/>
                <w:position w:val="0"/>
              </w:rPr>
              <w:t>年），且不得无故解除与哆可梦的劳动合同。本人在资产交割日前 与哆可梦签订令上市公司满意的竞业禁止协议，且在哆可梦任职期间以 及离职后</w:t>
            </w:r>
            <w:r>
              <w:rPr>
                <w:rFonts w:ascii="Times New Roman" w:eastAsia="Times New Roman" w:hAnsi="Times New Roman" w:cs="Times New Roman"/>
                <w:color w:val="000000"/>
                <w:spacing w:val="0"/>
                <w:w w:val="100"/>
                <w:position w:val="0"/>
              </w:rPr>
              <w:t>2</w:t>
            </w:r>
            <w:r>
              <w:rPr>
                <w:color w:val="000000"/>
                <w:spacing w:val="0"/>
                <w:w w:val="100"/>
                <w:position w:val="0"/>
              </w:rPr>
              <w:t>年内，不从事与哆可梦相同或竞争的业务。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年</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6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陈家斌；杨莲莲</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本人在哆可梦（包括其全资</w:t>
            </w:r>
            <w:r>
              <w:rPr>
                <w:rFonts w:ascii="Times New Roman" w:eastAsia="Times New Roman" w:hAnsi="Times New Roman" w:cs="Times New Roman"/>
                <w:color w:val="000000"/>
                <w:spacing w:val="0"/>
                <w:w w:val="100"/>
                <w:position w:val="0"/>
              </w:rPr>
              <w:t>/</w:t>
            </w:r>
            <w:r>
              <w:rPr>
                <w:color w:val="000000"/>
                <w:spacing w:val="0"/>
                <w:w w:val="100"/>
                <w:position w:val="0"/>
              </w:rPr>
              <w:t>控股子公司、参股公司、分公司）的任职期 限将自哆可梦</w:t>
            </w:r>
            <w:r>
              <w:rPr>
                <w:rFonts w:ascii="Times New Roman" w:eastAsia="Times New Roman" w:hAnsi="Times New Roman" w:cs="Times New Roman"/>
                <w:color w:val="000000"/>
                <w:spacing w:val="0"/>
                <w:w w:val="100"/>
                <w:position w:val="0"/>
              </w:rPr>
              <w:t>77.57%</w:t>
            </w:r>
            <w:r>
              <w:rPr>
                <w:color w:val="000000"/>
                <w:spacing w:val="0"/>
                <w:w w:val="100"/>
                <w:position w:val="0"/>
              </w:rPr>
              <w:t>股权过户至上市公司名下之日起不少于</w:t>
            </w:r>
            <w:r>
              <w:rPr>
                <w:rFonts w:ascii="Times New Roman" w:eastAsia="Times New Roman" w:hAnsi="Times New Roman" w:cs="Times New Roman"/>
                <w:color w:val="000000"/>
                <w:spacing w:val="0"/>
                <w:w w:val="100"/>
                <w:position w:val="0"/>
              </w:rPr>
              <w:t>3</w:t>
            </w:r>
            <w:r>
              <w:rPr>
                <w:color w:val="000000"/>
                <w:spacing w:val="0"/>
                <w:w w:val="100"/>
                <w:position w:val="0"/>
              </w:rPr>
              <w:t>年，且不 得无故解除与哆可梦的劳动合同。本人在资产交割日前与哆可梦签订令 上市公司满意的竞业禁止协议，且在哆可梦任职期间以及离职后</w:t>
            </w:r>
            <w:r>
              <w:rPr>
                <w:rFonts w:ascii="Times New Roman" w:eastAsia="Times New Roman" w:hAnsi="Times New Roman" w:cs="Times New Roman"/>
                <w:color w:val="000000"/>
                <w:spacing w:val="0"/>
                <w:w w:val="100"/>
                <w:position w:val="0"/>
              </w:rPr>
              <w:t>2</w:t>
            </w:r>
            <w:r>
              <w:rPr>
                <w:color w:val="000000"/>
                <w:spacing w:val="0"/>
                <w:w w:val="100"/>
                <w:position w:val="0"/>
              </w:rPr>
              <w:t>年 内，不从事与哆可梦相同或竞争的业务。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322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寇汉；林嘉喜；宁 夏和中股权投资管 理合伙企业（有限 合伙）；深圳国金凯 撒创业投资企业</w:t>
            </w:r>
          </w:p>
          <w:p>
            <w:pPr>
              <w:pStyle w:val="Style26"/>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（有限合伙）；深圳 市岚悦网络科技有 限公司；完美世界</w:t>
            </w:r>
          </w:p>
          <w:p>
            <w:pPr>
              <w:pStyle w:val="Style26"/>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（北京）软件科技 发展有限公司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本次交易不涉及本方（本人）在取得交易对价后购买上市公司股票的约 定或安排，也不涉及与上市公司其他股东达成股票购买的约定或安排； 自本声明签署后直至本次交易完成后</w:t>
            </w:r>
            <w:r>
              <w:rPr>
                <w:rFonts w:ascii="Times New Roman" w:eastAsia="Times New Roman" w:hAnsi="Times New Roman" w:cs="Times New Roman"/>
                <w:color w:val="000000"/>
                <w:spacing w:val="0"/>
                <w:w w:val="100"/>
                <w:position w:val="0"/>
              </w:rPr>
              <w:t>60</w:t>
            </w:r>
            <w:r>
              <w:rPr>
                <w:color w:val="000000"/>
                <w:spacing w:val="0"/>
                <w:w w:val="100"/>
                <w:position w:val="0"/>
              </w:rPr>
              <w:t>个月内，本方（本人）并不因本 次交易而直接或间接持有上市公司的股份，也没有以任何方式单独或与 他人共同谋求上市公司控制权，或使上市公司股权结构发生重大变化的 计划、意向或安排。</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854"/>
        <w:gridCol w:w="1416"/>
        <w:gridCol w:w="2126"/>
        <w:gridCol w:w="5813"/>
        <w:gridCol w:w="1421"/>
        <w:gridCol w:w="1277"/>
        <w:gridCol w:w="1061"/>
      </w:tblGrid>
      <w:tr>
        <w:trPr>
          <w:trHeight w:val="16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寇汉；林嘉喜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业绩承诺及补偿安排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作为业绩补偿义务人承诺哆可梦</w:t>
            </w:r>
            <w:r>
              <w:rPr>
                <w:rFonts w:ascii="Times New Roman" w:eastAsia="Times New Roman" w:hAnsi="Times New Roman" w:cs="Times New Roman"/>
                <w:color w:val="000000"/>
                <w:spacing w:val="0"/>
                <w:w w:val="100"/>
                <w:position w:val="0"/>
              </w:rPr>
              <w:t>2017</w:t>
            </w:r>
            <w:r>
              <w:rPr>
                <w:color w:val="000000"/>
                <w:spacing w:val="0"/>
                <w:w w:val="100"/>
                <w:position w:val="0"/>
              </w:rPr>
              <w:t>年至</w:t>
            </w:r>
            <w:r>
              <w:rPr>
                <w:rFonts w:ascii="Times New Roman" w:eastAsia="Times New Roman" w:hAnsi="Times New Roman" w:cs="Times New Roman"/>
                <w:color w:val="000000"/>
                <w:spacing w:val="0"/>
                <w:w w:val="100"/>
                <w:position w:val="0"/>
              </w:rPr>
              <w:t>2019</w:t>
            </w:r>
            <w:r>
              <w:rPr>
                <w:color w:val="000000"/>
                <w:spacing w:val="0"/>
                <w:w w:val="100"/>
                <w:position w:val="0"/>
              </w:rPr>
              <w:t>年各年度实现的净利润 （以扣除非经常性损益前后孰低者为计算依据）不少于</w:t>
            </w:r>
            <w:r>
              <w:rPr>
                <w:rFonts w:ascii="Times New Roman" w:eastAsia="Times New Roman" w:hAnsi="Times New Roman" w:cs="Times New Roman"/>
                <w:color w:val="000000"/>
                <w:spacing w:val="0"/>
                <w:w w:val="100"/>
                <w:position w:val="0"/>
              </w:rPr>
              <w:t>14,500</w:t>
            </w:r>
            <w:r>
              <w:rPr>
                <w:color w:val="000000"/>
                <w:spacing w:val="0"/>
                <w:w w:val="100"/>
                <w:position w:val="0"/>
              </w:rPr>
              <w:t>万元、</w:t>
            </w:r>
          </w:p>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18,800</w:t>
            </w:r>
            <w:r>
              <w:rPr>
                <w:color w:val="000000"/>
                <w:spacing w:val="0"/>
                <w:w w:val="100"/>
                <w:position w:val="0"/>
              </w:rPr>
              <w:t>万元、</w:t>
            </w:r>
            <w:r>
              <w:rPr>
                <w:rFonts w:ascii="Times New Roman" w:eastAsia="Times New Roman" w:hAnsi="Times New Roman" w:cs="Times New Roman"/>
                <w:color w:val="000000"/>
                <w:spacing w:val="0"/>
                <w:w w:val="100"/>
                <w:position w:val="0"/>
              </w:rPr>
              <w:t>24,500</w:t>
            </w:r>
            <w:r>
              <w:rPr>
                <w:color w:val="000000"/>
                <w:spacing w:val="0"/>
                <w:w w:val="100"/>
                <w:position w:val="0"/>
              </w:rPr>
              <w:t>万元，如哆可梦任一会计年度未实现承诺净利润则 在相应会计年度《专项审核报告》公开披露之日起</w:t>
            </w:r>
            <w:r>
              <w:rPr>
                <w:rFonts w:ascii="Times New Roman" w:eastAsia="Times New Roman" w:hAnsi="Times New Roman" w:cs="Times New Roman"/>
                <w:color w:val="000000"/>
                <w:spacing w:val="0"/>
                <w:w w:val="100"/>
                <w:position w:val="0"/>
              </w:rPr>
              <w:t>15</w:t>
            </w:r>
            <w:r>
              <w:rPr>
                <w:color w:val="000000"/>
                <w:spacing w:val="0"/>
                <w:w w:val="100"/>
                <w:position w:val="0"/>
              </w:rPr>
              <w:t>个工作日承担相 应的盈利补偿义务。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r>
        <w:trPr>
          <w:trHeight w:val="16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如哆可梦在</w:t>
            </w:r>
            <w:r>
              <w:rPr>
                <w:rFonts w:ascii="Times New Roman" w:eastAsia="Times New Roman" w:hAnsi="Times New Roman" w:cs="Times New Roman"/>
                <w:color w:val="000000"/>
                <w:spacing w:val="0"/>
                <w:w w:val="100"/>
                <w:position w:val="0"/>
              </w:rPr>
              <w:t>2017</w:t>
            </w:r>
            <w:r>
              <w:rPr>
                <w:color w:val="000000"/>
                <w:spacing w:val="0"/>
                <w:w w:val="100"/>
                <w:position w:val="0"/>
              </w:rPr>
              <w:t>年度至</w:t>
            </w:r>
            <w:r>
              <w:rPr>
                <w:rFonts w:ascii="Times New Roman" w:eastAsia="Times New Roman" w:hAnsi="Times New Roman" w:cs="Times New Roman"/>
                <w:color w:val="000000"/>
                <w:spacing w:val="0"/>
                <w:w w:val="100"/>
                <w:position w:val="0"/>
              </w:rPr>
              <w:t>2019</w:t>
            </w:r>
            <w:r>
              <w:rPr>
                <w:color w:val="000000"/>
                <w:spacing w:val="0"/>
                <w:w w:val="100"/>
                <w:position w:val="0"/>
              </w:rPr>
              <w:t>年度累计实现净利润总和大于</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年度至 </w:t>
            </w:r>
            <w:r>
              <w:rPr>
                <w:rFonts w:ascii="Times New Roman" w:eastAsia="Times New Roman" w:hAnsi="Times New Roman" w:cs="Times New Roman"/>
                <w:color w:val="000000"/>
                <w:spacing w:val="0"/>
                <w:w w:val="100"/>
                <w:position w:val="0"/>
              </w:rPr>
              <w:t>2019</w:t>
            </w:r>
            <w:r>
              <w:rPr>
                <w:color w:val="000000"/>
                <w:spacing w:val="0"/>
                <w:w w:val="100"/>
                <w:position w:val="0"/>
              </w:rPr>
              <w:t>年度承诺净利润总和的，上市公司将该等超过部分净利润的</w:t>
            </w:r>
            <w:r>
              <w:rPr>
                <w:rFonts w:ascii="Times New Roman" w:eastAsia="Times New Roman" w:hAnsi="Times New Roman" w:cs="Times New Roman"/>
                <w:color w:val="000000"/>
                <w:spacing w:val="0"/>
                <w:w w:val="100"/>
                <w:position w:val="0"/>
              </w:rPr>
              <w:t>20%</w:t>
            </w:r>
            <w:r>
              <w:rPr>
                <w:color w:val="000000"/>
                <w:spacing w:val="0"/>
                <w:w w:val="100"/>
                <w:position w:val="0"/>
              </w:rPr>
              <w:t>作 为哆可梦管理团队、核心人员的业绩奖励，于哆可梦</w:t>
            </w:r>
            <w:r>
              <w:rPr>
                <w:rFonts w:ascii="Times New Roman" w:eastAsia="Times New Roman" w:hAnsi="Times New Roman" w:cs="Times New Roman"/>
                <w:color w:val="000000"/>
                <w:spacing w:val="0"/>
                <w:w w:val="100"/>
                <w:position w:val="0"/>
              </w:rPr>
              <w:t>2019</w:t>
            </w:r>
            <w:r>
              <w:rPr>
                <w:color w:val="000000"/>
                <w:spacing w:val="0"/>
                <w:w w:val="100"/>
                <w:position w:val="0"/>
              </w:rPr>
              <w:t>年度《专项审 核报告》公开披露之日起十个工作日内一次性以现金方式支付。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6" w:lineRule="exact"/>
              <w:ind w:left="0" w:right="0" w:firstLine="0"/>
              <w:jc w:val="left"/>
            </w:pPr>
            <w:r>
              <w:rPr>
                <w:color w:val="000000"/>
                <w:spacing w:val="0"/>
                <w:w w:val="100"/>
                <w:position w:val="0"/>
              </w:rPr>
              <w:t>哆可梦管理 团队、核心 人员已声明 放弃该笔超 额业绩奖励</w:t>
            </w:r>
          </w:p>
        </w:tc>
      </w:tr>
      <w:tr>
        <w:trPr>
          <w:trHeight w:val="1651"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其他对公 司中小股 东所作承 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中驰惠程；中源 信；信中利；汪 超涌、田勇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关于同业竞争、关联交 易、资金占用方面的承诺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在作为深圳惠程控股股东及一致行动人、实际控制人期间，及上述期间 届满（或终止）后</w:t>
            </w:r>
            <w:r>
              <w:rPr>
                <w:rFonts w:ascii="Times New Roman" w:eastAsia="Times New Roman" w:hAnsi="Times New Roman" w:cs="Times New Roman"/>
                <w:color w:val="000000"/>
                <w:spacing w:val="0"/>
                <w:w w:val="100"/>
                <w:position w:val="0"/>
              </w:rPr>
              <w:t>12</w:t>
            </w:r>
            <w:r>
              <w:rPr>
                <w:color w:val="000000"/>
                <w:spacing w:val="0"/>
                <w:w w:val="100"/>
                <w:position w:val="0"/>
              </w:rPr>
              <w:t>月内不会直接或间接从事或参与任何与深圳惠程及 其下属企业构成竞争的任何业务或活动，不以任何方式从事或参与任何 与深圳惠程及其下属企业业务相同、相似或可能取代深圳惠程及其下属 企业业务的活动。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日至长期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募集资金使用承诺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日发布《关于公司继续利用自有资金进行证券投 资事项的公告》，公司承诺自进行证券投资后的十二个月内，不使用闲置 募集资金暂时补充流动资金，不将募集资金投向变更为永久性补充流动 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中驰惠程；信中 利；信中利宝 信；中源信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在《关于控股股东及其一致行动人完成增持公司股份计划的公告》（公告 编号：</w:t>
            </w:r>
            <w:r>
              <w:rPr>
                <w:rFonts w:ascii="Times New Roman" w:eastAsia="Times New Roman" w:hAnsi="Times New Roman" w:cs="Times New Roman"/>
                <w:color w:val="000000"/>
                <w:spacing w:val="0"/>
                <w:w w:val="100"/>
                <w:position w:val="0"/>
              </w:rPr>
              <w:t>2019-019</w:t>
            </w:r>
            <w:r>
              <w:rPr>
                <w:color w:val="000000"/>
                <w:spacing w:val="0"/>
                <w:w w:val="100"/>
                <w:position w:val="0"/>
              </w:rPr>
              <w:t>）</w:t>
            </w:r>
            <w:r>
              <w:rPr>
                <w:color w:val="000000"/>
                <w:spacing w:val="0"/>
                <w:w w:val="100"/>
                <w:position w:val="0"/>
              </w:rPr>
              <w:t>中驰惠程及其一致行动人将严格遵守《上市公司收购管 理办法》第</w:t>
            </w:r>
            <w:r>
              <w:rPr>
                <w:rFonts w:ascii="Times New Roman" w:eastAsia="Times New Roman" w:hAnsi="Times New Roman" w:cs="Times New Roman"/>
                <w:color w:val="000000"/>
                <w:spacing w:val="0"/>
                <w:w w:val="100"/>
                <w:position w:val="0"/>
              </w:rPr>
              <w:t>74</w:t>
            </w:r>
            <w:r>
              <w:rPr>
                <w:color w:val="000000"/>
                <w:spacing w:val="0"/>
                <w:w w:val="100"/>
                <w:position w:val="0"/>
              </w:rPr>
              <w:t>条关于收购人的相关规定，在增持完成后</w:t>
            </w:r>
            <w:r>
              <w:rPr>
                <w:rFonts w:ascii="Times New Roman" w:eastAsia="Times New Roman" w:hAnsi="Times New Roman" w:cs="Times New Roman"/>
                <w:color w:val="000000"/>
                <w:spacing w:val="0"/>
                <w:w w:val="100"/>
                <w:position w:val="0"/>
              </w:rPr>
              <w:t>12</w:t>
            </w:r>
            <w:r>
              <w:rPr>
                <w:color w:val="000000"/>
                <w:spacing w:val="0"/>
                <w:w w:val="100"/>
                <w:position w:val="0"/>
              </w:rPr>
              <w:t>个月内不减 持所持公司股份。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r>
        <w:trPr>
          <w:trHeight w:val="166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信中利、中驰惠 程、中源信、信 中利宝信、信中 利普信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公司控股股东中驰惠程的一致行动人信中利宝信于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日在二 级市场通过集中竞价方式累计减持公司股份</w:t>
            </w:r>
            <w:r>
              <w:rPr>
                <w:rFonts w:ascii="Times New Roman" w:eastAsia="Times New Roman" w:hAnsi="Times New Roman" w:cs="Times New Roman"/>
                <w:color w:val="000000"/>
                <w:spacing w:val="0"/>
                <w:w w:val="100"/>
                <w:position w:val="0"/>
              </w:rPr>
              <w:t>500,000</w:t>
            </w:r>
            <w:r>
              <w:rPr>
                <w:color w:val="000000"/>
                <w:spacing w:val="0"/>
                <w:w w:val="100"/>
                <w:position w:val="0"/>
              </w:rPr>
              <w:t>股，占公司目前总股 本比例为</w:t>
            </w:r>
            <w:r>
              <w:rPr>
                <w:rFonts w:ascii="Times New Roman" w:eastAsia="Times New Roman" w:hAnsi="Times New Roman" w:cs="Times New Roman"/>
                <w:color w:val="000000"/>
                <w:spacing w:val="0"/>
                <w:w w:val="100"/>
                <w:position w:val="0"/>
              </w:rPr>
              <w:t>0.06%</w:t>
            </w:r>
            <w:r>
              <w:rPr>
                <w:color w:val="000000"/>
                <w:spacing w:val="0"/>
                <w:w w:val="100"/>
                <w:position w:val="0"/>
              </w:rPr>
              <w:t>。根据相关法律法规的规定，公司控股股东及其一致行动 人承诺：自本次减持之日起连续六个月内通过证券交易系统出售的上市 公司股份低于公司股份总数的</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控股股东的 一致行动人 违反了承诺</w:t>
            </w:r>
          </w:p>
        </w:tc>
      </w:tr>
    </w:tbl>
    <w:p>
      <w:pPr>
        <w:spacing w:lineRule="exact" w:line="1"/>
        <w:rPr>
          <w:sz w:val="2"/>
          <w:szCs w:val="2"/>
        </w:rPr>
      </w:pPr>
      <w:r>
        <w:br w:type="page"/>
      </w:r>
    </w:p>
    <w:tbl>
      <w:tblPr>
        <w:tblOverlap w:val="never"/>
        <w:jc w:val="center"/>
        <w:tblLayout w:type="fixed"/>
      </w:tblPr>
      <w:tblGrid>
        <w:gridCol w:w="854"/>
        <w:gridCol w:w="1416"/>
        <w:gridCol w:w="2126"/>
        <w:gridCol w:w="5813"/>
        <w:gridCol w:w="1421"/>
        <w:gridCol w:w="1277"/>
        <w:gridCol w:w="1061"/>
      </w:tblGrid>
      <w:tr>
        <w:trPr>
          <w:trHeight w:val="542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汪超涌、沈晓 超、陈丹、</w:t>
            </w:r>
            <w:r>
              <w:rPr>
                <w:rFonts w:ascii="Times New Roman" w:eastAsia="Times New Roman" w:hAnsi="Times New Roman" w:cs="Times New Roman"/>
                <w:color w:val="000000"/>
                <w:spacing w:val="0"/>
                <w:w w:val="100"/>
                <w:position w:val="0"/>
              </w:rPr>
              <w:t>WAN XIAO YANG</w:t>
            </w:r>
            <w:r>
              <w:rPr>
                <w:color w:val="000000"/>
                <w:spacing w:val="0"/>
                <w:w w:val="100"/>
                <w:position w:val="0"/>
              </w:rPr>
              <w:t>、林 嘉喜、潘林武、 叶陈刚、钟晓 林、</w:t>
            </w:r>
            <w:r>
              <w:rPr>
                <w:rFonts w:ascii="Times New Roman" w:eastAsia="Times New Roman" w:hAnsi="Times New Roman" w:cs="Times New Roman"/>
                <w:color w:val="000000"/>
                <w:spacing w:val="0"/>
                <w:w w:val="100"/>
                <w:position w:val="0"/>
              </w:rPr>
              <w:t>Key Ke</w:t>
            </w:r>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Liu</w:t>
            </w:r>
            <w:r>
              <w:rPr>
                <w:color w:val="000000"/>
                <w:spacing w:val="0"/>
                <w:w w:val="100"/>
                <w:position w:val="0"/>
              </w:rPr>
              <w:t>、王蔚、赵红 艳、何金子、寇 汉、付汝峰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为维护投资者的合法权益、保证公司本次非公开发行摊薄即期回报填补 措施能够得到切实履行，公司全体董事及高级管理人员承诺如下：</w:t>
            </w:r>
            <w:r>
              <w:rPr>
                <w:rFonts w:ascii="Times New Roman" w:eastAsia="Times New Roman" w:hAnsi="Times New Roman" w:cs="Times New Roman"/>
                <w:color w:val="000000"/>
                <w:spacing w:val="0"/>
                <w:w w:val="100"/>
                <w:position w:val="0"/>
              </w:rPr>
              <w:t>"1</w:t>
            </w:r>
            <w:r>
              <w:rPr>
                <w:color w:val="000000"/>
                <w:spacing w:val="0"/>
                <w:w w:val="100"/>
                <w:position w:val="0"/>
              </w:rPr>
              <w:t>、本 人承诺忠实、勤勉地履行职责，维护公司和全体股东的合法权益；</w:t>
            </w:r>
            <w:r>
              <w:rPr>
                <w:rFonts w:ascii="Times New Roman" w:eastAsia="Times New Roman" w:hAnsi="Times New Roman" w:cs="Times New Roman"/>
                <w:color w:val="000000"/>
                <w:spacing w:val="0"/>
                <w:w w:val="100"/>
                <w:position w:val="0"/>
              </w:rPr>
              <w:t>2</w:t>
            </w:r>
            <w:r>
              <w:rPr>
                <w:color w:val="000000"/>
                <w:spacing w:val="0"/>
                <w:w w:val="100"/>
                <w:position w:val="0"/>
              </w:rPr>
              <w:t>、本 人承诺不无偿或以不公平条件向其他单位或者个人输送利益，也不采用 其他方式损害公司利益；</w:t>
            </w:r>
            <w:r>
              <w:rPr>
                <w:rFonts w:ascii="Times New Roman" w:eastAsia="Times New Roman" w:hAnsi="Times New Roman" w:cs="Times New Roman"/>
                <w:color w:val="000000"/>
                <w:spacing w:val="0"/>
                <w:w w:val="100"/>
                <w:position w:val="0"/>
              </w:rPr>
              <w:t>3</w:t>
            </w:r>
            <w:r>
              <w:rPr>
                <w:color w:val="000000"/>
                <w:spacing w:val="0"/>
                <w:w w:val="100"/>
                <w:position w:val="0"/>
              </w:rPr>
              <w:t>、本人承诺对职务消费行为进行约束；</w:t>
            </w:r>
            <w:r>
              <w:rPr>
                <w:rFonts w:ascii="Times New Roman" w:eastAsia="Times New Roman" w:hAnsi="Times New Roman" w:cs="Times New Roman"/>
                <w:color w:val="000000"/>
                <w:spacing w:val="0"/>
                <w:w w:val="100"/>
                <w:position w:val="0"/>
              </w:rPr>
              <w:t>4</w:t>
            </w:r>
            <w:r>
              <w:rPr>
                <w:color w:val="000000"/>
                <w:spacing w:val="0"/>
                <w:w w:val="100"/>
                <w:position w:val="0"/>
              </w:rPr>
              <w:t>、本 人承诺不动用公司的资产从事与履行职责无关的投资、消费活动；</w:t>
            </w:r>
            <w:r>
              <w:rPr>
                <w:rFonts w:ascii="Times New Roman" w:eastAsia="Times New Roman" w:hAnsi="Times New Roman" w:cs="Times New Roman"/>
                <w:color w:val="000000"/>
                <w:spacing w:val="0"/>
                <w:w w:val="100"/>
                <w:position w:val="0"/>
              </w:rPr>
              <w:t>5</w:t>
            </w:r>
            <w:r>
              <w:rPr>
                <w:color w:val="000000"/>
                <w:spacing w:val="0"/>
                <w:w w:val="100"/>
                <w:position w:val="0"/>
              </w:rPr>
              <w:t>、本 人承诺由董事会或薪酬与考核委员会制定的薪酬制度与公司填补回报措 施的执行情况相挂钩；</w:t>
            </w:r>
            <w:r>
              <w:rPr>
                <w:rFonts w:ascii="Times New Roman" w:eastAsia="Times New Roman" w:hAnsi="Times New Roman" w:cs="Times New Roman"/>
                <w:color w:val="000000"/>
                <w:spacing w:val="0"/>
                <w:w w:val="100"/>
                <w:position w:val="0"/>
              </w:rPr>
              <w:t>6</w:t>
            </w:r>
            <w:r>
              <w:rPr>
                <w:color w:val="000000"/>
                <w:spacing w:val="0"/>
                <w:w w:val="100"/>
                <w:position w:val="0"/>
              </w:rPr>
              <w:t>、本人承诺公司拟公布的股权激励（如有）行权 条件与公司填补回报措施的执行情况相挂钩；</w:t>
            </w:r>
            <w:r>
              <w:rPr>
                <w:rFonts w:ascii="Times New Roman" w:eastAsia="Times New Roman" w:hAnsi="Times New Roman" w:cs="Times New Roman"/>
                <w:color w:val="000000"/>
                <w:spacing w:val="0"/>
                <w:w w:val="100"/>
                <w:position w:val="0"/>
              </w:rPr>
              <w:t>7</w:t>
            </w:r>
            <w:r>
              <w:rPr>
                <w:color w:val="000000"/>
                <w:spacing w:val="0"/>
                <w:w w:val="100"/>
                <w:position w:val="0"/>
              </w:rPr>
              <w:t>、自本承诺出具日至公司 本次非公开发行实施完毕前，若中国证券监督管理委员会、深圳证券交 易所等主管部门就填补回报措施及其承诺作出另行规定或提出其他要求 的，本人承诺届时将按照最新规定出具补充承诺；</w:t>
            </w:r>
            <w:r>
              <w:rPr>
                <w:rFonts w:ascii="Times New Roman" w:eastAsia="Times New Roman" w:hAnsi="Times New Roman" w:cs="Times New Roman"/>
                <w:color w:val="000000"/>
                <w:spacing w:val="0"/>
                <w:w w:val="100"/>
                <w:position w:val="0"/>
              </w:rPr>
              <w:t>8</w:t>
            </w:r>
            <w:r>
              <w:rPr>
                <w:color w:val="000000"/>
                <w:spacing w:val="0"/>
                <w:w w:val="100"/>
                <w:position w:val="0"/>
              </w:rPr>
              <w:t>、本人承诺切实履行 本承诺，若违反该等承诺并给公司或者投资者造成损失的，本人愿意依 法承担对公司或者投资者的补偿责任；</w:t>
            </w:r>
            <w:r>
              <w:rPr>
                <w:rFonts w:ascii="Times New Roman" w:eastAsia="Times New Roman" w:hAnsi="Times New Roman" w:cs="Times New Roman"/>
                <w:color w:val="000000"/>
                <w:spacing w:val="0"/>
                <w:w w:val="100"/>
                <w:position w:val="0"/>
              </w:rPr>
              <w:t>9</w:t>
            </w:r>
            <w:r>
              <w:rPr>
                <w:color w:val="000000"/>
                <w:spacing w:val="0"/>
                <w:w w:val="100"/>
                <w:position w:val="0"/>
              </w:rPr>
              <w:t>、作为填补回报措施相关责任主 体之一，本人若违反上述承诺或拒不履行上述承诺，本人同意中国证券 监督管理委员会和深圳证券交易所等证券监管机构按照其发布的有关规 定、规则，对本人作出相关处罚或采取相关监管措施。</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06</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日至长期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258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中驰惠程、汪超 涌、李亦非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为维护投资者的合法权益、保证公司本次非公开发行摊薄即期回报填补 措施能够得到切实履行，公司控股股东、实际控制人作出如下承诺：</w:t>
            </w:r>
            <w:r>
              <w:rPr>
                <w:rFonts w:ascii="Times New Roman" w:eastAsia="Times New Roman" w:hAnsi="Times New Roman" w:cs="Times New Roman"/>
                <w:color w:val="000000"/>
                <w:spacing w:val="0"/>
                <w:w w:val="100"/>
                <w:position w:val="0"/>
              </w:rPr>
              <w:t>"1</w:t>
            </w:r>
            <w:r>
              <w:rPr>
                <w:color w:val="000000"/>
                <w:spacing w:val="0"/>
                <w:w w:val="100"/>
                <w:position w:val="0"/>
              </w:rPr>
              <w:t>、 在作为公司实际控制人期间，不越权干预公司的经营管理活动，不侵占 公司利益；</w:t>
            </w:r>
            <w:r>
              <w:rPr>
                <w:rFonts w:ascii="Times New Roman" w:eastAsia="Times New Roman" w:hAnsi="Times New Roman" w:cs="Times New Roman"/>
                <w:color w:val="000000"/>
                <w:spacing w:val="0"/>
                <w:w w:val="100"/>
                <w:position w:val="0"/>
              </w:rPr>
              <w:t>2</w:t>
            </w:r>
            <w:r>
              <w:rPr>
                <w:color w:val="000000"/>
                <w:spacing w:val="0"/>
                <w:w w:val="100"/>
                <w:position w:val="0"/>
              </w:rPr>
              <w:t>、若违反承诺或拒不履行承诺给公司或者其他股东造成损失 的，愿意依法承担对公司或者其他股东的补偿责任；</w:t>
            </w:r>
            <w:r>
              <w:rPr>
                <w:rFonts w:ascii="Times New Roman" w:eastAsia="Times New Roman" w:hAnsi="Times New Roman" w:cs="Times New Roman"/>
                <w:color w:val="000000"/>
                <w:spacing w:val="0"/>
                <w:w w:val="100"/>
                <w:position w:val="0"/>
              </w:rPr>
              <w:t>3</w:t>
            </w:r>
            <w:r>
              <w:rPr>
                <w:color w:val="000000"/>
                <w:spacing w:val="0"/>
                <w:w w:val="100"/>
                <w:position w:val="0"/>
              </w:rPr>
              <w:t>、作为填补回报措 施相关责任主体之一，若违反上述承诺或拒不履行上述承诺，同意中国 证券监督管理委员会和深圳证券交易所等证券监管机构根据其制定或发 布的有关规定、规则对本公司进行处罚或采取相关监管措施。</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06</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日至长期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tabs>
                <w:tab w:pos="7392" w:val="left"/>
              </w:tabs>
              <w:bidi w:val="0"/>
              <w:spacing w:before="0" w:after="0" w:line="240" w:lineRule="auto"/>
              <w:ind w:left="0" w:right="0" w:firstLine="0"/>
              <w:jc w:val="left"/>
            </w:pPr>
            <w:r>
              <w:rPr>
                <w:color w:val="000000"/>
                <w:spacing w:val="0"/>
                <w:w w:val="100"/>
                <w:position w:val="0"/>
              </w:rPr>
              <w:t>承诺是否按时履行</w:t>
              <w:tab/>
              <w:t>是</w:t>
            </w:r>
          </w:p>
        </w:tc>
      </w:tr>
    </w:tbl>
    <w:p>
      <w:pPr>
        <w:sectPr>
          <w:headerReference w:type="default" r:id="rId17"/>
          <w:footerReference w:type="default" r:id="rId18"/>
          <w:footnotePr>
            <w:pos w:val="pageBottom"/>
            <w:numFmt w:val="decimal"/>
            <w:numRestart w:val="continuous"/>
          </w:footnotePr>
          <w:pgSz w:w="16840" w:h="11900" w:orient="landscape"/>
          <w:pgMar w:top="1104" w:right="1419" w:bottom="1206" w:left="1420" w:header="0" w:footer="3" w:gutter="0"/>
          <w:cols w:space="720"/>
          <w:noEndnote/>
          <w:rtlGutter w:val="0"/>
          <w:docGrid w:linePitch="360"/>
        </w:sectPr>
      </w:pPr>
    </w:p>
    <w:p>
      <w:pPr>
        <w:pStyle w:val="Style37"/>
        <w:keepNext/>
        <w:keepLines/>
        <w:widowControl w:val="0"/>
        <w:shd w:val="clear" w:color="auto" w:fill="auto"/>
        <w:bidi w:val="0"/>
        <w:spacing w:before="0" w:line="322" w:lineRule="exact"/>
        <w:ind w:left="0" w:right="0" w:firstLine="0"/>
        <w:jc w:val="left"/>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2</w:t>
      </w:r>
      <w:bookmarkEnd w:id="277"/>
      <w:r>
        <w:rPr>
          <w:color w:val="000000"/>
          <w:spacing w:val="0"/>
          <w:w w:val="100"/>
          <w:position w:val="0"/>
        </w:rPr>
        <w:t>、公司资产或项目存在盈利预测，且报告期仍处在盈利预测期间，公司就资产或项目达到原盈利预测及 其原因做出说明</w:t>
      </w:r>
      <w:bookmarkEnd w:id="275"/>
      <w:bookmarkEnd w:id="276"/>
      <w:bookmarkEnd w:id="278"/>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sz w:val="24"/>
          <w:szCs w:val="24"/>
        </w:rPr>
        <w:t>四</w:t>
      </w:r>
      <w:bookmarkEnd w:id="281"/>
      <w:r>
        <w:rPr>
          <w:color w:val="000000"/>
          <w:spacing w:val="0"/>
          <w:w w:val="100"/>
          <w:position w:val="0"/>
          <w:sz w:val="24"/>
          <w:szCs w:val="24"/>
        </w:rPr>
        <w:t>、控股股东及其关联方对上市公司的非经营性占用资金情况</w:t>
      </w:r>
      <w:bookmarkEnd w:id="279"/>
      <w:bookmarkEnd w:id="280"/>
      <w:bookmarkEnd w:id="282"/>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69"/>
        <w:gridCol w:w="869"/>
        <w:gridCol w:w="869"/>
        <w:gridCol w:w="874"/>
        <w:gridCol w:w="869"/>
        <w:gridCol w:w="869"/>
        <w:gridCol w:w="874"/>
        <w:gridCol w:w="878"/>
      </w:tblGrid>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股东或关 联人名称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占用时间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报告期新 增占用金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报告期偿</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还总金额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截至年报</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披露日余</w:t>
            </w:r>
          </w:p>
          <w:p>
            <w:pPr>
              <w:pStyle w:val="Style26"/>
              <w:keepNext w:val="0"/>
              <w:keepLines w:val="0"/>
              <w:widowControl w:val="0"/>
              <w:shd w:val="clear" w:color="auto" w:fill="auto"/>
              <w:bidi w:val="0"/>
              <w:spacing w:before="0" w:after="100" w:line="240" w:lineRule="auto"/>
              <w:ind w:left="0" w:right="340" w:firstLine="0"/>
              <w:jc w:val="right"/>
            </w:pPr>
            <w:r>
              <w:rPr>
                <w:color w:val="000000"/>
                <w:spacing w:val="0"/>
                <w:w w:val="100"/>
                <w:position w:val="0"/>
              </w:rPr>
              <w:t>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预计偿还 方式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预计偿还 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预计偿还 时间（月</w:t>
            </w:r>
          </w:p>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份）</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信中利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代控股股 东及其关 联方偿还 债务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信中利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代控股股 东及其关 联方偿还 债务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信中利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代控股股 东及其关 联方偿还 债务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信中利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代控股股 东及其关 联方偿还 债务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信中利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日至</w:t>
            </w:r>
          </w:p>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6" w:lineRule="exact"/>
              <w:ind w:left="0" w:right="0" w:firstLine="0"/>
              <w:jc w:val="both"/>
            </w:pPr>
            <w:r>
              <w:rPr>
                <w:color w:val="000000"/>
                <w:spacing w:val="0"/>
                <w:w w:val="100"/>
                <w:position w:val="0"/>
              </w:rPr>
              <w:t>代控股股 东及其关 联方偿还 债务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12,482.91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12,482.91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12,482.91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30,182.91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期末合计值占最近一期经审计净资产的比例</w:t>
            </w:r>
          </w:p>
        </w:tc>
        <w:tc>
          <w:tcPr>
            <w:gridSpan w:val="6"/>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15.69%</w:t>
            </w:r>
          </w:p>
        </w:tc>
      </w:tr>
      <w:tr>
        <w:trPr>
          <w:trHeight w:val="2285" w:hRule="exact"/>
        </w:trPr>
        <w:tc>
          <w:tcPr>
            <w:gridSpan w:val="3"/>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相关决策程序</w:t>
            </w:r>
          </w:p>
        </w:tc>
        <w:tc>
          <w:tcPr>
            <w:gridSpan w:val="8"/>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月，经公司总裁办公会审议通过，公司子公司喀什中汇联银以不超过人民币 </w:t>
            </w:r>
            <w:r>
              <w:rPr>
                <w:rFonts w:ascii="Times New Roman" w:eastAsia="Times New Roman" w:hAnsi="Times New Roman" w:cs="Times New Roman"/>
                <w:color w:val="000000"/>
                <w:spacing w:val="0"/>
                <w:w w:val="100"/>
                <w:position w:val="0"/>
              </w:rPr>
              <w:t>4,000</w:t>
            </w:r>
            <w:r>
              <w:rPr>
                <w:color w:val="000000"/>
                <w:spacing w:val="0"/>
                <w:w w:val="100"/>
                <w:position w:val="0"/>
              </w:rPr>
              <w:t>万元向武汉君达合智信息科技有限公司（以下简称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君达合智</w:t>
            </w:r>
            <w:r>
              <w:rPr>
                <w:rFonts w:ascii="Times New Roman" w:eastAsia="Times New Roman" w:hAnsi="Times New Roman" w:cs="Times New Roman"/>
                <w:color w:val="000000"/>
                <w:spacing w:val="0"/>
                <w:w w:val="100"/>
                <w:position w:val="0"/>
              </w:rPr>
              <w:t>”</w:t>
            </w:r>
            <w:r>
              <w:rPr>
                <w:color w:val="000000"/>
                <w:spacing w:val="0"/>
                <w:w w:val="100"/>
                <w:position w:val="0"/>
              </w:rPr>
              <w:t>）进行增资、以不 超过人民币</w:t>
            </w:r>
            <w:r>
              <w:rPr>
                <w:rFonts w:ascii="Times New Roman" w:eastAsia="Times New Roman" w:hAnsi="Times New Roman" w:cs="Times New Roman"/>
                <w:color w:val="000000"/>
                <w:spacing w:val="0"/>
                <w:w w:val="100"/>
                <w:position w:val="0"/>
              </w:rPr>
              <w:t>4,000</w:t>
            </w:r>
            <w:r>
              <w:rPr>
                <w:color w:val="000000"/>
                <w:spacing w:val="0"/>
                <w:w w:val="100"/>
                <w:position w:val="0"/>
              </w:rPr>
              <w:t>万元向深圳市利汇春科技有限公司（以下简称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利汇春</w:t>
            </w:r>
            <w:r>
              <w:rPr>
                <w:rFonts w:ascii="Times New Roman" w:eastAsia="Times New Roman" w:hAnsi="Times New Roman" w:cs="Times New Roman"/>
                <w:color w:val="000000"/>
                <w:spacing w:val="0"/>
                <w:w w:val="100"/>
                <w:position w:val="0"/>
              </w:rPr>
              <w:t>”</w:t>
            </w:r>
            <w:r>
              <w:rPr>
                <w:color w:val="000000"/>
                <w:spacing w:val="0"/>
                <w:w w:val="100"/>
                <w:position w:val="0"/>
              </w:rPr>
              <w:t>）进行增资、 以不超过人民币</w:t>
            </w:r>
            <w:r>
              <w:rPr>
                <w:rFonts w:ascii="Times New Roman" w:eastAsia="Times New Roman" w:hAnsi="Times New Roman" w:cs="Times New Roman"/>
                <w:color w:val="000000"/>
                <w:spacing w:val="0"/>
                <w:w w:val="100"/>
                <w:position w:val="0"/>
              </w:rPr>
              <w:t>3,450</w:t>
            </w:r>
            <w:r>
              <w:rPr>
                <w:color w:val="000000"/>
                <w:spacing w:val="0"/>
                <w:w w:val="100"/>
                <w:position w:val="0"/>
              </w:rPr>
              <w:t>万元向北京芝士星球网络科技有限公司（以下简称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芝士星球</w:t>
            </w:r>
            <w:r>
              <w:rPr>
                <w:rFonts w:ascii="Times New Roman" w:eastAsia="Times New Roman" w:hAnsi="Times New Roman" w:cs="Times New Roman"/>
                <w:color w:val="000000"/>
                <w:spacing w:val="0"/>
                <w:w w:val="100"/>
                <w:position w:val="0"/>
              </w:rPr>
              <w:t>”</w:t>
            </w:r>
            <w:r>
              <w:rPr>
                <w:color w:val="000000"/>
                <w:spacing w:val="0"/>
                <w:w w:val="100"/>
                <w:position w:val="0"/>
              </w:rPr>
              <w:t>） 进行增资，增资完成后喀什中汇联银持有君达合智</w:t>
            </w:r>
            <w:r>
              <w:rPr>
                <w:rFonts w:ascii="Times New Roman" w:eastAsia="Times New Roman" w:hAnsi="Times New Roman" w:cs="Times New Roman"/>
                <w:color w:val="000000"/>
                <w:spacing w:val="0"/>
                <w:w w:val="100"/>
                <w:position w:val="0"/>
              </w:rPr>
              <w:t>20%</w:t>
            </w:r>
            <w:r>
              <w:rPr>
                <w:color w:val="000000"/>
                <w:spacing w:val="0"/>
                <w:w w:val="100"/>
                <w:position w:val="0"/>
              </w:rPr>
              <w:t>的股权、持有利汇春</w:t>
            </w:r>
            <w:r>
              <w:rPr>
                <w:rFonts w:ascii="Times New Roman" w:eastAsia="Times New Roman" w:hAnsi="Times New Roman" w:cs="Times New Roman"/>
                <w:color w:val="000000"/>
                <w:spacing w:val="0"/>
                <w:w w:val="100"/>
                <w:position w:val="0"/>
              </w:rPr>
              <w:t>20%</w:t>
            </w:r>
            <w:r>
              <w:rPr>
                <w:color w:val="000000"/>
                <w:spacing w:val="0"/>
                <w:w w:val="100"/>
                <w:position w:val="0"/>
              </w:rPr>
              <w:t>的股 权、持有芝士星球</w:t>
            </w:r>
            <w:r>
              <w:rPr>
                <w:rFonts w:ascii="Times New Roman" w:eastAsia="Times New Roman" w:hAnsi="Times New Roman" w:cs="Times New Roman"/>
                <w:color w:val="000000"/>
                <w:spacing w:val="0"/>
                <w:w w:val="100"/>
                <w:position w:val="0"/>
              </w:rPr>
              <w:t>30%</w:t>
            </w:r>
            <w:r>
              <w:rPr>
                <w:color w:val="000000"/>
                <w:spacing w:val="0"/>
                <w:w w:val="100"/>
                <w:position w:val="0"/>
              </w:rPr>
              <w:t>的股权。具体内容详见公司于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日在巨潮资讯网 </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）披露的《</w:t>
            </w:r>
            <w:r>
              <w:rPr>
                <w:rFonts w:ascii="Times New Roman" w:eastAsia="Times New Roman" w:hAnsi="Times New Roman" w:cs="Times New Roman"/>
                <w:color w:val="000000"/>
                <w:spacing w:val="0"/>
                <w:w w:val="100"/>
                <w:position w:val="0"/>
              </w:rPr>
              <w:t>2019</w:t>
            </w:r>
            <w:r>
              <w:rPr>
                <w:color w:val="000000"/>
                <w:spacing w:val="0"/>
                <w:w w:val="100"/>
                <w:position w:val="0"/>
              </w:rPr>
              <w:t>年第三季度报告》。</w:t>
            </w:r>
          </w:p>
        </w:tc>
      </w:tr>
    </w:tbl>
    <w:p>
      <w:pPr>
        <w:spacing w:lineRule="exact" w:line="1"/>
        <w:rPr>
          <w:sz w:val="2"/>
          <w:szCs w:val="2"/>
        </w:rPr>
      </w:pPr>
      <w:r>
        <w:br w:type="page"/>
      </w:r>
    </w:p>
    <w:tbl>
      <w:tblPr>
        <w:tblOverlap w:val="never"/>
        <w:jc w:val="center"/>
        <w:tblLayout w:type="fixed"/>
      </w:tblPr>
      <w:tblGrid>
        <w:gridCol w:w="2611"/>
        <w:gridCol w:w="6970"/>
      </w:tblGrid>
      <w:tr>
        <w:trPr>
          <w:trHeight w:val="445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当期新增大股东及其附属企业非 经营性资金占用情况的原因、责 任人追究及董事会拟定采取措施 的情况说明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公司发现上述控股股东及其关联企业非经营性资金占用的违规事项后，第一时间向公司 控股股东中驰惠程及其关联企业核实，并督促其采取有效措施积极筹措资金尽快归还占 用资金，确保消除对公司的影响。针对上述事项，公司控股股东中驰惠程及实际控制人 出具了《关于解决资金占用情况的承诺函》，具体内容如下：“</w:t>
            </w:r>
            <w:r>
              <w:rPr>
                <w:rFonts w:ascii="Times New Roman" w:eastAsia="Times New Roman" w:hAnsi="Times New Roman" w:cs="Times New Roman"/>
                <w:color w:val="000000"/>
                <w:spacing w:val="0"/>
                <w:w w:val="100"/>
                <w:position w:val="0"/>
              </w:rPr>
              <w:t>1</w:t>
            </w:r>
            <w:r>
              <w:rPr>
                <w:color w:val="000000"/>
                <w:spacing w:val="0"/>
                <w:w w:val="100"/>
                <w:position w:val="0"/>
              </w:rPr>
              <w:t>、在惠程科技</w:t>
            </w:r>
            <w:r>
              <w:rPr>
                <w:rFonts w:ascii="Times New Roman" w:eastAsia="Times New Roman" w:hAnsi="Times New Roman" w:cs="Times New Roman"/>
                <w:color w:val="000000"/>
                <w:spacing w:val="0"/>
                <w:w w:val="100"/>
                <w:position w:val="0"/>
              </w:rPr>
              <w:t>2020</w:t>
            </w:r>
            <w:r>
              <w:rPr>
                <w:color w:val="000000"/>
                <w:spacing w:val="0"/>
                <w:w w:val="100"/>
                <w:position w:val="0"/>
              </w:rPr>
              <w:t>年年 度报告披露前（</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日之前），将尽快通过以现金、现金等价物或其它优质资 产以资抵债等多种形式积极解决资金占用问题，且尽量在一个月之内偿还上述占用资 金；</w:t>
            </w:r>
            <w:r>
              <w:rPr>
                <w:rFonts w:ascii="Times New Roman" w:eastAsia="Times New Roman" w:hAnsi="Times New Roman" w:cs="Times New Roman"/>
                <w:color w:val="000000"/>
                <w:spacing w:val="0"/>
                <w:w w:val="100"/>
                <w:position w:val="0"/>
              </w:rPr>
              <w:t>2</w:t>
            </w:r>
            <w:r>
              <w:rPr>
                <w:color w:val="000000"/>
                <w:spacing w:val="0"/>
                <w:w w:val="100"/>
                <w:position w:val="0"/>
              </w:rPr>
              <w:t>、未来，将严格遵守《深圳证券交易所上市公司规范运作指引》《关于规范上市公 司与关联方资金往来及上市公司对外担保若干问题的通知》（证监会公告</w:t>
            </w:r>
            <w:r>
              <w:rPr>
                <w:rFonts w:ascii="Times New Roman" w:eastAsia="Times New Roman" w:hAnsi="Times New Roman" w:cs="Times New Roman"/>
                <w:color w:val="000000"/>
                <w:spacing w:val="0"/>
                <w:w w:val="100"/>
                <w:position w:val="0"/>
              </w:rPr>
              <w:t>［2017］16</w:t>
            </w:r>
            <w:r>
              <w:rPr>
                <w:color w:val="000000"/>
                <w:spacing w:val="0"/>
                <w:w w:val="100"/>
                <w:position w:val="0"/>
              </w:rPr>
              <w:t>号） 等相关法律法规和政策性文件，承诺不以任何形式占用惠程科技的资金公司高度重 视上述资金占用事项，将持续对非经营性资金占用事项进行排查，并持续关注该事项的 进展，及时履行信息披露义务。公司未来将加强内控管理，继续深入学习并严格执行</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《深圳证券交易所股票上市规则》《深圳证券交易所上市公司规范运作指引》等相关法 律法规及业务规则的要求，提高规范运作水平，严格规范并落实与关联方资金往来的相 关管理制度，针对此类事项自查自纠自改，杜绝类似违规事项的发生。</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未能按计划清偿非经营性资金占 用的原因、责任追究情况及董事 会拟定采取的措施说明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注册会计师对资金占用的专项审 核意见的披露日期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66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注册会计师对资金占用的专项审 核意见的披露索引</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具体内容可详见公司于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日分别在巨潮资讯网</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rFonts w:ascii="Times New Roman" w:eastAsia="Times New Roman" w:hAnsi="Times New Roman" w:cs="Times New Roman"/>
                <w:color w:val="000000"/>
                <w:spacing w:val="0"/>
                <w:w w:val="100"/>
                <w:position w:val="0"/>
              </w:rPr>
              <w:t xml:space="preserve"> </w:t>
            </w:r>
            <w:r>
              <w:rPr>
                <w:color w:val="000000"/>
                <w:spacing w:val="0"/>
                <w:w w:val="100"/>
                <w:position w:val="0"/>
              </w:rPr>
              <w:t>）刊登的大信会计师事务所（特殊普通合伙）出具的《深圳市惠程 信息科技股份有限公司专项审核报告》（大信专审字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11-10000</w:t>
            </w:r>
            <w:r>
              <w:rPr>
                <w:color w:val="000000"/>
                <w:spacing w:val="0"/>
                <w:w w:val="100"/>
                <w:position w:val="0"/>
              </w:rPr>
              <w:t>号）、《深圳市惠 程信息科技股份有限公司大股东及其附属企业非经营性资金占用及清偿情况专项审核报 告》</w:t>
            </w:r>
            <w:r>
              <w:rPr>
                <w:color w:val="000000"/>
                <w:spacing w:val="0"/>
                <w:w w:val="100"/>
                <w:position w:val="0"/>
              </w:rPr>
              <w:t>（</w:t>
            </w:r>
            <w:r>
              <w:rPr>
                <w:color w:val="000000"/>
                <w:spacing w:val="0"/>
                <w:w w:val="100"/>
                <w:position w:val="0"/>
              </w:rPr>
              <w:t>大信专审字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11-10007</w:t>
            </w:r>
            <w:r>
              <w:rPr>
                <w:color w:val="000000"/>
                <w:spacing w:val="0"/>
                <w:w w:val="100"/>
                <w:position w:val="0"/>
              </w:rPr>
              <w:t>号</w:t>
            </w:r>
            <w:r>
              <w:rPr>
                <w:color w:val="000000"/>
                <w:spacing w:val="0"/>
                <w:w w:val="100"/>
                <w:position w:val="0"/>
              </w:rPr>
              <w:t>）</w:t>
            </w:r>
          </w:p>
        </w:tc>
      </w:tr>
    </w:tbl>
    <w:p>
      <w:pPr>
        <w:widowControl w:val="0"/>
        <w:spacing w:after="299" w:line="1" w:lineRule="exact"/>
      </w:pPr>
    </w:p>
    <w:p>
      <w:pPr>
        <w:pStyle w:val="Style29"/>
        <w:keepNext/>
        <w:keepLines/>
        <w:widowControl w:val="0"/>
        <w:shd w:val="clear" w:color="auto" w:fill="auto"/>
        <w:bidi w:val="0"/>
        <w:spacing w:before="0" w:after="24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sz w:val="24"/>
          <w:szCs w:val="24"/>
        </w:rPr>
        <w:t>五</w:t>
      </w:r>
      <w:bookmarkEnd w:id="285"/>
      <w:r>
        <w:rPr>
          <w:color w:val="000000"/>
          <w:spacing w:val="0"/>
          <w:w w:val="100"/>
          <w:position w:val="0"/>
          <w:sz w:val="24"/>
          <w:szCs w:val="24"/>
        </w:rPr>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83"/>
      <w:bookmarkEnd w:id="284"/>
      <w:bookmarkEnd w:id="286"/>
    </w:p>
    <w:p>
      <w:pPr>
        <w:pStyle w:val="Style33"/>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tabs>
          <w:tab w:pos="755" w:val="left"/>
        </w:tabs>
        <w:bidi w:val="0"/>
        <w:spacing w:before="0" w:after="0" w:line="312" w:lineRule="exact"/>
        <w:ind w:left="0" w:right="0" w:firstLine="460"/>
        <w:jc w:val="both"/>
      </w:pPr>
      <w:bookmarkStart w:id="287" w:name="bookmark287"/>
      <w:r>
        <w:rPr>
          <w:rFonts w:ascii="Times New Roman" w:eastAsia="Times New Roman" w:hAnsi="Times New Roman" w:cs="Times New Roman"/>
          <w:color w:val="000000"/>
          <w:spacing w:val="0"/>
          <w:w w:val="100"/>
          <w:position w:val="0"/>
        </w:rPr>
        <w:t>1</w:t>
      </w:r>
      <w:bookmarkEnd w:id="287"/>
      <w:r>
        <w:rPr>
          <w:color w:val="000000"/>
          <w:spacing w:val="0"/>
          <w:w w:val="100"/>
          <w:position w:val="0"/>
        </w:rPr>
        <w:t>、</w:t>
        <w:tab/>
        <w:t>董事会意见</w:t>
      </w:r>
    </w:p>
    <w:p>
      <w:pPr>
        <w:pStyle w:val="Style3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公司董事会认为大信会计师事务所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出具的审计报告中保留意见涉及的事项是其根据工作原则作出的专 业判断，公司已虽然提供了力所能及的审计配合和证据努力，但很遗憾没有完全达到审计工作要求。公司董事会高度重视 大信会计师事务所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保留意见涉及事项对公司本报告期的影响，将持续关注上述事项的进展情况，并将根据 事态发展及时履行信息披露义务，并将督促公司管理层积极推进相关措施，尽早消除保留意见中涉及的事项，积极维护广 大投资者和公司的利益。</w:t>
      </w:r>
    </w:p>
    <w:p>
      <w:pPr>
        <w:pStyle w:val="Style33"/>
        <w:keepNext w:val="0"/>
        <w:keepLines w:val="0"/>
        <w:widowControl w:val="0"/>
        <w:shd w:val="clear" w:color="auto" w:fill="auto"/>
        <w:tabs>
          <w:tab w:pos="775" w:val="left"/>
        </w:tabs>
        <w:bidi w:val="0"/>
        <w:spacing w:before="0" w:after="0" w:line="312" w:lineRule="exact"/>
        <w:ind w:left="0" w:right="0" w:firstLine="460"/>
        <w:jc w:val="left"/>
      </w:pPr>
      <w:bookmarkStart w:id="288" w:name="bookmark288"/>
      <w:r>
        <w:rPr>
          <w:rFonts w:ascii="Times New Roman" w:eastAsia="Times New Roman" w:hAnsi="Times New Roman" w:cs="Times New Roman"/>
          <w:color w:val="000000"/>
          <w:spacing w:val="0"/>
          <w:w w:val="100"/>
          <w:position w:val="0"/>
        </w:rPr>
        <w:t>2</w:t>
      </w:r>
      <w:bookmarkEnd w:id="288"/>
      <w:r>
        <w:rPr>
          <w:color w:val="000000"/>
          <w:spacing w:val="0"/>
          <w:w w:val="100"/>
          <w:position w:val="0"/>
        </w:rPr>
        <w:t>、</w:t>
        <w:tab/>
        <w:t>独立董事的独立意见</w:t>
      </w:r>
    </w:p>
    <w:p>
      <w:pPr>
        <w:pStyle w:val="Style3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通过审核大信会计师事务所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所出具的审计报告，并与注册会计师、公司管理层等进行交谈沟通，公司 独立董事尊重大信会计师事务所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的独立判断，同意公司董事会编制的《董事会关于公司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年度保留意见 审计报告涉及事项的专项说明》，该专项说明符合公司的实际情况，采取的消除相关事项及其影响的具体措施是可行的。 同时，独立董事将持续关注和督促公司董事会及管理层落实相应措施的情况，尽快消除上述事项对公司的影响，更好地促 进公司发展，维护广大投资者的利益。</w:t>
      </w:r>
    </w:p>
    <w:p>
      <w:pPr>
        <w:pStyle w:val="Style33"/>
        <w:keepNext w:val="0"/>
        <w:keepLines w:val="0"/>
        <w:widowControl w:val="0"/>
        <w:shd w:val="clear" w:color="auto" w:fill="auto"/>
        <w:tabs>
          <w:tab w:pos="775" w:val="left"/>
        </w:tabs>
        <w:bidi w:val="0"/>
        <w:spacing w:before="0" w:after="0" w:line="312" w:lineRule="exact"/>
        <w:ind w:left="0" w:right="0" w:firstLine="460"/>
        <w:jc w:val="left"/>
      </w:pPr>
      <w:bookmarkStart w:id="289" w:name="bookmark289"/>
      <w:r>
        <w:rPr>
          <w:rFonts w:ascii="Times New Roman" w:eastAsia="Times New Roman" w:hAnsi="Times New Roman" w:cs="Times New Roman"/>
          <w:color w:val="000000"/>
          <w:spacing w:val="0"/>
          <w:w w:val="100"/>
          <w:position w:val="0"/>
        </w:rPr>
        <w:t>3</w:t>
      </w:r>
      <w:bookmarkEnd w:id="289"/>
      <w:r>
        <w:rPr>
          <w:color w:val="000000"/>
          <w:spacing w:val="0"/>
          <w:w w:val="100"/>
          <w:position w:val="0"/>
        </w:rPr>
        <w:t>、</w:t>
        <w:tab/>
        <w:t>监事会意见</w:t>
      </w:r>
    </w:p>
    <w:p>
      <w:pPr>
        <w:pStyle w:val="Style33"/>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监事会对公司董事会编制的《董事会关于公司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年度保留意见审计报告涉及事项的专项说明》表示认可，该专项说 明符合中国证监会、深圳证券交易所颁布的有关规范性文件和条例的规定，监事会将全力支持公司董事会和管理层采取有 </w:t>
      </w:r>
      <w:r>
        <w:rPr>
          <w:color w:val="000000"/>
          <w:spacing w:val="0"/>
          <w:w w:val="100"/>
          <w:position w:val="0"/>
        </w:rPr>
        <w:t>效措施解决保留意见涉及的事项，协助其开展相关工作，切实维护公司及全体股东的合法权益。</w:t>
      </w:r>
    </w:p>
    <w:p>
      <w:pPr>
        <w:pStyle w:val="Style29"/>
        <w:keepNext/>
        <w:keepLines/>
        <w:widowControl w:val="0"/>
        <w:shd w:val="clear" w:color="auto" w:fill="auto"/>
        <w:tabs>
          <w:tab w:pos="517" w:val="left"/>
        </w:tabs>
        <w:bidi w:val="0"/>
        <w:spacing w:before="0" w:after="36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sz w:val="24"/>
          <w:szCs w:val="24"/>
        </w:rPr>
        <w:t>六</w:t>
      </w:r>
      <w:bookmarkEnd w:id="292"/>
      <w:r>
        <w:rPr>
          <w:color w:val="000000"/>
          <w:spacing w:val="0"/>
          <w:w w:val="100"/>
          <w:position w:val="0"/>
          <w:sz w:val="24"/>
          <w:szCs w:val="24"/>
        </w:rPr>
        <w:t>、</w:t>
        <w:tab/>
        <w:t>与上年度财务报告相比，会计政策、会计估计和核算方法发生变化的情况说明</w:t>
      </w:r>
      <w:bookmarkEnd w:id="290"/>
      <w:bookmarkEnd w:id="291"/>
      <w:bookmarkEnd w:id="293"/>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详见本报告第十二节、五、</w:t>
      </w:r>
      <w:r>
        <w:rPr>
          <w:rFonts w:ascii="Times New Roman" w:eastAsia="Times New Roman" w:hAnsi="Times New Roman" w:cs="Times New Roman"/>
          <w:color w:val="000000"/>
          <w:spacing w:val="0"/>
          <w:w w:val="100"/>
          <w:position w:val="0"/>
        </w:rPr>
        <w:t>36</w:t>
      </w:r>
      <w:r>
        <w:rPr>
          <w:color w:val="000000"/>
          <w:spacing w:val="0"/>
          <w:w w:val="100"/>
          <w:position w:val="0"/>
        </w:rPr>
        <w:t>、重要会计政策和会计估计变更。</w:t>
      </w:r>
    </w:p>
    <w:p>
      <w:pPr>
        <w:pStyle w:val="Style29"/>
        <w:keepNext/>
        <w:keepLines/>
        <w:widowControl w:val="0"/>
        <w:shd w:val="clear" w:color="auto" w:fill="auto"/>
        <w:tabs>
          <w:tab w:pos="522" w:val="left"/>
        </w:tabs>
        <w:bidi w:val="0"/>
        <w:spacing w:before="0" w:after="36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sz w:val="24"/>
          <w:szCs w:val="24"/>
        </w:rPr>
        <w:t>七</w:t>
      </w:r>
      <w:bookmarkEnd w:id="296"/>
      <w:r>
        <w:rPr>
          <w:color w:val="000000"/>
          <w:spacing w:val="0"/>
          <w:w w:val="100"/>
          <w:position w:val="0"/>
          <w:sz w:val="24"/>
          <w:szCs w:val="24"/>
        </w:rPr>
        <w:t>、</w:t>
        <w:tab/>
        <w:t>报告期内发生重大会计差错更正需追溯重述的情况说明</w:t>
      </w:r>
      <w:bookmarkEnd w:id="294"/>
      <w:bookmarkEnd w:id="295"/>
      <w:bookmarkEnd w:id="297"/>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详见本报告第十二节、十六、</w:t>
      </w:r>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p>
    <w:p>
      <w:pPr>
        <w:pStyle w:val="Style29"/>
        <w:keepNext/>
        <w:keepLines/>
        <w:widowControl w:val="0"/>
        <w:shd w:val="clear" w:color="auto" w:fill="auto"/>
        <w:tabs>
          <w:tab w:pos="522" w:val="left"/>
        </w:tabs>
        <w:bidi w:val="0"/>
        <w:spacing w:before="0" w:after="36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sz w:val="24"/>
          <w:szCs w:val="24"/>
        </w:rPr>
        <w:t>八</w:t>
      </w:r>
      <w:bookmarkEnd w:id="300"/>
      <w:r>
        <w:rPr>
          <w:color w:val="000000"/>
          <w:spacing w:val="0"/>
          <w:w w:val="100"/>
          <w:position w:val="0"/>
          <w:sz w:val="24"/>
          <w:szCs w:val="24"/>
        </w:rPr>
        <w:t>、</w:t>
        <w:tab/>
        <w:t>与上年度财务报告相比，合并报表范围发生变化的情况说明</w:t>
      </w:r>
      <w:bookmarkEnd w:id="298"/>
      <w:bookmarkEnd w:id="299"/>
      <w:bookmarkEnd w:id="301"/>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公司报告期无合并报表范围发生变化的情况。</w:t>
      </w:r>
    </w:p>
    <w:p>
      <w:pPr>
        <w:pStyle w:val="Style29"/>
        <w:keepNext/>
        <w:keepLines/>
        <w:widowControl w:val="0"/>
        <w:shd w:val="clear" w:color="auto" w:fill="auto"/>
        <w:tabs>
          <w:tab w:pos="522" w:val="left"/>
        </w:tabs>
        <w:bidi w:val="0"/>
        <w:spacing w:before="0" w:after="36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sz w:val="24"/>
          <w:szCs w:val="24"/>
        </w:rPr>
        <w:t>九</w:t>
      </w:r>
      <w:bookmarkEnd w:id="304"/>
      <w:r>
        <w:rPr>
          <w:color w:val="000000"/>
          <w:spacing w:val="0"/>
          <w:w w:val="100"/>
          <w:position w:val="0"/>
          <w:sz w:val="24"/>
          <w:szCs w:val="24"/>
        </w:rPr>
        <w:t>、</w:t>
        <w:tab/>
        <w:t>聘任、解聘会计师事务所情况</w:t>
      </w:r>
      <w:bookmarkEnd w:id="302"/>
      <w:bookmarkEnd w:id="303"/>
      <w:bookmarkEnd w:id="305"/>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蔡瑜、汪云飞</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r>
    </w:tbl>
    <w:p>
      <w:pPr>
        <w:pStyle w:val="Style33"/>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当期是否改聘会计师事务所</w:t>
      </w:r>
    </w:p>
    <w:p>
      <w:pPr>
        <w:pStyle w:val="Style3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3"/>
        <w:keepNext w:val="0"/>
        <w:keepLines w:val="0"/>
        <w:widowControl w:val="0"/>
        <w:shd w:val="clear" w:color="auto" w:fill="auto"/>
        <w:bidi w:val="0"/>
        <w:spacing w:before="0" w:after="140" w:line="314" w:lineRule="exact"/>
        <w:ind w:left="0" w:right="0" w:firstLine="0"/>
        <w:jc w:val="left"/>
      </w:pPr>
      <w:r>
        <w:rPr>
          <w:color w:val="000000"/>
          <w:spacing w:val="0"/>
          <w:w w:val="100"/>
          <w:position w:val="0"/>
        </w:rPr>
        <w:t>是否在审计期间改聘会计师事务所</w:t>
      </w:r>
    </w:p>
    <w:p>
      <w:pPr>
        <w:pStyle w:val="Style3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val="0"/>
        <w:keepLines w:val="0"/>
        <w:widowControl w:val="0"/>
        <w:shd w:val="clear" w:color="auto" w:fill="auto"/>
        <w:bidi w:val="0"/>
        <w:spacing w:before="0" w:after="140" w:line="314" w:lineRule="exact"/>
        <w:ind w:left="0" w:right="0" w:firstLine="0"/>
        <w:jc w:val="left"/>
      </w:pPr>
      <w:r>
        <w:rPr>
          <w:color w:val="000000"/>
          <w:spacing w:val="0"/>
          <w:w w:val="100"/>
          <w:position w:val="0"/>
        </w:rPr>
        <w:t>更换会计师事务所是否履行审批程序</w:t>
      </w:r>
    </w:p>
    <w:p>
      <w:pPr>
        <w:pStyle w:val="Style3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对改聘、变更会计师事务所情况的详细说明</w:t>
      </w:r>
    </w:p>
    <w:p>
      <w:pPr>
        <w:pStyle w:val="Style33"/>
        <w:keepNext w:val="0"/>
        <w:keepLines w:val="0"/>
        <w:widowControl w:val="0"/>
        <w:shd w:val="clear" w:color="auto" w:fill="auto"/>
        <w:bidi w:val="0"/>
        <w:spacing w:before="0" w:after="0" w:line="314" w:lineRule="exact"/>
        <w:ind w:left="0" w:right="0" w:firstLine="52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日召开第六届董事会第五十三次会议审议通过了《关于拟聘任会计师事务所的议案》，鉴于公司 原审计机构上会会计师事务所（特殊普通合伙）聘期已满，且已连续多年为公司提供审计服务，为满足公司审计需要，公 司拟聘任大信会计师事务所（特殊普通合伙）为公司</w:t>
      </w:r>
      <w:r>
        <w:rPr>
          <w:rFonts w:ascii="Times New Roman" w:eastAsia="Times New Roman" w:hAnsi="Times New Roman" w:cs="Times New Roman"/>
          <w:color w:val="000000"/>
          <w:spacing w:val="0"/>
          <w:w w:val="100"/>
          <w:position w:val="0"/>
        </w:rPr>
        <w:t>2020</w:t>
      </w:r>
      <w:r>
        <w:rPr>
          <w:color w:val="000000"/>
          <w:spacing w:val="0"/>
          <w:w w:val="100"/>
          <w:position w:val="0"/>
        </w:rPr>
        <w:t>年度审计机构，聘期一年，年度合并财务会计报表审计费用为人 民币</w:t>
      </w:r>
      <w:r>
        <w:rPr>
          <w:rFonts w:ascii="Times New Roman" w:eastAsia="Times New Roman" w:hAnsi="Times New Roman" w:cs="Times New Roman"/>
          <w:color w:val="000000"/>
          <w:spacing w:val="0"/>
          <w:w w:val="100"/>
          <w:position w:val="0"/>
        </w:rPr>
        <w:t>68</w:t>
      </w:r>
      <w:r>
        <w:rPr>
          <w:color w:val="000000"/>
          <w:spacing w:val="0"/>
          <w:w w:val="100"/>
          <w:position w:val="0"/>
        </w:rPr>
        <w:t>万元。独立董事已对上述事项发表了事前认可意见和同意的独立意见。该议案已经公司</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 审议通过。</w:t>
      </w:r>
    </w:p>
    <w:p>
      <w:pPr>
        <w:pStyle w:val="Style33"/>
        <w:keepNext w:val="0"/>
        <w:keepLines w:val="0"/>
        <w:widowControl w:val="0"/>
        <w:shd w:val="clear" w:color="auto" w:fill="auto"/>
        <w:bidi w:val="0"/>
        <w:spacing w:before="0" w:after="240" w:line="314" w:lineRule="exact"/>
        <w:ind w:left="0" w:right="0" w:firstLine="0"/>
        <w:jc w:val="left"/>
        <w:sectPr>
          <w:headerReference w:type="default" r:id="rId19"/>
          <w:footerReference w:type="default" r:id="rId20"/>
          <w:footnotePr>
            <w:pos w:val="pageBottom"/>
            <w:numFmt w:val="decimal"/>
            <w:numRestart w:val="continuous"/>
          </w:footnotePr>
          <w:pgSz w:w="11900" w:h="16840"/>
          <w:pgMar w:top="1402" w:right="1117" w:bottom="1632" w:left="1097" w:header="0" w:footer="3" w:gutter="0"/>
          <w:cols w:space="720"/>
          <w:noEndnote/>
          <w:rtlGutter w:val="0"/>
          <w:docGrid w:linePitch="360"/>
        </w:sectPr>
      </w:pPr>
      <w:r>
        <w:rPr>
          <w:color w:val="000000"/>
          <w:spacing w:val="0"/>
          <w:w w:val="100"/>
          <w:position w:val="0"/>
        </w:rPr>
        <w:t>聘请内部控制审计会计师事务所、财务顾问或保荐人情况</w:t>
      </w: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360" w:line="331" w:lineRule="exact"/>
        <w:ind w:left="0" w:right="0" w:firstLine="300"/>
        <w:jc w:val="left"/>
      </w:pPr>
      <w:r>
        <w:rPr>
          <w:color w:val="000000"/>
          <w:spacing w:val="0"/>
          <w:w w:val="100"/>
          <w:position w:val="0"/>
        </w:rPr>
        <w:t>因</w:t>
      </w:r>
      <w:r>
        <w:rPr>
          <w:rFonts w:ascii="Times New Roman" w:eastAsia="Times New Roman" w:hAnsi="Times New Roman" w:cs="Times New Roman"/>
          <w:color w:val="000000"/>
          <w:spacing w:val="0"/>
          <w:w w:val="100"/>
          <w:position w:val="0"/>
        </w:rPr>
        <w:t>2017</w:t>
      </w:r>
      <w:r>
        <w:rPr>
          <w:color w:val="000000"/>
          <w:spacing w:val="0"/>
          <w:w w:val="100"/>
          <w:position w:val="0"/>
        </w:rPr>
        <w:t>年度收购哆可梦</w:t>
      </w:r>
      <w:r>
        <w:rPr>
          <w:rFonts w:ascii="Times New Roman" w:eastAsia="Times New Roman" w:hAnsi="Times New Roman" w:cs="Times New Roman"/>
          <w:color w:val="000000"/>
          <w:spacing w:val="0"/>
          <w:w w:val="100"/>
          <w:position w:val="0"/>
        </w:rPr>
        <w:t>77.57%</w:t>
      </w:r>
      <w:r>
        <w:rPr>
          <w:color w:val="000000"/>
          <w:spacing w:val="0"/>
          <w:w w:val="100"/>
          <w:position w:val="0"/>
        </w:rPr>
        <w:t>股权事项聘请海通证券股份有限公司为持续督导期间的独立财务顾问，根据合同付款安排，前期费用已支付完毕，本年度尚未发生新的费用支 付。</w:t>
      </w:r>
    </w:p>
    <w:p>
      <w:pPr>
        <w:pStyle w:val="Style29"/>
        <w:keepNext/>
        <w:keepLines/>
        <w:widowControl w:val="0"/>
        <w:shd w:val="clear" w:color="auto" w:fill="auto"/>
        <w:bidi w:val="0"/>
        <w:spacing w:before="0" w:after="240" w:line="240" w:lineRule="auto"/>
        <w:ind w:left="0" w:right="0" w:firstLine="0"/>
        <w:jc w:val="left"/>
      </w:pPr>
      <w:bookmarkStart w:id="306" w:name="bookmark306"/>
      <w:bookmarkStart w:id="307" w:name="bookmark307"/>
      <w:bookmarkStart w:id="308" w:name="bookmark308"/>
      <w:r>
        <w:rPr>
          <w:color w:val="000000"/>
          <w:spacing w:val="0"/>
          <w:w w:val="100"/>
          <w:position w:val="0"/>
          <w:sz w:val="24"/>
          <w:szCs w:val="24"/>
        </w:rPr>
        <w:t>十、年度报告披露后面临退市情况</w:t>
      </w:r>
      <w:bookmarkEnd w:id="306"/>
      <w:bookmarkEnd w:id="307"/>
      <w:bookmarkEnd w:id="308"/>
    </w:p>
    <w:p>
      <w:pPr>
        <w:pStyle w:val="Style33"/>
        <w:keepNext w:val="0"/>
        <w:keepLines w:val="0"/>
        <w:widowControl w:val="0"/>
        <w:shd w:val="clear" w:color="auto" w:fill="auto"/>
        <w:bidi w:val="0"/>
        <w:spacing w:before="0" w:after="360" w:line="33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leader="hyphen" w:pos="461" w:val="left"/>
        </w:tabs>
        <w:bidi w:val="0"/>
        <w:spacing w:before="0" w:after="240" w:line="240" w:lineRule="auto"/>
        <w:ind w:left="0" w:right="0" w:firstLine="0"/>
        <w:jc w:val="left"/>
      </w:pPr>
      <w:bookmarkStart w:id="309" w:name="bookmark309"/>
      <w:bookmarkStart w:id="310" w:name="bookmark310"/>
      <w:bookmarkStart w:id="311" w:name="bookmark311"/>
      <w:r>
        <w:rPr>
          <w:color w:val="000000"/>
          <w:spacing w:val="0"/>
          <w:w w:val="100"/>
          <w:position w:val="0"/>
          <w:sz w:val="24"/>
          <w:szCs w:val="24"/>
        </w:rPr>
        <w:t>十</w:t>
        <w:tab/>
        <w:t>、破产重整相关事项</w:t>
      </w:r>
      <w:bookmarkEnd w:id="309"/>
      <w:bookmarkEnd w:id="310"/>
      <w:bookmarkEnd w:id="311"/>
    </w:p>
    <w:p>
      <w:pPr>
        <w:pStyle w:val="Style33"/>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60" w:line="331" w:lineRule="exact"/>
        <w:ind w:left="0" w:right="0" w:firstLine="0"/>
        <w:jc w:val="left"/>
      </w:pPr>
      <w:r>
        <w:rPr>
          <w:color w:val="000000"/>
          <w:spacing w:val="0"/>
          <w:w w:val="100"/>
          <w:position w:val="0"/>
        </w:rPr>
        <w:t>公司报告期未发生破产重整相关事项。</w:t>
      </w:r>
    </w:p>
    <w:p>
      <w:pPr>
        <w:pStyle w:val="Style29"/>
        <w:keepNext/>
        <w:keepLines/>
        <w:widowControl w:val="0"/>
        <w:shd w:val="clear" w:color="auto" w:fill="auto"/>
        <w:bidi w:val="0"/>
        <w:spacing w:before="0" w:after="360" w:line="240" w:lineRule="auto"/>
        <w:ind w:left="0" w:right="0" w:firstLine="0"/>
        <w:jc w:val="left"/>
      </w:pPr>
      <w:bookmarkStart w:id="312" w:name="bookmark312"/>
      <w:bookmarkStart w:id="313" w:name="bookmark313"/>
      <w:bookmarkStart w:id="314" w:name="bookmark314"/>
      <w:r>
        <w:rPr>
          <w:color w:val="000000"/>
          <w:spacing w:val="0"/>
          <w:w w:val="100"/>
          <w:position w:val="0"/>
          <w:sz w:val="24"/>
          <w:szCs w:val="24"/>
        </w:rPr>
        <w:t>十二、重大诉讼、仲裁事项</w:t>
      </w:r>
      <w:bookmarkEnd w:id="312"/>
      <w:bookmarkEnd w:id="313"/>
      <w:bookmarkEnd w:id="314"/>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2203"/>
        <w:gridCol w:w="917"/>
        <w:gridCol w:w="854"/>
        <w:gridCol w:w="2266"/>
        <w:gridCol w:w="2698"/>
        <w:gridCol w:w="1555"/>
        <w:gridCol w:w="1594"/>
        <w:gridCol w:w="1882"/>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基本情况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涉案金额</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是否形成 预计负债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进展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审理结果及影响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判决执 行情况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352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上海玄霆娱乐信息科技有 限公司（简称</w:t>
            </w:r>
            <w:r>
              <w:rPr>
                <w:rFonts w:ascii="Times New Roman" w:eastAsia="Times New Roman" w:hAnsi="Times New Roman" w:cs="Times New Roman"/>
                <w:color w:val="000000"/>
                <w:spacing w:val="0"/>
                <w:w w:val="100"/>
                <w:position w:val="0"/>
              </w:rPr>
              <w:t>"</w:t>
            </w:r>
            <w:r>
              <w:rPr>
                <w:color w:val="000000"/>
                <w:spacing w:val="0"/>
                <w:w w:val="100"/>
                <w:position w:val="0"/>
              </w:rPr>
              <w:t>上海玄霆</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诉四三九九网络股份有限 公司、吉乾科技著作权纠 纷案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513.68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二审法院判决驳回上诉，维 持一审判决，二审案件受理 费</w:t>
            </w:r>
            <w:r>
              <w:rPr>
                <w:rFonts w:ascii="Times New Roman" w:eastAsia="Times New Roman" w:hAnsi="Times New Roman" w:cs="Times New Roman"/>
                <w:color w:val="000000"/>
                <w:spacing w:val="0"/>
                <w:w w:val="100"/>
                <w:position w:val="0"/>
              </w:rPr>
              <w:t>46,800</w:t>
            </w:r>
            <w:r>
              <w:rPr>
                <w:color w:val="000000"/>
                <w:spacing w:val="0"/>
                <w:w w:val="100"/>
                <w:position w:val="0"/>
              </w:rPr>
              <w:t>元由被告吉乾科技 负担。</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一审法院判决：被告吉乾科技于 判决生效之日起二十日内赔偿上 海玄霆经济损失及合理开支共计 </w:t>
            </w:r>
            <w:r>
              <w:rPr>
                <w:rFonts w:ascii="Times New Roman" w:eastAsia="Times New Roman" w:hAnsi="Times New Roman" w:cs="Times New Roman"/>
                <w:color w:val="000000"/>
                <w:spacing w:val="0"/>
                <w:w w:val="100"/>
                <w:position w:val="0"/>
              </w:rPr>
              <w:t>500</w:t>
            </w:r>
            <w:r>
              <w:rPr>
                <w:color w:val="000000"/>
                <w:spacing w:val="0"/>
                <w:w w:val="100"/>
                <w:position w:val="0"/>
              </w:rPr>
              <w:t xml:space="preserve">万元，驳回原告上海玄霆其 他诉讼请求；案件受理费 </w:t>
            </w:r>
            <w:r>
              <w:rPr>
                <w:rFonts w:ascii="Times New Roman" w:eastAsia="Times New Roman" w:hAnsi="Times New Roman" w:cs="Times New Roman"/>
                <w:color w:val="000000"/>
                <w:spacing w:val="0"/>
                <w:w w:val="100"/>
                <w:position w:val="0"/>
              </w:rPr>
              <w:t>142,063</w:t>
            </w:r>
            <w:r>
              <w:rPr>
                <w:color w:val="000000"/>
                <w:spacing w:val="0"/>
                <w:w w:val="100"/>
                <w:position w:val="0"/>
              </w:rPr>
              <w:t xml:space="preserve">元，由原告上海玄霆负担 </w:t>
            </w:r>
            <w:r>
              <w:rPr>
                <w:rFonts w:ascii="Times New Roman" w:eastAsia="Times New Roman" w:hAnsi="Times New Roman" w:cs="Times New Roman"/>
                <w:color w:val="000000"/>
                <w:spacing w:val="0"/>
                <w:w w:val="100"/>
                <w:position w:val="0"/>
              </w:rPr>
              <w:t>52,063</w:t>
            </w:r>
            <w:r>
              <w:rPr>
                <w:color w:val="000000"/>
                <w:spacing w:val="0"/>
                <w:w w:val="100"/>
                <w:position w:val="0"/>
              </w:rPr>
              <w:t xml:space="preserve">元，报告吉乾科技负担 </w:t>
            </w:r>
            <w:r>
              <w:rPr>
                <w:rFonts w:ascii="Times New Roman" w:eastAsia="Times New Roman" w:hAnsi="Times New Roman" w:cs="Times New Roman"/>
                <w:color w:val="000000"/>
                <w:spacing w:val="0"/>
                <w:w w:val="100"/>
                <w:position w:val="0"/>
              </w:rPr>
              <w:t>90,000</w:t>
            </w:r>
            <w:r>
              <w:rPr>
                <w:color w:val="000000"/>
                <w:spacing w:val="0"/>
                <w:w w:val="100"/>
                <w:position w:val="0"/>
              </w:rPr>
              <w:t xml:space="preserve">元。二审法院判决：驳回 上诉，维持原判；案件受理费 </w:t>
            </w:r>
            <w:r>
              <w:rPr>
                <w:rFonts w:ascii="Times New Roman" w:eastAsia="Times New Roman" w:hAnsi="Times New Roman" w:cs="Times New Roman"/>
                <w:color w:val="000000"/>
                <w:spacing w:val="0"/>
                <w:w w:val="100"/>
                <w:position w:val="0"/>
              </w:rPr>
              <w:t>46,800</w:t>
            </w:r>
            <w:r>
              <w:rPr>
                <w:color w:val="000000"/>
                <w:spacing w:val="0"/>
                <w:w w:val="100"/>
                <w:position w:val="0"/>
              </w:rPr>
              <w:t>元由被告吉乾科技负担。 本判决为终审判决。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二审判决生效，原 告与被告达成和 解。</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203"/>
        <w:gridCol w:w="917"/>
        <w:gridCol w:w="854"/>
        <w:gridCol w:w="2266"/>
        <w:gridCol w:w="2698"/>
        <w:gridCol w:w="1555"/>
        <w:gridCol w:w="1594"/>
        <w:gridCol w:w="1882"/>
      </w:tblGrid>
      <w:tr>
        <w:trPr>
          <w:trHeight w:val="16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哆可梦董事长寇汉先生已履行</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《重大资产购买暨关联交易报告 书（草案）（二次修订稿）》中所 作的相关承诺，代哆可梦支付了 上述判决金额。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上海玄霆诉四三九九、完 美世界（北京）数字科技 有限公司、完美世界（重 庆）互动科技有限公司、 哆可梦著作权纠纷案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both"/>
            </w:pPr>
            <w:r>
              <w:rPr>
                <w:color w:val="000000"/>
                <w:spacing w:val="0"/>
                <w:w w:val="100"/>
                <w:position w:val="0"/>
              </w:rPr>
              <w:t>二审法院判决驳回上诉，维 持一审判决，二审案件受理 费</w:t>
            </w:r>
            <w:r>
              <w:rPr>
                <w:rFonts w:ascii="Times New Roman" w:eastAsia="Times New Roman" w:hAnsi="Times New Roman" w:cs="Times New Roman"/>
                <w:color w:val="000000"/>
                <w:spacing w:val="0"/>
                <w:w w:val="100"/>
                <w:position w:val="0"/>
              </w:rPr>
              <w:t>13,800</w:t>
            </w:r>
            <w:r>
              <w:rPr>
                <w:color w:val="000000"/>
                <w:spacing w:val="0"/>
                <w:w w:val="100"/>
                <w:position w:val="0"/>
              </w:rPr>
              <w:t>元由哆可梦负担。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一审法院判决：被告哆可梦于判 决生效之日起立即停止自行或授 权他人运营、宣传推广《斗罗大 陆神界传说》游戏，于判决生效 之日起二十日内赔偿原告上海玄 霆经济损失及合理开支共计</w:t>
            </w:r>
            <w:r>
              <w:rPr>
                <w:rFonts w:ascii="Times New Roman" w:eastAsia="Times New Roman" w:hAnsi="Times New Roman" w:cs="Times New Roman"/>
                <w:color w:val="000000"/>
                <w:spacing w:val="0"/>
                <w:w w:val="100"/>
                <w:position w:val="0"/>
              </w:rPr>
              <w:t xml:space="preserve">100 </w:t>
            </w:r>
            <w:r>
              <w:rPr>
                <w:color w:val="000000"/>
                <w:spacing w:val="0"/>
                <w:w w:val="100"/>
                <w:position w:val="0"/>
              </w:rPr>
              <w:t>万元，驳回原告上海玄霆其他诉 讼请求；案件受理费</w:t>
            </w:r>
            <w:r>
              <w:rPr>
                <w:rFonts w:ascii="Times New Roman" w:eastAsia="Times New Roman" w:hAnsi="Times New Roman" w:cs="Times New Roman"/>
                <w:color w:val="000000"/>
                <w:spacing w:val="0"/>
                <w:w w:val="100"/>
                <w:position w:val="0"/>
              </w:rPr>
              <w:t xml:space="preserve">142,070 </w:t>
            </w:r>
            <w:r>
              <w:rPr>
                <w:color w:val="000000"/>
                <w:spacing w:val="0"/>
                <w:w w:val="100"/>
                <w:position w:val="0"/>
              </w:rPr>
              <w:t>元，由原告上海玄霆负担</w:t>
            </w:r>
            <w:r>
              <w:rPr>
                <w:rFonts w:ascii="Times New Roman" w:eastAsia="Times New Roman" w:hAnsi="Times New Roman" w:cs="Times New Roman"/>
                <w:color w:val="000000"/>
                <w:spacing w:val="0"/>
                <w:w w:val="100"/>
                <w:position w:val="0"/>
              </w:rPr>
              <w:t xml:space="preserve">62,070 </w:t>
            </w:r>
            <w:r>
              <w:rPr>
                <w:color w:val="000000"/>
                <w:spacing w:val="0"/>
                <w:w w:val="100"/>
                <w:position w:val="0"/>
              </w:rPr>
              <w:t>元，被告哆可梦负担</w:t>
            </w:r>
            <w:r>
              <w:rPr>
                <w:rFonts w:ascii="Times New Roman" w:eastAsia="Times New Roman" w:hAnsi="Times New Roman" w:cs="Times New Roman"/>
                <w:color w:val="000000"/>
                <w:spacing w:val="0"/>
                <w:w w:val="100"/>
                <w:position w:val="0"/>
              </w:rPr>
              <w:t>80,000</w:t>
            </w:r>
            <w:r>
              <w:rPr>
                <w:color w:val="000000"/>
                <w:spacing w:val="0"/>
                <w:w w:val="100"/>
                <w:position w:val="0"/>
              </w:rPr>
              <w:t>元。</w:t>
            </w:r>
          </w:p>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二审法院判决：驳回上诉，维持 一审判决，二审案件受理费 </w:t>
            </w:r>
            <w:r>
              <w:rPr>
                <w:rFonts w:ascii="Times New Roman" w:eastAsia="Times New Roman" w:hAnsi="Times New Roman" w:cs="Times New Roman"/>
                <w:color w:val="000000"/>
                <w:spacing w:val="0"/>
                <w:w w:val="100"/>
                <w:position w:val="0"/>
              </w:rPr>
              <w:t>13,800</w:t>
            </w:r>
            <w:r>
              <w:rPr>
                <w:color w:val="000000"/>
                <w:spacing w:val="0"/>
                <w:w w:val="100"/>
                <w:position w:val="0"/>
              </w:rPr>
              <w:t>元由哆可梦负担。</w:t>
            </w:r>
          </w:p>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哆可梦董事长寇汉先生已履行</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《重大资产购买暨关联交易报告 书（草案）（二次修订稿）》中所 作的相关承诺，代哆可梦支付了 上述判决金额。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二审判决生效，原 告与被告达成和 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191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公司及主要子公司未达到 重大诉讼（仲裁）披露标 准的其他诉讼（仲裁）共</w:t>
            </w:r>
            <w:r>
              <w:rPr>
                <w:rFonts w:ascii="Times New Roman" w:eastAsia="Times New Roman" w:hAnsi="Times New Roman" w:cs="Times New Roman"/>
                <w:color w:val="000000"/>
                <w:spacing w:val="0"/>
                <w:w w:val="100"/>
                <w:position w:val="0"/>
              </w:rPr>
              <w:t xml:space="preserve">9 </w:t>
            </w:r>
            <w:r>
              <w:rPr>
                <w:color w:val="000000"/>
                <w:spacing w:val="0"/>
                <w:w w:val="100"/>
                <w:position w:val="0"/>
              </w:rPr>
              <w:t>项（公司或子公司作为原 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3,744.34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tbl>
      <w:tblPr>
        <w:tblOverlap w:val="never"/>
        <w:jc w:val="center"/>
        <w:tblLayout w:type="fixed"/>
      </w:tblPr>
      <w:tblGrid>
        <w:gridCol w:w="2203"/>
        <w:gridCol w:w="917"/>
        <w:gridCol w:w="854"/>
        <w:gridCol w:w="2266"/>
        <w:gridCol w:w="2698"/>
        <w:gridCol w:w="1555"/>
        <w:gridCol w:w="1594"/>
        <w:gridCol w:w="1882"/>
      </w:tblGrid>
      <w:tr>
        <w:trPr>
          <w:trHeight w:val="166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公司及主要子公司未达到 重大诉讼（仲裁）披露标 准的其他诉讼（仲裁）共</w:t>
            </w:r>
            <w:r>
              <w:rPr>
                <w:rFonts w:ascii="Times New Roman" w:eastAsia="Times New Roman" w:hAnsi="Times New Roman" w:cs="Times New Roman"/>
                <w:color w:val="000000"/>
                <w:spacing w:val="0"/>
                <w:w w:val="100"/>
                <w:position w:val="0"/>
              </w:rPr>
              <w:t xml:space="preserve">3 </w:t>
            </w:r>
            <w:r>
              <w:rPr>
                <w:color w:val="000000"/>
                <w:spacing w:val="0"/>
                <w:w w:val="100"/>
                <w:position w:val="0"/>
              </w:rPr>
              <w:t>项（公司或子公司作为被 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11,731.53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both"/>
      </w:pPr>
      <w:bookmarkStart w:id="315" w:name="bookmark315"/>
      <w:bookmarkStart w:id="316" w:name="bookmark316"/>
      <w:bookmarkStart w:id="317" w:name="bookmark317"/>
      <w:r>
        <w:rPr>
          <w:color w:val="000000"/>
          <w:spacing w:val="0"/>
          <w:w w:val="100"/>
          <w:position w:val="0"/>
          <w:sz w:val="24"/>
          <w:szCs w:val="24"/>
        </w:rPr>
        <w:t>十三、处罚及整改情况</w:t>
      </w:r>
      <w:bookmarkEnd w:id="315"/>
      <w:bookmarkEnd w:id="316"/>
      <w:bookmarkEnd w:id="317"/>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公司报告期不存在处罚及整改情况。</w:t>
      </w:r>
    </w:p>
    <w:p>
      <w:pPr>
        <w:pStyle w:val="Style29"/>
        <w:keepNext/>
        <w:keepLines/>
        <w:widowControl w:val="0"/>
        <w:shd w:val="clear" w:color="auto" w:fill="auto"/>
        <w:bidi w:val="0"/>
        <w:spacing w:before="0" w:after="360" w:line="240" w:lineRule="auto"/>
        <w:ind w:left="0" w:right="0" w:firstLine="0"/>
        <w:jc w:val="both"/>
      </w:pPr>
      <w:bookmarkStart w:id="318" w:name="bookmark318"/>
      <w:bookmarkStart w:id="319" w:name="bookmark319"/>
      <w:bookmarkStart w:id="320" w:name="bookmark320"/>
      <w:r>
        <w:rPr>
          <w:color w:val="000000"/>
          <w:spacing w:val="0"/>
          <w:w w:val="100"/>
          <w:position w:val="0"/>
          <w:sz w:val="24"/>
          <w:szCs w:val="24"/>
        </w:rPr>
        <w:t>十四、公司及其控股股东、实际控制人的诚信状况</w:t>
      </w:r>
      <w:bookmarkEnd w:id="318"/>
      <w:bookmarkEnd w:id="319"/>
      <w:bookmarkEnd w:id="320"/>
    </w:p>
    <w:p>
      <w:pPr>
        <w:pStyle w:val="Style3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both"/>
      </w:pPr>
      <w:bookmarkStart w:id="321" w:name="bookmark321"/>
      <w:bookmarkStart w:id="322" w:name="bookmark322"/>
      <w:bookmarkStart w:id="323" w:name="bookmark323"/>
      <w:r>
        <w:rPr>
          <w:color w:val="000000"/>
          <w:spacing w:val="0"/>
          <w:w w:val="100"/>
          <w:position w:val="0"/>
          <w:sz w:val="24"/>
          <w:szCs w:val="24"/>
        </w:rPr>
        <w:t>十五、公司股权激励计划、员工持股计划或其他员工激励措施的实施情况</w:t>
      </w:r>
      <w:bookmarkEnd w:id="321"/>
      <w:bookmarkEnd w:id="322"/>
      <w:bookmarkEnd w:id="323"/>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公司报告期无股权激励计划、员工持股计划或其他员工激励措施及其实施情况。</w:t>
      </w:r>
    </w:p>
    <w:p>
      <w:pPr>
        <w:pStyle w:val="Style29"/>
        <w:keepNext/>
        <w:keepLines/>
        <w:widowControl w:val="0"/>
        <w:shd w:val="clear" w:color="auto" w:fill="auto"/>
        <w:bidi w:val="0"/>
        <w:spacing w:before="0" w:after="360" w:line="240" w:lineRule="auto"/>
        <w:ind w:left="0" w:right="0" w:firstLine="0"/>
        <w:jc w:val="both"/>
      </w:pPr>
      <w:bookmarkStart w:id="324" w:name="bookmark324"/>
      <w:bookmarkStart w:id="325" w:name="bookmark325"/>
      <w:bookmarkStart w:id="326" w:name="bookmark326"/>
      <w:r>
        <w:rPr>
          <w:color w:val="000000"/>
          <w:spacing w:val="0"/>
          <w:w w:val="100"/>
          <w:position w:val="0"/>
          <w:sz w:val="24"/>
          <w:szCs w:val="24"/>
        </w:rPr>
        <w:t>十六、重大关联交易</w:t>
      </w:r>
      <w:bookmarkEnd w:id="324"/>
      <w:bookmarkEnd w:id="325"/>
      <w:bookmarkEnd w:id="326"/>
    </w:p>
    <w:p>
      <w:pPr>
        <w:pStyle w:val="Style37"/>
        <w:keepNext/>
        <w:keepLines/>
        <w:widowControl w:val="0"/>
        <w:shd w:val="clear" w:color="auto" w:fill="auto"/>
        <w:bidi w:val="0"/>
        <w:spacing w:before="0" w:line="240" w:lineRule="auto"/>
        <w:ind w:left="0" w:right="0" w:firstLine="0"/>
        <w:jc w:val="both"/>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1</w:t>
      </w:r>
      <w:bookmarkEnd w:id="329"/>
      <w:r>
        <w:rPr>
          <w:color w:val="000000"/>
          <w:spacing w:val="0"/>
          <w:w w:val="100"/>
          <w:position w:val="0"/>
        </w:rPr>
        <w:t>、与日常经营相关的关联交易</w:t>
      </w:r>
      <w:bookmarkEnd w:id="327"/>
      <w:bookmarkEnd w:id="328"/>
      <w:bookmarkEnd w:id="330"/>
    </w:p>
    <w:p>
      <w:pPr>
        <w:pStyle w:val="Style3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1421"/>
        <w:gridCol w:w="850"/>
        <w:gridCol w:w="658"/>
        <w:gridCol w:w="960"/>
        <w:gridCol w:w="653"/>
        <w:gridCol w:w="1531"/>
        <w:gridCol w:w="878"/>
        <w:gridCol w:w="850"/>
        <w:gridCol w:w="850"/>
        <w:gridCol w:w="854"/>
        <w:gridCol w:w="850"/>
        <w:gridCol w:w="830"/>
        <w:gridCol w:w="902"/>
        <w:gridCol w:w="1882"/>
      </w:tblGrid>
      <w:tr>
        <w:trPr>
          <w:trHeight w:val="106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关联交易内 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关联交易价格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金额（万</w:t>
            </w:r>
          </w:p>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获批的交 易额度 （万元）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是否超过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获批额度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披露索引</w:t>
            </w:r>
          </w:p>
        </w:tc>
      </w:tr>
      <w:tr>
        <w:trPr>
          <w:trHeight w:val="320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信中利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同一控制 下关联企 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子公司北京 中汇联银向 信中利租赁 办公场所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8" w:lineRule="exact"/>
              <w:ind w:left="0" w:right="0" w:firstLine="0"/>
              <w:jc w:val="left"/>
            </w:pPr>
            <w:r>
              <w:rPr>
                <w:color w:val="000000"/>
                <w:spacing w:val="0"/>
                <w:w w:val="100"/>
                <w:position w:val="0"/>
              </w:rPr>
              <w:t>房屋租金为</w:t>
            </w:r>
            <w:r>
              <w:rPr>
                <w:rFonts w:ascii="Times New Roman" w:eastAsia="Times New Roman" w:hAnsi="Times New Roman" w:cs="Times New Roman"/>
                <w:color w:val="000000"/>
                <w:spacing w:val="0"/>
                <w:w w:val="100"/>
                <w:position w:val="0"/>
              </w:rPr>
              <w:t>7.5</w:t>
            </w:r>
            <w:r>
              <w:rPr>
                <w:color w:val="000000"/>
                <w:spacing w:val="0"/>
                <w:w w:val="100"/>
                <w:position w:val="0"/>
              </w:rPr>
              <w:t>元</w:t>
            </w:r>
            <w:r>
              <w:rPr>
                <w:rFonts w:ascii="Times New Roman" w:eastAsia="Times New Roman" w:hAnsi="Times New Roman" w:cs="Times New Roman"/>
                <w:color w:val="000000"/>
                <w:spacing w:val="0"/>
                <w:w w:val="100"/>
                <w:position w:val="0"/>
              </w:rPr>
              <w:t>/</w:t>
            </w:r>
          </w:p>
          <w:p>
            <w:pPr>
              <w:pStyle w:val="Style26"/>
              <w:keepNext w:val="0"/>
              <w:keepLines w:val="0"/>
              <w:widowControl w:val="0"/>
              <w:shd w:val="clear" w:color="auto" w:fill="auto"/>
              <w:bidi w:val="0"/>
              <w:spacing w:before="0" w:after="0" w:line="308" w:lineRule="exact"/>
              <w:ind w:left="0" w:right="0" w:firstLine="0"/>
              <w:jc w:val="left"/>
            </w:pPr>
            <w:r>
              <w:rPr>
                <w:color w:val="000000"/>
                <w:spacing w:val="0"/>
                <w:w w:val="100"/>
                <w:position w:val="0"/>
              </w:rPr>
              <w:t>（天</w:t>
            </w:r>
            <w:r>
              <w:rPr>
                <w:rFonts w:ascii="Times New Roman" w:eastAsia="Times New Roman" w:hAnsi="Times New Roman" w:cs="Times New Roman"/>
                <w:color w:val="000000"/>
                <w:spacing w:val="0"/>
                <w:w w:val="100"/>
                <w:position w:val="0"/>
              </w:rPr>
              <w:t>•</w:t>
            </w:r>
            <w:r>
              <w:rPr>
                <w:color w:val="000000"/>
                <w:spacing w:val="0"/>
                <w:w w:val="100"/>
                <w:position w:val="0"/>
              </w:rPr>
              <w:t>平方米），物 业管理费为</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p>
          <w:p>
            <w:pPr>
              <w:pStyle w:val="Style26"/>
              <w:keepNext w:val="0"/>
              <w:keepLines w:val="0"/>
              <w:widowControl w:val="0"/>
              <w:shd w:val="clear" w:color="auto" w:fill="auto"/>
              <w:bidi w:val="0"/>
              <w:spacing w:before="0" w:after="0" w:line="308" w:lineRule="exact"/>
              <w:ind w:left="0" w:right="0" w:firstLine="0"/>
              <w:jc w:val="left"/>
            </w:pPr>
            <w:r>
              <w:rPr>
                <w:color w:val="000000"/>
                <w:spacing w:val="0"/>
                <w:w w:val="100"/>
                <w:position w:val="0"/>
              </w:rPr>
              <w:t>（天</w:t>
            </w:r>
            <w:r>
              <w:rPr>
                <w:rFonts w:ascii="Times New Roman" w:eastAsia="Times New Roman" w:hAnsi="Times New Roman" w:cs="Times New Roman"/>
                <w:color w:val="000000"/>
                <w:spacing w:val="0"/>
                <w:w w:val="100"/>
                <w:position w:val="0"/>
              </w:rPr>
              <w:t>•</w:t>
            </w:r>
            <w:r>
              <w:rPr>
                <w:color w:val="000000"/>
                <w:spacing w:val="0"/>
                <w:w w:val="100"/>
                <w:position w:val="0"/>
              </w:rPr>
              <w:t>平方米），建 筑面积共</w:t>
            </w:r>
            <w:r>
              <w:rPr>
                <w:rFonts w:ascii="Times New Roman" w:eastAsia="Times New Roman" w:hAnsi="Times New Roman" w:cs="Times New Roman"/>
                <w:color w:val="000000"/>
                <w:spacing w:val="0"/>
                <w:w w:val="100"/>
                <w:position w:val="0"/>
              </w:rPr>
              <w:t xml:space="preserve">647.06 </w:t>
            </w:r>
            <w:r>
              <w:rPr>
                <w:color w:val="000000"/>
                <w:spacing w:val="0"/>
                <w:w w:val="100"/>
                <w:position w:val="0"/>
              </w:rPr>
              <w:t>平方米，</w:t>
            </w:r>
            <w:r>
              <w:rPr>
                <w:rFonts w:ascii="Times New Roman" w:eastAsia="Times New Roman" w:hAnsi="Times New Roman" w:cs="Times New Roman"/>
                <w:color w:val="000000"/>
                <w:spacing w:val="0"/>
                <w:w w:val="100"/>
                <w:position w:val="0"/>
              </w:rPr>
              <w:t>3</w:t>
            </w:r>
            <w:r>
              <w:rPr>
                <w:color w:val="000000"/>
                <w:spacing w:val="0"/>
                <w:w w:val="100"/>
                <w:position w:val="0"/>
              </w:rPr>
              <w:t>年房屋 租金共计</w:t>
            </w:r>
            <w:r>
              <w:rPr>
                <w:rFonts w:ascii="Times New Roman" w:eastAsia="Times New Roman" w:hAnsi="Times New Roman" w:cs="Times New Roman"/>
                <w:color w:val="000000"/>
                <w:spacing w:val="0"/>
                <w:w w:val="100"/>
                <w:position w:val="0"/>
              </w:rPr>
              <w:t>594</w:t>
            </w:r>
            <w:r>
              <w:rPr>
                <w:color w:val="000000"/>
                <w:spacing w:val="0"/>
                <w:w w:val="100"/>
                <w:position w:val="0"/>
              </w:rPr>
              <w:t>万元</w:t>
            </w:r>
          </w:p>
          <w:p>
            <w:pPr>
              <w:pStyle w:val="Style26"/>
              <w:keepNext w:val="0"/>
              <w:keepLines w:val="0"/>
              <w:widowControl w:val="0"/>
              <w:shd w:val="clear" w:color="auto" w:fill="auto"/>
              <w:bidi w:val="0"/>
              <w:spacing w:before="0" w:after="0" w:line="308" w:lineRule="exact"/>
              <w:ind w:left="0" w:right="0" w:firstLine="0"/>
              <w:jc w:val="left"/>
            </w:pPr>
            <w:r>
              <w:rPr>
                <w:color w:val="000000"/>
                <w:spacing w:val="0"/>
                <w:w w:val="100"/>
                <w:position w:val="0"/>
              </w:rPr>
              <w:t>（含税）。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银行转账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巨潮资讯网</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 xml:space="preserve">） </w:t>
            </w:r>
            <w:r>
              <w:rPr>
                <w:color w:val="000000"/>
                <w:spacing w:val="0"/>
                <w:w w:val="100"/>
                <w:position w:val="0"/>
              </w:rPr>
              <w:t>上的《关于子公司中汇 联银投资管理（北京） 有限公司向关联方租赁 办公场所的公告》（公 告编号：</w:t>
            </w:r>
            <w:r>
              <w:rPr>
                <w:rFonts w:ascii="Times New Roman" w:eastAsia="Times New Roman" w:hAnsi="Times New Roman" w:cs="Times New Roman"/>
                <w:color w:val="000000"/>
                <w:spacing w:val="0"/>
                <w:w w:val="100"/>
                <w:position w:val="0"/>
              </w:rPr>
              <w:t>2016-080</w:t>
            </w:r>
            <w:r>
              <w:rPr>
                <w:color w:val="000000"/>
                <w:spacing w:val="0"/>
                <w:w w:val="100"/>
                <w:position w:val="0"/>
              </w:rPr>
              <w:t>）、</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《深圳市惠程信息科技 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年 第三季度报告全文》</w:t>
            </w:r>
          </w:p>
        </w:tc>
      </w:tr>
      <w:tr>
        <w:trPr>
          <w:trHeight w:val="258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成都启成投资发 展有限公司（以 下简称</w:t>
            </w:r>
            <w:r>
              <w:rPr>
                <w:rFonts w:ascii="Times New Roman" w:eastAsia="Times New Roman" w:hAnsi="Times New Roman" w:cs="Times New Roman"/>
                <w:color w:val="000000"/>
                <w:spacing w:val="0"/>
                <w:w w:val="100"/>
                <w:position w:val="0"/>
              </w:rPr>
              <w:t>"</w:t>
            </w:r>
            <w:r>
              <w:rPr>
                <w:color w:val="000000"/>
                <w:spacing w:val="0"/>
                <w:w w:val="100"/>
                <w:position w:val="0"/>
              </w:rPr>
              <w:t xml:space="preserve">启成投资 </w:t>
            </w:r>
            <w:r>
              <w:rPr>
                <w:rFonts w:ascii="Times New Roman" w:eastAsia="Times New Roman" w:hAnsi="Times New Roman" w:cs="Times New Roman"/>
                <w:color w:val="000000"/>
                <w:spacing w:val="0"/>
                <w:w w:val="100"/>
                <w:position w:val="0"/>
              </w:rPr>
              <w:t>"</w:t>
            </w:r>
            <w:r>
              <w:rPr>
                <w:color w:val="000000"/>
                <w:spacing w:val="0"/>
                <w:w w:val="100"/>
                <w:position w:val="0"/>
              </w:rPr>
              <w:t>）、四川瑞美森 国际教育咨询有 限公司（以下简 称</w:t>
            </w:r>
            <w:r>
              <w:rPr>
                <w:rFonts w:ascii="Times New Roman" w:eastAsia="Times New Roman" w:hAnsi="Times New Roman" w:cs="Times New Roman"/>
                <w:color w:val="000000"/>
                <w:spacing w:val="0"/>
                <w:w w:val="100"/>
                <w:position w:val="0"/>
              </w:rPr>
              <w:t>"</w:t>
            </w:r>
            <w:r>
              <w:rPr>
                <w:color w:val="000000"/>
                <w:spacing w:val="0"/>
                <w:w w:val="100"/>
                <w:position w:val="0"/>
              </w:rPr>
              <w:t>瑞美森</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其他关联</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控股子公司 哆可梦将其 承租的房产 转租给启成 投资、瑞美 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租赁期限均为自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 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日，三年房屋租赁 费用合计均为 </w:t>
            </w:r>
            <w:r>
              <w:rPr>
                <w:rFonts w:ascii="Times New Roman" w:eastAsia="Times New Roman" w:hAnsi="Times New Roman" w:cs="Times New Roman"/>
                <w:color w:val="000000"/>
                <w:spacing w:val="0"/>
                <w:w w:val="100"/>
                <w:position w:val="0"/>
              </w:rPr>
              <w:t>186.6</w:t>
            </w:r>
            <w:r>
              <w:rPr>
                <w:color w:val="000000"/>
                <w:spacing w:val="0"/>
                <w:w w:val="100"/>
                <w:position w:val="0"/>
              </w:rPr>
              <w:t>万元，交易 金额总计为</w:t>
            </w:r>
            <w:r>
              <w:rPr>
                <w:rFonts w:ascii="Times New Roman" w:eastAsia="Times New Roman" w:hAnsi="Times New Roman" w:cs="Times New Roman"/>
                <w:color w:val="000000"/>
                <w:spacing w:val="0"/>
                <w:w w:val="100"/>
                <w:position w:val="0"/>
              </w:rPr>
              <w:t xml:space="preserve">372.13 </w:t>
            </w:r>
            <w:r>
              <w:rPr>
                <w:color w:val="000000"/>
                <w:spacing w:val="0"/>
                <w:w w:val="100"/>
                <w:position w:val="0"/>
              </w:rPr>
              <w:t>万元。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银行转账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 xml:space="preserve">） 上的《深圳市惠程信息 科技股份有限公司 </w:t>
            </w:r>
            <w:r>
              <w:rPr>
                <w:rFonts w:ascii="Times New Roman" w:eastAsia="Times New Roman" w:hAnsi="Times New Roman" w:cs="Times New Roman"/>
                <w:color w:val="000000"/>
                <w:spacing w:val="0"/>
                <w:w w:val="100"/>
                <w:position w:val="0"/>
              </w:rPr>
              <w:t>2019</w:t>
            </w:r>
            <w:r>
              <w:rPr>
                <w:color w:val="000000"/>
                <w:spacing w:val="0"/>
                <w:w w:val="100"/>
                <w:position w:val="0"/>
              </w:rPr>
              <w:t>年第三季度报告 全文》</w:t>
            </w:r>
          </w:p>
        </w:tc>
      </w:tr>
      <w:tr>
        <w:trPr>
          <w:trHeight w:val="403"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360.38</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966.13</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8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0"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按类别对本期将发生的日常关联交易进行总金额 预计的，在报告期内的实际履行情况（如有）</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25" w:hRule="exact"/>
        </w:trPr>
        <w:tc>
          <w:tcPr>
            <w:gridSpan w:val="4"/>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交易价格与市场参考价格差异较大的原因（如适 用）</w:t>
            </w:r>
          </w:p>
        </w:tc>
        <w:tc>
          <w:tcPr>
            <w:gridSpan w:val="10"/>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ectPr>
          <w:headerReference w:type="default" r:id="rId21"/>
          <w:footerReference w:type="default" r:id="rId22"/>
          <w:footnotePr>
            <w:pos w:val="pageBottom"/>
            <w:numFmt w:val="decimal"/>
            <w:numRestart w:val="continuous"/>
          </w:footnotePr>
          <w:pgSz w:w="16840" w:h="11900" w:orient="landscape"/>
          <w:pgMar w:top="1139" w:right="1432" w:bottom="1439" w:left="1425" w:header="0" w:footer="3" w:gutter="0"/>
          <w:cols w:space="720"/>
          <w:noEndnote/>
          <w:rtlGutter w:val="0"/>
          <w:docGrid w:linePitch="360"/>
        </w:sectPr>
      </w:pPr>
    </w:p>
    <w:p>
      <w:pPr>
        <w:pStyle w:val="Style37"/>
        <w:keepNext/>
        <w:keepLines/>
        <w:widowControl w:val="0"/>
        <w:shd w:val="clear" w:color="auto" w:fill="auto"/>
        <w:tabs>
          <w:tab w:pos="378" w:val="left"/>
        </w:tabs>
        <w:bidi w:val="0"/>
        <w:spacing w:before="0" w:after="380" w:line="240" w:lineRule="auto"/>
        <w:ind w:left="0" w:right="0" w:firstLine="0"/>
        <w:jc w:val="left"/>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2</w:t>
      </w:r>
      <w:bookmarkEnd w:id="333"/>
      <w:r>
        <w:rPr>
          <w:color w:val="000000"/>
          <w:spacing w:val="0"/>
          <w:w w:val="100"/>
          <w:position w:val="0"/>
        </w:rPr>
        <w:t>、</w:t>
        <w:tab/>
        <w:t>资产或股权收购、出售发生的关联交易</w:t>
      </w:r>
      <w:bookmarkEnd w:id="331"/>
      <w:bookmarkEnd w:id="332"/>
      <w:bookmarkEnd w:id="334"/>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7"/>
        <w:keepNext/>
        <w:keepLines/>
        <w:widowControl w:val="0"/>
        <w:shd w:val="clear" w:color="auto" w:fill="auto"/>
        <w:tabs>
          <w:tab w:pos="378" w:val="left"/>
        </w:tabs>
        <w:bidi w:val="0"/>
        <w:spacing w:before="0" w:after="380" w:line="240" w:lineRule="auto"/>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3</w:t>
      </w:r>
      <w:bookmarkEnd w:id="337"/>
      <w:r>
        <w:rPr>
          <w:color w:val="000000"/>
          <w:spacing w:val="0"/>
          <w:w w:val="100"/>
          <w:position w:val="0"/>
        </w:rPr>
        <w:t>、</w:t>
        <w:tab/>
        <w:t>共同对外投资的关联交易</w:t>
      </w:r>
      <w:bookmarkEnd w:id="335"/>
      <w:bookmarkEnd w:id="336"/>
      <w:bookmarkEnd w:id="338"/>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7"/>
        <w:keepNext/>
        <w:keepLines/>
        <w:widowControl w:val="0"/>
        <w:shd w:val="clear" w:color="auto" w:fill="auto"/>
        <w:tabs>
          <w:tab w:pos="378" w:val="left"/>
        </w:tabs>
        <w:bidi w:val="0"/>
        <w:spacing w:before="0" w:after="380" w:line="240" w:lineRule="auto"/>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4</w:t>
      </w:r>
      <w:bookmarkEnd w:id="341"/>
      <w:r>
        <w:rPr>
          <w:color w:val="000000"/>
          <w:spacing w:val="0"/>
          <w:w w:val="100"/>
          <w:position w:val="0"/>
        </w:rPr>
        <w:t>、</w:t>
        <w:tab/>
        <w:t>关联债权债务往来</w:t>
      </w:r>
      <w:bookmarkEnd w:id="339"/>
      <w:bookmarkEnd w:id="340"/>
      <w:bookmarkEnd w:id="342"/>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是否存在非经营性关联债权债务往来</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应收关联方债权</w:t>
      </w:r>
    </w:p>
    <w:tbl>
      <w:tblPr>
        <w:tblOverlap w:val="never"/>
        <w:jc w:val="center"/>
        <w:tblLayout w:type="fixed"/>
      </w:tblPr>
      <w:tblGrid>
        <w:gridCol w:w="941"/>
        <w:gridCol w:w="946"/>
        <w:gridCol w:w="1349"/>
        <w:gridCol w:w="994"/>
        <w:gridCol w:w="989"/>
        <w:gridCol w:w="994"/>
        <w:gridCol w:w="994"/>
        <w:gridCol w:w="710"/>
        <w:gridCol w:w="850"/>
        <w:gridCol w:w="998"/>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是否存在非 经营性资金 占用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本期新增金 额（万元）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本期收回金 额（万元）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本期利息</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信中利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控股股东 的母公司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代控股股东及其</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关联方偿还债务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信中利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控股股东 的母公司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代控股股东及其</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关联方偿还债务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信中利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控股股东 的母公司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代控股股东及其</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关联方偿还债务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信中利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控股股东 的母公司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代控股股东及其</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关联方偿还债务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信中利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控股股东 的母公司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代控股股东及其</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关联方偿还债务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12,482.91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12,482.91</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寇汉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上市公司</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应收斗罗大陆诉 讼赔偿金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78.06</w:t>
            </w:r>
          </w:p>
        </w:tc>
      </w:tr>
      <w:tr>
        <w:trPr>
          <w:trHeight w:val="725" w:hRule="exact"/>
        </w:trPr>
        <w:tc>
          <w:tcPr>
            <w:gridSpan w:val="2"/>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关联债权对公司经营成 果及财务状况的影响</w:t>
            </w:r>
          </w:p>
        </w:tc>
        <w:tc>
          <w:tcPr>
            <w:gridSpan w:val="8"/>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日，控股股东及其关联方非经营性资金占用已通过银行转账的方式全部归还。</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应付关联方债务</w:t>
      </w:r>
    </w:p>
    <w:p>
      <w:pPr>
        <w:widowControl w:val="0"/>
        <w:spacing w:after="79" w:line="1" w:lineRule="exact"/>
      </w:pPr>
    </w:p>
    <w:tbl>
      <w:tblPr>
        <w:tblOverlap w:val="never"/>
        <w:jc w:val="center"/>
        <w:tblLayout w:type="fixed"/>
      </w:tblPr>
      <w:tblGrid>
        <w:gridCol w:w="542"/>
        <w:gridCol w:w="710"/>
        <w:gridCol w:w="2976"/>
        <w:gridCol w:w="989"/>
        <w:gridCol w:w="1138"/>
        <w:gridCol w:w="989"/>
        <w:gridCol w:w="571"/>
        <w:gridCol w:w="850"/>
        <w:gridCol w:w="821"/>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本期新增金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本期归还金</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本期利息</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355" w:hRule="exact"/>
        </w:trPr>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额（万元）</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额（万元）</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r>
      <w:tr>
        <w:trPr>
          <w:trHeight w:val="161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中驰 惠程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公司控 股股东</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为支持公司经营发展，提高公司融资 效率，经公司总裁办公会审议通过， 公司接受控股股东中驰惠程提供的 </w:t>
            </w:r>
            <w:r>
              <w:rPr>
                <w:rFonts w:ascii="Times New Roman" w:eastAsia="Times New Roman" w:hAnsi="Times New Roman" w:cs="Times New Roman"/>
                <w:color w:val="000000"/>
                <w:spacing w:val="0"/>
                <w:w w:val="100"/>
                <w:position w:val="0"/>
              </w:rPr>
              <w:t>7,000</w:t>
            </w:r>
            <w:r>
              <w:rPr>
                <w:color w:val="000000"/>
                <w:spacing w:val="0"/>
                <w:w w:val="100"/>
                <w:position w:val="0"/>
              </w:rPr>
              <w:t>万元的无息财务资助，用于公 司日常经营活动，期限为自资助款项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bl>
    <w:tbl>
      <w:tblPr>
        <w:tblOverlap w:val="never"/>
        <w:jc w:val="center"/>
        <w:tblLayout w:type="fixed"/>
      </w:tblPr>
      <w:tblGrid>
        <w:gridCol w:w="542"/>
        <w:gridCol w:w="710"/>
        <w:gridCol w:w="2976"/>
        <w:gridCol w:w="989"/>
        <w:gridCol w:w="1138"/>
        <w:gridCol w:w="989"/>
        <w:gridCol w:w="571"/>
        <w:gridCol w:w="850"/>
        <w:gridCol w:w="821"/>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实际汇出日起十二个月届满之日或者 双方一致同意的其他日期。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寇汉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上市公 司副总 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根据哆可梦前控股股东、实际控制人 寇汉在公司</w:t>
            </w:r>
            <w:r>
              <w:rPr>
                <w:rFonts w:ascii="Times New Roman" w:eastAsia="Times New Roman" w:hAnsi="Times New Roman" w:cs="Times New Roman"/>
                <w:color w:val="000000"/>
                <w:spacing w:val="0"/>
                <w:w w:val="100"/>
                <w:position w:val="0"/>
              </w:rPr>
              <w:t>2017</w:t>
            </w:r>
            <w:r>
              <w:rPr>
                <w:color w:val="000000"/>
                <w:spacing w:val="0"/>
                <w:w w:val="100"/>
                <w:position w:val="0"/>
              </w:rPr>
              <w:t>年重大资产重组时 出具承诺，公司向寇汉预收的诉讼赔 偿保证金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寇汉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上市公 司副总 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尚未支付的哆可梦股权受让款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14,604.86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8,604.86</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林嘉</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尚未支付的哆可梦股权受让款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1,441.33</w:t>
            </w:r>
          </w:p>
        </w:tc>
      </w:tr>
      <w:tr>
        <w:trPr>
          <w:trHeight w:val="413" w:hRule="exact"/>
        </w:trPr>
        <w:tc>
          <w:tcPr>
            <w:gridSpan w:val="9"/>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关联债务对公司经营成果及财务状况的影响无</w:t>
            </w:r>
          </w:p>
        </w:tc>
      </w:tr>
    </w:tbl>
    <w:p>
      <w:pPr>
        <w:widowControl w:val="0"/>
        <w:spacing w:after="359" w:line="1" w:lineRule="exact"/>
      </w:pPr>
    </w:p>
    <w:p>
      <w:pPr>
        <w:pStyle w:val="Style37"/>
        <w:keepNext/>
        <w:keepLines/>
        <w:widowControl w:val="0"/>
        <w:shd w:val="clear" w:color="auto" w:fill="auto"/>
        <w:bidi w:val="0"/>
        <w:spacing w:before="0" w:after="24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5</w:t>
      </w:r>
      <w:bookmarkEnd w:id="345"/>
      <w:r>
        <w:rPr>
          <w:color w:val="000000"/>
          <w:spacing w:val="0"/>
          <w:w w:val="100"/>
          <w:position w:val="0"/>
        </w:rPr>
        <w:t>、其他重大关联交易</w:t>
      </w:r>
      <w:bookmarkEnd w:id="343"/>
      <w:bookmarkEnd w:id="344"/>
      <w:bookmarkEnd w:id="346"/>
    </w:p>
    <w:p>
      <w:pPr>
        <w:pStyle w:val="Style33"/>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公司报告期无其他重大关联交易。</w:t>
      </w:r>
    </w:p>
    <w:p>
      <w:pPr>
        <w:pStyle w:val="Style29"/>
        <w:keepNext/>
        <w:keepLines/>
        <w:widowControl w:val="0"/>
        <w:shd w:val="clear" w:color="auto" w:fill="auto"/>
        <w:bidi w:val="0"/>
        <w:spacing w:before="0" w:after="360" w:line="240" w:lineRule="auto"/>
        <w:ind w:left="0" w:right="0" w:firstLine="0"/>
        <w:jc w:val="left"/>
      </w:pPr>
      <w:bookmarkStart w:id="347" w:name="bookmark347"/>
      <w:bookmarkStart w:id="348" w:name="bookmark348"/>
      <w:bookmarkStart w:id="349" w:name="bookmark349"/>
      <w:r>
        <w:rPr>
          <w:color w:val="000000"/>
          <w:spacing w:val="0"/>
          <w:w w:val="100"/>
          <w:position w:val="0"/>
          <w:sz w:val="24"/>
          <w:szCs w:val="24"/>
        </w:rPr>
        <w:t>十七、重大合同及其履行情况</w:t>
      </w:r>
      <w:bookmarkEnd w:id="347"/>
      <w:bookmarkEnd w:id="348"/>
      <w:bookmarkEnd w:id="349"/>
    </w:p>
    <w:p>
      <w:pPr>
        <w:pStyle w:val="Style37"/>
        <w:keepNext/>
        <w:keepLines/>
        <w:widowControl w:val="0"/>
        <w:shd w:val="clear" w:color="auto" w:fill="auto"/>
        <w:bidi w:val="0"/>
        <w:spacing w:before="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1</w:t>
      </w:r>
      <w:bookmarkEnd w:id="352"/>
      <w:r>
        <w:rPr>
          <w:color w:val="000000"/>
          <w:spacing w:val="0"/>
          <w:w w:val="100"/>
          <w:position w:val="0"/>
        </w:rPr>
        <w:t>、托管、承包、租赁事项情况</w:t>
      </w:r>
      <w:bookmarkEnd w:id="350"/>
      <w:bookmarkEnd w:id="351"/>
      <w:bookmarkEnd w:id="353"/>
    </w:p>
    <w:p>
      <w:pPr>
        <w:pStyle w:val="Style37"/>
        <w:keepNext/>
        <w:keepLines/>
        <w:widowControl w:val="0"/>
        <w:numPr>
          <w:ilvl w:val="0"/>
          <w:numId w:val="7"/>
        </w:numPr>
        <w:shd w:val="clear" w:color="auto" w:fill="auto"/>
        <w:tabs>
          <w:tab w:pos="493" w:val="left"/>
        </w:tabs>
        <w:bidi w:val="0"/>
        <w:spacing w:before="0" w:after="240" w:line="240" w:lineRule="auto"/>
        <w:ind w:left="0" w:right="0" w:firstLine="0"/>
        <w:jc w:val="left"/>
      </w:pPr>
      <w:bookmarkStart w:id="350" w:name="bookmark350"/>
      <w:bookmarkStart w:id="351" w:name="bookmark351"/>
      <w:bookmarkStart w:id="354" w:name="bookmark354"/>
      <w:bookmarkStart w:id="355" w:name="bookmark355"/>
      <w:bookmarkEnd w:id="354"/>
      <w:r>
        <w:rPr>
          <w:color w:val="000000"/>
          <w:spacing w:val="0"/>
          <w:w w:val="100"/>
          <w:position w:val="0"/>
        </w:rPr>
        <w:t>托管情况</w:t>
      </w:r>
      <w:bookmarkEnd w:id="350"/>
      <w:bookmarkEnd w:id="351"/>
      <w:bookmarkEnd w:id="355"/>
    </w:p>
    <w:p>
      <w:pPr>
        <w:pStyle w:val="Style33"/>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公司报告期不存在托管情况。</w:t>
      </w:r>
    </w:p>
    <w:p>
      <w:pPr>
        <w:pStyle w:val="Style37"/>
        <w:keepNext/>
        <w:keepLines/>
        <w:widowControl w:val="0"/>
        <w:numPr>
          <w:ilvl w:val="0"/>
          <w:numId w:val="7"/>
        </w:numPr>
        <w:shd w:val="clear" w:color="auto" w:fill="auto"/>
        <w:tabs>
          <w:tab w:pos="493" w:val="left"/>
        </w:tabs>
        <w:bidi w:val="0"/>
        <w:spacing w:before="0" w:after="240" w:line="240" w:lineRule="auto"/>
        <w:ind w:left="0" w:right="0" w:firstLine="0"/>
        <w:jc w:val="left"/>
      </w:pPr>
      <w:bookmarkStart w:id="356" w:name="bookmark356"/>
      <w:bookmarkStart w:id="357" w:name="bookmark357"/>
      <w:bookmarkStart w:id="358" w:name="bookmark358"/>
      <w:bookmarkStart w:id="359" w:name="bookmark359"/>
      <w:bookmarkEnd w:id="358"/>
      <w:r>
        <w:rPr>
          <w:color w:val="000000"/>
          <w:spacing w:val="0"/>
          <w:w w:val="100"/>
          <w:position w:val="0"/>
        </w:rPr>
        <w:t>承包情况</w:t>
      </w:r>
      <w:bookmarkEnd w:id="356"/>
      <w:bookmarkEnd w:id="357"/>
      <w:bookmarkEnd w:id="359"/>
    </w:p>
    <w:p>
      <w:pPr>
        <w:pStyle w:val="Style33"/>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公司报告期不存在承包情况。</w:t>
      </w:r>
    </w:p>
    <w:p>
      <w:pPr>
        <w:pStyle w:val="Style37"/>
        <w:keepNext/>
        <w:keepLines/>
        <w:widowControl w:val="0"/>
        <w:numPr>
          <w:ilvl w:val="0"/>
          <w:numId w:val="7"/>
        </w:numPr>
        <w:shd w:val="clear" w:color="auto" w:fill="auto"/>
        <w:tabs>
          <w:tab w:pos="493" w:val="left"/>
        </w:tabs>
        <w:bidi w:val="0"/>
        <w:spacing w:before="0" w:after="240" w:line="240" w:lineRule="auto"/>
        <w:ind w:left="0" w:right="0" w:firstLine="0"/>
        <w:jc w:val="left"/>
      </w:pPr>
      <w:bookmarkStart w:id="360" w:name="bookmark360"/>
      <w:bookmarkStart w:id="361" w:name="bookmark361"/>
      <w:bookmarkStart w:id="362" w:name="bookmark362"/>
      <w:bookmarkStart w:id="363" w:name="bookmark363"/>
      <w:bookmarkEnd w:id="362"/>
      <w:r>
        <w:rPr>
          <w:color w:val="000000"/>
          <w:spacing w:val="0"/>
          <w:w w:val="100"/>
          <w:position w:val="0"/>
        </w:rPr>
        <w:t>租赁情况</w:t>
      </w:r>
      <w:bookmarkEnd w:id="360"/>
      <w:bookmarkEnd w:id="361"/>
      <w:bookmarkEnd w:id="363"/>
    </w:p>
    <w:p>
      <w:pPr>
        <w:pStyle w:val="Style33"/>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355" w:lineRule="exact"/>
        <w:ind w:left="0" w:right="0" w:firstLine="0"/>
        <w:jc w:val="left"/>
      </w:pPr>
      <w:r>
        <w:rPr>
          <w:color w:val="000000"/>
          <w:spacing w:val="0"/>
          <w:w w:val="100"/>
          <w:position w:val="0"/>
        </w:rPr>
        <w:t>租赁情况说明</w:t>
      </w:r>
    </w:p>
    <w:p>
      <w:pPr>
        <w:pStyle w:val="Style33"/>
        <w:keepNext w:val="0"/>
        <w:keepLines w:val="0"/>
        <w:widowControl w:val="0"/>
        <w:shd w:val="clear" w:color="auto" w:fill="auto"/>
        <w:bidi w:val="0"/>
        <w:spacing w:before="0" w:after="0" w:line="355" w:lineRule="exact"/>
        <w:ind w:left="0" w:right="0" w:firstLine="0"/>
        <w:jc w:val="left"/>
      </w:pPr>
      <w:r>
        <w:rPr>
          <w:color w:val="000000"/>
          <w:spacing w:val="0"/>
          <w:w w:val="100"/>
          <w:position w:val="0"/>
        </w:rPr>
        <w:t>报告期内，公司及下属子公司合计发生房屋租赁不含税费用</w:t>
      </w:r>
      <w:r>
        <w:rPr>
          <w:rFonts w:ascii="Times New Roman" w:eastAsia="Times New Roman" w:hAnsi="Times New Roman" w:cs="Times New Roman"/>
          <w:color w:val="000000"/>
          <w:spacing w:val="0"/>
          <w:w w:val="100"/>
          <w:position w:val="0"/>
        </w:rPr>
        <w:t>1,169.13</w:t>
      </w:r>
      <w:r>
        <w:rPr>
          <w:color w:val="000000"/>
          <w:spacing w:val="0"/>
          <w:w w:val="100"/>
          <w:position w:val="0"/>
        </w:rPr>
        <w:t>万元，合计取得房屋出租不含税收入</w:t>
      </w:r>
      <w:r>
        <w:rPr>
          <w:rFonts w:ascii="Times New Roman" w:eastAsia="Times New Roman" w:hAnsi="Times New Roman" w:cs="Times New Roman"/>
          <w:color w:val="000000"/>
          <w:spacing w:val="0"/>
          <w:w w:val="100"/>
          <w:position w:val="0"/>
        </w:rPr>
        <w:t>626.27</w:t>
      </w:r>
      <w:r>
        <w:rPr>
          <w:color w:val="000000"/>
          <w:spacing w:val="0"/>
          <w:w w:val="100"/>
          <w:position w:val="0"/>
        </w:rPr>
        <w:t>万元。 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33"/>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37"/>
        <w:keepNext/>
        <w:keepLines/>
        <w:widowControl w:val="0"/>
        <w:shd w:val="clear" w:color="auto" w:fill="auto"/>
        <w:bidi w:val="0"/>
        <w:spacing w:before="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2</w:t>
      </w:r>
      <w:bookmarkEnd w:id="366"/>
      <w:r>
        <w:rPr>
          <w:color w:val="000000"/>
          <w:spacing w:val="0"/>
          <w:w w:val="100"/>
          <w:position w:val="0"/>
        </w:rPr>
        <w:t>、重大担保</w:t>
      </w:r>
      <w:bookmarkEnd w:id="364"/>
      <w:bookmarkEnd w:id="365"/>
      <w:bookmarkEnd w:id="367"/>
    </w:p>
    <w:p>
      <w:pPr>
        <w:pStyle w:val="Style33"/>
        <w:keepNext w:val="0"/>
        <w:keepLines w:val="0"/>
        <w:widowControl w:val="0"/>
        <w:shd w:val="clear" w:color="auto" w:fill="auto"/>
        <w:bidi w:val="0"/>
        <w:spacing w:before="0" w:after="0" w:line="240" w:lineRule="auto"/>
        <w:ind w:left="0" w:right="0" w:firstLine="0"/>
        <w:jc w:val="left"/>
        <w:sectPr>
          <w:headerReference w:type="default" r:id="rId23"/>
          <w:footerReference w:type="default" r:id="rId24"/>
          <w:footnotePr>
            <w:pos w:val="pageBottom"/>
            <w:numFmt w:val="decimal"/>
            <w:numRestart w:val="continuous"/>
          </w:footnotePr>
          <w:pgSz w:w="11900" w:h="16840"/>
          <w:pgMar w:top="1441" w:right="1043" w:bottom="1460" w:left="1045"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80" w:after="360" w:line="240" w:lineRule="auto"/>
        <w:ind w:left="0" w:right="0" w:firstLine="0"/>
        <w:jc w:val="left"/>
      </w:pPr>
      <w:r>
        <w:rPr>
          <w:color w:val="000000"/>
          <w:spacing w:val="0"/>
          <w:w w:val="100"/>
          <w:position w:val="0"/>
        </w:rPr>
        <w:t>公司报告期不存在担保情况。</w:t>
      </w:r>
    </w:p>
    <w:p>
      <w:pPr>
        <w:pStyle w:val="Style37"/>
        <w:keepNext/>
        <w:keepLines/>
        <w:widowControl w:val="0"/>
        <w:shd w:val="clear" w:color="auto" w:fill="auto"/>
        <w:bidi w:val="0"/>
        <w:spacing w:before="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3</w:t>
      </w:r>
      <w:bookmarkEnd w:id="370"/>
      <w:r>
        <w:rPr>
          <w:color w:val="000000"/>
          <w:spacing w:val="0"/>
          <w:w w:val="100"/>
          <w:position w:val="0"/>
        </w:rPr>
        <w:t>、委托他人进行现金资产管理情况</w:t>
      </w:r>
      <w:bookmarkEnd w:id="368"/>
      <w:bookmarkEnd w:id="369"/>
      <w:bookmarkEnd w:id="371"/>
    </w:p>
    <w:p>
      <w:pPr>
        <w:pStyle w:val="Style37"/>
        <w:keepNext/>
        <w:keepLines/>
        <w:widowControl w:val="0"/>
        <w:shd w:val="clear" w:color="auto" w:fill="auto"/>
        <w:bidi w:val="0"/>
        <w:spacing w:before="0" w:line="240" w:lineRule="auto"/>
        <w:ind w:left="0" w:right="0" w:firstLine="0"/>
        <w:jc w:val="left"/>
      </w:pPr>
      <w:bookmarkStart w:id="368" w:name="bookmark368"/>
      <w:bookmarkStart w:id="369" w:name="bookmark369"/>
      <w:bookmarkStart w:id="372" w:name="bookmark372"/>
      <w:bookmarkStart w:id="373" w:name="bookmark373"/>
      <w:r>
        <w:rPr>
          <w:color w:val="000000"/>
          <w:spacing w:val="0"/>
          <w:w w:val="100"/>
          <w:position w:val="0"/>
        </w:rPr>
        <w:t>（</w:t>
      </w:r>
      <w:bookmarkEnd w:id="372"/>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68"/>
      <w:bookmarkEnd w:id="369"/>
      <w:bookmarkEnd w:id="373"/>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报告期内委托理财概况</w:t>
      </w:r>
    </w:p>
    <w:p>
      <w:pPr>
        <w:pStyle w:val="Style31"/>
        <w:keepNext w:val="0"/>
        <w:keepLines w:val="0"/>
        <w:widowControl w:val="0"/>
        <w:shd w:val="clear" w:color="auto" w:fill="auto"/>
        <w:bidi w:val="0"/>
        <w:spacing w:before="0" w:after="0" w:line="240" w:lineRule="auto"/>
        <w:ind w:left="13046" w:right="0" w:firstLine="0"/>
        <w:jc w:val="left"/>
      </w:pPr>
      <w:r>
        <w:rPr>
          <w:color w:val="000000"/>
          <w:spacing w:val="0"/>
          <w:w w:val="100"/>
          <w:position w:val="0"/>
        </w:rPr>
        <w:t>单位：万元</w:t>
      </w:r>
    </w:p>
    <w:tbl>
      <w:tblPr>
        <w:tblOverlap w:val="never"/>
        <w:jc w:val="center"/>
        <w:tblLayout w:type="fixed"/>
      </w:tblPr>
      <w:tblGrid>
        <w:gridCol w:w="2731"/>
        <w:gridCol w:w="2861"/>
        <w:gridCol w:w="2890"/>
        <w:gridCol w:w="2784"/>
        <w:gridCol w:w="27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信托理财产品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29,052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33"/>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13046" w:right="0" w:firstLine="0"/>
        <w:jc w:val="left"/>
      </w:pPr>
      <w:r>
        <w:rPr>
          <w:color w:val="000000"/>
          <w:spacing w:val="0"/>
          <w:w w:val="100"/>
          <w:position w:val="0"/>
        </w:rPr>
        <w:t>单位：万元</w:t>
      </w:r>
    </w:p>
    <w:tbl>
      <w:tblPr>
        <w:tblOverlap w:val="never"/>
        <w:jc w:val="center"/>
        <w:tblLayout w:type="fixed"/>
      </w:tblPr>
      <w:tblGrid>
        <w:gridCol w:w="840"/>
        <w:gridCol w:w="859"/>
        <w:gridCol w:w="715"/>
        <w:gridCol w:w="566"/>
        <w:gridCol w:w="850"/>
        <w:gridCol w:w="1138"/>
        <w:gridCol w:w="912"/>
        <w:gridCol w:w="816"/>
        <w:gridCol w:w="965"/>
        <w:gridCol w:w="672"/>
        <w:gridCol w:w="816"/>
        <w:gridCol w:w="816"/>
        <w:gridCol w:w="816"/>
        <w:gridCol w:w="802"/>
        <w:gridCol w:w="797"/>
        <w:gridCol w:w="802"/>
        <w:gridCol w:w="787"/>
      </w:tblGrid>
      <w:tr>
        <w:trPr>
          <w:trHeight w:val="134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受托机构 名称（或 受托人姓</w:t>
            </w:r>
          </w:p>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受托机构</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（或受托</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资金投向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报酬确定方 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参考年 化收益 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预期收益</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right"/>
            </w:pPr>
            <w:r>
              <w:rPr>
                <w:color w:val="000000"/>
                <w:spacing w:val="0"/>
                <w:w w:val="100"/>
                <w:position w:val="0"/>
              </w:rPr>
              <w:t>报告期实 际损益金</w:t>
            </w:r>
          </w:p>
          <w:p>
            <w:pPr>
              <w:pStyle w:val="Style26"/>
              <w:keepNext w:val="0"/>
              <w:keepLines w:val="0"/>
              <w:widowControl w:val="0"/>
              <w:shd w:val="clear" w:color="auto" w:fill="auto"/>
              <w:bidi w:val="0"/>
              <w:spacing w:before="0" w:after="0" w:line="302" w:lineRule="exact"/>
              <w:ind w:left="0" w:right="0" w:firstLine="320"/>
              <w:jc w:val="left"/>
            </w:pPr>
            <w:r>
              <w:rPr>
                <w:color w:val="000000"/>
                <w:spacing w:val="0"/>
                <w:w w:val="100"/>
                <w:position w:val="0"/>
              </w:rPr>
              <w:t>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报告期损 益实际收 回情况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right"/>
            </w:pPr>
            <w:r>
              <w:rPr>
                <w:color w:val="000000"/>
                <w:spacing w:val="0"/>
                <w:w w:val="100"/>
                <w:position w:val="0"/>
              </w:rPr>
              <w:t>计提减值 准备金额</w:t>
            </w:r>
          </w:p>
          <w:p>
            <w:pPr>
              <w:pStyle w:val="Style26"/>
              <w:keepNext w:val="0"/>
              <w:keepLines w:val="0"/>
              <w:widowControl w:val="0"/>
              <w:shd w:val="clear" w:color="auto" w:fill="auto"/>
              <w:bidi w:val="0"/>
              <w:spacing w:before="0" w:after="0" w:line="312" w:lineRule="exact"/>
              <w:ind w:left="0" w:right="0" w:firstLine="0"/>
              <w:jc w:val="right"/>
            </w:pPr>
            <w:r>
              <w:rPr>
                <w:color w:val="000000"/>
                <w:spacing w:val="0"/>
                <w:w w:val="100"/>
                <w:position w:val="0"/>
              </w:rPr>
              <w:t>（如有）</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是否经过</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法定程序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未来是否</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还有委托</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理财计划</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事项概述 及相关查 询索引 （如有）</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工行深圳 星河支行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银行理 财产品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到期还本一 次性付息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工行深圳 星河支行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银行理 财产品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到期还本一 次性付息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85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工行深圳 星河支行</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银行理 财产品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到期还本一 次性付息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40"/>
        <w:gridCol w:w="859"/>
        <w:gridCol w:w="715"/>
        <w:gridCol w:w="566"/>
        <w:gridCol w:w="850"/>
        <w:gridCol w:w="1138"/>
        <w:gridCol w:w="912"/>
        <w:gridCol w:w="816"/>
        <w:gridCol w:w="965"/>
        <w:gridCol w:w="672"/>
        <w:gridCol w:w="816"/>
        <w:gridCol w:w="816"/>
        <w:gridCol w:w="816"/>
        <w:gridCol w:w="802"/>
        <w:gridCol w:w="797"/>
        <w:gridCol w:w="802"/>
        <w:gridCol w:w="787"/>
      </w:tblGrid>
      <w:tr>
        <w:trPr>
          <w:trHeight w:val="74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中航信托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信托公司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信托理 财产品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24,650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到期还本付 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工行深圳 星河支行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银行理 财产品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到期还本一 次性付息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工行深圳 星河支行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银行理 财产品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到期还本一 次性付息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银行理 财产品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到期还本付 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29,850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-36.86</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月，因中航信托</w:t>
      </w:r>
      <w:r>
        <w:rPr>
          <w:rFonts w:ascii="Times New Roman" w:eastAsia="Times New Roman" w:hAnsi="Times New Roman" w:cs="Times New Roman"/>
          <w:color w:val="000000"/>
          <w:spacing w:val="0"/>
          <w:w w:val="100"/>
          <w:position w:val="0"/>
        </w:rPr>
        <w:t>2.46</w:t>
      </w:r>
      <w:r>
        <w:rPr>
          <w:color w:val="000000"/>
          <w:spacing w:val="0"/>
          <w:w w:val="100"/>
          <w:position w:val="0"/>
        </w:rPr>
        <w:t>亿元并购贷款即将到期且无法展期，为缓解短期流动性压力，公司与第三方签订了《信托受益权转让协议》，将“中航信托•天启</w:t>
      </w:r>
      <w:r>
        <w:rPr>
          <w:rFonts w:ascii="Times New Roman" w:eastAsia="Times New Roman" w:hAnsi="Times New Roman" w:cs="Times New Roman"/>
          <w:color w:val="000000"/>
          <w:spacing w:val="0"/>
          <w:w w:val="100"/>
          <w:position w:val="0"/>
        </w:rPr>
        <w:t>556</w:t>
      </w:r>
      <w:r>
        <w:rPr>
          <w:color w:val="000000"/>
          <w:spacing w:val="0"/>
          <w:w w:val="100"/>
          <w:position w:val="0"/>
        </w:rPr>
        <w:t>号天诚 聚富”(以下简称“中航信托产品”)尚未到期的信托受益权全部转让给了第三方，用于融资偿还并购贷款，故本报告期末转回</w:t>
      </w:r>
      <w:r>
        <w:rPr>
          <w:rFonts w:ascii="Times New Roman" w:eastAsia="Times New Roman" w:hAnsi="Times New Roman" w:cs="Times New Roman"/>
          <w:color w:val="000000"/>
          <w:spacing w:val="0"/>
          <w:w w:val="100"/>
          <w:position w:val="0"/>
        </w:rPr>
        <w:t>2019</w:t>
      </w:r>
      <w:r>
        <w:rPr>
          <w:color w:val="000000"/>
          <w:spacing w:val="0"/>
          <w:w w:val="100"/>
          <w:position w:val="0"/>
        </w:rPr>
        <w:t>年计提的中航信托产品预期收益，导致本报告 期末中航信托产品的实际损益为</w:t>
      </w:r>
      <w:r>
        <w:rPr>
          <w:rFonts w:ascii="Times New Roman" w:eastAsia="Times New Roman" w:hAnsi="Times New Roman" w:cs="Times New Roman"/>
          <w:color w:val="000000"/>
          <w:spacing w:val="0"/>
          <w:w w:val="100"/>
          <w:position w:val="0"/>
        </w:rPr>
        <w:t>-48.39</w:t>
      </w:r>
      <w:r>
        <w:rPr>
          <w:color w:val="000000"/>
          <w:spacing w:val="0"/>
          <w:w w:val="100"/>
          <w:position w:val="0"/>
        </w:rPr>
        <w:t>万元。</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委托理财出现预期无法收回本金或存在其他可能导致减值的情形</w:t>
      </w:r>
    </w:p>
    <w:p>
      <w:pPr>
        <w:pStyle w:val="Style33"/>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numPr>
          <w:ilvl w:val="0"/>
          <w:numId w:val="9"/>
        </w:numPr>
        <w:shd w:val="clear" w:color="auto" w:fill="auto"/>
        <w:bidi w:val="0"/>
        <w:spacing w:before="0" w:after="300" w:line="240" w:lineRule="auto"/>
        <w:ind w:left="0" w:right="0" w:firstLine="0"/>
        <w:jc w:val="left"/>
      </w:pPr>
      <w:bookmarkStart w:id="374" w:name="bookmark374"/>
      <w:bookmarkStart w:id="375" w:name="bookmark375"/>
      <w:bookmarkStart w:id="376" w:name="bookmark376"/>
      <w:bookmarkStart w:id="377" w:name="bookmark377"/>
      <w:bookmarkEnd w:id="376"/>
      <w:r>
        <w:rPr>
          <w:color w:val="000000"/>
          <w:spacing w:val="0"/>
          <w:w w:val="100"/>
          <w:position w:val="0"/>
        </w:rPr>
        <w:t>委托贷款情况</w:t>
      </w:r>
      <w:bookmarkEnd w:id="374"/>
      <w:bookmarkEnd w:id="375"/>
      <w:bookmarkEnd w:id="377"/>
    </w:p>
    <w:p>
      <w:pPr>
        <w:pStyle w:val="Style3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60" w:line="314" w:lineRule="exact"/>
        <w:ind w:left="0" w:right="0" w:firstLine="0"/>
        <w:jc w:val="left"/>
        <w:sectPr>
          <w:headerReference w:type="default" r:id="rId25"/>
          <w:footerReference w:type="default" r:id="rId26"/>
          <w:footnotePr>
            <w:pos w:val="pageBottom"/>
            <w:numFmt w:val="decimal"/>
            <w:numRestart w:val="continuous"/>
          </w:footnotePr>
          <w:pgSz w:w="16840" w:h="11900" w:orient="landscape"/>
          <w:pgMar w:top="1126" w:right="1418" w:bottom="1515" w:left="1416" w:header="0" w:footer="3" w:gutter="0"/>
          <w:cols w:space="720"/>
          <w:noEndnote/>
          <w:rtlGutter w:val="0"/>
          <w:docGrid w:linePitch="360"/>
        </w:sectPr>
      </w:pPr>
      <w:r>
        <w:rPr>
          <w:color w:val="000000"/>
          <w:spacing w:val="0"/>
          <w:w w:val="100"/>
          <w:position w:val="0"/>
        </w:rPr>
        <w:t>公司报告期不存在委托贷款。</w:t>
      </w:r>
    </w:p>
    <w:p>
      <w:pPr>
        <w:pStyle w:val="Style37"/>
        <w:keepNext/>
        <w:keepLines/>
        <w:widowControl w:val="0"/>
        <w:shd w:val="clear" w:color="auto" w:fill="auto"/>
        <w:tabs>
          <w:tab w:pos="356" w:val="left"/>
        </w:tabs>
        <w:bidi w:val="0"/>
        <w:spacing w:before="340" w:after="26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4</w:t>
      </w:r>
      <w:bookmarkEnd w:id="380"/>
      <w:r>
        <w:rPr>
          <w:color w:val="000000"/>
          <w:spacing w:val="0"/>
          <w:w w:val="100"/>
          <w:position w:val="0"/>
        </w:rPr>
        <w:t>、</w:t>
        <w:tab/>
        <w:t>日常经营重大合同</w:t>
      </w:r>
      <w:bookmarkEnd w:id="378"/>
      <w:bookmarkEnd w:id="379"/>
      <w:bookmarkEnd w:id="381"/>
    </w:p>
    <w:p>
      <w:pPr>
        <w:pStyle w:val="Style33"/>
        <w:keepNext w:val="0"/>
        <w:keepLines w:val="0"/>
        <w:widowControl w:val="0"/>
        <w:shd w:val="clear" w:color="auto" w:fill="auto"/>
        <w:bidi w:val="0"/>
        <w:spacing w:before="0" w:after="38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356" w:val="left"/>
        </w:tabs>
        <w:bidi w:val="0"/>
        <w:spacing w:before="0" w:after="26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5</w:t>
      </w:r>
      <w:bookmarkEnd w:id="384"/>
      <w:r>
        <w:rPr>
          <w:color w:val="000000"/>
          <w:spacing w:val="0"/>
          <w:w w:val="100"/>
          <w:position w:val="0"/>
        </w:rPr>
        <w:t>、</w:t>
        <w:tab/>
        <w:t>其他重大合同</w:t>
      </w:r>
      <w:bookmarkEnd w:id="382"/>
      <w:bookmarkEnd w:id="383"/>
      <w:bookmarkEnd w:id="385"/>
    </w:p>
    <w:p>
      <w:pPr>
        <w:pStyle w:val="Style33"/>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公司报告期不存在其他重大合同。</w:t>
      </w:r>
    </w:p>
    <w:p>
      <w:pPr>
        <w:pStyle w:val="Style29"/>
        <w:keepNext/>
        <w:keepLines/>
        <w:widowControl w:val="0"/>
        <w:shd w:val="clear" w:color="auto" w:fill="auto"/>
        <w:bidi w:val="0"/>
        <w:spacing w:before="0" w:after="380" w:line="240" w:lineRule="auto"/>
        <w:ind w:left="0" w:right="0" w:firstLine="0"/>
        <w:jc w:val="left"/>
      </w:pPr>
      <w:bookmarkStart w:id="386" w:name="bookmark386"/>
      <w:bookmarkStart w:id="387" w:name="bookmark387"/>
      <w:bookmarkStart w:id="388" w:name="bookmark388"/>
      <w:r>
        <w:rPr>
          <w:color w:val="000000"/>
          <w:spacing w:val="0"/>
          <w:w w:val="100"/>
          <w:position w:val="0"/>
          <w:sz w:val="24"/>
          <w:szCs w:val="24"/>
        </w:rPr>
        <w:t>十八、社会责任情况</w:t>
      </w:r>
      <w:bookmarkEnd w:id="386"/>
      <w:bookmarkEnd w:id="387"/>
      <w:bookmarkEnd w:id="388"/>
    </w:p>
    <w:p>
      <w:pPr>
        <w:pStyle w:val="Style37"/>
        <w:keepNext/>
        <w:keepLines/>
        <w:widowControl w:val="0"/>
        <w:shd w:val="clear" w:color="auto" w:fill="auto"/>
        <w:tabs>
          <w:tab w:pos="347" w:val="left"/>
        </w:tabs>
        <w:bidi w:val="0"/>
        <w:spacing w:before="0" w:after="26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1</w:t>
      </w:r>
      <w:bookmarkEnd w:id="391"/>
      <w:r>
        <w:rPr>
          <w:color w:val="000000"/>
          <w:spacing w:val="0"/>
          <w:w w:val="100"/>
          <w:position w:val="0"/>
        </w:rPr>
        <w:t>、</w:t>
        <w:tab/>
        <w:t>履行社会责任情况</w:t>
      </w:r>
      <w:bookmarkEnd w:id="389"/>
      <w:bookmarkEnd w:id="390"/>
      <w:bookmarkEnd w:id="392"/>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公司自成立以来，一直积极履行自身社会责任，公司看重的不仅是经济利益，更重要的是企业和社会的可持续发展。 在生产经营和业务发展的过程中，在为股东创造价值的同时，努力做到经济效益与社会效益、短期利益与长期利益、自身 发展与社会发展协调统一，实现公司与员工、公司与社会、公司与环境的健康和谐发展。</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在股东和债权人权益保护方面，公司严格按照《公司法》《证券法》《公司章程》和其他有关法律法规的要求，结合 公司实际，建立了规范的法人治理结构，规范股东大会的召集、召开及表决程序，通过现场、网络等合法有效的方式，让 更多的股东特别是中小股东能够参加股东大会，确保股东对公司重大事项的知情权、参与权和表决权。公司认真履行信息 披露义务，秉持公平、公正、公开的原则对待全体投资者和债权人，维护广大投资者和债权人的利益。</w:t>
      </w:r>
    </w:p>
    <w:p>
      <w:pPr>
        <w:pStyle w:val="Style33"/>
        <w:keepNext w:val="0"/>
        <w:keepLines w:val="0"/>
        <w:widowControl w:val="0"/>
        <w:shd w:val="clear" w:color="auto" w:fill="auto"/>
        <w:bidi w:val="0"/>
        <w:spacing w:before="0" w:after="0" w:line="313" w:lineRule="exact"/>
        <w:ind w:left="0" w:right="0" w:firstLine="300"/>
        <w:jc w:val="left"/>
      </w:pPr>
      <w:r>
        <w:rPr>
          <w:color w:val="000000"/>
          <w:spacing w:val="0"/>
          <w:w w:val="100"/>
          <w:position w:val="0"/>
        </w:rPr>
        <w:t>在职工权益保护方面，公司不断完善劳动用工与福利保障的相关管理制度，尊重和维护员工的个人权益，对人员录用、 员工培训、工资薪酬、福利保障等进行了详细规定，建立了较为完善的绩效考核体系。公司通过多种渠道和途径改善员工工 作环境和生活环境，重视人才培训和培养，实现员工与公司的共同成长，切实维护员工的合法权益。此外，为加强企业文化 建设，增强集体凝聚力，丰富员工文化生活，报告期内公司组织员工开展</w:t>
      </w:r>
      <w:r>
        <w:rPr>
          <w:rFonts w:ascii="Times New Roman" w:eastAsia="Times New Roman" w:hAnsi="Times New Roman" w:cs="Times New Roman"/>
          <w:color w:val="000000"/>
          <w:spacing w:val="0"/>
          <w:w w:val="100"/>
          <w:position w:val="0"/>
        </w:rPr>
        <w:t>“</w:t>
      </w:r>
      <w:r>
        <w:rPr>
          <w:color w:val="000000"/>
          <w:spacing w:val="0"/>
          <w:w w:val="100"/>
          <w:position w:val="0"/>
        </w:rPr>
        <w:t>绳彩飞扬、舞动青春</w:t>
      </w:r>
      <w:r>
        <w:rPr>
          <w:rFonts w:ascii="Times New Roman" w:eastAsia="Times New Roman" w:hAnsi="Times New Roman" w:cs="Times New Roman"/>
          <w:color w:val="000000"/>
          <w:spacing w:val="0"/>
          <w:w w:val="100"/>
          <w:position w:val="0"/>
        </w:rPr>
        <w:t>”</w:t>
      </w:r>
      <w:r>
        <w:rPr>
          <w:color w:val="000000"/>
          <w:spacing w:val="0"/>
          <w:w w:val="100"/>
          <w:position w:val="0"/>
        </w:rPr>
        <w:t>跳绳比赛、举办惠程科技</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年度台球比赛；公司员工赵迎春女士在深圳市总工会开展的</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五一巾帼标兵（岗）</w:t>
      </w:r>
      <w:r>
        <w:rPr>
          <w:rFonts w:ascii="Times New Roman" w:eastAsia="Times New Roman" w:hAnsi="Times New Roman" w:cs="Times New Roman"/>
          <w:color w:val="000000"/>
          <w:spacing w:val="0"/>
          <w:w w:val="100"/>
          <w:position w:val="0"/>
        </w:rPr>
        <w:t>”</w:t>
      </w:r>
      <w:r>
        <w:rPr>
          <w:color w:val="000000"/>
          <w:spacing w:val="0"/>
          <w:w w:val="100"/>
          <w:position w:val="0"/>
        </w:rPr>
        <w:t>评选表彰中荣获</w:t>
      </w:r>
      <w:r>
        <w:rPr>
          <w:rFonts w:ascii="Times New Roman" w:eastAsia="Times New Roman" w:hAnsi="Times New Roman" w:cs="Times New Roman"/>
          <w:color w:val="000000"/>
          <w:spacing w:val="0"/>
          <w:w w:val="100"/>
          <w:position w:val="0"/>
        </w:rPr>
        <w:t>“</w:t>
      </w:r>
      <w:r>
        <w:rPr>
          <w:color w:val="000000"/>
          <w:spacing w:val="0"/>
          <w:w w:val="100"/>
          <w:position w:val="0"/>
        </w:rPr>
        <w:t>深圳市五一巾帼 标兵</w:t>
      </w:r>
      <w:r>
        <w:rPr>
          <w:rFonts w:ascii="Times New Roman" w:eastAsia="Times New Roman" w:hAnsi="Times New Roman" w:cs="Times New Roman"/>
          <w:color w:val="000000"/>
          <w:spacing w:val="0"/>
          <w:w w:val="100"/>
          <w:position w:val="0"/>
        </w:rPr>
        <w:t>”</w:t>
      </w:r>
      <w:r>
        <w:rPr>
          <w:color w:val="000000"/>
          <w:spacing w:val="0"/>
          <w:w w:val="100"/>
          <w:position w:val="0"/>
        </w:rPr>
        <w:t>荣誉称号。</w:t>
      </w:r>
    </w:p>
    <w:p>
      <w:pPr>
        <w:pStyle w:val="Style33"/>
        <w:keepNext w:val="0"/>
        <w:keepLines w:val="0"/>
        <w:widowControl w:val="0"/>
        <w:shd w:val="clear" w:color="auto" w:fill="auto"/>
        <w:bidi w:val="0"/>
        <w:spacing w:before="0" w:after="0" w:line="311" w:lineRule="exact"/>
        <w:ind w:left="0" w:right="0"/>
        <w:jc w:val="both"/>
      </w:pPr>
      <w:r>
        <w:rPr>
          <w:color w:val="000000"/>
          <w:spacing w:val="0"/>
          <w:w w:val="100"/>
          <w:position w:val="0"/>
        </w:rPr>
        <w:t>在供应商、客户和消费者权益保护方面，公司建立了一整套输配电设备采购和销售服务体系，确保产品质量，方便用 户使用，获得了较高的客户满意度和忠诚度。公司进一步加强对服务工作的重视，健全和完善服务管理体制和运行机制， 做到服务与经营工作同步推进，完善客户意见反馈机制、投诉处理机制和快速响应机制，</w:t>
      </w:r>
      <w:r>
        <w:rPr>
          <w:rFonts w:ascii="Times New Roman" w:eastAsia="Times New Roman" w:hAnsi="Times New Roman" w:cs="Times New Roman"/>
          <w:color w:val="000000"/>
          <w:spacing w:val="0"/>
          <w:w w:val="100"/>
          <w:position w:val="0"/>
        </w:rPr>
        <w:t>“</w:t>
      </w:r>
      <w:r>
        <w:rPr>
          <w:color w:val="000000"/>
          <w:spacing w:val="0"/>
          <w:w w:val="100"/>
          <w:position w:val="0"/>
        </w:rPr>
        <w:t>以客户为中心</w:t>
      </w:r>
      <w:r>
        <w:rPr>
          <w:rFonts w:ascii="Times New Roman" w:eastAsia="Times New Roman" w:hAnsi="Times New Roman" w:cs="Times New Roman"/>
          <w:color w:val="000000"/>
          <w:spacing w:val="0"/>
          <w:w w:val="100"/>
          <w:position w:val="0"/>
        </w:rPr>
        <w:t>”</w:t>
      </w:r>
      <w:r>
        <w:rPr>
          <w:color w:val="000000"/>
          <w:spacing w:val="0"/>
          <w:w w:val="100"/>
          <w:position w:val="0"/>
        </w:rPr>
        <w:t>的服务管理新体 系、新机制日趋完善。</w:t>
      </w:r>
    </w:p>
    <w:p>
      <w:pPr>
        <w:pStyle w:val="Style33"/>
        <w:keepNext w:val="0"/>
        <w:keepLines w:val="0"/>
        <w:widowControl w:val="0"/>
        <w:shd w:val="clear" w:color="auto" w:fill="auto"/>
        <w:bidi w:val="0"/>
        <w:spacing w:before="0" w:after="0" w:line="311" w:lineRule="exact"/>
        <w:ind w:left="0" w:right="0"/>
        <w:jc w:val="both"/>
      </w:pPr>
      <w:r>
        <w:rPr>
          <w:color w:val="000000"/>
          <w:spacing w:val="0"/>
          <w:w w:val="100"/>
          <w:position w:val="0"/>
        </w:rPr>
        <w:t>在环境保护与可持续发展方面，公司将环境保护和节能减排作为可持续发展战略的重要内容，注重环保宣传和全体人 员环保意识的提高，树立绿色发展和低碳发展的理念，坚持守法自律、清洁生产、节约资源、保护环境、可持续发展，加 大对新材料、新技术、新能源的探索，以改进生产工艺，争取实现生产全过程绿色化、低碳化。</w:t>
      </w:r>
    </w:p>
    <w:p>
      <w:pPr>
        <w:pStyle w:val="Style33"/>
        <w:keepNext w:val="0"/>
        <w:keepLines w:val="0"/>
        <w:widowControl w:val="0"/>
        <w:shd w:val="clear" w:color="auto" w:fill="auto"/>
        <w:bidi w:val="0"/>
        <w:spacing w:before="0" w:after="380" w:line="312" w:lineRule="exact"/>
        <w:ind w:left="0" w:right="0"/>
        <w:jc w:val="both"/>
      </w:pPr>
      <w:r>
        <w:rPr>
          <w:color w:val="000000"/>
          <w:spacing w:val="0"/>
          <w:w w:val="100"/>
          <w:position w:val="0"/>
        </w:rPr>
        <w:t>在公共关系、社会公益事业方面，公司多年前就成立了惠程股份义工协会，自成立以来一直积极组织员工参与各项爱心 活动，希望把关爱的惠程文化传播给身边每一个人，感召更多的人参与到义工活动中来。</w:t>
      </w:r>
    </w:p>
    <w:p>
      <w:pPr>
        <w:pStyle w:val="Style37"/>
        <w:keepNext/>
        <w:keepLines/>
        <w:widowControl w:val="0"/>
        <w:shd w:val="clear" w:color="auto" w:fill="auto"/>
        <w:tabs>
          <w:tab w:pos="356" w:val="left"/>
        </w:tabs>
        <w:bidi w:val="0"/>
        <w:spacing w:before="0" w:after="38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2</w:t>
      </w:r>
      <w:bookmarkEnd w:id="395"/>
      <w:r>
        <w:rPr>
          <w:color w:val="000000"/>
          <w:spacing w:val="0"/>
          <w:w w:val="100"/>
          <w:position w:val="0"/>
        </w:rPr>
        <w:t>、</w:t>
        <w:tab/>
        <w:t>履行精准扶贫社会责任情况</w:t>
      </w:r>
      <w:bookmarkEnd w:id="393"/>
      <w:bookmarkEnd w:id="394"/>
      <w:bookmarkEnd w:id="396"/>
    </w:p>
    <w:p>
      <w:pPr>
        <w:pStyle w:val="Style37"/>
        <w:keepNext/>
        <w:keepLines/>
        <w:widowControl w:val="0"/>
        <w:shd w:val="clear" w:color="auto" w:fill="auto"/>
        <w:bidi w:val="0"/>
        <w:spacing w:before="0" w:after="260" w:line="240" w:lineRule="auto"/>
        <w:ind w:left="0" w:right="0" w:firstLine="0"/>
        <w:jc w:val="left"/>
      </w:pPr>
      <w:bookmarkStart w:id="393" w:name="bookmark393"/>
      <w:bookmarkStart w:id="394" w:name="bookmark394"/>
      <w:bookmarkStart w:id="397" w:name="bookmark397"/>
      <w:bookmarkStart w:id="398" w:name="bookmark398"/>
      <w:r>
        <w:rPr>
          <w:color w:val="000000"/>
          <w:spacing w:val="0"/>
          <w:w w:val="100"/>
          <w:position w:val="0"/>
        </w:rPr>
        <w:t>（</w:t>
      </w:r>
      <w:bookmarkEnd w:id="397"/>
      <w:r>
        <w:rPr>
          <w:rFonts w:ascii="Times New Roman" w:eastAsia="Times New Roman" w:hAnsi="Times New Roman" w:cs="Times New Roman"/>
          <w:color w:val="000000"/>
          <w:spacing w:val="0"/>
          <w:w w:val="100"/>
          <w:position w:val="0"/>
        </w:rPr>
        <w:t>1</w:t>
      </w:r>
      <w:r>
        <w:rPr>
          <w:color w:val="000000"/>
          <w:spacing w:val="0"/>
          <w:w w:val="100"/>
          <w:position w:val="0"/>
        </w:rPr>
        <w:t>）精准扶贫规划</w:t>
      </w:r>
      <w:bookmarkEnd w:id="393"/>
      <w:bookmarkEnd w:id="394"/>
      <w:bookmarkEnd w:id="398"/>
    </w:p>
    <w:p>
      <w:pPr>
        <w:pStyle w:val="Style33"/>
        <w:keepNext w:val="0"/>
        <w:keepLines w:val="0"/>
        <w:widowControl w:val="0"/>
        <w:shd w:val="clear" w:color="auto" w:fill="auto"/>
        <w:bidi w:val="0"/>
        <w:spacing w:before="0" w:after="260" w:line="313" w:lineRule="exact"/>
        <w:ind w:left="0" w:right="0" w:firstLine="0"/>
        <w:jc w:val="left"/>
      </w:pPr>
      <w:r>
        <w:rPr>
          <w:color w:val="000000"/>
          <w:spacing w:val="0"/>
          <w:w w:val="100"/>
          <w:position w:val="0"/>
        </w:rPr>
        <w:t>公司报告年度暂未开展精准扶贫工作，也暂无后续精准扶贫计划。</w:t>
      </w:r>
    </w:p>
    <w:p>
      <w:pPr>
        <w:pStyle w:val="Style37"/>
        <w:keepNext/>
        <w:keepLines/>
        <w:widowControl w:val="0"/>
        <w:shd w:val="clear" w:color="auto" w:fill="auto"/>
        <w:bidi w:val="0"/>
        <w:spacing w:before="0" w:after="260" w:line="240" w:lineRule="auto"/>
        <w:ind w:left="0" w:right="0" w:firstLine="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3</w:t>
      </w:r>
      <w:bookmarkEnd w:id="401"/>
      <w:r>
        <w:rPr>
          <w:color w:val="000000"/>
          <w:spacing w:val="0"/>
          <w:w w:val="100"/>
          <w:position w:val="0"/>
        </w:rPr>
        <w:t>、环境保护相关的情况</w:t>
      </w:r>
      <w:bookmarkEnd w:id="399"/>
      <w:bookmarkEnd w:id="400"/>
      <w:bookmarkEnd w:id="402"/>
    </w:p>
    <w:p>
      <w:pPr>
        <w:pStyle w:val="Style33"/>
        <w:keepNext w:val="0"/>
        <w:keepLines w:val="0"/>
        <w:widowControl w:val="0"/>
        <w:shd w:val="clear" w:color="auto" w:fill="auto"/>
        <w:bidi w:val="0"/>
        <w:spacing w:before="0" w:after="0" w:line="315" w:lineRule="exact"/>
        <w:ind w:left="0" w:right="0" w:firstLine="0"/>
        <w:jc w:val="left"/>
      </w:pPr>
      <w:r>
        <w:rPr>
          <w:color w:val="000000"/>
          <w:spacing w:val="0"/>
          <w:w w:val="100"/>
          <w:position w:val="0"/>
        </w:rPr>
        <w:t>上市公司及其子公司是否属于环境保护部门公布的重点排污单位</w:t>
      </w:r>
    </w:p>
    <w:p>
      <w:pPr>
        <w:pStyle w:val="Style33"/>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val="0"/>
        <w:keepLines w:val="0"/>
        <w:widowControl w:val="0"/>
        <w:shd w:val="clear" w:color="auto" w:fill="auto"/>
        <w:bidi w:val="0"/>
        <w:spacing w:before="0" w:after="0" w:line="315" w:lineRule="exact"/>
        <w:ind w:left="0" w:right="0" w:firstLine="0"/>
        <w:jc w:val="left"/>
      </w:pPr>
      <w:r>
        <w:rPr>
          <w:color w:val="000000"/>
          <w:spacing w:val="0"/>
          <w:w w:val="100"/>
          <w:position w:val="0"/>
        </w:rPr>
        <w:t>否</w:t>
      </w:r>
    </w:p>
    <w:p>
      <w:pPr>
        <w:pStyle w:val="Style33"/>
        <w:keepNext w:val="0"/>
        <w:keepLines w:val="0"/>
        <w:widowControl w:val="0"/>
        <w:shd w:val="clear" w:color="auto" w:fill="auto"/>
        <w:bidi w:val="0"/>
        <w:spacing w:before="0" w:after="360" w:line="312" w:lineRule="exact"/>
        <w:ind w:left="0" w:right="0"/>
        <w:jc w:val="both"/>
      </w:pPr>
      <w:r>
        <w:rPr>
          <w:color w:val="000000"/>
          <w:spacing w:val="0"/>
          <w:w w:val="100"/>
          <w:position w:val="0"/>
        </w:rPr>
        <w:t>公司不属于环境保护部门公布的重点排污单位，在环境保护方面，公司将环境保护和节能减排作为可持续发展战略的 重要内容，注重环保宣传和全体人员环保意识的提高，树立绿色发展和低碳发展的理念，坚持守法自律、清洁生产、节约 资源、保护环境、可持续发展，加大对新材料、新技术、新能源的探索，以改进生产工艺，争取实现生产全过程绿色化、 低碳化。</w:t>
      </w:r>
    </w:p>
    <w:p>
      <w:pPr>
        <w:pStyle w:val="Style29"/>
        <w:keepNext/>
        <w:keepLines/>
        <w:widowControl w:val="0"/>
        <w:shd w:val="clear" w:color="auto" w:fill="auto"/>
        <w:bidi w:val="0"/>
        <w:spacing w:before="0" w:after="260" w:line="240" w:lineRule="auto"/>
        <w:ind w:left="0" w:right="0" w:firstLine="0"/>
        <w:jc w:val="both"/>
      </w:pPr>
      <w:bookmarkStart w:id="403" w:name="bookmark403"/>
      <w:bookmarkStart w:id="404" w:name="bookmark404"/>
      <w:bookmarkStart w:id="405" w:name="bookmark405"/>
      <w:r>
        <w:rPr>
          <w:color w:val="000000"/>
          <w:spacing w:val="0"/>
          <w:w w:val="100"/>
          <w:position w:val="0"/>
          <w:sz w:val="24"/>
          <w:szCs w:val="24"/>
        </w:rPr>
        <w:t>十九、其他重大事项的说明</w:t>
      </w:r>
      <w:bookmarkEnd w:id="403"/>
      <w:bookmarkEnd w:id="404"/>
      <w:bookmarkEnd w:id="405"/>
    </w:p>
    <w:p>
      <w:pPr>
        <w:pStyle w:val="Style33"/>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tabs>
          <w:tab w:pos="649" w:val="left"/>
        </w:tabs>
        <w:bidi w:val="0"/>
        <w:spacing w:before="0" w:after="0" w:line="315" w:lineRule="exact"/>
        <w:ind w:left="0" w:right="0"/>
        <w:jc w:val="both"/>
      </w:pPr>
      <w:bookmarkStart w:id="406" w:name="bookmark406"/>
      <w:r>
        <w:rPr>
          <w:rFonts w:ascii="Times New Roman" w:eastAsia="Times New Roman" w:hAnsi="Times New Roman" w:cs="Times New Roman"/>
          <w:color w:val="000000"/>
          <w:spacing w:val="0"/>
          <w:w w:val="100"/>
          <w:position w:val="0"/>
        </w:rPr>
        <w:t>1</w:t>
      </w:r>
      <w:bookmarkEnd w:id="406"/>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月，经公司总裁办公会审议批准，因经营需要，公司向中国工商银行股份有限公司深圳星河支行申请总额 度不超过</w:t>
      </w:r>
      <w:r>
        <w:rPr>
          <w:rFonts w:ascii="Times New Roman" w:eastAsia="Times New Roman" w:hAnsi="Times New Roman" w:cs="Times New Roman"/>
          <w:color w:val="000000"/>
          <w:spacing w:val="0"/>
          <w:w w:val="100"/>
          <w:position w:val="0"/>
        </w:rPr>
        <w:t>10,000</w:t>
      </w:r>
      <w:r>
        <w:rPr>
          <w:color w:val="000000"/>
          <w:spacing w:val="0"/>
          <w:w w:val="100"/>
          <w:position w:val="0"/>
        </w:rPr>
        <w:t>万元人民币、期限为</w:t>
      </w:r>
      <w:r>
        <w:rPr>
          <w:rFonts w:ascii="Times New Roman" w:eastAsia="Times New Roman" w:hAnsi="Times New Roman" w:cs="Times New Roman"/>
          <w:color w:val="000000"/>
          <w:spacing w:val="0"/>
          <w:w w:val="100"/>
          <w:position w:val="0"/>
        </w:rPr>
        <w:t>6</w:t>
      </w:r>
      <w:r>
        <w:rPr>
          <w:color w:val="000000"/>
          <w:spacing w:val="0"/>
          <w:w w:val="100"/>
          <w:position w:val="0"/>
        </w:rPr>
        <w:t>个月的银行承兑汇票业务，担保方式为汇票金额</w:t>
      </w:r>
      <w:r>
        <w:rPr>
          <w:rFonts w:ascii="Times New Roman" w:eastAsia="Times New Roman" w:hAnsi="Times New Roman" w:cs="Times New Roman"/>
          <w:color w:val="000000"/>
          <w:spacing w:val="0"/>
          <w:w w:val="100"/>
          <w:position w:val="0"/>
        </w:rPr>
        <w:t>100%</w:t>
      </w:r>
      <w:r>
        <w:rPr>
          <w:color w:val="000000"/>
          <w:spacing w:val="0"/>
          <w:w w:val="100"/>
          <w:position w:val="0"/>
        </w:rPr>
        <w:t>的定期存单质押，用途主要用 于支付货款。具体条款以公司与银行最终签署的承兑协议为准。有效期限为自总裁办公会审议通过之日起</w:t>
      </w:r>
      <w:r>
        <w:rPr>
          <w:rFonts w:ascii="Times New Roman" w:eastAsia="Times New Roman" w:hAnsi="Times New Roman" w:cs="Times New Roman"/>
          <w:color w:val="000000"/>
          <w:spacing w:val="0"/>
          <w:w w:val="100"/>
          <w:position w:val="0"/>
        </w:rPr>
        <w:t>12</w:t>
      </w:r>
      <w:r>
        <w:rPr>
          <w:color w:val="000000"/>
          <w:spacing w:val="0"/>
          <w:w w:val="100"/>
          <w:position w:val="0"/>
        </w:rPr>
        <w:t>个月内有效。</w:t>
      </w:r>
    </w:p>
    <w:p>
      <w:pPr>
        <w:pStyle w:val="Style33"/>
        <w:keepNext w:val="0"/>
        <w:keepLines w:val="0"/>
        <w:widowControl w:val="0"/>
        <w:shd w:val="clear" w:color="auto" w:fill="auto"/>
        <w:tabs>
          <w:tab w:pos="649" w:val="left"/>
        </w:tabs>
        <w:bidi w:val="0"/>
        <w:spacing w:before="0" w:after="0" w:line="315" w:lineRule="exact"/>
        <w:ind w:left="0" w:right="0"/>
        <w:jc w:val="both"/>
      </w:pPr>
      <w:bookmarkStart w:id="407" w:name="bookmark407"/>
      <w:r>
        <w:rPr>
          <w:rFonts w:ascii="Times New Roman" w:eastAsia="Times New Roman" w:hAnsi="Times New Roman" w:cs="Times New Roman"/>
          <w:color w:val="000000"/>
          <w:spacing w:val="0"/>
          <w:w w:val="100"/>
          <w:position w:val="0"/>
        </w:rPr>
        <w:t>2</w:t>
      </w:r>
      <w:bookmarkEnd w:id="407"/>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月，经公司总裁办公会审议批准，公司以不超过人民币</w:t>
      </w:r>
      <w:r>
        <w:rPr>
          <w:rFonts w:ascii="Times New Roman" w:eastAsia="Times New Roman" w:hAnsi="Times New Roman" w:cs="Times New Roman"/>
          <w:color w:val="000000"/>
          <w:spacing w:val="0"/>
          <w:w w:val="100"/>
          <w:position w:val="0"/>
        </w:rPr>
        <w:t>2,700</w:t>
      </w:r>
      <w:r>
        <w:rPr>
          <w:color w:val="000000"/>
          <w:spacing w:val="0"/>
          <w:w w:val="100"/>
          <w:position w:val="0"/>
        </w:rPr>
        <w:t xml:space="preserve">万元向上海咩游网络科技有限公司（以下简称 </w:t>
      </w:r>
      <w:r>
        <w:rPr>
          <w:rFonts w:ascii="Times New Roman" w:eastAsia="Times New Roman" w:hAnsi="Times New Roman" w:cs="Times New Roman"/>
          <w:color w:val="000000"/>
          <w:spacing w:val="0"/>
          <w:w w:val="100"/>
          <w:position w:val="0"/>
        </w:rPr>
        <w:t>“</w:t>
      </w:r>
      <w:r>
        <w:rPr>
          <w:color w:val="000000"/>
          <w:spacing w:val="0"/>
          <w:w w:val="100"/>
          <w:position w:val="0"/>
        </w:rPr>
        <w:t>上海咩游</w:t>
      </w:r>
      <w:r>
        <w:rPr>
          <w:rFonts w:ascii="Times New Roman" w:eastAsia="Times New Roman" w:hAnsi="Times New Roman" w:cs="Times New Roman"/>
          <w:color w:val="000000"/>
          <w:spacing w:val="0"/>
          <w:w w:val="100"/>
          <w:position w:val="0"/>
        </w:rPr>
        <w:t>”</w:t>
      </w:r>
      <w:r>
        <w:rPr>
          <w:color w:val="000000"/>
          <w:spacing w:val="0"/>
          <w:w w:val="100"/>
          <w:position w:val="0"/>
        </w:rPr>
        <w:t>）进行增资，其中</w:t>
      </w:r>
      <w:r>
        <w:rPr>
          <w:rFonts w:ascii="Times New Roman" w:eastAsia="Times New Roman" w:hAnsi="Times New Roman" w:cs="Times New Roman"/>
          <w:color w:val="000000"/>
          <w:spacing w:val="0"/>
          <w:w w:val="100"/>
          <w:position w:val="0"/>
        </w:rPr>
        <w:t>818.18</w:t>
      </w:r>
      <w:r>
        <w:rPr>
          <w:color w:val="000000"/>
          <w:spacing w:val="0"/>
          <w:w w:val="100"/>
          <w:position w:val="0"/>
        </w:rPr>
        <w:t>万元计入上海咩游注册资本，剩余</w:t>
      </w:r>
      <w:r>
        <w:rPr>
          <w:rFonts w:ascii="Times New Roman" w:eastAsia="Times New Roman" w:hAnsi="Times New Roman" w:cs="Times New Roman"/>
          <w:color w:val="000000"/>
          <w:spacing w:val="0"/>
          <w:w w:val="100"/>
          <w:position w:val="0"/>
        </w:rPr>
        <w:t>1,881.82</w:t>
      </w:r>
      <w:r>
        <w:rPr>
          <w:color w:val="000000"/>
          <w:spacing w:val="0"/>
          <w:w w:val="100"/>
          <w:position w:val="0"/>
        </w:rPr>
        <w:t>万元计入上海咩游的资本公积金，增资完成 后公司持有上海咩游</w:t>
      </w:r>
      <w:r>
        <w:rPr>
          <w:rFonts w:ascii="Times New Roman" w:eastAsia="Times New Roman" w:hAnsi="Times New Roman" w:cs="Times New Roman"/>
          <w:color w:val="000000"/>
          <w:spacing w:val="0"/>
          <w:w w:val="100"/>
          <w:position w:val="0"/>
        </w:rPr>
        <w:t>45%</w:t>
      </w:r>
      <w:r>
        <w:rPr>
          <w:color w:val="000000"/>
          <w:spacing w:val="0"/>
          <w:w w:val="100"/>
          <w:position w:val="0"/>
        </w:rPr>
        <w:t>的股权。截至本报告披露日，相关工商变更登记手续已经办理完毕。</w:t>
      </w:r>
    </w:p>
    <w:p>
      <w:pPr>
        <w:pStyle w:val="Style33"/>
        <w:keepNext w:val="0"/>
        <w:keepLines w:val="0"/>
        <w:widowControl w:val="0"/>
        <w:shd w:val="clear" w:color="auto" w:fill="auto"/>
        <w:tabs>
          <w:tab w:pos="644" w:val="left"/>
        </w:tabs>
        <w:bidi w:val="0"/>
        <w:spacing w:before="0" w:after="0" w:line="315" w:lineRule="exact"/>
        <w:ind w:left="0" w:right="0"/>
        <w:jc w:val="both"/>
      </w:pPr>
      <w:bookmarkStart w:id="408" w:name="bookmark408"/>
      <w:r>
        <w:rPr>
          <w:rFonts w:ascii="Times New Roman" w:eastAsia="Times New Roman" w:hAnsi="Times New Roman" w:cs="Times New Roman"/>
          <w:color w:val="000000"/>
          <w:spacing w:val="0"/>
          <w:w w:val="100"/>
          <w:position w:val="0"/>
        </w:rPr>
        <w:t>3</w:t>
      </w:r>
      <w:bookmarkEnd w:id="408"/>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月，为支持公司经营发展，提高公司融资效率，经公司总裁办公会审议批准，同意公司接受控股股东中驰 惠程提供的</w:t>
      </w:r>
      <w:r>
        <w:rPr>
          <w:rFonts w:ascii="Times New Roman" w:eastAsia="Times New Roman" w:hAnsi="Times New Roman" w:cs="Times New Roman"/>
          <w:color w:val="000000"/>
          <w:spacing w:val="0"/>
          <w:w w:val="100"/>
          <w:position w:val="0"/>
        </w:rPr>
        <w:t>5,000</w:t>
      </w:r>
      <w:r>
        <w:rPr>
          <w:color w:val="000000"/>
          <w:spacing w:val="0"/>
          <w:w w:val="100"/>
          <w:position w:val="0"/>
        </w:rPr>
        <w:t>万元的无息财务资助，用于公司日常经营活动，期限为自资助款项实际汇出日起十二个月届满之日或者双 方一致同意的其他日期。报告期内公司已收到上述款项。本次财务资助无需公司提供保证、抵押、质押等任何形式的担 保，亦无其他协议安排。截至本报告期末，公司已归还中驰惠程</w:t>
      </w:r>
      <w:r>
        <w:rPr>
          <w:rFonts w:ascii="Times New Roman" w:eastAsia="Times New Roman" w:hAnsi="Times New Roman" w:cs="Times New Roman"/>
          <w:color w:val="000000"/>
          <w:spacing w:val="0"/>
          <w:w w:val="100"/>
          <w:position w:val="0"/>
        </w:rPr>
        <w:t>5,000</w:t>
      </w:r>
      <w:r>
        <w:rPr>
          <w:color w:val="000000"/>
          <w:spacing w:val="0"/>
          <w:w w:val="100"/>
          <w:position w:val="0"/>
        </w:rPr>
        <w:t>万元。</w:t>
      </w:r>
    </w:p>
    <w:p>
      <w:pPr>
        <w:pStyle w:val="Style33"/>
        <w:keepNext w:val="0"/>
        <w:keepLines w:val="0"/>
        <w:widowControl w:val="0"/>
        <w:shd w:val="clear" w:color="auto" w:fill="auto"/>
        <w:tabs>
          <w:tab w:pos="644" w:val="left"/>
        </w:tabs>
        <w:bidi w:val="0"/>
        <w:spacing w:before="0" w:after="0" w:line="315" w:lineRule="exact"/>
        <w:ind w:left="0" w:right="0"/>
        <w:jc w:val="both"/>
      </w:pPr>
      <w:bookmarkStart w:id="409" w:name="bookmark409"/>
      <w:r>
        <w:rPr>
          <w:rFonts w:ascii="Times New Roman" w:eastAsia="Times New Roman" w:hAnsi="Times New Roman" w:cs="Times New Roman"/>
          <w:color w:val="000000"/>
          <w:spacing w:val="0"/>
          <w:w w:val="100"/>
          <w:position w:val="0"/>
        </w:rPr>
        <w:t>4</w:t>
      </w:r>
      <w:bookmarkEnd w:id="409"/>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月，为支持公司经营发展，提高公司融资效率，经公司总裁办公会审议批准，同意公司接受控股股东中驰 惠程提供的</w:t>
      </w:r>
      <w:r>
        <w:rPr>
          <w:rFonts w:ascii="Times New Roman" w:eastAsia="Times New Roman" w:hAnsi="Times New Roman" w:cs="Times New Roman"/>
          <w:color w:val="000000"/>
          <w:spacing w:val="0"/>
          <w:w w:val="100"/>
          <w:position w:val="0"/>
        </w:rPr>
        <w:t>2,000</w:t>
      </w:r>
      <w:r>
        <w:rPr>
          <w:color w:val="000000"/>
          <w:spacing w:val="0"/>
          <w:w w:val="100"/>
          <w:position w:val="0"/>
        </w:rPr>
        <w:t>万元的无息财务资助，用于公司日常经营活动，期限为自资助款项实际汇出日起十二个月届满之日或者双 方一致同意的其他日期。报告期内公司已收到上述款项。本次财务资助无需公司提供保证、抵押、质押等任何形式的担 保，亦无其他协议安排。截至本报告期末，公司已归还中驰惠程</w:t>
      </w:r>
      <w:r>
        <w:rPr>
          <w:rFonts w:ascii="Times New Roman" w:eastAsia="Times New Roman" w:hAnsi="Times New Roman" w:cs="Times New Roman"/>
          <w:color w:val="000000"/>
          <w:spacing w:val="0"/>
          <w:w w:val="100"/>
          <w:position w:val="0"/>
        </w:rPr>
        <w:t>1,990</w:t>
      </w:r>
      <w:r>
        <w:rPr>
          <w:color w:val="000000"/>
          <w:spacing w:val="0"/>
          <w:w w:val="100"/>
          <w:position w:val="0"/>
        </w:rPr>
        <w:t>万元。</w:t>
      </w:r>
    </w:p>
    <w:p>
      <w:pPr>
        <w:pStyle w:val="Style33"/>
        <w:keepNext w:val="0"/>
        <w:keepLines w:val="0"/>
        <w:widowControl w:val="0"/>
        <w:shd w:val="clear" w:color="auto" w:fill="auto"/>
        <w:tabs>
          <w:tab w:pos="644" w:val="left"/>
        </w:tabs>
        <w:bidi w:val="0"/>
        <w:spacing w:before="0" w:after="0" w:line="315" w:lineRule="exact"/>
        <w:ind w:left="0" w:right="0"/>
        <w:jc w:val="both"/>
      </w:pPr>
      <w:bookmarkStart w:id="410" w:name="bookmark410"/>
      <w:r>
        <w:rPr>
          <w:rFonts w:ascii="Times New Roman" w:eastAsia="Times New Roman" w:hAnsi="Times New Roman" w:cs="Times New Roman"/>
          <w:color w:val="000000"/>
          <w:spacing w:val="0"/>
          <w:w w:val="100"/>
          <w:position w:val="0"/>
        </w:rPr>
        <w:t>5</w:t>
      </w:r>
      <w:bookmarkEnd w:id="410"/>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月，经公司总裁办公会审议批准，同意控股子公司喀什中汇联银投资的产业并购基金共青城惠智网联投资 合伙企业（有限合伙）（以下简称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惠智网联</w:t>
      </w:r>
      <w:r>
        <w:rPr>
          <w:rFonts w:ascii="Times New Roman" w:eastAsia="Times New Roman" w:hAnsi="Times New Roman" w:cs="Times New Roman"/>
          <w:color w:val="000000"/>
          <w:spacing w:val="0"/>
          <w:w w:val="100"/>
          <w:position w:val="0"/>
        </w:rPr>
        <w:t>”</w:t>
      </w:r>
      <w:r>
        <w:rPr>
          <w:color w:val="000000"/>
          <w:spacing w:val="0"/>
          <w:w w:val="100"/>
          <w:position w:val="0"/>
        </w:rPr>
        <w:t>）将其持有的清大智能（北京）科技有限公司（以下简称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清大智能</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10% </w:t>
      </w:r>
      <w:r>
        <w:rPr>
          <w:color w:val="000000"/>
          <w:spacing w:val="0"/>
          <w:w w:val="100"/>
          <w:position w:val="0"/>
        </w:rPr>
        <w:t>的股权转让给清大智能，并与清大智能及其他股东共同签署《股权回购协议》，回购价包括投资款</w:t>
      </w:r>
      <w:r>
        <w:rPr>
          <w:rFonts w:ascii="Times New Roman" w:eastAsia="Times New Roman" w:hAnsi="Times New Roman" w:cs="Times New Roman"/>
          <w:color w:val="000000"/>
          <w:spacing w:val="0"/>
          <w:w w:val="100"/>
          <w:position w:val="0"/>
        </w:rPr>
        <w:t>800</w:t>
      </w:r>
      <w:r>
        <w:rPr>
          <w:color w:val="000000"/>
          <w:spacing w:val="0"/>
          <w:w w:val="100"/>
          <w:position w:val="0"/>
        </w:rPr>
        <w:t>万元本金，以及以此 为基数按照年化</w:t>
      </w:r>
      <w:r>
        <w:rPr>
          <w:rFonts w:ascii="Times New Roman" w:eastAsia="Times New Roman" w:hAnsi="Times New Roman" w:cs="Times New Roman"/>
          <w:color w:val="000000"/>
          <w:spacing w:val="0"/>
          <w:w w:val="100"/>
          <w:position w:val="0"/>
        </w:rPr>
        <w:t>8%</w:t>
      </w:r>
      <w:r>
        <w:rPr>
          <w:color w:val="000000"/>
          <w:spacing w:val="0"/>
          <w:w w:val="100"/>
          <w:position w:val="0"/>
        </w:rPr>
        <w:t>单利的相应利息，利息期间为自惠智网联投资款实际支付日至清大智能回购款项实际支付日，分期支付 时应以未支付本金为基数按日计算至实际支付日的利息。截至本报告披露日，清大智能已支付回购款</w:t>
      </w:r>
      <w:r>
        <w:rPr>
          <w:rFonts w:ascii="Times New Roman" w:eastAsia="Times New Roman" w:hAnsi="Times New Roman" w:cs="Times New Roman"/>
          <w:color w:val="000000"/>
          <w:spacing w:val="0"/>
          <w:w w:val="100"/>
          <w:position w:val="0"/>
        </w:rPr>
        <w:t>340</w:t>
      </w:r>
      <w:r>
        <w:rPr>
          <w:color w:val="000000"/>
          <w:spacing w:val="0"/>
          <w:w w:val="100"/>
          <w:position w:val="0"/>
        </w:rPr>
        <w:t>万元。</w:t>
      </w:r>
    </w:p>
    <w:p>
      <w:pPr>
        <w:pStyle w:val="Style33"/>
        <w:keepNext w:val="0"/>
        <w:keepLines w:val="0"/>
        <w:widowControl w:val="0"/>
        <w:shd w:val="clear" w:color="auto" w:fill="auto"/>
        <w:tabs>
          <w:tab w:pos="604" w:val="left"/>
        </w:tabs>
        <w:bidi w:val="0"/>
        <w:spacing w:before="0" w:after="0" w:line="315" w:lineRule="exact"/>
        <w:ind w:left="0" w:right="0" w:firstLine="300"/>
        <w:jc w:val="left"/>
      </w:pPr>
      <w:bookmarkStart w:id="411" w:name="bookmark411"/>
      <w:r>
        <w:rPr>
          <w:rFonts w:ascii="Times New Roman" w:eastAsia="Times New Roman" w:hAnsi="Times New Roman" w:cs="Times New Roman"/>
          <w:color w:val="000000"/>
          <w:spacing w:val="0"/>
          <w:w w:val="100"/>
          <w:position w:val="0"/>
        </w:rPr>
        <w:t>6</w:t>
      </w:r>
      <w:bookmarkEnd w:id="411"/>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月，因证券虚假陈述责任纠纷，公司全资子公司喀什中汇联银向湖南省长沙市中级人民法院起诉中兵红箭 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中兵红箭</w:t>
      </w:r>
      <w:r>
        <w:rPr>
          <w:rFonts w:ascii="Times New Roman" w:eastAsia="Times New Roman" w:hAnsi="Times New Roman" w:cs="Times New Roman"/>
          <w:color w:val="000000"/>
          <w:spacing w:val="0"/>
          <w:w w:val="100"/>
          <w:position w:val="0"/>
        </w:rPr>
        <w:t>”</w:t>
      </w:r>
      <w:r>
        <w:rPr>
          <w:color w:val="000000"/>
          <w:spacing w:val="0"/>
          <w:w w:val="100"/>
          <w:position w:val="0"/>
        </w:rPr>
        <w:t>），要求中兵红箭赔偿喀什中汇联银的投资损失，并承担本案全部诉讼费用，涉诉金 额总计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,408.65</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日，湖南省长沙市中级人民法院出具了（</w:t>
      </w:r>
      <w:r>
        <w:rPr>
          <w:rFonts w:ascii="Times New Roman" w:eastAsia="Times New Roman" w:hAnsi="Times New Roman" w:cs="Times New Roman"/>
          <w:color w:val="000000"/>
          <w:spacing w:val="0"/>
          <w:w w:val="100"/>
          <w:position w:val="0"/>
        </w:rPr>
        <w:t>2020</w:t>
      </w:r>
      <w:r>
        <w:rPr>
          <w:color w:val="000000"/>
          <w:spacing w:val="0"/>
          <w:w w:val="100"/>
          <w:position w:val="0"/>
        </w:rPr>
        <w:t>）湘</w:t>
      </w:r>
      <w:r>
        <w:rPr>
          <w:rFonts w:ascii="Times New Roman" w:eastAsia="Times New Roman" w:hAnsi="Times New Roman" w:cs="Times New Roman"/>
          <w:color w:val="000000"/>
          <w:spacing w:val="0"/>
          <w:w w:val="100"/>
          <w:position w:val="0"/>
        </w:rPr>
        <w:t>01</w:t>
      </w:r>
      <w:r>
        <w:rPr>
          <w:color w:val="000000"/>
          <w:spacing w:val="0"/>
          <w:w w:val="100"/>
          <w:position w:val="0"/>
        </w:rPr>
        <w:t>民初</w:t>
      </w:r>
      <w:r>
        <w:rPr>
          <w:rFonts w:ascii="Times New Roman" w:eastAsia="Times New Roman" w:hAnsi="Times New Roman" w:cs="Times New Roman"/>
          <w:color w:val="000000"/>
          <w:spacing w:val="0"/>
          <w:w w:val="100"/>
          <w:position w:val="0"/>
        </w:rPr>
        <w:t>1781</w:t>
      </w:r>
      <w:r>
        <w:rPr>
          <w:color w:val="000000"/>
          <w:spacing w:val="0"/>
          <w:w w:val="100"/>
          <w:position w:val="0"/>
        </w:rPr>
        <w:t>号的一审判决，判令中兵 红箭向原告喀什中汇联银支付投资差额损失、佣金、印花税、利息共计</w:t>
      </w:r>
      <w:r>
        <w:rPr>
          <w:rFonts w:ascii="Times New Roman" w:eastAsia="Times New Roman" w:hAnsi="Times New Roman" w:cs="Times New Roman"/>
          <w:color w:val="000000"/>
          <w:spacing w:val="0"/>
          <w:w w:val="100"/>
          <w:position w:val="0"/>
        </w:rPr>
        <w:t>1,473.86</w:t>
      </w:r>
      <w:r>
        <w:rPr>
          <w:color w:val="000000"/>
          <w:spacing w:val="0"/>
          <w:w w:val="100"/>
          <w:position w:val="0"/>
        </w:rPr>
        <w:t>万元，本案案件受理费</w:t>
      </w:r>
      <w:r>
        <w:rPr>
          <w:rFonts w:ascii="Times New Roman" w:eastAsia="Times New Roman" w:hAnsi="Times New Roman" w:cs="Times New Roman"/>
          <w:color w:val="000000"/>
          <w:spacing w:val="0"/>
          <w:w w:val="100"/>
          <w:position w:val="0"/>
        </w:rPr>
        <w:t>16.14</w:t>
      </w:r>
      <w:r>
        <w:rPr>
          <w:color w:val="000000"/>
          <w:spacing w:val="0"/>
          <w:w w:val="100"/>
          <w:position w:val="0"/>
        </w:rPr>
        <w:t>万元，由原告 喀什中汇联银承担</w:t>
      </w:r>
      <w:r>
        <w:rPr>
          <w:rFonts w:ascii="Times New Roman" w:eastAsia="Times New Roman" w:hAnsi="Times New Roman" w:cs="Times New Roman"/>
          <w:color w:val="000000"/>
          <w:spacing w:val="0"/>
          <w:w w:val="100"/>
          <w:position w:val="0"/>
        </w:rPr>
        <w:t>6.20</w:t>
      </w:r>
      <w:r>
        <w:rPr>
          <w:color w:val="000000"/>
          <w:spacing w:val="0"/>
          <w:w w:val="100"/>
          <w:position w:val="0"/>
        </w:rPr>
        <w:t>万元，由被告中兵红箭承担</w:t>
      </w:r>
      <w:r>
        <w:rPr>
          <w:rFonts w:ascii="Times New Roman" w:eastAsia="Times New Roman" w:hAnsi="Times New Roman" w:cs="Times New Roman"/>
          <w:color w:val="000000"/>
          <w:spacing w:val="0"/>
          <w:w w:val="100"/>
          <w:position w:val="0"/>
        </w:rPr>
        <w:t>9.94</w:t>
      </w:r>
      <w:r>
        <w:rPr>
          <w:color w:val="000000"/>
          <w:spacing w:val="0"/>
          <w:w w:val="100"/>
          <w:position w:val="0"/>
        </w:rPr>
        <w:t>万元。</w:t>
      </w:r>
    </w:p>
    <w:p>
      <w:pPr>
        <w:pStyle w:val="Style33"/>
        <w:keepNext w:val="0"/>
        <w:keepLines w:val="0"/>
        <w:widowControl w:val="0"/>
        <w:shd w:val="clear" w:color="auto" w:fill="auto"/>
        <w:bidi w:val="0"/>
        <w:spacing w:before="0" w:after="0" w:line="315" w:lineRule="exact"/>
        <w:ind w:left="0" w:right="0" w:firstLine="300"/>
        <w:jc w:val="left"/>
      </w:pPr>
      <w:r>
        <w:rPr>
          <w:color w:val="000000"/>
          <w:spacing w:val="0"/>
          <w:w w:val="100"/>
          <w:position w:val="0"/>
        </w:rPr>
        <w:t>一审判决后，喀什中汇联银及中兵红箭均不服一审民事判决，喀什中汇联银于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日向湖南省高级人民法院提 起上诉。上述事项已进入受理程序，但尚未开庭审理和判决。公司将积极推进相关诉讼事项，切实维护全体投资者的合法 权益。</w:t>
      </w:r>
    </w:p>
    <w:p>
      <w:pPr>
        <w:pStyle w:val="Style33"/>
        <w:keepNext w:val="0"/>
        <w:keepLines w:val="0"/>
        <w:widowControl w:val="0"/>
        <w:shd w:val="clear" w:color="auto" w:fill="auto"/>
        <w:tabs>
          <w:tab w:pos="604" w:val="left"/>
        </w:tabs>
        <w:bidi w:val="0"/>
        <w:spacing w:before="0" w:after="0" w:line="315" w:lineRule="exact"/>
        <w:ind w:left="0" w:right="0" w:firstLine="300"/>
        <w:jc w:val="left"/>
      </w:pPr>
      <w:bookmarkStart w:id="412" w:name="bookmark412"/>
      <w:r>
        <w:rPr>
          <w:rFonts w:ascii="Times New Roman" w:eastAsia="Times New Roman" w:hAnsi="Times New Roman" w:cs="Times New Roman"/>
          <w:color w:val="000000"/>
          <w:spacing w:val="0"/>
          <w:w w:val="100"/>
          <w:position w:val="0"/>
        </w:rPr>
        <w:t>7</w:t>
      </w:r>
      <w:bookmarkEnd w:id="412"/>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月，经公司总裁办公会审议批准，为满足公司生产经营需要，同意公司向深圳南山宝生村镇银行股份有限 公司（以下简称</w:t>
      </w:r>
      <w:r>
        <w:rPr>
          <w:rFonts w:ascii="Times New Roman" w:eastAsia="Times New Roman" w:hAnsi="Times New Roman" w:cs="Times New Roman"/>
          <w:color w:val="000000"/>
          <w:spacing w:val="0"/>
          <w:w w:val="100"/>
          <w:position w:val="0"/>
        </w:rPr>
        <w:t>“</w:t>
      </w:r>
      <w:r>
        <w:rPr>
          <w:color w:val="000000"/>
          <w:spacing w:val="0"/>
          <w:w w:val="100"/>
          <w:position w:val="0"/>
        </w:rPr>
        <w:t>宝生银行</w:t>
      </w:r>
      <w:r>
        <w:rPr>
          <w:rFonts w:ascii="Times New Roman" w:eastAsia="Times New Roman" w:hAnsi="Times New Roman" w:cs="Times New Roman"/>
          <w:color w:val="000000"/>
          <w:spacing w:val="0"/>
          <w:w w:val="100"/>
          <w:position w:val="0"/>
        </w:rPr>
        <w:t>”</w:t>
      </w:r>
      <w:r>
        <w:rPr>
          <w:color w:val="000000"/>
          <w:spacing w:val="0"/>
          <w:w w:val="100"/>
          <w:position w:val="0"/>
        </w:rPr>
        <w:t>）申请授信额度人民币</w:t>
      </w:r>
      <w:r>
        <w:rPr>
          <w:rFonts w:ascii="Times New Roman" w:eastAsia="Times New Roman" w:hAnsi="Times New Roman" w:cs="Times New Roman"/>
          <w:color w:val="000000"/>
          <w:spacing w:val="0"/>
          <w:w w:val="100"/>
          <w:position w:val="0"/>
        </w:rPr>
        <w:t>1,000</w:t>
      </w:r>
      <w:r>
        <w:rPr>
          <w:color w:val="000000"/>
          <w:spacing w:val="0"/>
          <w:w w:val="100"/>
          <w:position w:val="0"/>
        </w:rPr>
        <w:t>万元，授信期限为一年，实际金额、期限、利率、币种以宝生银行 的最终审批结果为准，由控股子公司哆可梦提供连带责任保证，担保金额不超过授信额度，最高额担保合同期限不超过三 年。</w:t>
      </w:r>
      <w:r>
        <w:br w:type="page"/>
      </w:r>
    </w:p>
    <w:p>
      <w:pPr>
        <w:pStyle w:val="Style31"/>
        <w:keepNext w:val="0"/>
        <w:keepLines w:val="0"/>
        <w:widowControl w:val="0"/>
        <w:shd w:val="clear" w:color="auto" w:fill="auto"/>
        <w:bidi w:val="0"/>
        <w:spacing w:before="0" w:after="0" w:line="240" w:lineRule="auto"/>
        <w:ind w:left="23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、其他已作为临时报告披露的重大事项:</w:t>
      </w:r>
    </w:p>
    <w:tbl>
      <w:tblPr>
        <w:tblOverlap w:val="never"/>
        <w:jc w:val="center"/>
        <w:tblLayout w:type="fixed"/>
      </w:tblPr>
      <w:tblGrid>
        <w:gridCol w:w="922"/>
        <w:gridCol w:w="4896"/>
        <w:gridCol w:w="1272"/>
        <w:gridCol w:w="2563"/>
      </w:tblGrid>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公告编号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登载日期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登载的互联网网站及检索路径</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关于公司利用自有闲置资金投资理财产品的公告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关于核销长期挂账往来款项的公告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年度业绩预告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关于收购控股子公司上海季娱网络科技有限公司少数股东股权 的公告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年度业绩快报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关于控股股东的一致行动人进行股份质押的公告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关于收购控股子公司上海季娱网络科技有限公司少数股东股权 的进展公告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关于收购控股子公司上海季娱网络科技有限公司少数股东股权 的进展公告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关于签署股权收购意向协议的公告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关于控股子公司管理团队、核心人员放弃超额业绩奖励的公告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关于职工代表监事辞职并选举产生新职工代表监事的公告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关于公司控股股东一致行动人之间股权转让计划的提示性公告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关于公司控股股东一致行动人之间股权转让进展暨部分股份解 除质押的公告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关于公司控股股东的一致行动人减持公司股份超过</w:t>
            </w:r>
            <w:r>
              <w:rPr>
                <w:rFonts w:ascii="Times New Roman" w:eastAsia="Times New Roman" w:hAnsi="Times New Roman" w:cs="Times New Roman"/>
                <w:color w:val="000000"/>
                <w:spacing w:val="0"/>
                <w:w w:val="100"/>
                <w:position w:val="0"/>
              </w:rPr>
              <w:t>1%</w:t>
            </w:r>
            <w:r>
              <w:rPr>
                <w:color w:val="000000"/>
                <w:spacing w:val="0"/>
                <w:w w:val="100"/>
                <w:position w:val="0"/>
              </w:rPr>
              <w:t>暨部分 股份解除质押的公告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22"/>
                <w:szCs w:val="22"/>
              </w:rPr>
              <w:t>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关于公司控股股东的一致行动人减持公司股份超过</w:t>
            </w:r>
            <w:r>
              <w:rPr>
                <w:rFonts w:ascii="Times New Roman" w:eastAsia="Times New Roman" w:hAnsi="Times New Roman" w:cs="Times New Roman"/>
                <w:color w:val="000000"/>
                <w:spacing w:val="0"/>
                <w:w w:val="100"/>
                <w:position w:val="0"/>
              </w:rPr>
              <w:t>1%</w:t>
            </w:r>
            <w:r>
              <w:rPr>
                <w:color w:val="000000"/>
                <w:spacing w:val="0"/>
                <w:w w:val="100"/>
                <w:position w:val="0"/>
              </w:rPr>
              <w:t>暨部分 股份解除质押的公告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22"/>
                <w:szCs w:val="22"/>
              </w:rPr>
              <w:t>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6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关于公司控股股东一致行动人之间股权转让进展暨部分股份解 除质押的公告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22"/>
                <w:szCs w:val="22"/>
              </w:rPr>
              <w:t>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关于签署一致行动人协议的公告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关于公司控股股东一致行动人之间股权转让实施完成暨部分股 份解除质押的公告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22"/>
                <w:szCs w:val="22"/>
              </w:rPr>
              <w:t>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关于公司控股股东一致行动人之间股权转让计划的提示性公告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关于公司变更总裁暨聘任高级管理人员的公告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关于签署一致行动人协议的公告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关于公司控股股东一致行动人之间股权转让实施完成的公告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关于控股股东部分股份解除质押暨再质押的公告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关于子公司投资的产业并购基金对外投资的进展公告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关于成都哆可梦网络科技有限公司</w:t>
            </w:r>
            <w:r>
              <w:rPr>
                <w:rFonts w:ascii="Times New Roman" w:eastAsia="Times New Roman" w:hAnsi="Times New Roman" w:cs="Times New Roman"/>
                <w:color w:val="000000"/>
                <w:spacing w:val="0"/>
                <w:w w:val="100"/>
                <w:position w:val="0"/>
              </w:rPr>
              <w:t>77.57%</w:t>
            </w:r>
            <w:r>
              <w:rPr>
                <w:color w:val="000000"/>
                <w:spacing w:val="0"/>
                <w:w w:val="100"/>
                <w:position w:val="0"/>
              </w:rPr>
              <w:t>股东权益价值减值测 试专项报告的公告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22"/>
                <w:szCs w:val="22"/>
              </w:rPr>
              <w:t>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深圳市惠程信息科技股份有限公司非公开发行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股股票预案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关于董事辞职的公告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关于控股股东部分股份解除质押暨再质押的公告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关于对外投资设立合资公司的公告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36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058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关于子公司投资的产业并购基金对外投资的进展公告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22"/>
                <w:szCs w:val="22"/>
              </w:rPr>
              <w:t>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bl>
    <w:p>
      <w:pPr>
        <w:spacing w:lineRule="exact" w:line="1"/>
        <w:rPr>
          <w:sz w:val="2"/>
          <w:szCs w:val="2"/>
        </w:rPr>
      </w:pPr>
      <w:r>
        <w:br w:type="page"/>
      </w:r>
    </w:p>
    <w:tbl>
      <w:tblPr>
        <w:tblOverlap w:val="never"/>
        <w:jc w:val="center"/>
        <w:tblLayout w:type="fixed"/>
      </w:tblPr>
      <w:tblGrid>
        <w:gridCol w:w="922"/>
        <w:gridCol w:w="4896"/>
        <w:gridCol w:w="1272"/>
        <w:gridCol w:w="2563"/>
      </w:tblGrid>
      <w:tr>
        <w:trPr>
          <w:trHeight w:val="6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059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年前三季度业绩预告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060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关于控股股东部分股份解除质押暨再质押的公告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6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062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关于签署股权收购意向协议的进展公告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简式权益变动报告书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关于拟聘任会计师事务所的公告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关于向深圳市高新投集团有限公司申请信用贷款并接受关联方 担保的公告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关于选举产生第七届监事会职工代表监事的公告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关于公司与国网信息通信产业集团有限公司签订战略合作协议 的公告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关于董事会、监事会换届完成并聘任高级管理人员和内审负责 人、证券事务代表的公告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关于公司控股股东的一致行动人被动减持公司部分股份的公告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关于签署一致行动人协议的公告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081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关于公司控股股东一致行动人之间股权转让进展的公告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6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082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关于公司控股股东的一致行动人减持公司股份超过</w:t>
            </w:r>
            <w:r>
              <w:rPr>
                <w:rFonts w:ascii="Times New Roman" w:eastAsia="Times New Roman" w:hAnsi="Times New Roman" w:cs="Times New Roman"/>
                <w:color w:val="000000"/>
                <w:spacing w:val="0"/>
                <w:w w:val="100"/>
                <w:position w:val="0"/>
              </w:rPr>
              <w:t>1%</w:t>
            </w:r>
            <w:r>
              <w:rPr>
                <w:color w:val="000000"/>
                <w:spacing w:val="0"/>
                <w:w w:val="100"/>
                <w:position w:val="0"/>
              </w:rPr>
              <w:t>的公告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083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关于对外投资设立合资公司的进展公告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084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关于公司控股股东的一致行动人减持公司股份超过</w:t>
            </w:r>
            <w:r>
              <w:rPr>
                <w:rFonts w:ascii="Times New Roman" w:eastAsia="Times New Roman" w:hAnsi="Times New Roman" w:cs="Times New Roman"/>
                <w:color w:val="000000"/>
                <w:spacing w:val="0"/>
                <w:w w:val="100"/>
                <w:position w:val="0"/>
              </w:rPr>
              <w:t>1%</w:t>
            </w:r>
            <w:r>
              <w:rPr>
                <w:color w:val="000000"/>
                <w:spacing w:val="0"/>
                <w:w w:val="100"/>
                <w:position w:val="0"/>
              </w:rPr>
              <w:t>的公告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085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关于筹划控制权变更的停牌公告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6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086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关于继续筹划公司控制权变更暨复牌的公告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简式权益变动报告书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r>
        <w:trPr>
          <w:trHeight w:val="67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2020-088</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关于终止筹划控制权变更的公告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bl>
    <w:p>
      <w:pPr>
        <w:widowControl w:val="0"/>
        <w:spacing w:after="619" w:line="1" w:lineRule="exact"/>
      </w:pPr>
    </w:p>
    <w:p>
      <w:pPr>
        <w:pStyle w:val="Style29"/>
        <w:keepNext/>
        <w:keepLines/>
        <w:widowControl w:val="0"/>
        <w:shd w:val="clear" w:color="auto" w:fill="auto"/>
        <w:bidi w:val="0"/>
        <w:spacing w:before="0" w:after="360" w:line="240" w:lineRule="auto"/>
        <w:ind w:left="0" w:right="0" w:firstLine="0"/>
        <w:jc w:val="left"/>
      </w:pPr>
      <w:bookmarkStart w:id="413" w:name="bookmark413"/>
      <w:bookmarkStart w:id="414" w:name="bookmark414"/>
      <w:bookmarkStart w:id="415" w:name="bookmark415"/>
      <w:r>
        <w:rPr>
          <w:color w:val="000000"/>
          <w:spacing w:val="0"/>
          <w:w w:val="100"/>
          <w:position w:val="0"/>
          <w:sz w:val="24"/>
          <w:szCs w:val="24"/>
        </w:rPr>
        <w:t>二十、公司子公司重大事项</w:t>
      </w:r>
      <w:bookmarkEnd w:id="413"/>
      <w:bookmarkEnd w:id="414"/>
      <w:bookmarkEnd w:id="415"/>
    </w:p>
    <w:p>
      <w:pPr>
        <w:pStyle w:val="Style3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314" w:lineRule="exact"/>
        <w:ind w:left="0" w:right="0" w:firstLine="36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color w:val="000000"/>
          <w:spacing w:val="0"/>
          <w:w w:val="100"/>
          <w:position w:val="0"/>
        </w:rPr>
        <w:t>，</w:t>
      </w:r>
      <w:r>
        <w:rPr>
          <w:color w:val="000000"/>
          <w:spacing w:val="0"/>
          <w:w w:val="100"/>
          <w:position w:val="0"/>
        </w:rPr>
        <w:t>经控股子公司哆可梦股东会决议，同意将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日股东会审议的现金分红方案修改为：哆可 梦向全体股东派发现金分红金额总计</w:t>
      </w:r>
      <w:r>
        <w:rPr>
          <w:rFonts w:ascii="Times New Roman" w:eastAsia="Times New Roman" w:hAnsi="Times New Roman" w:cs="Times New Roman"/>
          <w:color w:val="000000"/>
          <w:spacing w:val="0"/>
          <w:w w:val="100"/>
          <w:position w:val="0"/>
        </w:rPr>
        <w:t>109,578,445.28</w:t>
      </w:r>
      <w:r>
        <w:rPr>
          <w:color w:val="000000"/>
          <w:spacing w:val="0"/>
          <w:w w:val="100"/>
          <w:position w:val="0"/>
        </w:rPr>
        <w:t xml:space="preserve">元人民币，股东按出资比例分取现金分红，其中：向公司派发现金分红 </w:t>
      </w:r>
      <w:r>
        <w:rPr>
          <w:rFonts w:ascii="Times New Roman" w:eastAsia="Times New Roman" w:hAnsi="Times New Roman" w:cs="Times New Roman"/>
          <w:color w:val="000000"/>
          <w:spacing w:val="0"/>
          <w:w w:val="100"/>
          <w:position w:val="0"/>
        </w:rPr>
        <w:t>85,000,000.00</w:t>
      </w:r>
      <w:r>
        <w:rPr>
          <w:color w:val="000000"/>
          <w:spacing w:val="0"/>
          <w:w w:val="100"/>
          <w:position w:val="0"/>
        </w:rPr>
        <w:t>元人民币，向中冀投资股份有限公司派发现金分红</w:t>
      </w:r>
      <w:r>
        <w:rPr>
          <w:rFonts w:ascii="Times New Roman" w:eastAsia="Times New Roman" w:hAnsi="Times New Roman" w:cs="Times New Roman"/>
          <w:color w:val="000000"/>
          <w:spacing w:val="0"/>
          <w:w w:val="100"/>
          <w:position w:val="0"/>
        </w:rPr>
        <w:t>24,578,445.28</w:t>
      </w:r>
      <w:r>
        <w:rPr>
          <w:color w:val="000000"/>
          <w:spacing w:val="0"/>
          <w:w w:val="100"/>
          <w:position w:val="0"/>
        </w:rPr>
        <w:t>元人民币。因哆可梦向公司的分红款项冲抵了 双方的往来资金，不涉及支付现金分红款及退还超额分红款事宜；哆可梦于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日向中冀投资股份有限公司实际 </w:t>
      </w:r>
      <w:r>
        <w:rPr>
          <w:color w:val="000000"/>
          <w:spacing w:val="0"/>
          <w:w w:val="100"/>
          <w:position w:val="0"/>
        </w:rPr>
        <w:t>派发现金分红</w:t>
      </w:r>
      <w:r>
        <w:rPr>
          <w:rFonts w:ascii="Times New Roman" w:eastAsia="Times New Roman" w:hAnsi="Times New Roman" w:cs="Times New Roman"/>
          <w:color w:val="000000"/>
          <w:spacing w:val="0"/>
          <w:w w:val="100"/>
          <w:position w:val="0"/>
        </w:rPr>
        <w:t>60,542,975.8</w:t>
      </w:r>
      <w:r>
        <w:rPr>
          <w:rFonts w:ascii="Times New Roman" w:eastAsia="Times New Roman" w:hAnsi="Times New Roman" w:cs="Times New Roman"/>
          <w:color w:val="000000"/>
          <w:spacing w:val="0"/>
          <w:w w:val="100"/>
          <w:position w:val="0"/>
        </w:rPr>
        <w:t>1</w:t>
      </w:r>
      <w:r>
        <w:rPr>
          <w:color w:val="000000"/>
          <w:spacing w:val="0"/>
          <w:w w:val="100"/>
          <w:position w:val="0"/>
        </w:rPr>
        <w:t>元人民币，超额发放的现金红利</w:t>
      </w:r>
      <w:r>
        <w:rPr>
          <w:rFonts w:ascii="Times New Roman" w:eastAsia="Times New Roman" w:hAnsi="Times New Roman" w:cs="Times New Roman"/>
          <w:color w:val="000000"/>
          <w:spacing w:val="0"/>
          <w:w w:val="100"/>
          <w:position w:val="0"/>
        </w:rPr>
        <w:t>35,964,530.53</w:t>
      </w:r>
      <w:r>
        <w:rPr>
          <w:color w:val="000000"/>
          <w:spacing w:val="0"/>
          <w:w w:val="100"/>
          <w:position w:val="0"/>
        </w:rPr>
        <w:t>元应返还哆可梦。</w:t>
      </w:r>
    </w:p>
    <w:p>
      <w:pPr>
        <w:pStyle w:val="Style33"/>
        <w:keepNext w:val="0"/>
        <w:keepLines w:val="0"/>
        <w:widowControl w:val="0"/>
        <w:shd w:val="clear" w:color="auto" w:fill="auto"/>
        <w:bidi w:val="0"/>
        <w:spacing w:before="0" w:after="80" w:line="314" w:lineRule="exact"/>
        <w:ind w:left="0" w:right="0" w:firstLine="3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月，经哆可梦股东会审议，同意向全体股东派发现金分红人民币</w:t>
      </w:r>
      <w:r>
        <w:rPr>
          <w:rFonts w:ascii="Times New Roman" w:eastAsia="Times New Roman" w:hAnsi="Times New Roman" w:cs="Times New Roman"/>
          <w:color w:val="000000"/>
          <w:spacing w:val="0"/>
          <w:w w:val="100"/>
          <w:position w:val="0"/>
        </w:rPr>
        <w:t>160,341,197.19</w:t>
      </w:r>
      <w:r>
        <w:rPr>
          <w:color w:val="000000"/>
          <w:spacing w:val="0"/>
          <w:w w:val="100"/>
          <w:position w:val="0"/>
        </w:rPr>
        <w:t>元，股东按出资比例享有现金 分红款，其中：向公司派发现金分红</w:t>
      </w:r>
      <w:r>
        <w:rPr>
          <w:rFonts w:ascii="Times New Roman" w:eastAsia="Times New Roman" w:hAnsi="Times New Roman" w:cs="Times New Roman"/>
          <w:color w:val="000000"/>
          <w:spacing w:val="0"/>
          <w:w w:val="100"/>
          <w:position w:val="0"/>
        </w:rPr>
        <w:t>124,376,666.66</w:t>
      </w:r>
      <w:r>
        <w:rPr>
          <w:color w:val="000000"/>
          <w:spacing w:val="0"/>
          <w:w w:val="100"/>
          <w:position w:val="0"/>
        </w:rPr>
        <w:t>元，向中冀投资派发现金分红</w:t>
      </w:r>
      <w:r>
        <w:rPr>
          <w:rFonts w:ascii="Times New Roman" w:eastAsia="Times New Roman" w:hAnsi="Times New Roman" w:cs="Times New Roman"/>
          <w:color w:val="000000"/>
          <w:spacing w:val="0"/>
          <w:w w:val="100"/>
          <w:position w:val="0"/>
        </w:rPr>
        <w:t>35,964,530.53</w:t>
      </w:r>
      <w:r>
        <w:rPr>
          <w:color w:val="000000"/>
          <w:spacing w:val="0"/>
          <w:w w:val="100"/>
          <w:position w:val="0"/>
        </w:rPr>
        <w:t>元。哆可梦应向公司派发的 分红款项冲抵了双方的借款，本次分红不涉及实际支付款项；本次应发放给中冀投资的现金股利直接冲抵</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向中冀投资超额发放的现金分红</w:t>
      </w:r>
      <w:r>
        <w:rPr>
          <w:rFonts w:ascii="Times New Roman" w:eastAsia="Times New Roman" w:hAnsi="Times New Roman" w:cs="Times New Roman"/>
          <w:color w:val="000000"/>
          <w:spacing w:val="0"/>
          <w:w w:val="100"/>
          <w:position w:val="0"/>
        </w:rPr>
        <w:t>35,964,530.53</w:t>
      </w:r>
      <w:r>
        <w:rPr>
          <w:color w:val="000000"/>
          <w:spacing w:val="0"/>
          <w:w w:val="100"/>
          <w:position w:val="0"/>
        </w:rPr>
        <w:t>元，本次分红不涉及实际支付款项。</w:t>
      </w:r>
    </w:p>
    <w:p>
      <w:pPr>
        <w:pStyle w:val="Style31"/>
        <w:keepNext w:val="0"/>
        <w:keepLines w:val="0"/>
        <w:widowControl w:val="0"/>
        <w:shd w:val="clear" w:color="auto" w:fill="auto"/>
        <w:bidi w:val="0"/>
        <w:spacing w:before="0" w:after="0" w:line="240" w:lineRule="auto"/>
        <w:ind w:left="307"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、其他已作为临时报告披露的重大事项:</w:t>
      </w:r>
    </w:p>
    <w:tbl>
      <w:tblPr>
        <w:tblOverlap w:val="never"/>
        <w:jc w:val="center"/>
        <w:tblLayout w:type="fixed"/>
      </w:tblPr>
      <w:tblGrid>
        <w:gridCol w:w="1051"/>
        <w:gridCol w:w="4776"/>
        <w:gridCol w:w="1416"/>
        <w:gridCol w:w="2635"/>
      </w:tblGrid>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公告编号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登载日期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登载的互联网网站及检索路径</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013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关于控股子公司少数股东发生变动的公告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p>
        </w:tc>
      </w:tr>
    </w:tbl>
    <w:p>
      <w:pPr>
        <w:sectPr>
          <w:headerReference w:type="default" r:id="rId27"/>
          <w:footerReference w:type="default" r:id="rId28"/>
          <w:footnotePr>
            <w:pos w:val="pageBottom"/>
            <w:numFmt w:val="decimal"/>
            <w:numRestart w:val="continuous"/>
          </w:footnotePr>
          <w:pgSz w:w="11900" w:h="16840"/>
          <w:pgMar w:top="1388" w:right="949" w:bottom="1503" w:left="1029" w:header="0" w:footer="3" w:gutter="0"/>
          <w:cols w:space="720"/>
          <w:noEndnote/>
          <w:rtlGutter w:val="0"/>
          <w:docGrid w:linePitch="360"/>
        </w:sectPr>
      </w:pPr>
    </w:p>
    <w:p>
      <w:pPr>
        <w:pStyle w:val="Style18"/>
        <w:keepNext/>
        <w:keepLines/>
        <w:widowControl w:val="0"/>
        <w:shd w:val="clear" w:color="auto" w:fill="auto"/>
        <w:bidi w:val="0"/>
        <w:spacing w:before="620" w:line="240" w:lineRule="auto"/>
        <w:ind w:left="0" w:right="0" w:firstLine="0"/>
        <w:jc w:val="center"/>
      </w:pPr>
      <w:bookmarkStart w:id="416" w:name="bookmark416"/>
      <w:bookmarkStart w:id="417" w:name="bookmark417"/>
      <w:bookmarkStart w:id="418" w:name="bookmark418"/>
      <w:r>
        <w:rPr>
          <w:color w:val="000000"/>
          <w:spacing w:val="0"/>
          <w:w w:val="100"/>
          <w:position w:val="0"/>
        </w:rPr>
        <w:t>第六节股份变动及股东情况</w:t>
      </w:r>
      <w:bookmarkEnd w:id="416"/>
      <w:bookmarkEnd w:id="417"/>
      <w:bookmarkEnd w:id="418"/>
    </w:p>
    <w:p>
      <w:pPr>
        <w:pStyle w:val="Style29"/>
        <w:keepNext/>
        <w:keepLines/>
        <w:widowControl w:val="0"/>
        <w:shd w:val="clear" w:color="auto" w:fill="auto"/>
        <w:bidi w:val="0"/>
        <w:spacing w:before="0" w:after="360" w:line="240" w:lineRule="auto"/>
        <w:ind w:left="0" w:right="0" w:firstLine="0"/>
        <w:jc w:val="left"/>
      </w:pPr>
      <w:bookmarkStart w:id="419" w:name="bookmark419"/>
      <w:bookmarkStart w:id="420" w:name="bookmark420"/>
      <w:bookmarkStart w:id="421" w:name="bookmark421"/>
      <w:bookmarkStart w:id="422" w:name="bookmark422"/>
      <w:bookmarkStart w:id="423" w:name="bookmark423"/>
      <w:r>
        <w:rPr>
          <w:color w:val="000000"/>
          <w:spacing w:val="0"/>
          <w:w w:val="100"/>
          <w:position w:val="0"/>
          <w:sz w:val="24"/>
          <w:szCs w:val="24"/>
        </w:rPr>
        <w:t>一</w:t>
      </w:r>
      <w:bookmarkEnd w:id="422"/>
      <w:r>
        <w:rPr>
          <w:color w:val="000000"/>
          <w:spacing w:val="0"/>
          <w:w w:val="100"/>
          <w:position w:val="0"/>
          <w:sz w:val="24"/>
          <w:szCs w:val="24"/>
        </w:rPr>
        <w:t>、股份变动情况</w:t>
      </w:r>
      <w:bookmarkEnd w:id="420"/>
      <w:bookmarkEnd w:id="421"/>
      <w:bookmarkEnd w:id="423"/>
      <w:bookmarkEnd w:id="419"/>
    </w:p>
    <w:p>
      <w:pPr>
        <w:pStyle w:val="Style37"/>
        <w:keepNext/>
        <w:keepLines/>
        <w:widowControl w:val="0"/>
        <w:shd w:val="clear" w:color="auto" w:fill="auto"/>
        <w:bidi w:val="0"/>
        <w:spacing w:before="0" w:line="240" w:lineRule="auto"/>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1</w:t>
      </w:r>
      <w:bookmarkEnd w:id="426"/>
      <w:r>
        <w:rPr>
          <w:color w:val="000000"/>
          <w:spacing w:val="0"/>
          <w:w w:val="100"/>
          <w:position w:val="0"/>
        </w:rPr>
        <w:t>、股份变动情况</w:t>
      </w:r>
      <w:bookmarkEnd w:id="424"/>
      <w:bookmarkEnd w:id="425"/>
      <w:bookmarkEnd w:id="42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02"/>
        <w:gridCol w:w="955"/>
        <w:gridCol w:w="826"/>
        <w:gridCol w:w="485"/>
        <w:gridCol w:w="571"/>
        <w:gridCol w:w="989"/>
        <w:gridCol w:w="850"/>
        <w:gridCol w:w="994"/>
        <w:gridCol w:w="1013"/>
        <w:gridCol w:w="80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 新股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送股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7,349,925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1,721,300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1,721,300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9,071,225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6,138,675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1,503,750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1,503,750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7,642,425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6,138,675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1,503,750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1,503,750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7,642,425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1,211,250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217,550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217,550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1,428,800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1,211,250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217,550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217,550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1,428,800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794,579,643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99.08%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-1,721,300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-1,721,300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792,858,343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794,579,643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99.08%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-1,721,300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-1,721,300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792,858,343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801,929,568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801,929,568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3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 xml:space="preserve">不适用 </w:t>
      </w: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公司认为必要或证券监管机构要求披露的其他内容</w:t>
      </w:r>
    </w:p>
    <w:p>
      <w:pPr>
        <w:pStyle w:val="Style33"/>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2</w:t>
      </w:r>
      <w:bookmarkEnd w:id="430"/>
      <w:r>
        <w:rPr>
          <w:color w:val="000000"/>
          <w:spacing w:val="0"/>
          <w:w w:val="100"/>
          <w:position w:val="0"/>
        </w:rPr>
        <w:t>、限售股份变动情况</w:t>
      </w:r>
      <w:bookmarkEnd w:id="428"/>
      <w:bookmarkEnd w:id="429"/>
      <w:bookmarkEnd w:id="431"/>
    </w:p>
    <w:p>
      <w:pPr>
        <w:pStyle w:val="Style33"/>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819"/>
        <w:gridCol w:w="926"/>
        <w:gridCol w:w="917"/>
        <w:gridCol w:w="989"/>
        <w:gridCol w:w="854"/>
        <w:gridCol w:w="1982"/>
        <w:gridCol w:w="2102"/>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 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 限售股数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 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徐海啸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1,575,000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按高管股份管理相关规定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337,500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1,537,500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按高管股份管理相关规定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沈晓超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1,365,000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1,755,000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按高管股份管理相关规定</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337,500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1,537,500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按高管股份管理相关规定</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WAN XIAO YANG</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（中文名：万晓阳）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1,211,250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217,550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1,428,800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按高管股份管理相关规定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438,750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438,750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按高管股份管理相关规定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迟永军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359,925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348,675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按高管股份管理相关规定</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7,349,925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1,732,550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9,071,225</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29"/>
        <w:keepNext/>
        <w:keepLines/>
        <w:widowControl w:val="0"/>
        <w:shd w:val="clear" w:color="auto" w:fill="auto"/>
        <w:tabs>
          <w:tab w:pos="517" w:val="left"/>
        </w:tabs>
        <w:bidi w:val="0"/>
        <w:spacing w:before="0" w:after="360" w:line="240" w:lineRule="auto"/>
        <w:ind w:left="0" w:right="0" w:firstLine="0"/>
        <w:jc w:val="left"/>
      </w:pPr>
      <w:bookmarkStart w:id="432" w:name="bookmark432"/>
      <w:bookmarkStart w:id="433" w:name="bookmark433"/>
      <w:bookmarkStart w:id="434" w:name="bookmark434"/>
      <w:bookmarkStart w:id="435" w:name="bookmark435"/>
      <w:r>
        <w:rPr>
          <w:color w:val="000000"/>
          <w:spacing w:val="0"/>
          <w:w w:val="100"/>
          <w:position w:val="0"/>
          <w:sz w:val="24"/>
          <w:szCs w:val="24"/>
        </w:rPr>
        <w:t>二</w:t>
      </w:r>
      <w:bookmarkEnd w:id="434"/>
      <w:r>
        <w:rPr>
          <w:color w:val="000000"/>
          <w:spacing w:val="0"/>
          <w:w w:val="100"/>
          <w:position w:val="0"/>
          <w:sz w:val="24"/>
          <w:szCs w:val="24"/>
        </w:rPr>
        <w:t>、</w:t>
        <w:tab/>
        <w:t>证券发行与上市情况</w:t>
      </w:r>
      <w:bookmarkEnd w:id="432"/>
      <w:bookmarkEnd w:id="433"/>
      <w:bookmarkEnd w:id="435"/>
    </w:p>
    <w:p>
      <w:pPr>
        <w:pStyle w:val="Style37"/>
        <w:keepNext/>
        <w:keepLines/>
        <w:widowControl w:val="0"/>
        <w:shd w:val="clear" w:color="auto" w:fill="auto"/>
        <w:tabs>
          <w:tab w:pos="381" w:val="left"/>
        </w:tabs>
        <w:bidi w:val="0"/>
        <w:spacing w:before="0" w:line="240" w:lineRule="auto"/>
        <w:ind w:left="0" w:right="0" w:firstLine="0"/>
        <w:jc w:val="left"/>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1</w:t>
      </w:r>
      <w:bookmarkEnd w:id="438"/>
      <w:r>
        <w:rPr>
          <w:color w:val="000000"/>
          <w:spacing w:val="0"/>
          <w:w w:val="100"/>
          <w:position w:val="0"/>
        </w:rPr>
        <w:t>、</w:t>
        <w:tab/>
        <w:t>报告期内证券发行（不含优先股）情况</w:t>
      </w:r>
      <w:bookmarkEnd w:id="436"/>
      <w:bookmarkEnd w:id="437"/>
      <w:bookmarkEnd w:id="439"/>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381" w:val="left"/>
        </w:tabs>
        <w:bidi w:val="0"/>
        <w:spacing w:before="0" w:line="240" w:lineRule="auto"/>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2</w:t>
      </w:r>
      <w:bookmarkEnd w:id="442"/>
      <w:r>
        <w:rPr>
          <w:color w:val="000000"/>
          <w:spacing w:val="0"/>
          <w:w w:val="100"/>
          <w:position w:val="0"/>
        </w:rPr>
        <w:t>、</w:t>
        <w:tab/>
        <w:t>公司股份总数及股东结构的变动、公司资产和负债结构的变动情况说明</w:t>
      </w:r>
      <w:bookmarkEnd w:id="440"/>
      <w:bookmarkEnd w:id="441"/>
      <w:bookmarkEnd w:id="443"/>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381" w:val="left"/>
        </w:tabs>
        <w:bidi w:val="0"/>
        <w:spacing w:before="0" w:line="240" w:lineRule="auto"/>
        <w:ind w:left="0" w:right="0" w:firstLine="0"/>
        <w:jc w:val="left"/>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3</w:t>
      </w:r>
      <w:bookmarkEnd w:id="446"/>
      <w:r>
        <w:rPr>
          <w:color w:val="000000"/>
          <w:spacing w:val="0"/>
          <w:w w:val="100"/>
          <w:position w:val="0"/>
        </w:rPr>
        <w:t>、</w:t>
        <w:tab/>
        <w:t>现存的内部职工股情况</w:t>
      </w:r>
      <w:bookmarkEnd w:id="444"/>
      <w:bookmarkEnd w:id="445"/>
      <w:bookmarkEnd w:id="447"/>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522" w:val="left"/>
        </w:tabs>
        <w:bidi w:val="0"/>
        <w:spacing w:before="0" w:after="360" w:line="240" w:lineRule="auto"/>
        <w:ind w:left="0" w:right="0" w:firstLine="0"/>
        <w:jc w:val="left"/>
      </w:pPr>
      <w:bookmarkStart w:id="448" w:name="bookmark448"/>
      <w:bookmarkStart w:id="449" w:name="bookmark449"/>
      <w:bookmarkStart w:id="450" w:name="bookmark450"/>
      <w:bookmarkStart w:id="451" w:name="bookmark451"/>
      <w:r>
        <w:rPr>
          <w:color w:val="000000"/>
          <w:spacing w:val="0"/>
          <w:w w:val="100"/>
          <w:position w:val="0"/>
          <w:sz w:val="24"/>
          <w:szCs w:val="24"/>
        </w:rPr>
        <w:t>三</w:t>
      </w:r>
      <w:bookmarkEnd w:id="450"/>
      <w:r>
        <w:rPr>
          <w:color w:val="000000"/>
          <w:spacing w:val="0"/>
          <w:w w:val="100"/>
          <w:position w:val="0"/>
          <w:sz w:val="24"/>
          <w:szCs w:val="24"/>
        </w:rPr>
        <w:t>、</w:t>
        <w:tab/>
        <w:t>股东和实际控制人情况</w:t>
      </w:r>
      <w:bookmarkEnd w:id="448"/>
      <w:bookmarkEnd w:id="449"/>
      <w:bookmarkEnd w:id="451"/>
    </w:p>
    <w:p>
      <w:pPr>
        <w:pStyle w:val="Style37"/>
        <w:keepNext/>
        <w:keepLines/>
        <w:widowControl w:val="0"/>
        <w:shd w:val="clear" w:color="auto" w:fill="auto"/>
        <w:bidi w:val="0"/>
        <w:spacing w:before="0" w:after="720" w:line="240"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1</w:t>
      </w:r>
      <w:bookmarkEnd w:id="454"/>
      <w:r>
        <w:rPr>
          <w:color w:val="000000"/>
          <w:spacing w:val="0"/>
          <w:w w:val="100"/>
          <w:position w:val="0"/>
        </w:rPr>
        <w:t>、公司股东数量及持股情况</w:t>
      </w:r>
      <w:bookmarkEnd w:id="452"/>
      <w:bookmarkEnd w:id="453"/>
      <w:bookmarkEnd w:id="455"/>
    </w:p>
    <w:p>
      <w:pPr>
        <w:pStyle w:val="Style3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单位：股</w:t>
      </w:r>
      <w:r>
        <w:br w:type="page"/>
      </w:r>
    </w:p>
    <w:tbl>
      <w:tblPr>
        <w:tblOverlap w:val="never"/>
        <w:jc w:val="center"/>
        <w:tblLayout w:type="fixed"/>
      </w:tblPr>
      <w:tblGrid>
        <w:gridCol w:w="1205"/>
        <w:gridCol w:w="754"/>
        <w:gridCol w:w="178"/>
        <w:gridCol w:w="1099"/>
        <w:gridCol w:w="283"/>
        <w:gridCol w:w="427"/>
        <w:gridCol w:w="1133"/>
        <w:gridCol w:w="283"/>
        <w:gridCol w:w="744"/>
        <w:gridCol w:w="850"/>
        <w:gridCol w:w="259"/>
        <w:gridCol w:w="730"/>
        <w:gridCol w:w="538"/>
        <w:gridCol w:w="739"/>
        <w:gridCol w:w="365"/>
      </w:tblGrid>
      <w:tr>
        <w:trPr>
          <w:trHeight w:val="1339" w:hRule="exact"/>
        </w:trPr>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报告期末普通</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62,787</w:t>
            </w:r>
          </w:p>
        </w:tc>
        <w:tc>
          <w:tcPr>
            <w:gridSpan w:val="2"/>
            <w:tcBorders>
              <w:top w:val="single" w:sz="4"/>
              <w:left w:val="single" w:sz="4"/>
            </w:tcBorders>
            <w:shd w:val="clear" w:color="auto" w:fill="D3D3D3"/>
            <w:vAlign w:val="top"/>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57,872</w:t>
            </w:r>
          </w:p>
        </w:tc>
        <w:tc>
          <w:tcPr>
            <w:gridSpan w:val="3"/>
            <w:tcBorders>
              <w:top w:val="single" w:sz="4"/>
              <w:left w:val="single" w:sz="4"/>
            </w:tcBorders>
            <w:shd w:val="clear" w:color="auto" w:fill="D3D3D3"/>
            <w:vAlign w:val="top"/>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报告期末表决权恢复的 优先股股东总数（如 有）（参见注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年度报告披露日前上一 月末表决权恢复的优先 股股东总数（如有）（参 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2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股东性质</w:t>
            </w:r>
          </w:p>
        </w:tc>
        <w:tc>
          <w:tcPr>
            <w:gridSpan w:val="2"/>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right"/>
            </w:pPr>
            <w:r>
              <w:rPr>
                <w:color w:val="000000"/>
                <w:spacing w:val="0"/>
                <w:w w:val="100"/>
                <w:position w:val="0"/>
              </w:rPr>
              <w:t>持有无限售 条件的股份</w:t>
            </w:r>
          </w:p>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715"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 状态</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中驰惠程企业管理有限 公司</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10.54%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280"/>
              <w:jc w:val="both"/>
            </w:pPr>
            <w:r>
              <w:rPr>
                <w:rFonts w:ascii="Times New Roman" w:eastAsia="Times New Roman" w:hAnsi="Times New Roman" w:cs="Times New Roman"/>
                <w:color w:val="000000"/>
                <w:spacing w:val="0"/>
                <w:w w:val="100"/>
                <w:position w:val="0"/>
              </w:rPr>
              <w:t>84,557,366</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84,557,366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52,000,000</w:t>
            </w:r>
          </w:p>
        </w:tc>
      </w:tr>
      <w:tr>
        <w:trPr>
          <w:trHeight w:val="1027"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深圳市惠程信息科技股 份有限公司回购专用证 券账户</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220"/>
              <w:jc w:val="left"/>
            </w:pPr>
            <w:r>
              <w:rPr>
                <w:rFonts w:ascii="Times New Roman" w:eastAsia="Times New Roman" w:hAnsi="Times New Roman" w:cs="Times New Roman"/>
                <w:color w:val="000000"/>
                <w:spacing w:val="0"/>
                <w:w w:val="100"/>
                <w:position w:val="0"/>
              </w:rPr>
              <w:t>2.22%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280"/>
              <w:jc w:val="both"/>
            </w:pPr>
            <w:r>
              <w:rPr>
                <w:rFonts w:ascii="Times New Roman" w:eastAsia="Times New Roman" w:hAnsi="Times New Roman" w:cs="Times New Roman"/>
                <w:color w:val="000000"/>
                <w:spacing w:val="0"/>
                <w:w w:val="100"/>
                <w:position w:val="0"/>
              </w:rPr>
              <w:t>17,766,200</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17,766,200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华夏基金一中央汇金资 产管理有限责任公司一 华夏基金一汇金资管单 一资产管理计划</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80" w:line="240" w:lineRule="auto"/>
              <w:ind w:left="0" w:right="0" w:firstLine="0"/>
              <w:jc w:val="left"/>
            </w:pPr>
            <w:r>
              <w:rPr>
                <w:color w:val="000000"/>
                <w:spacing w:val="0"/>
                <w:w w:val="100"/>
                <w:position w:val="0"/>
              </w:rPr>
              <w:t>境内非国有法</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220"/>
              <w:jc w:val="left"/>
            </w:pPr>
            <w:r>
              <w:rPr>
                <w:rFonts w:ascii="Times New Roman" w:eastAsia="Times New Roman" w:hAnsi="Times New Roman" w:cs="Times New Roman"/>
                <w:color w:val="000000"/>
                <w:spacing w:val="0"/>
                <w:w w:val="100"/>
                <w:position w:val="0"/>
              </w:rPr>
              <w:t>1.78%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280"/>
              <w:jc w:val="both"/>
            </w:pPr>
            <w:r>
              <w:rPr>
                <w:rFonts w:ascii="Times New Roman" w:eastAsia="Times New Roman" w:hAnsi="Times New Roman" w:cs="Times New Roman"/>
                <w:color w:val="000000"/>
                <w:spacing w:val="0"/>
                <w:w w:val="100"/>
                <w:position w:val="0"/>
              </w:rPr>
              <w:t>14,303,030</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14,303,030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14,303,030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13,514,380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-172,617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13,514,380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重庆绿发城市建设有限 公司</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国有法人</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220"/>
              <w:jc w:val="left"/>
            </w:pPr>
            <w:r>
              <w:rPr>
                <w:rFonts w:ascii="Times New Roman" w:eastAsia="Times New Roman" w:hAnsi="Times New Roman" w:cs="Times New Roman"/>
                <w:color w:val="000000"/>
                <w:spacing w:val="0"/>
                <w:w w:val="100"/>
                <w:position w:val="0"/>
              </w:rPr>
              <w:t>1.64%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280"/>
              <w:jc w:val="both"/>
            </w:pPr>
            <w:r>
              <w:rPr>
                <w:rFonts w:ascii="Times New Roman" w:eastAsia="Times New Roman" w:hAnsi="Times New Roman" w:cs="Times New Roman"/>
                <w:color w:val="000000"/>
                <w:spacing w:val="0"/>
                <w:w w:val="100"/>
                <w:position w:val="0"/>
              </w:rPr>
              <w:t>13,183,782</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13,183,782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13,183,782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张玉柱</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4,592,000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4,592,000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陈天惠</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3,794,500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3,794,500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共青城中源信投资管理 合伙企业（有限合伙）</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220"/>
              <w:jc w:val="left"/>
            </w:pPr>
            <w:r>
              <w:rPr>
                <w:rFonts w:ascii="Times New Roman" w:eastAsia="Times New Roman" w:hAnsi="Times New Roman" w:cs="Times New Roman"/>
                <w:color w:val="000000"/>
                <w:spacing w:val="0"/>
                <w:w w:val="100"/>
                <w:position w:val="0"/>
              </w:rPr>
              <w:t>0.39%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380"/>
              <w:jc w:val="both"/>
            </w:pPr>
            <w:r>
              <w:rPr>
                <w:rFonts w:ascii="Times New Roman" w:eastAsia="Times New Roman" w:hAnsi="Times New Roman" w:cs="Times New Roman"/>
                <w:color w:val="000000"/>
                <w:spacing w:val="0"/>
                <w:w w:val="100"/>
                <w:position w:val="0"/>
              </w:rPr>
              <w:t>3,127,318</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-14,096,444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240"/>
              <w:jc w:val="both"/>
            </w:pPr>
            <w:r>
              <w:rPr>
                <w:rFonts w:ascii="Times New Roman" w:eastAsia="Times New Roman" w:hAnsi="Times New Roman" w:cs="Times New Roman"/>
                <w:color w:val="000000"/>
                <w:spacing w:val="0"/>
                <w:w w:val="100"/>
                <w:position w:val="0"/>
              </w:rPr>
              <w:t>3,127,318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杨富年</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2,685,000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2,685,000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骆勇强</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2,500,500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2,500,500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11"/>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共青城中源信投资管理合伙企业（有限合伙）系中驰惠程企业管理有限公司的 一致行动人，合计持股</w:t>
            </w:r>
            <w:r>
              <w:rPr>
                <w:rFonts w:ascii="Times New Roman" w:eastAsia="Times New Roman" w:hAnsi="Times New Roman" w:cs="Times New Roman"/>
                <w:color w:val="000000"/>
                <w:spacing w:val="0"/>
                <w:w w:val="100"/>
                <w:position w:val="0"/>
              </w:rPr>
              <w:t>87,684,684</w:t>
            </w:r>
            <w:r>
              <w:rPr>
                <w:color w:val="000000"/>
                <w:spacing w:val="0"/>
                <w:w w:val="100"/>
                <w:position w:val="0"/>
              </w:rPr>
              <w:t>股，占公司期末总股本</w:t>
            </w:r>
            <w:r>
              <w:rPr>
                <w:rFonts w:ascii="Times New Roman" w:eastAsia="Times New Roman" w:hAnsi="Times New Roman" w:cs="Times New Roman"/>
                <w:color w:val="000000"/>
                <w:spacing w:val="0"/>
                <w:w w:val="100"/>
                <w:position w:val="0"/>
              </w:rPr>
              <w:t>10.93%</w:t>
            </w:r>
            <w:r>
              <w:rPr>
                <w:color w:val="000000"/>
                <w:spacing w:val="0"/>
                <w:w w:val="100"/>
                <w:position w:val="0"/>
              </w:rPr>
              <w:t>；其他股东之 间关系不详。</w:t>
            </w:r>
          </w:p>
        </w:tc>
      </w:tr>
      <w:tr>
        <w:trPr>
          <w:trHeight w:val="403" w:hRule="exact"/>
        </w:trPr>
        <w:tc>
          <w:tcPr>
            <w:gridSpan w:val="1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398" w:hRule="exact"/>
        </w:trPr>
        <w:tc>
          <w:tcPr>
            <w:gridSpan w:val="8"/>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报告期末持有无限售条 件股份数量</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8"/>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r>
      <w:tr>
        <w:trPr>
          <w:trHeight w:val="403" w:hRule="exact"/>
        </w:trPr>
        <w:tc>
          <w:tcPr>
            <w:gridSpan w:val="8"/>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中驰惠程企业管理有限公司</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84,557,366</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84,557,366</w:t>
            </w:r>
          </w:p>
        </w:tc>
      </w:tr>
      <w:tr>
        <w:trPr>
          <w:trHeight w:val="403" w:hRule="exact"/>
        </w:trPr>
        <w:tc>
          <w:tcPr>
            <w:gridSpan w:val="8"/>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深圳市惠程信息科技股份有限公司回购专用证券账户</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17,766,200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17,766,200</w:t>
            </w:r>
          </w:p>
        </w:tc>
      </w:tr>
      <w:tr>
        <w:trPr>
          <w:trHeight w:val="710" w:hRule="exact"/>
        </w:trPr>
        <w:tc>
          <w:tcPr>
            <w:gridSpan w:val="8"/>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华夏基金一中央汇金资产管理有限责任公司一华夏基金一汇金资管 单一资产管理计划</w:t>
            </w:r>
          </w:p>
        </w:tc>
        <w:tc>
          <w:tcPr>
            <w:gridSpan w:val="3"/>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1020" w:right="0" w:firstLine="0"/>
              <w:jc w:val="both"/>
            </w:pPr>
            <w:r>
              <w:rPr>
                <w:rFonts w:ascii="Times New Roman" w:eastAsia="Times New Roman" w:hAnsi="Times New Roman" w:cs="Times New Roman"/>
                <w:color w:val="000000"/>
                <w:spacing w:val="0"/>
                <w:w w:val="100"/>
                <w:position w:val="0"/>
              </w:rPr>
              <w:t>14,303,030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14,303,030</w:t>
            </w:r>
          </w:p>
        </w:tc>
      </w:tr>
      <w:tr>
        <w:trPr>
          <w:trHeight w:val="403" w:hRule="exact"/>
        </w:trPr>
        <w:tc>
          <w:tcPr>
            <w:gridSpan w:val="8"/>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13,514,380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13,514,380</w:t>
            </w:r>
          </w:p>
        </w:tc>
      </w:tr>
      <w:tr>
        <w:trPr>
          <w:trHeight w:val="413" w:hRule="exact"/>
        </w:trPr>
        <w:tc>
          <w:tcPr>
            <w:gridSpan w:val="8"/>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重庆绿发城市建设有限公司</w:t>
            </w:r>
          </w:p>
        </w:tc>
        <w:tc>
          <w:tcPr>
            <w:gridSpan w:val="3"/>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13,183,782</w:t>
            </w:r>
          </w:p>
        </w:tc>
        <w:tc>
          <w:tcPr>
            <w:gridSpan w:val="2"/>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13,183,782</w:t>
            </w:r>
          </w:p>
        </w:tc>
      </w:tr>
    </w:tbl>
    <w:p>
      <w:pPr>
        <w:spacing w:lineRule="exact" w:line="1"/>
        <w:rPr>
          <w:sz w:val="2"/>
          <w:szCs w:val="2"/>
        </w:rPr>
      </w:pPr>
      <w:r>
        <w:br w:type="page"/>
      </w:r>
    </w:p>
    <w:tbl>
      <w:tblPr>
        <w:tblOverlap w:val="never"/>
        <w:jc w:val="center"/>
        <w:tblLayout w:type="fixed"/>
      </w:tblPr>
      <w:tblGrid>
        <w:gridCol w:w="3096"/>
        <w:gridCol w:w="2266"/>
        <w:gridCol w:w="1858"/>
        <w:gridCol w:w="1262"/>
        <w:gridCol w:w="1104"/>
      </w:tblGrid>
      <w:tr>
        <w:trPr>
          <w:trHeight w:val="403"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张玉柱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4,592,000</w:t>
            </w:r>
          </w:p>
        </w:tc>
      </w:tr>
      <w:tr>
        <w:trPr>
          <w:trHeight w:val="403"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陈天惠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3,794,500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3,794,500</w:t>
            </w:r>
          </w:p>
        </w:tc>
      </w:tr>
      <w:tr>
        <w:trPr>
          <w:trHeight w:val="403"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共青城中源信投资管理合伙企业（有限合伙）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3,127,318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3,127,318</w:t>
            </w:r>
          </w:p>
        </w:tc>
      </w:tr>
      <w:tr>
        <w:trPr>
          <w:trHeight w:val="403"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杨富年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2,685,000</w:t>
            </w:r>
          </w:p>
        </w:tc>
      </w:tr>
      <w:tr>
        <w:trPr>
          <w:trHeight w:val="398"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骆勇强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2,500,500</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名无限售流通股股东之间，以及 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rPr>
              <w:t>10</w:t>
            </w:r>
            <w:r>
              <w:rPr>
                <w:color w:val="000000"/>
                <w:spacing w:val="0"/>
                <w:w w:val="100"/>
                <w:position w:val="0"/>
              </w:rPr>
              <w:t>名 股东之间关联关系或一致行动的说明</w:t>
            </w:r>
          </w:p>
        </w:tc>
        <w:tc>
          <w:tcPr>
            <w:gridSpan w:val="4"/>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共青城中源信投资管理合伙企业（有限合伙）系中驰惠程企业管理有限公司的一 致行动人，合计持股</w:t>
            </w:r>
            <w:r>
              <w:rPr>
                <w:rFonts w:ascii="Times New Roman" w:eastAsia="Times New Roman" w:hAnsi="Times New Roman" w:cs="Times New Roman"/>
                <w:color w:val="000000"/>
                <w:spacing w:val="0"/>
                <w:w w:val="100"/>
                <w:position w:val="0"/>
              </w:rPr>
              <w:t>87,684,684</w:t>
            </w:r>
            <w:r>
              <w:rPr>
                <w:color w:val="000000"/>
                <w:spacing w:val="0"/>
                <w:w w:val="100"/>
                <w:position w:val="0"/>
              </w:rPr>
              <w:t>股，占公司期末总股本</w:t>
            </w:r>
            <w:r>
              <w:rPr>
                <w:rFonts w:ascii="Times New Roman" w:eastAsia="Times New Roman" w:hAnsi="Times New Roman" w:cs="Times New Roman"/>
                <w:color w:val="000000"/>
                <w:spacing w:val="0"/>
                <w:w w:val="100"/>
                <w:position w:val="0"/>
              </w:rPr>
              <w:t>10.93%</w:t>
            </w:r>
            <w:r>
              <w:rPr>
                <w:color w:val="000000"/>
                <w:spacing w:val="0"/>
                <w:w w:val="100"/>
                <w:position w:val="0"/>
              </w:rPr>
              <w:t>；其他股东之间关 系不详。</w:t>
            </w: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名普通股股东参与融资融券业务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4"/>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中驰惠程企业管理有限公司、张玉柱、陈天惠、共青城中源信投资管理合伙企业 （有限合伙）参与融资融券业务，涉及的股份数分别为</w:t>
            </w:r>
            <w:r>
              <w:rPr>
                <w:rFonts w:ascii="Times New Roman" w:eastAsia="Times New Roman" w:hAnsi="Times New Roman" w:cs="Times New Roman"/>
                <w:color w:val="000000"/>
                <w:spacing w:val="0"/>
                <w:w w:val="100"/>
                <w:position w:val="0"/>
              </w:rPr>
              <w:t>32,557,366</w:t>
            </w:r>
            <w:r>
              <w:rPr>
                <w:color w:val="000000"/>
                <w:spacing w:val="0"/>
                <w:w w:val="100"/>
                <w:position w:val="0"/>
              </w:rPr>
              <w:t>股、</w:t>
            </w:r>
            <w:r>
              <w:rPr>
                <w:rFonts w:ascii="Times New Roman" w:eastAsia="Times New Roman" w:hAnsi="Times New Roman" w:cs="Times New Roman"/>
                <w:color w:val="000000"/>
                <w:spacing w:val="0"/>
                <w:w w:val="100"/>
                <w:position w:val="0"/>
              </w:rPr>
              <w:t xml:space="preserve">4,592,000 </w:t>
            </w:r>
            <w:r>
              <w:rPr>
                <w:color w:val="000000"/>
                <w:spacing w:val="0"/>
                <w:w w:val="100"/>
                <w:position w:val="0"/>
              </w:rPr>
              <w:t>股、</w:t>
            </w:r>
            <w:r>
              <w:rPr>
                <w:rFonts w:ascii="Times New Roman" w:eastAsia="Times New Roman" w:hAnsi="Times New Roman" w:cs="Times New Roman"/>
                <w:color w:val="000000"/>
                <w:spacing w:val="0"/>
                <w:w w:val="100"/>
                <w:position w:val="0"/>
              </w:rPr>
              <w:t xml:space="preserve">3,788,600 </w:t>
            </w:r>
            <w:r>
              <w:rPr>
                <w:color w:val="000000"/>
                <w:spacing w:val="0"/>
                <w:w w:val="100"/>
                <w:position w:val="0"/>
              </w:rPr>
              <w:t>股、</w:t>
            </w:r>
            <w:r>
              <w:rPr>
                <w:rFonts w:ascii="Times New Roman" w:eastAsia="Times New Roman" w:hAnsi="Times New Roman" w:cs="Times New Roman"/>
                <w:color w:val="000000"/>
                <w:spacing w:val="0"/>
                <w:w w:val="100"/>
                <w:position w:val="0"/>
              </w:rPr>
              <w:t xml:space="preserve">3,127,318 </w:t>
            </w:r>
            <w:r>
              <w:rPr>
                <w:color w:val="000000"/>
                <w:spacing w:val="0"/>
                <w:w w:val="100"/>
                <w:position w:val="0"/>
              </w:rPr>
              <w:t>股。</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7"/>
        <w:keepNext/>
        <w:keepLines/>
        <w:widowControl w:val="0"/>
        <w:shd w:val="clear" w:color="auto" w:fill="auto"/>
        <w:bidi w:val="0"/>
        <w:spacing w:before="0" w:after="38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2</w:t>
      </w:r>
      <w:bookmarkEnd w:id="458"/>
      <w:r>
        <w:rPr>
          <w:color w:val="000000"/>
          <w:spacing w:val="0"/>
          <w:w w:val="100"/>
          <w:position w:val="0"/>
        </w:rPr>
        <w:t>、公司控股股东情况</w:t>
      </w:r>
      <w:bookmarkEnd w:id="456"/>
      <w:bookmarkEnd w:id="457"/>
      <w:bookmarkEnd w:id="459"/>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控股股东性质：自然人控股</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386"/>
        <w:gridCol w:w="1277"/>
        <w:gridCol w:w="1555"/>
        <w:gridCol w:w="1704"/>
        <w:gridCol w:w="2664"/>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 位负责人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主要经营业务</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中驰惠程企业管理有限公司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汪超涌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911101073303568270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企业管理；企业营销策划；企业 管理咨询；技术开发、技术转 让、技术咨询、技术服务。</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tabs>
                <w:tab w:pos="5774" w:val="left"/>
              </w:tabs>
              <w:bidi w:val="0"/>
              <w:spacing w:before="0" w:after="0" w:line="240" w:lineRule="auto"/>
              <w:ind w:left="0" w:right="0" w:firstLine="0"/>
              <w:jc w:val="left"/>
            </w:pPr>
            <w:r>
              <w:rPr>
                <w:color w:val="000000"/>
                <w:spacing w:val="0"/>
                <w:w w:val="100"/>
                <w:position w:val="0"/>
              </w:rPr>
              <w:t>控股股东报告期内控股和参股的其他境内外上市公司的股权情况</w:t>
              <w:tab/>
              <w:t>无。</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控股股东报告期内变更</w:t>
      </w:r>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7"/>
        <w:keepNext/>
        <w:keepLines/>
        <w:widowControl w:val="0"/>
        <w:shd w:val="clear" w:color="auto" w:fill="auto"/>
        <w:bidi w:val="0"/>
        <w:spacing w:before="0" w:after="380" w:line="240" w:lineRule="auto"/>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3</w:t>
      </w:r>
      <w:bookmarkEnd w:id="462"/>
      <w:r>
        <w:rPr>
          <w:color w:val="000000"/>
          <w:spacing w:val="0"/>
          <w:w w:val="100"/>
          <w:position w:val="0"/>
        </w:rPr>
        <w:t>、公司实际控制人及其一致行动人</w:t>
      </w:r>
      <w:bookmarkEnd w:id="460"/>
      <w:bookmarkEnd w:id="461"/>
      <w:bookmarkEnd w:id="463"/>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实际控制人性质：境内自然人</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1675"/>
        <w:gridCol w:w="1704"/>
        <w:gridCol w:w="1411"/>
        <w:gridCol w:w="2131"/>
        <w:gridCol w:w="266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实际控制人姓名</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汪超涌</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李亦非</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4"/>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汪超涌先生目前主要职业及职务为北京信中利投资股份有限公司董事长。</w:t>
            </w:r>
          </w:p>
        </w:tc>
      </w:tr>
      <w:tr>
        <w:trPr>
          <w:trHeight w:val="725" w:hRule="exact"/>
        </w:trPr>
        <w:tc>
          <w:tcPr>
            <w:gridSpan w:val="2"/>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3"/>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汪超涌先生和李亦非女士系全国中小企业股份转让系统挂牌公司北京信中利投 资股份有限公司一致行动人和实际控制人。</w:t>
            </w:r>
          </w:p>
        </w:tc>
      </w:tr>
    </w:tbl>
    <w:p>
      <w:pPr>
        <w:spacing w:lineRule="exact" w:line="1"/>
        <w:rPr>
          <w:sz w:val="2"/>
          <w:szCs w:val="2"/>
        </w:rPr>
      </w:pPr>
      <w:r>
        <w:br w:type="page"/>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公司报告期实际控制人未发生变更。</w:t>
      </w:r>
    </w:p>
    <w:p>
      <w:pPr>
        <w:pStyle w:val="Style33"/>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4596130" cy="2968625"/>
            <wp:docPr id="61" name="Picutre 61"/>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9"/>
                    <a:stretch/>
                  </pic:blipFill>
                  <pic:spPr>
                    <a:xfrm>
                      <a:ext cx="4596130" cy="2968625"/>
                    </a:xfrm>
                    <a:prstGeom prst="rect"/>
                  </pic:spPr>
                </pic:pic>
              </a:graphicData>
            </a:graphic>
          </wp:inline>
        </w:drawing>
      </w:r>
    </w:p>
    <w:p>
      <w:pPr>
        <w:widowControl w:val="0"/>
        <w:spacing w:after="239" w:line="1" w:lineRule="exact"/>
      </w:pP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实际控制人通过信托或其他资产管理方式控制公司</w:t>
      </w:r>
    </w:p>
    <w:p>
      <w:pPr>
        <w:pStyle w:val="Style3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both"/>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4</w:t>
      </w:r>
      <w:bookmarkEnd w:id="46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64"/>
      <w:bookmarkEnd w:id="465"/>
      <w:bookmarkEnd w:id="467"/>
    </w:p>
    <w:p>
      <w:pPr>
        <w:pStyle w:val="Style3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both"/>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5</w:t>
      </w:r>
      <w:bookmarkEnd w:id="470"/>
      <w:r>
        <w:rPr>
          <w:color w:val="000000"/>
          <w:spacing w:val="0"/>
          <w:w w:val="100"/>
          <w:position w:val="0"/>
        </w:rPr>
        <w:t>、</w:t>
        <w:tab/>
        <w:t>控股股东、实际控制人、重组方及其他承诺主体股份限制减持情况</w:t>
      </w:r>
      <w:bookmarkEnd w:id="468"/>
      <w:bookmarkEnd w:id="469"/>
      <w:bookmarkEnd w:id="471"/>
    </w:p>
    <w:p>
      <w:pPr>
        <w:pStyle w:val="Style33"/>
        <w:keepNext w:val="0"/>
        <w:keepLines w:val="0"/>
        <w:widowControl w:val="0"/>
        <w:shd w:val="clear" w:color="auto" w:fill="auto"/>
        <w:bidi w:val="0"/>
        <w:spacing w:before="0" w:after="240" w:line="240" w:lineRule="auto"/>
        <w:ind w:left="0" w:right="0" w:firstLine="0"/>
        <w:jc w:val="both"/>
        <w:sectPr>
          <w:footnotePr>
            <w:pos w:val="pageBottom"/>
            <w:numFmt w:val="decimal"/>
            <w:numRestart w:val="continuous"/>
          </w:footnotePr>
          <w:pgSz w:w="11900" w:h="16840"/>
          <w:pgMar w:top="1354" w:right="1120" w:bottom="1460" w:left="1094"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7015"/>
                <wp:wrapTopAndBottom/>
                <wp:docPr id="62" name="Shape 62"/>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8"/>
                              <w:keepNext/>
                              <w:keepLines/>
                              <w:widowControl w:val="0"/>
                              <w:shd w:val="clear" w:color="auto" w:fill="auto"/>
                              <w:bidi w:val="0"/>
                              <w:spacing w:before="0" w:after="0" w:line="240" w:lineRule="auto"/>
                              <w:ind w:left="0" w:right="0" w:firstLine="0"/>
                              <w:jc w:val="center"/>
                            </w:pPr>
                            <w:bookmarkStart w:id="472" w:name="bookmark472"/>
                            <w:bookmarkStart w:id="473" w:name="bookmark473"/>
                            <w:bookmarkStart w:id="474" w:name="bookmark474"/>
                            <w:r>
                              <w:rPr>
                                <w:color w:val="000000"/>
                                <w:spacing w:val="0"/>
                                <w:w w:val="100"/>
                                <w:position w:val="0"/>
                              </w:rPr>
                              <w:t>第七节优先股相关情况</w:t>
                            </w:r>
                            <w:bookmarkEnd w:id="472"/>
                            <w:bookmarkEnd w:id="473"/>
                            <w:bookmarkEnd w:id="474"/>
                          </w:p>
                        </w:txbxContent>
                      </wps:txbx>
                      <wps:bodyPr wrap="none" lIns="0" tIns="0" rIns="0" bIns="0">
                        <a:noAutoFit/>
                      </wps:bodyPr>
                    </wps:wsp>
                  </a:graphicData>
                </a:graphic>
              </wp:anchor>
            </w:drawing>
          </mc:Choice>
          <mc:Fallback>
            <w:pict>
              <v:shape id="_x0000_s1088" type="#_x0000_t202" style="position:absolute;margin-left:211.95000000000002pt;margin-top:0;width:170.90000000000001pt;height:19.449999999999999pt;z-index:-125829375;mso-wrap-distance-left:0;mso-wrap-distance-right:0;mso-wrap-distance-bottom:21.pt;mso-position-horizontal-relative:page" filled="f" stroked="f">
                <v:textbox inset="0,0,0,0">
                  <w:txbxContent>
                    <w:p>
                      <w:pPr>
                        <w:pStyle w:val="Style18"/>
                        <w:keepNext/>
                        <w:keepLines/>
                        <w:widowControl w:val="0"/>
                        <w:shd w:val="clear" w:color="auto" w:fill="auto"/>
                        <w:bidi w:val="0"/>
                        <w:spacing w:before="0" w:after="0" w:line="240" w:lineRule="auto"/>
                        <w:ind w:left="0" w:right="0" w:firstLine="0"/>
                        <w:jc w:val="center"/>
                      </w:pPr>
                      <w:bookmarkStart w:id="472" w:name="bookmark472"/>
                      <w:bookmarkStart w:id="473" w:name="bookmark473"/>
                      <w:bookmarkStart w:id="474" w:name="bookmark474"/>
                      <w:r>
                        <w:rPr>
                          <w:color w:val="000000"/>
                          <w:spacing w:val="0"/>
                          <w:w w:val="100"/>
                          <w:position w:val="0"/>
                        </w:rPr>
                        <w:t>第七节优先股相关情况</w:t>
                      </w:r>
                      <w:bookmarkEnd w:id="472"/>
                      <w:bookmarkEnd w:id="473"/>
                      <w:bookmarkEnd w:id="474"/>
                    </w:p>
                  </w:txbxContent>
                </v:textbox>
                <w10:wrap type="topAndBottom" anchorx="page"/>
              </v:shape>
            </w:pict>
          </mc:Fallback>
        </mc:AlternateContent>
      </w:r>
    </w:p>
    <w:p>
      <w:pPr>
        <w:pStyle w:val="Style33"/>
        <w:keepNext w:val="0"/>
        <w:keepLines w:val="0"/>
        <w:widowControl w:val="0"/>
        <w:shd w:val="clear" w:color="auto" w:fill="auto"/>
        <w:bidi w:val="0"/>
        <w:spacing w:before="0" w:after="120" w:line="240" w:lineRule="auto"/>
        <w:ind w:left="0" w:right="0" w:firstLine="0"/>
        <w:jc w:val="left"/>
      </w:pPr>
      <w:bookmarkStart w:id="475" w:name="bookmark475"/>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475"/>
    </w:p>
    <w:p>
      <w:pPr>
        <w:pStyle w:val="Style3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66" w:bottom="1930" w:left="1104" w:header="0" w:footer="3" w:gutter="0"/>
          <w:cols w:space="720"/>
          <w:noEndnote/>
          <w:rtlGutter w:val="0"/>
          <w:docGrid w:linePitch="360"/>
        </w:sectPr>
      </w:pPr>
      <w:r>
        <w:rPr>
          <w:color w:val="000000"/>
          <w:spacing w:val="0"/>
          <w:w w:val="100"/>
          <w:position w:val="0"/>
        </w:rPr>
        <w:t>报告期公司不存在优先股。</w:t>
      </w:r>
    </w:p>
    <w:p>
      <w:pPr>
        <w:pStyle w:val="Style18"/>
        <w:keepNext/>
        <w:keepLines/>
        <w:widowControl w:val="0"/>
        <w:shd w:val="clear" w:color="auto" w:fill="auto"/>
        <w:bidi w:val="0"/>
        <w:spacing w:before="560" w:after="560" w:line="240" w:lineRule="auto"/>
        <w:ind w:left="0" w:right="0" w:firstLine="0"/>
        <w:jc w:val="center"/>
      </w:pPr>
      <w:bookmarkStart w:id="476" w:name="bookmark476"/>
      <w:bookmarkStart w:id="477" w:name="bookmark477"/>
      <w:bookmarkStart w:id="478" w:name="bookmark478"/>
      <w:r>
        <w:rPr>
          <w:color w:val="000000"/>
          <w:spacing w:val="0"/>
          <w:w w:val="100"/>
          <w:position w:val="0"/>
        </w:rPr>
        <w:t>第八节可转换公司债券相关情况</w:t>
      </w:r>
      <w:bookmarkEnd w:id="476"/>
      <w:bookmarkEnd w:id="477"/>
      <w:bookmarkEnd w:id="478"/>
    </w:p>
    <w:p>
      <w:pPr>
        <w:pStyle w:val="Style33"/>
        <w:keepNext w:val="0"/>
        <w:keepLines w:val="0"/>
        <w:widowControl w:val="0"/>
        <w:shd w:val="clear" w:color="auto" w:fill="auto"/>
        <w:bidi w:val="0"/>
        <w:spacing w:before="0" w:after="120" w:line="240" w:lineRule="auto"/>
        <w:ind w:left="0" w:right="0" w:firstLine="0"/>
        <w:jc w:val="left"/>
      </w:pPr>
      <w:bookmarkStart w:id="479" w:name="bookmark479"/>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479"/>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8"/>
        <w:keepNext/>
        <w:keepLines/>
        <w:widowControl w:val="0"/>
        <w:shd w:val="clear" w:color="auto" w:fill="auto"/>
        <w:bidi w:val="0"/>
        <w:spacing w:before="0" w:line="240" w:lineRule="auto"/>
        <w:ind w:left="0" w:right="0" w:firstLine="0"/>
        <w:jc w:val="center"/>
      </w:pPr>
      <w:bookmarkStart w:id="480" w:name="bookmark480"/>
      <w:bookmarkStart w:id="481" w:name="bookmark481"/>
      <w:bookmarkStart w:id="482" w:name="bookmark482"/>
      <w:r>
        <w:rPr>
          <w:color w:val="000000"/>
          <w:spacing w:val="0"/>
          <w:w w:val="100"/>
          <w:position w:val="0"/>
        </w:rPr>
        <w:t>第九节董事、监事、高级管理人员和员工情况</w:t>
      </w:r>
      <w:bookmarkEnd w:id="480"/>
      <w:bookmarkEnd w:id="481"/>
      <w:bookmarkEnd w:id="482"/>
    </w:p>
    <w:p>
      <w:pPr>
        <w:pStyle w:val="Style29"/>
        <w:keepNext/>
        <w:keepLines/>
        <w:widowControl w:val="0"/>
        <w:shd w:val="clear" w:color="auto" w:fill="auto"/>
        <w:bidi w:val="0"/>
        <w:spacing w:before="0" w:after="300" w:line="240" w:lineRule="auto"/>
        <w:ind w:left="0" w:right="0" w:firstLine="0"/>
        <w:jc w:val="left"/>
      </w:pPr>
      <w:bookmarkStart w:id="483" w:name="bookmark483"/>
      <w:bookmarkStart w:id="484" w:name="bookmark484"/>
      <w:bookmarkStart w:id="485" w:name="bookmark485"/>
      <w:bookmarkStart w:id="486" w:name="bookmark486"/>
      <w:bookmarkStart w:id="487" w:name="bookmark487"/>
      <w:r>
        <w:rPr>
          <w:color w:val="000000"/>
          <w:spacing w:val="0"/>
          <w:w w:val="100"/>
          <w:position w:val="0"/>
          <w:sz w:val="24"/>
          <w:szCs w:val="24"/>
        </w:rPr>
        <w:t>一</w:t>
      </w:r>
      <w:bookmarkEnd w:id="486"/>
      <w:r>
        <w:rPr>
          <w:color w:val="000000"/>
          <w:spacing w:val="0"/>
          <w:w w:val="100"/>
          <w:position w:val="0"/>
          <w:sz w:val="24"/>
          <w:szCs w:val="24"/>
        </w:rPr>
        <w:t>、董事、监事和高级管理人员持股变动</w:t>
      </w:r>
      <w:bookmarkEnd w:id="484"/>
      <w:bookmarkEnd w:id="485"/>
      <w:bookmarkEnd w:id="487"/>
      <w:bookmarkEnd w:id="483"/>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期初持股</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302" w:lineRule="exact"/>
              <w:ind w:left="0" w:right="0" w:firstLine="0"/>
              <w:jc w:val="left"/>
            </w:pPr>
            <w:r>
              <w:rPr>
                <w:color w:val="000000"/>
                <w:spacing w:val="0"/>
                <w:w w:val="100"/>
                <w:position w:val="0"/>
              </w:rPr>
              <w:t>本期增持 股份数量</w:t>
            </w:r>
          </w:p>
          <w:p>
            <w:pPr>
              <w:pStyle w:val="Style26"/>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本期减持 股份数量</w:t>
            </w:r>
          </w:p>
          <w:p>
            <w:pPr>
              <w:pStyle w:val="Style26"/>
              <w:keepNext w:val="0"/>
              <w:keepLines w:val="0"/>
              <w:widowControl w:val="0"/>
              <w:shd w:val="clear" w:color="auto" w:fill="auto"/>
              <w:bidi w:val="0"/>
              <w:spacing w:before="0" w:after="0" w:line="31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其他增减 变动 （股）</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汪超涌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董事兼总</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裁，代理</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林嘉喜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潘林武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叶陈刚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钟晓林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3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 xml:space="preserve">Key Ke Liu </w:t>
            </w:r>
            <w:r>
              <w:rPr>
                <w:color w:val="000000"/>
                <w:spacing w:val="0"/>
                <w:w w:val="100"/>
                <w:position w:val="0"/>
              </w:rPr>
              <w:t>（中 文名：刘 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沈晓超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585,000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1,755,000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512,500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1,537,500</w:t>
            </w:r>
          </w:p>
        </w:tc>
      </w:tr>
      <w:tr>
        <w:trPr>
          <w:trHeight w:val="130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WAN</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XIAO</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YANG</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476,200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1,428,800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名：万晓 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梅绍华</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56</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谭清</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31</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钟燕</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赵丽</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34</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温秋萍</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职工代表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监事兼证</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券事务代</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表</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何金子</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35</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寇汉</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45</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付汝峰</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书兼副总</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31</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贺庆华</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赵红艳</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43</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3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兼副总裁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2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6,295,000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1,573,700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4,721,300</w:t>
            </w:r>
          </w:p>
        </w:tc>
      </w:tr>
    </w:tbl>
    <w:p>
      <w:pPr>
        <w:widowControl w:val="0"/>
        <w:spacing w:after="339" w:line="1" w:lineRule="exact"/>
      </w:pPr>
    </w:p>
    <w:p>
      <w:pPr>
        <w:pStyle w:val="Style29"/>
        <w:keepNext/>
        <w:keepLines/>
        <w:widowControl w:val="0"/>
        <w:shd w:val="clear" w:color="auto" w:fill="auto"/>
        <w:bidi w:val="0"/>
        <w:spacing w:before="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sz w:val="24"/>
          <w:szCs w:val="24"/>
        </w:rPr>
        <w:t>二</w:t>
      </w:r>
      <w:bookmarkEnd w:id="490"/>
      <w:r>
        <w:rPr>
          <w:color w:val="000000"/>
          <w:spacing w:val="0"/>
          <w:w w:val="100"/>
          <w:position w:val="0"/>
          <w:sz w:val="24"/>
          <w:szCs w:val="24"/>
        </w:rPr>
        <w:t>、公司董事、监事、高级管理人员变动情况</w:t>
      </w:r>
      <w:bookmarkEnd w:id="488"/>
      <w:bookmarkEnd w:id="489"/>
      <w:bookmarkEnd w:id="491"/>
    </w:p>
    <w:p>
      <w:pPr>
        <w:pStyle w:val="Style3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826"/>
        <w:gridCol w:w="994"/>
        <w:gridCol w:w="706"/>
        <w:gridCol w:w="1560"/>
        <w:gridCol w:w="5501"/>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027"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赵红艳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副总裁兼财</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务总监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经公司总裁汪超涌先生提名、董事会提名委员会审核，董事会同意聘 任赵红艳女士担任公司副总裁，财务总监由汪超涌先生变更为赵红艳 女士。</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副总裁兼财</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务总监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解聘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林嘉喜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经公司控股股东中驰惠程提名，董事会同意补选林嘉喜先生为公司第 六届董事会董事候选人，并经公司</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年第一次临时股东大会表决 通过。</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潘林武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经公司控股股东中驰惠程提名，董事会同意补选潘林武先生为公司第 六届董事会董事候选人，并经公司</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年第一次临时股东大会表决 通过。</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温秋萍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职工代表监 事兼证券事 务代表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汪超涌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解聘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both"/>
            </w:pPr>
            <w:r>
              <w:rPr>
                <w:color w:val="000000"/>
                <w:spacing w:val="0"/>
                <w:w w:val="100"/>
                <w:position w:val="0"/>
              </w:rPr>
              <w:t>汪超涌先生因个人原因申请辞去公司总裁职务，辞职后仍然担任公司 董事长及董事。</w:t>
            </w:r>
          </w:p>
        </w:tc>
      </w:tr>
      <w:tr>
        <w:trPr>
          <w:trHeight w:val="715"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both"/>
            </w:pPr>
            <w:r>
              <w:rPr>
                <w:color w:val="000000"/>
                <w:spacing w:val="0"/>
                <w:w w:val="100"/>
                <w:position w:val="0"/>
              </w:rPr>
              <w:t>经公司董事会提名委员会审核，董事会同意聘任王蔚先生担任公司总</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经公司提名委员会审核、董事会同意选举王蔚先生为公司第七届董事 会董事候选人，并经公司</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年第三次临时股东大会表决通过。</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何金子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经公司总裁提名和董事会提名委员会审核，董事会同意聘任何金子先 生担任公司副总裁。</w:t>
            </w:r>
          </w:p>
        </w:tc>
      </w:tr>
      <w:tr>
        <w:trPr>
          <w:trHeight w:val="196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WAN</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XIAO</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YANG</w:t>
            </w:r>
          </w:p>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（中文 名：万晓 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任期满</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公司第六届监事会任期届满离任。</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谭清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职工代表监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经公司监事会提名、审核并同意选举谭清先生为公司第七届监事会监 事候选人，经公司</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年第三次临时股东大会表决通过。</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沈晓超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周志达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经公司提名委员会审核、董事会同意选举周志达先生为公司第七届董 事会董事候选人，并经公司</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年第一次临时股东大会表决通过。</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经公司提名委员会审核、董事会同意选举黄伟先生为公司第七届董事 会董事候选人，并经公司</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年第一次临时股东大会表决通过。</w:t>
            </w:r>
          </w:p>
        </w:tc>
      </w:tr>
    </w:tbl>
    <w:p>
      <w:pPr>
        <w:pStyle w:val="Style29"/>
        <w:keepNext/>
        <w:keepLines/>
        <w:widowControl w:val="0"/>
        <w:shd w:val="clear" w:color="auto" w:fill="auto"/>
        <w:bidi w:val="0"/>
        <w:spacing w:before="0" w:after="260" w:line="240" w:lineRule="auto"/>
        <w:ind w:left="0" w:right="0" w:firstLine="0"/>
        <w:jc w:val="both"/>
      </w:pPr>
      <w:bookmarkStart w:id="492" w:name="bookmark492"/>
      <w:bookmarkStart w:id="493" w:name="bookmark493"/>
      <w:bookmarkStart w:id="494" w:name="bookmark494"/>
      <w:bookmarkStart w:id="495" w:name="bookmark495"/>
      <w:r>
        <w:rPr>
          <w:color w:val="000000"/>
          <w:spacing w:val="0"/>
          <w:w w:val="100"/>
          <w:position w:val="0"/>
          <w:sz w:val="24"/>
          <w:szCs w:val="24"/>
        </w:rPr>
        <w:t>三</w:t>
      </w:r>
      <w:bookmarkEnd w:id="494"/>
      <w:r>
        <w:rPr>
          <w:color w:val="000000"/>
          <w:spacing w:val="0"/>
          <w:w w:val="100"/>
          <w:position w:val="0"/>
          <w:sz w:val="24"/>
          <w:szCs w:val="24"/>
        </w:rPr>
        <w:t>、任职情况</w:t>
      </w:r>
      <w:bookmarkEnd w:id="492"/>
      <w:bookmarkEnd w:id="493"/>
      <w:bookmarkEnd w:id="495"/>
    </w:p>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33"/>
        <w:keepNext w:val="0"/>
        <w:keepLines w:val="0"/>
        <w:widowControl w:val="0"/>
        <w:shd w:val="clear" w:color="auto" w:fill="auto"/>
        <w:bidi w:val="0"/>
        <w:spacing w:before="0" w:after="0" w:line="314" w:lineRule="exact"/>
        <w:ind w:left="0" w:right="0"/>
        <w:jc w:val="left"/>
      </w:pPr>
      <w:bookmarkStart w:id="496" w:name="bookmark496"/>
      <w:r>
        <w:rPr>
          <w:rFonts w:ascii="Times New Roman" w:eastAsia="Times New Roman" w:hAnsi="Times New Roman" w:cs="Times New Roman"/>
          <w:b/>
          <w:bCs/>
          <w:color w:val="000000"/>
          <w:spacing w:val="0"/>
          <w:w w:val="100"/>
          <w:position w:val="0"/>
        </w:rPr>
        <w:t>1</w:t>
      </w:r>
      <w:bookmarkEnd w:id="496"/>
      <w:r>
        <w:rPr>
          <w:b/>
          <w:bCs/>
          <w:color w:val="000000"/>
          <w:spacing w:val="0"/>
          <w:w w:val="100"/>
          <w:position w:val="0"/>
        </w:rPr>
        <w:t>、汪超涌先生：</w:t>
      </w:r>
      <w:r>
        <w:rPr>
          <w:rFonts w:ascii="Times New Roman" w:eastAsia="Times New Roman" w:hAnsi="Times New Roman" w:cs="Times New Roman"/>
          <w:color w:val="000000"/>
          <w:spacing w:val="0"/>
          <w:w w:val="100"/>
          <w:position w:val="0"/>
        </w:rPr>
        <w:t>1965</w:t>
      </w:r>
      <w:r>
        <w:rPr>
          <w:color w:val="000000"/>
          <w:spacing w:val="0"/>
          <w:w w:val="100"/>
          <w:position w:val="0"/>
        </w:rPr>
        <w:t>年出生，中国籍，华中理工大学（现华中科技大学）工学学士、清华大学经管学院研究生、美 国罗格斯（</w:t>
      </w:r>
      <w:r>
        <w:rPr>
          <w:rFonts w:ascii="Times New Roman" w:eastAsia="Times New Roman" w:hAnsi="Times New Roman" w:cs="Times New Roman"/>
          <w:color w:val="000000"/>
          <w:spacing w:val="0"/>
          <w:w w:val="100"/>
          <w:position w:val="0"/>
        </w:rPr>
        <w:t xml:space="preserve">Rutgers </w:t>
      </w:r>
      <w:r>
        <w:rPr>
          <w:color w:val="000000"/>
          <w:spacing w:val="0"/>
          <w:w w:val="100"/>
          <w:position w:val="0"/>
        </w:rPr>
        <w:t>）大学</w:t>
      </w:r>
      <w:r>
        <w:rPr>
          <w:rFonts w:ascii="Times New Roman" w:eastAsia="Times New Roman" w:hAnsi="Times New Roman" w:cs="Times New Roman"/>
          <w:color w:val="000000"/>
          <w:spacing w:val="0"/>
          <w:w w:val="100"/>
          <w:position w:val="0"/>
        </w:rPr>
        <w:t>MBA</w:t>
      </w:r>
      <w:r>
        <w:rPr>
          <w:color w:val="000000"/>
          <w:spacing w:val="0"/>
          <w:w w:val="100"/>
          <w:position w:val="0"/>
        </w:rPr>
        <w:t>。</w:t>
      </w:r>
      <w:r>
        <w:rPr>
          <w:color w:val="000000"/>
          <w:spacing w:val="0"/>
          <w:w w:val="100"/>
          <w:position w:val="0"/>
        </w:rPr>
        <w:t>曾任美国摩根大通银行高级经理、美国标准普尔证券评级公司资产证券化部副主任、摩根 士丹利亚洲区副总裁和北京代表处首席代表、国家开发银行投资银行业务顾问，</w:t>
      </w:r>
      <w:r>
        <w:rPr>
          <w:rFonts w:ascii="Times New Roman" w:eastAsia="Times New Roman" w:hAnsi="Times New Roman" w:cs="Times New Roman"/>
          <w:color w:val="000000"/>
          <w:spacing w:val="0"/>
          <w:w w:val="100"/>
          <w:position w:val="0"/>
        </w:rPr>
        <w:t>1999</w:t>
      </w:r>
      <w:r>
        <w:rPr>
          <w:color w:val="000000"/>
          <w:spacing w:val="0"/>
          <w:w w:val="100"/>
          <w:position w:val="0"/>
        </w:rPr>
        <w:t>年创办北京信中利投资股份有限公司 并担任董事长至今，</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月起担任本公司董事，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月担任本公司总裁兼董事长，现任本公司董事 长。</w:t>
      </w:r>
    </w:p>
    <w:p>
      <w:pPr>
        <w:pStyle w:val="Style33"/>
        <w:keepNext w:val="0"/>
        <w:keepLines w:val="0"/>
        <w:widowControl w:val="0"/>
        <w:shd w:val="clear" w:color="auto" w:fill="auto"/>
        <w:tabs>
          <w:tab w:pos="644" w:val="left"/>
        </w:tabs>
        <w:bidi w:val="0"/>
        <w:spacing w:before="0" w:after="0" w:line="314" w:lineRule="exact"/>
        <w:ind w:left="0" w:right="0"/>
        <w:jc w:val="left"/>
      </w:pPr>
      <w:bookmarkStart w:id="497" w:name="bookmark497"/>
      <w:r>
        <w:rPr>
          <w:rFonts w:ascii="Times New Roman" w:eastAsia="Times New Roman" w:hAnsi="Times New Roman" w:cs="Times New Roman"/>
          <w:b/>
          <w:bCs/>
          <w:color w:val="000000"/>
          <w:spacing w:val="0"/>
          <w:w w:val="100"/>
          <w:position w:val="0"/>
        </w:rPr>
        <w:t>2</w:t>
      </w:r>
      <w:bookmarkEnd w:id="497"/>
      <w:r>
        <w:rPr>
          <w:b/>
          <w:bCs/>
          <w:color w:val="000000"/>
          <w:spacing w:val="0"/>
          <w:w w:val="100"/>
          <w:position w:val="0"/>
        </w:rPr>
        <w:t>、</w:t>
        <w:tab/>
        <w:t>王蔚先生：</w:t>
      </w:r>
      <w:r>
        <w:rPr>
          <w:rFonts w:ascii="Times New Roman" w:eastAsia="Times New Roman" w:hAnsi="Times New Roman" w:cs="Times New Roman"/>
          <w:color w:val="000000"/>
          <w:spacing w:val="0"/>
          <w:w w:val="100"/>
          <w:position w:val="0"/>
        </w:rPr>
        <w:t>1971</w:t>
      </w:r>
      <w:r>
        <w:rPr>
          <w:color w:val="000000"/>
          <w:spacing w:val="0"/>
          <w:w w:val="100"/>
          <w:position w:val="0"/>
        </w:rPr>
        <w:t>年出生，中国籍，武汉大学计算机及应用专业学士。曾先后在中国四维测绘技术总公司、福建实达 集团股份有限公司、前沿数码科技有限公司、联想移动通信科技有限公司从事相关管理工作，</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月任职 于北京神州泰岳软件股份有限公司（</w:t>
      </w:r>
      <w:r>
        <w:rPr>
          <w:rFonts w:ascii="Times New Roman" w:eastAsia="Times New Roman" w:hAnsi="Times New Roman" w:cs="Times New Roman"/>
          <w:color w:val="000000"/>
          <w:spacing w:val="0"/>
          <w:w w:val="100"/>
          <w:position w:val="0"/>
        </w:rPr>
        <w:t>300002</w:t>
      </w:r>
      <w:r>
        <w:rPr>
          <w:color w:val="000000"/>
          <w:spacing w:val="0"/>
          <w:w w:val="100"/>
          <w:position w:val="0"/>
        </w:rPr>
        <w:t>），历任子公司</w:t>
      </w:r>
      <w:r>
        <w:rPr>
          <w:rFonts w:ascii="Times New Roman" w:eastAsia="Times New Roman" w:hAnsi="Times New Roman" w:cs="Times New Roman"/>
          <w:color w:val="000000"/>
          <w:spacing w:val="0"/>
          <w:w w:val="100"/>
          <w:position w:val="0"/>
        </w:rPr>
        <w:t>VP</w:t>
      </w:r>
      <w:r>
        <w:rPr>
          <w:color w:val="000000"/>
          <w:spacing w:val="0"/>
          <w:w w:val="100"/>
          <w:position w:val="0"/>
        </w:rPr>
        <w:t>、</w:t>
      </w:r>
      <w:r>
        <w:rPr>
          <w:color w:val="000000"/>
          <w:spacing w:val="0"/>
          <w:w w:val="100"/>
          <w:position w:val="0"/>
        </w:rPr>
        <w:t>总经理及总公司</w:t>
      </w:r>
      <w:r>
        <w:rPr>
          <w:rFonts w:ascii="Times New Roman" w:eastAsia="Times New Roman" w:hAnsi="Times New Roman" w:cs="Times New Roman"/>
          <w:color w:val="000000"/>
          <w:spacing w:val="0"/>
          <w:w w:val="100"/>
          <w:position w:val="0"/>
        </w:rPr>
        <w:t>VP</w:t>
      </w:r>
      <w:r>
        <w:rPr>
          <w:color w:val="000000"/>
          <w:spacing w:val="0"/>
          <w:w w:val="100"/>
          <w:position w:val="0"/>
        </w:rPr>
        <w:t>职务。现任全国高校创新业服务联盟 联席理事长、西安交通大学创新创业学院兼职教授；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月至今，担任深圳市前海梧桐并购投资基金管理有限公司高 级合伙人；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月至今担任珠海梧桐高创投资管理有限公司总经理及董事职务。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月起担任本公司总裁，</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月起担任本公司董事。</w:t>
      </w:r>
    </w:p>
    <w:p>
      <w:pPr>
        <w:pStyle w:val="Style33"/>
        <w:keepNext w:val="0"/>
        <w:keepLines w:val="0"/>
        <w:widowControl w:val="0"/>
        <w:shd w:val="clear" w:color="auto" w:fill="auto"/>
        <w:tabs>
          <w:tab w:pos="649" w:val="left"/>
        </w:tabs>
        <w:bidi w:val="0"/>
        <w:spacing w:before="0" w:after="0" w:line="314" w:lineRule="exact"/>
        <w:ind w:left="0" w:right="0"/>
        <w:jc w:val="left"/>
      </w:pPr>
      <w:bookmarkStart w:id="498" w:name="bookmark498"/>
      <w:r>
        <w:rPr>
          <w:rFonts w:ascii="Times New Roman" w:eastAsia="Times New Roman" w:hAnsi="Times New Roman" w:cs="Times New Roman"/>
          <w:b/>
          <w:bCs/>
          <w:color w:val="000000"/>
          <w:spacing w:val="0"/>
          <w:w w:val="100"/>
          <w:position w:val="0"/>
        </w:rPr>
        <w:t>3</w:t>
      </w:r>
      <w:bookmarkEnd w:id="498"/>
      <w:r>
        <w:rPr>
          <w:b/>
          <w:bCs/>
          <w:color w:val="000000"/>
          <w:spacing w:val="0"/>
          <w:w w:val="100"/>
          <w:position w:val="0"/>
        </w:rPr>
        <w:t>、</w:t>
        <w:tab/>
        <w:t>林嘉喜先生：</w:t>
      </w:r>
      <w:r>
        <w:rPr>
          <w:rFonts w:ascii="Times New Roman" w:eastAsia="Times New Roman" w:hAnsi="Times New Roman" w:cs="Times New Roman"/>
          <w:color w:val="000000"/>
          <w:spacing w:val="0"/>
          <w:w w:val="100"/>
          <w:position w:val="0"/>
        </w:rPr>
        <w:t>1978</w:t>
      </w:r>
      <w:r>
        <w:rPr>
          <w:color w:val="000000"/>
          <w:spacing w:val="0"/>
          <w:w w:val="100"/>
          <w:position w:val="0"/>
        </w:rPr>
        <w:t>年出生，中国籍。</w:t>
      </w:r>
      <w:r>
        <w:rPr>
          <w:rFonts w:ascii="Times New Roman" w:eastAsia="Times New Roman" w:hAnsi="Times New Roman" w:cs="Times New Roman"/>
          <w:color w:val="000000"/>
          <w:spacing w:val="0"/>
          <w:w w:val="100"/>
          <w:position w:val="0"/>
        </w:rPr>
        <w:t>2001</w:t>
      </w:r>
      <w:r>
        <w:rPr>
          <w:color w:val="000000"/>
          <w:spacing w:val="0"/>
          <w:w w:val="100"/>
          <w:position w:val="0"/>
        </w:rPr>
        <w:t>年东南大学肄业创业，创办南京国金投资顾问有限公司并担任执行董事至 今；</w:t>
      </w:r>
      <w:r>
        <w:rPr>
          <w:rFonts w:ascii="Times New Roman" w:eastAsia="Times New Roman" w:hAnsi="Times New Roman" w:cs="Times New Roman"/>
          <w:color w:val="000000"/>
          <w:spacing w:val="0"/>
          <w:w w:val="100"/>
          <w:position w:val="0"/>
        </w:rPr>
        <w:t>2004</w:t>
      </w:r>
      <w:r>
        <w:rPr>
          <w:color w:val="000000"/>
          <w:spacing w:val="0"/>
          <w:w w:val="100"/>
          <w:position w:val="0"/>
        </w:rPr>
        <w:t>年创办深圳国金投资顾问有限公司并担任执行董事兼总经理至今；</w:t>
      </w:r>
      <w:r>
        <w:rPr>
          <w:rFonts w:ascii="Times New Roman" w:eastAsia="Times New Roman" w:hAnsi="Times New Roman" w:cs="Times New Roman"/>
          <w:color w:val="000000"/>
          <w:spacing w:val="0"/>
          <w:w w:val="100"/>
          <w:position w:val="0"/>
        </w:rPr>
        <w:t>2013</w:t>
      </w:r>
      <w:r>
        <w:rPr>
          <w:color w:val="000000"/>
          <w:spacing w:val="0"/>
          <w:w w:val="100"/>
          <w:position w:val="0"/>
        </w:rPr>
        <w:t>年创办深圳国金纵横投资管理有限公司并 担任执行董事兼总经理至今；</w:t>
      </w:r>
      <w:r>
        <w:rPr>
          <w:rFonts w:ascii="Times New Roman" w:eastAsia="Times New Roman" w:hAnsi="Times New Roman" w:cs="Times New Roman"/>
          <w:color w:val="000000"/>
          <w:spacing w:val="0"/>
          <w:w w:val="100"/>
          <w:position w:val="0"/>
        </w:rPr>
        <w:t>2015</w:t>
      </w:r>
      <w:r>
        <w:rPr>
          <w:color w:val="000000"/>
          <w:spacing w:val="0"/>
          <w:w w:val="100"/>
          <w:position w:val="0"/>
        </w:rPr>
        <w:t>年创办北京国金纵横投资管理有限公司并担任执行董事兼总经理至今；</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月至今担 任南京达斯琪数字科技有限公司董事；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月至今担任厦门千时科技有限公司董事；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月至今担任浙江无端科技 股份有限公司董事。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月起担任本公司董事。</w:t>
      </w:r>
    </w:p>
    <w:p>
      <w:pPr>
        <w:pStyle w:val="Style33"/>
        <w:keepNext w:val="0"/>
        <w:keepLines w:val="0"/>
        <w:widowControl w:val="0"/>
        <w:shd w:val="clear" w:color="auto" w:fill="auto"/>
        <w:tabs>
          <w:tab w:pos="644" w:val="left"/>
        </w:tabs>
        <w:bidi w:val="0"/>
        <w:spacing w:before="0" w:after="0" w:line="314" w:lineRule="exact"/>
        <w:ind w:left="0" w:right="0"/>
        <w:jc w:val="left"/>
      </w:pPr>
      <w:bookmarkStart w:id="499" w:name="bookmark499"/>
      <w:r>
        <w:rPr>
          <w:rFonts w:ascii="Times New Roman" w:eastAsia="Times New Roman" w:hAnsi="Times New Roman" w:cs="Times New Roman"/>
          <w:b/>
          <w:bCs/>
          <w:color w:val="000000"/>
          <w:spacing w:val="0"/>
          <w:w w:val="100"/>
          <w:position w:val="0"/>
        </w:rPr>
        <w:t>4</w:t>
      </w:r>
      <w:bookmarkEnd w:id="499"/>
      <w:r>
        <w:rPr>
          <w:b/>
          <w:bCs/>
          <w:color w:val="000000"/>
          <w:spacing w:val="0"/>
          <w:w w:val="100"/>
          <w:position w:val="0"/>
        </w:rPr>
        <w:t>、</w:t>
        <w:tab/>
        <w:t>潘林武先生：</w:t>
      </w:r>
      <w:r>
        <w:rPr>
          <w:rFonts w:ascii="Times New Roman" w:eastAsia="Times New Roman" w:hAnsi="Times New Roman" w:cs="Times New Roman"/>
          <w:color w:val="000000"/>
          <w:spacing w:val="0"/>
          <w:w w:val="100"/>
          <w:position w:val="0"/>
        </w:rPr>
        <w:t>1964</w:t>
      </w:r>
      <w:r>
        <w:rPr>
          <w:color w:val="000000"/>
          <w:spacing w:val="0"/>
          <w:w w:val="100"/>
          <w:position w:val="0"/>
        </w:rPr>
        <w:t>年出生，中国籍，长江商学院工商管理硕士、北京航空航天大学工学学士、航空工程硕士，研究 员级高级会计师。历任中国航空技术国际控股有限公司副总裁、总会计师，中国航空工业国际控股（香港）公司</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HK.00232</w:t>
      </w:r>
      <w:r>
        <w:rPr>
          <w:color w:val="000000"/>
          <w:spacing w:val="0"/>
          <w:w w:val="100"/>
          <w:position w:val="0"/>
        </w:rPr>
        <w:t>）</w:t>
      </w:r>
      <w:r>
        <w:rPr>
          <w:color w:val="000000"/>
          <w:spacing w:val="0"/>
          <w:w w:val="100"/>
          <w:position w:val="0"/>
        </w:rPr>
        <w:t>副主席、执行董事，中航国际控股股份有限公司（</w:t>
      </w:r>
      <w:r>
        <w:rPr>
          <w:rFonts w:ascii="Times New Roman" w:eastAsia="Times New Roman" w:hAnsi="Times New Roman" w:cs="Times New Roman"/>
          <w:color w:val="000000"/>
          <w:spacing w:val="0"/>
          <w:w w:val="100"/>
          <w:position w:val="0"/>
        </w:rPr>
        <w:t>HK.00161</w:t>
      </w:r>
      <w:r>
        <w:rPr>
          <w:color w:val="000000"/>
          <w:spacing w:val="0"/>
          <w:w w:val="100"/>
          <w:position w:val="0"/>
        </w:rPr>
        <w:t>）</w:t>
      </w:r>
      <w:r>
        <w:rPr>
          <w:color w:val="000000"/>
          <w:spacing w:val="0"/>
          <w:w w:val="100"/>
          <w:position w:val="0"/>
        </w:rPr>
        <w:t>执行董事，美国大陆发动机公司副董事长、执 行董事，中航国际投资有限公司董事长，中航证券有限公司执行董事，中航里城地产（香港）有限公司董事长，北京和聚 百川投资管理有限公司首席执行官、信中利资本集团高级合伙人等职务。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月起担任本公司董事。</w:t>
      </w:r>
    </w:p>
    <w:p>
      <w:pPr>
        <w:pStyle w:val="Style33"/>
        <w:keepNext w:val="0"/>
        <w:keepLines w:val="0"/>
        <w:widowControl w:val="0"/>
        <w:shd w:val="clear" w:color="auto" w:fill="auto"/>
        <w:tabs>
          <w:tab w:pos="649" w:val="left"/>
        </w:tabs>
        <w:bidi w:val="0"/>
        <w:spacing w:before="0" w:after="0" w:line="314" w:lineRule="exact"/>
        <w:ind w:left="0" w:right="0"/>
        <w:jc w:val="both"/>
      </w:pPr>
      <w:bookmarkStart w:id="500" w:name="bookmark500"/>
      <w:r>
        <w:rPr>
          <w:rFonts w:ascii="Times New Roman" w:eastAsia="Times New Roman" w:hAnsi="Times New Roman" w:cs="Times New Roman"/>
          <w:b/>
          <w:bCs/>
          <w:color w:val="000000"/>
          <w:spacing w:val="0"/>
          <w:w w:val="100"/>
          <w:position w:val="0"/>
        </w:rPr>
        <w:t>5</w:t>
      </w:r>
      <w:bookmarkEnd w:id="500"/>
      <w:r>
        <w:rPr>
          <w:b/>
          <w:bCs/>
          <w:color w:val="000000"/>
          <w:spacing w:val="0"/>
          <w:w w:val="100"/>
          <w:position w:val="0"/>
        </w:rPr>
        <w:t>、</w:t>
        <w:tab/>
        <w:t>周志达先生：</w:t>
      </w:r>
      <w:r>
        <w:rPr>
          <w:rFonts w:ascii="Times New Roman" w:eastAsia="Times New Roman" w:hAnsi="Times New Roman" w:cs="Times New Roman"/>
          <w:color w:val="000000"/>
          <w:spacing w:val="0"/>
          <w:w w:val="100"/>
          <w:position w:val="0"/>
        </w:rPr>
        <w:t>1989</w:t>
      </w:r>
      <w:r>
        <w:rPr>
          <w:color w:val="000000"/>
          <w:spacing w:val="0"/>
          <w:w w:val="100"/>
          <w:position w:val="0"/>
        </w:rPr>
        <w:t>年出生，中国籍，理学学士、应用经济学硕士。最近五年曾从事重庆安运科技股份有限公司证券 事务、光大永明人寿保险有限公司渠道管理、中合博芯（重庆）半导体有限公司行业研究工作。目前担任重庆绿发资产经 营管理有限公司高级投资经理职务，算筹信息科技有限公司技术顾问。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月起担任本公司董事。</w:t>
      </w:r>
    </w:p>
    <w:p>
      <w:pPr>
        <w:pStyle w:val="Style33"/>
        <w:keepNext w:val="0"/>
        <w:keepLines w:val="0"/>
        <w:widowControl w:val="0"/>
        <w:shd w:val="clear" w:color="auto" w:fill="auto"/>
        <w:tabs>
          <w:tab w:pos="649" w:val="left"/>
        </w:tabs>
        <w:bidi w:val="0"/>
        <w:spacing w:before="0" w:after="0" w:line="312" w:lineRule="exact"/>
        <w:ind w:left="0" w:right="0"/>
        <w:jc w:val="both"/>
      </w:pPr>
      <w:bookmarkStart w:id="501" w:name="bookmark501"/>
      <w:r>
        <w:rPr>
          <w:rFonts w:ascii="Times New Roman" w:eastAsia="Times New Roman" w:hAnsi="Times New Roman" w:cs="Times New Roman"/>
          <w:b/>
          <w:bCs/>
          <w:color w:val="000000"/>
          <w:spacing w:val="0"/>
          <w:w w:val="100"/>
          <w:position w:val="0"/>
        </w:rPr>
        <w:t>6</w:t>
      </w:r>
      <w:bookmarkEnd w:id="501"/>
      <w:r>
        <w:rPr>
          <w:b/>
          <w:bCs/>
          <w:color w:val="000000"/>
          <w:spacing w:val="0"/>
          <w:w w:val="100"/>
          <w:position w:val="0"/>
        </w:rPr>
        <w:t>、</w:t>
        <w:tab/>
        <w:t>黄伟先生：</w:t>
      </w:r>
      <w:r>
        <w:rPr>
          <w:rFonts w:ascii="Times New Roman" w:eastAsia="Times New Roman" w:hAnsi="Times New Roman" w:cs="Times New Roman"/>
          <w:color w:val="000000"/>
          <w:spacing w:val="0"/>
          <w:w w:val="100"/>
          <w:position w:val="0"/>
        </w:rPr>
        <w:t>1981</w:t>
      </w:r>
      <w:r>
        <w:rPr>
          <w:color w:val="000000"/>
          <w:spacing w:val="0"/>
          <w:w w:val="100"/>
          <w:position w:val="0"/>
        </w:rPr>
        <w:t>年出生，中国籍，无永久境外居留权，本科学历，经济学、理学双学士学位。曾任中国电子科技集 团公司第四十三研究所助理工程师，现任国科量子通信网络有限公司市场总监、监事，四川国科量子通信网络有限公司董 事、总经理。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月起担任本公司董事。</w:t>
      </w:r>
    </w:p>
    <w:p>
      <w:pPr>
        <w:pStyle w:val="Style33"/>
        <w:keepNext w:val="0"/>
        <w:keepLines w:val="0"/>
        <w:widowControl w:val="0"/>
        <w:shd w:val="clear" w:color="auto" w:fill="auto"/>
        <w:tabs>
          <w:tab w:pos="658" w:val="left"/>
        </w:tabs>
        <w:bidi w:val="0"/>
        <w:spacing w:before="0" w:after="0" w:line="312" w:lineRule="exact"/>
        <w:ind w:left="0" w:right="0"/>
        <w:jc w:val="both"/>
      </w:pPr>
      <w:bookmarkStart w:id="502" w:name="bookmark502"/>
      <w:r>
        <w:rPr>
          <w:rFonts w:ascii="Times New Roman" w:eastAsia="Times New Roman" w:hAnsi="Times New Roman" w:cs="Times New Roman"/>
          <w:b/>
          <w:bCs/>
          <w:color w:val="000000"/>
          <w:spacing w:val="0"/>
          <w:w w:val="100"/>
          <w:position w:val="0"/>
        </w:rPr>
        <w:t>7</w:t>
      </w:r>
      <w:bookmarkEnd w:id="502"/>
      <w:r>
        <w:rPr>
          <w:b/>
          <w:bCs/>
          <w:color w:val="000000"/>
          <w:spacing w:val="0"/>
          <w:w w:val="100"/>
          <w:position w:val="0"/>
        </w:rPr>
        <w:t>、</w:t>
        <w:tab/>
        <w:t xml:space="preserve">沈晓超女士： </w:t>
      </w:r>
      <w:r>
        <w:rPr>
          <w:rFonts w:ascii="Times New Roman" w:eastAsia="Times New Roman" w:hAnsi="Times New Roman" w:cs="Times New Roman"/>
          <w:color w:val="000000"/>
          <w:spacing w:val="0"/>
          <w:w w:val="100"/>
          <w:position w:val="0"/>
        </w:rPr>
        <w:t>1977</w:t>
      </w:r>
      <w:r>
        <w:rPr>
          <w:color w:val="000000"/>
          <w:spacing w:val="0"/>
          <w:w w:val="100"/>
          <w:position w:val="0"/>
        </w:rPr>
        <w:t>年出生，中国籍，中国人民大学管理学硕士，会计师。曾任保定市华美园林花木有限公司总经 理、北京吉农科技有限公司财务总监，现任北京信中利投资股份有限公司董事、副总经理、财务总监，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r>
        <w:rPr>
          <w:color w:val="000000"/>
          <w:spacing w:val="0"/>
          <w:w w:val="100"/>
          <w:position w:val="0"/>
        </w:rPr>
        <w:t>月担任本公司董事。</w:t>
      </w:r>
    </w:p>
    <w:p>
      <w:pPr>
        <w:pStyle w:val="Style33"/>
        <w:keepNext w:val="0"/>
        <w:keepLines w:val="0"/>
        <w:widowControl w:val="0"/>
        <w:shd w:val="clear" w:color="auto" w:fill="auto"/>
        <w:bidi w:val="0"/>
        <w:spacing w:before="0" w:after="0" w:line="312" w:lineRule="exact"/>
        <w:ind w:left="0" w:right="0"/>
        <w:jc w:val="both"/>
      </w:pPr>
      <w:bookmarkStart w:id="503" w:name="bookmark503"/>
      <w:r>
        <w:rPr>
          <w:rFonts w:ascii="Times New Roman" w:eastAsia="Times New Roman" w:hAnsi="Times New Roman" w:cs="Times New Roman"/>
          <w:b/>
          <w:bCs/>
          <w:color w:val="000000"/>
          <w:spacing w:val="0"/>
          <w:w w:val="100"/>
          <w:position w:val="0"/>
        </w:rPr>
        <w:t>8</w:t>
      </w:r>
      <w:bookmarkEnd w:id="503"/>
      <w:r>
        <w:rPr>
          <w:b/>
          <w:bCs/>
          <w:color w:val="000000"/>
          <w:spacing w:val="0"/>
          <w:w w:val="100"/>
          <w:position w:val="0"/>
        </w:rPr>
        <w:t xml:space="preserve">、 陈丹女士： </w:t>
      </w:r>
      <w:r>
        <w:rPr>
          <w:rFonts w:ascii="Times New Roman" w:eastAsia="Times New Roman" w:hAnsi="Times New Roman" w:cs="Times New Roman"/>
          <w:color w:val="000000"/>
          <w:spacing w:val="0"/>
          <w:w w:val="100"/>
          <w:position w:val="0"/>
        </w:rPr>
        <w:t>1973</w:t>
      </w:r>
      <w:r>
        <w:rPr>
          <w:color w:val="000000"/>
          <w:spacing w:val="0"/>
          <w:w w:val="100"/>
          <w:position w:val="0"/>
        </w:rPr>
        <w:t>年出生，中国籍，武汉大学金融保险专业学士、</w:t>
      </w:r>
      <w:r>
        <w:rPr>
          <w:rFonts w:ascii="Times New Roman" w:eastAsia="Times New Roman" w:hAnsi="Times New Roman" w:cs="Times New Roman"/>
          <w:color w:val="000000"/>
          <w:spacing w:val="0"/>
          <w:w w:val="100"/>
          <w:position w:val="0"/>
        </w:rPr>
        <w:t>MBA</w:t>
      </w:r>
      <w:r>
        <w:rPr>
          <w:color w:val="000000"/>
          <w:spacing w:val="0"/>
          <w:w w:val="100"/>
          <w:position w:val="0"/>
        </w:rPr>
        <w:t>,</w:t>
      </w:r>
      <w:r>
        <w:rPr>
          <w:color w:val="000000"/>
          <w:spacing w:val="0"/>
          <w:w w:val="100"/>
          <w:position w:val="0"/>
        </w:rPr>
        <w:t>经济师。曾任</w:t>
      </w:r>
      <w:r>
        <w:rPr>
          <w:rFonts w:ascii="Times New Roman" w:eastAsia="Times New Roman" w:hAnsi="Times New Roman" w:cs="Times New Roman"/>
          <w:color w:val="000000"/>
          <w:spacing w:val="0"/>
          <w:w w:val="100"/>
          <w:position w:val="0"/>
        </w:rPr>
        <w:t>Transfield Services</w:t>
      </w:r>
      <w:r>
        <w:rPr>
          <w:color w:val="000000"/>
          <w:spacing w:val="0"/>
          <w:w w:val="100"/>
          <w:position w:val="0"/>
        </w:rPr>
        <w:t>高级投资 经理、澳大利亚澳保集团（</w:t>
      </w:r>
      <w:r>
        <w:rPr>
          <w:rFonts w:ascii="Times New Roman" w:eastAsia="Times New Roman" w:hAnsi="Times New Roman" w:cs="Times New Roman"/>
          <w:color w:val="000000"/>
          <w:spacing w:val="0"/>
          <w:w w:val="100"/>
          <w:position w:val="0"/>
        </w:rPr>
        <w:t xml:space="preserve">Insurance Australia Group </w:t>
      </w:r>
      <w:r>
        <w:rPr>
          <w:color w:val="000000"/>
          <w:spacing w:val="0"/>
          <w:w w:val="100"/>
          <w:position w:val="0"/>
        </w:rPr>
        <w:t xml:space="preserve">）高级战略顾问，现任北京信中利投资股份有限公司董事、总经理，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月担任本公司董事。</w:t>
      </w:r>
    </w:p>
    <w:p>
      <w:pPr>
        <w:pStyle w:val="Style33"/>
        <w:keepNext w:val="0"/>
        <w:keepLines w:val="0"/>
        <w:widowControl w:val="0"/>
        <w:shd w:val="clear" w:color="auto" w:fill="auto"/>
        <w:tabs>
          <w:tab w:pos="654" w:val="left"/>
        </w:tabs>
        <w:bidi w:val="0"/>
        <w:spacing w:before="0" w:after="0" w:line="310" w:lineRule="exact"/>
        <w:ind w:left="0" w:right="0"/>
        <w:jc w:val="both"/>
      </w:pPr>
      <w:bookmarkStart w:id="504" w:name="bookmark504"/>
      <w:r>
        <w:rPr>
          <w:rFonts w:ascii="Times New Roman" w:eastAsia="Times New Roman" w:hAnsi="Times New Roman" w:cs="Times New Roman"/>
          <w:b/>
          <w:bCs/>
          <w:color w:val="000000"/>
          <w:spacing w:val="0"/>
          <w:w w:val="100"/>
          <w:position w:val="0"/>
        </w:rPr>
        <w:t>9</w:t>
      </w:r>
      <w:bookmarkEnd w:id="504"/>
      <w:r>
        <w:rPr>
          <w:b/>
          <w:bCs/>
          <w:color w:val="000000"/>
          <w:spacing w:val="0"/>
          <w:w w:val="100"/>
          <w:position w:val="0"/>
        </w:rPr>
        <w:t>、</w:t>
        <w:tab/>
        <w:t>叶陈刚先生：</w:t>
      </w:r>
      <w:r>
        <w:rPr>
          <w:rFonts w:ascii="Times New Roman" w:eastAsia="Times New Roman" w:hAnsi="Times New Roman" w:cs="Times New Roman"/>
          <w:color w:val="000000"/>
          <w:spacing w:val="0"/>
          <w:w w:val="100"/>
          <w:position w:val="0"/>
        </w:rPr>
        <w:t>1962</w:t>
      </w:r>
      <w:r>
        <w:rPr>
          <w:color w:val="000000"/>
          <w:spacing w:val="0"/>
          <w:w w:val="100"/>
          <w:position w:val="0"/>
        </w:rPr>
        <w:t>年出生，中国籍，中南财经政法大学会计学硕士，华中科技大学管理学博士，南开大学商学院工 商管理博士后。曾任中国地质大学（武汉）会计学与审计学教授、硕士生导师，</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月至今担任任对外经济贸易大学会 计学与审计学教授和博士生导师；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月至今担任远大产业控股股份有限公司（证券简称：远大控股，证券代码： </w:t>
      </w:r>
      <w:r>
        <w:rPr>
          <w:rFonts w:ascii="Times New Roman" w:eastAsia="Times New Roman" w:hAnsi="Times New Roman" w:cs="Times New Roman"/>
          <w:color w:val="000000"/>
          <w:spacing w:val="0"/>
          <w:w w:val="100"/>
          <w:position w:val="0"/>
        </w:rPr>
        <w:t>000626</w:t>
      </w:r>
      <w:r>
        <w:rPr>
          <w:color w:val="000000"/>
          <w:spacing w:val="0"/>
          <w:w w:val="100"/>
          <w:position w:val="0"/>
        </w:rPr>
        <w:t>）独立董事；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月至今担任北京四达时代软件技术股份有限公司董事。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月起担任本公司独立董事。</w:t>
      </w:r>
    </w:p>
    <w:p>
      <w:pPr>
        <w:pStyle w:val="Style33"/>
        <w:keepNext w:val="0"/>
        <w:keepLines w:val="0"/>
        <w:widowControl w:val="0"/>
        <w:shd w:val="clear" w:color="auto" w:fill="auto"/>
        <w:tabs>
          <w:tab w:pos="735" w:val="left"/>
        </w:tabs>
        <w:bidi w:val="0"/>
        <w:spacing w:before="0" w:after="0" w:line="317" w:lineRule="exact"/>
        <w:ind w:left="0" w:right="0"/>
        <w:jc w:val="both"/>
      </w:pPr>
      <w:bookmarkStart w:id="505" w:name="bookmark505"/>
      <w:r>
        <w:rPr>
          <w:rFonts w:ascii="Times New Roman" w:eastAsia="Times New Roman" w:hAnsi="Times New Roman" w:cs="Times New Roman"/>
          <w:b/>
          <w:bCs/>
          <w:color w:val="000000"/>
          <w:spacing w:val="0"/>
          <w:w w:val="100"/>
          <w:position w:val="0"/>
        </w:rPr>
        <w:t>1</w:t>
      </w:r>
      <w:bookmarkEnd w:id="505"/>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钟晓林先生：</w:t>
      </w:r>
      <w:r>
        <w:rPr>
          <w:rFonts w:ascii="Times New Roman" w:eastAsia="Times New Roman" w:hAnsi="Times New Roman" w:cs="Times New Roman"/>
          <w:color w:val="000000"/>
          <w:spacing w:val="0"/>
          <w:w w:val="100"/>
          <w:position w:val="0"/>
        </w:rPr>
        <w:t>1965</w:t>
      </w:r>
      <w:r>
        <w:rPr>
          <w:color w:val="000000"/>
          <w:spacing w:val="0"/>
          <w:w w:val="100"/>
          <w:position w:val="0"/>
        </w:rPr>
        <w:t>年出生，中国香港籍，华中科技大学工学学士和硕士学位，英国爱丁堡龙比亚大学机器人与人 工智能博士学位，加拿大西安大略大学</w:t>
      </w:r>
      <w:r>
        <w:rPr>
          <w:rFonts w:ascii="Times New Roman" w:eastAsia="Times New Roman" w:hAnsi="Times New Roman" w:cs="Times New Roman"/>
          <w:color w:val="000000"/>
          <w:spacing w:val="0"/>
          <w:w w:val="100"/>
          <w:position w:val="0"/>
        </w:rPr>
        <w:t>Ivey</w:t>
      </w:r>
      <w:r>
        <w:rPr>
          <w:color w:val="000000"/>
          <w:spacing w:val="0"/>
          <w:w w:val="100"/>
          <w:position w:val="0"/>
        </w:rPr>
        <w:t>商学院工商管理硕士</w:t>
      </w:r>
      <w:r>
        <w:rPr>
          <w:color w:val="000000"/>
          <w:spacing w:val="0"/>
          <w:w w:val="100"/>
          <w:position w:val="0"/>
        </w:rPr>
        <w:t>（</w:t>
      </w:r>
      <w:r>
        <w:rPr>
          <w:rFonts w:ascii="Times New Roman" w:eastAsia="Times New Roman" w:hAnsi="Times New Roman" w:cs="Times New Roman"/>
          <w:color w:val="000000"/>
          <w:spacing w:val="0"/>
          <w:w w:val="100"/>
          <w:position w:val="0"/>
        </w:rPr>
        <w:t>MBA</w:t>
      </w:r>
      <w:r>
        <w:rPr>
          <w:color w:val="000000"/>
          <w:spacing w:val="0"/>
          <w:w w:val="100"/>
          <w:position w:val="0"/>
        </w:rPr>
        <w:t>）</w:t>
      </w:r>
      <w:r>
        <w:rPr>
          <w:color w:val="000000"/>
          <w:spacing w:val="0"/>
          <w:w w:val="100"/>
          <w:position w:val="0"/>
        </w:rPr>
        <w:t>学位。曾任凯鹏华盈（</w:t>
      </w:r>
      <w:r>
        <w:rPr>
          <w:rFonts w:ascii="Times New Roman" w:eastAsia="Times New Roman" w:hAnsi="Times New Roman" w:cs="Times New Roman"/>
          <w:color w:val="000000"/>
          <w:spacing w:val="0"/>
          <w:w w:val="100"/>
          <w:position w:val="0"/>
        </w:rPr>
        <w:t xml:space="preserve">KPCB </w:t>
      </w:r>
      <w:r>
        <w:rPr>
          <w:color w:val="000000"/>
          <w:spacing w:val="0"/>
          <w:w w:val="100"/>
          <w:position w:val="0"/>
        </w:rPr>
        <w:t>）中国基金主管合 伙人、无锡江南仁和新能源产业投资基金（有限合伙）主管合伙人、兴铁富江投资管理有限公司总裁、上海华盈创投</w:t>
      </w:r>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TDF Capita </w:t>
      </w:r>
      <w:r>
        <w:rPr>
          <w:rFonts w:ascii="Times New Roman" w:eastAsia="Times New Roman" w:hAnsi="Times New Roman" w:cs="Times New Roman"/>
          <w:color w:val="000000"/>
          <w:spacing w:val="0"/>
          <w:w w:val="100"/>
          <w:position w:val="0"/>
        </w:rPr>
        <w:t>1</w:t>
      </w:r>
      <w:r>
        <w:rPr>
          <w:color w:val="000000"/>
          <w:spacing w:val="0"/>
          <w:w w:val="100"/>
          <w:position w:val="0"/>
        </w:rPr>
        <w:t>）董事总经理和合伙人，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月至今担任深圳图灵资产管理有限公司执行董事兼总经理，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月起担 </w:t>
      </w:r>
      <w:r>
        <w:rPr>
          <w:color w:val="000000"/>
          <w:spacing w:val="0"/>
          <w:w w:val="100"/>
          <w:position w:val="0"/>
        </w:rPr>
        <w:t>任公司独立董事。</w:t>
      </w:r>
    </w:p>
    <w:p>
      <w:pPr>
        <w:pStyle w:val="Style33"/>
        <w:keepNext w:val="0"/>
        <w:keepLines w:val="0"/>
        <w:widowControl w:val="0"/>
        <w:shd w:val="clear" w:color="auto" w:fill="auto"/>
        <w:tabs>
          <w:tab w:pos="735" w:val="left"/>
        </w:tabs>
        <w:bidi w:val="0"/>
        <w:spacing w:before="0" w:after="0" w:line="315" w:lineRule="exact"/>
        <w:ind w:left="0" w:right="0"/>
        <w:jc w:val="both"/>
      </w:pPr>
      <w:bookmarkStart w:id="506" w:name="bookmark506"/>
      <w:r>
        <w:rPr>
          <w:rFonts w:ascii="Times New Roman" w:eastAsia="Times New Roman" w:hAnsi="Times New Roman" w:cs="Times New Roman"/>
          <w:b/>
          <w:bCs/>
          <w:color w:val="000000"/>
          <w:spacing w:val="0"/>
          <w:w w:val="100"/>
          <w:position w:val="0"/>
        </w:rPr>
        <w:t>1</w:t>
      </w:r>
      <w:bookmarkEnd w:id="506"/>
      <w:r>
        <w:rPr>
          <w:rFonts w:ascii="Times New Roman" w:eastAsia="Times New Roman" w:hAnsi="Times New Roman" w:cs="Times New Roman"/>
          <w:b/>
          <w:bCs/>
          <w:color w:val="000000"/>
          <w:spacing w:val="0"/>
          <w:w w:val="100"/>
          <w:position w:val="0"/>
        </w:rPr>
        <w:t>1</w:t>
      </w:r>
      <w:r>
        <w:rPr>
          <w:b/>
          <w:bCs/>
          <w:color w:val="000000"/>
          <w:spacing w:val="0"/>
          <w:w w:val="100"/>
          <w:position w:val="0"/>
        </w:rPr>
        <w:t>、</w:t>
        <w:tab/>
      </w:r>
      <w:r>
        <w:rPr>
          <w:rFonts w:ascii="Times New Roman" w:eastAsia="Times New Roman" w:hAnsi="Times New Roman" w:cs="Times New Roman"/>
          <w:b/>
          <w:bCs/>
          <w:color w:val="000000"/>
          <w:spacing w:val="0"/>
          <w:w w:val="100"/>
          <w:position w:val="0"/>
        </w:rPr>
        <w:t xml:space="preserve">Key Ke Liu </w:t>
      </w:r>
      <w:r>
        <w:rPr>
          <w:b/>
          <w:bCs/>
          <w:color w:val="000000"/>
          <w:spacing w:val="0"/>
          <w:w w:val="100"/>
          <w:position w:val="0"/>
        </w:rPr>
        <w:t>（中文名：刘科）先生：</w:t>
      </w:r>
      <w:r>
        <w:rPr>
          <w:rFonts w:ascii="Times New Roman" w:eastAsia="Times New Roman" w:hAnsi="Times New Roman" w:cs="Times New Roman"/>
          <w:color w:val="000000"/>
          <w:spacing w:val="0"/>
          <w:w w:val="100"/>
          <w:position w:val="0"/>
        </w:rPr>
        <w:t>1964</w:t>
      </w:r>
      <w:r>
        <w:rPr>
          <w:color w:val="000000"/>
          <w:spacing w:val="0"/>
          <w:w w:val="100"/>
          <w:position w:val="0"/>
        </w:rPr>
        <w:t>年出生，美国籍，西北大学化学工程学士学位和硕士学位，美国纽约市 立大学博士学位，美国伦斯勒理工学院管理学硕士。曾任北京低碳能源研究所副总裁和</w:t>
      </w:r>
      <w:r>
        <w:rPr>
          <w:rFonts w:ascii="Times New Roman" w:eastAsia="Times New Roman" w:hAnsi="Times New Roman" w:cs="Times New Roman"/>
          <w:color w:val="000000"/>
          <w:spacing w:val="0"/>
          <w:w w:val="100"/>
          <w:position w:val="0"/>
        </w:rPr>
        <w:t xml:space="preserve">CTO </w:t>
      </w:r>
      <w:r>
        <w:rPr>
          <w:color w:val="000000"/>
          <w:spacing w:val="0"/>
          <w:w w:val="100"/>
          <w:position w:val="0"/>
        </w:rPr>
        <w:t>（现国家能源集团北京低碳清 洁能源研究院），现任南方科技大学清洁能源研究院院长、创新创业学院院长，和讲座教授，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月起担任本公司独 立董事。</w:t>
      </w:r>
    </w:p>
    <w:p>
      <w:pPr>
        <w:pStyle w:val="Style33"/>
        <w:keepNext w:val="0"/>
        <w:keepLines w:val="0"/>
        <w:widowControl w:val="0"/>
        <w:shd w:val="clear" w:color="auto" w:fill="auto"/>
        <w:tabs>
          <w:tab w:pos="740" w:val="left"/>
        </w:tabs>
        <w:bidi w:val="0"/>
        <w:spacing w:before="0" w:after="0" w:line="314" w:lineRule="exact"/>
        <w:ind w:left="0" w:right="0"/>
        <w:jc w:val="both"/>
      </w:pPr>
      <w:bookmarkStart w:id="507" w:name="bookmark507"/>
      <w:r>
        <w:rPr>
          <w:rFonts w:ascii="Times New Roman" w:eastAsia="Times New Roman" w:hAnsi="Times New Roman" w:cs="Times New Roman"/>
          <w:b/>
          <w:bCs/>
          <w:color w:val="000000"/>
          <w:spacing w:val="0"/>
          <w:w w:val="100"/>
          <w:position w:val="0"/>
        </w:rPr>
        <w:t>1</w:t>
      </w:r>
      <w:bookmarkEnd w:id="50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梅绍华先生：</w:t>
      </w:r>
      <w:r>
        <w:rPr>
          <w:rFonts w:ascii="Times New Roman" w:eastAsia="Times New Roman" w:hAnsi="Times New Roman" w:cs="Times New Roman"/>
          <w:color w:val="000000"/>
          <w:spacing w:val="0"/>
          <w:w w:val="100"/>
          <w:position w:val="0"/>
        </w:rPr>
        <w:t>1964</w:t>
      </w:r>
      <w:r>
        <w:rPr>
          <w:color w:val="000000"/>
          <w:spacing w:val="0"/>
          <w:w w:val="100"/>
          <w:position w:val="0"/>
        </w:rPr>
        <w:t xml:space="preserve">年出生，中国籍，华中科技大学毕业，工学硕士。曾任证券日报社副社长、《经济》杂志总编 辑、经济日报特刊部常务副主任和高级编辑、北京弘高创意建筑设计股份有限公司（证券简称：弘高创意，证券代码： </w:t>
      </w:r>
      <w:r>
        <w:rPr>
          <w:rFonts w:ascii="Times New Roman" w:eastAsia="Times New Roman" w:hAnsi="Times New Roman" w:cs="Times New Roman"/>
          <w:color w:val="000000"/>
          <w:spacing w:val="0"/>
          <w:w w:val="100"/>
          <w:position w:val="0"/>
        </w:rPr>
        <w:t xml:space="preserve">002504 </w:t>
      </w:r>
      <w:r>
        <w:rPr>
          <w:color w:val="000000"/>
          <w:spacing w:val="0"/>
          <w:w w:val="100"/>
          <w:position w:val="0"/>
        </w:rPr>
        <w:t>）监事会主席、中关村股权投资协会副会长、华中科技大学经济学院兼职教授，</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月至今担任北京汉飞航空科 技有限公司董事兼经理，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月起担任本公司监事会主席。</w:t>
      </w:r>
    </w:p>
    <w:p>
      <w:pPr>
        <w:pStyle w:val="Style33"/>
        <w:keepNext w:val="0"/>
        <w:keepLines w:val="0"/>
        <w:widowControl w:val="0"/>
        <w:shd w:val="clear" w:color="auto" w:fill="auto"/>
        <w:tabs>
          <w:tab w:pos="750" w:val="left"/>
          <w:tab w:pos="1648" w:val="left"/>
        </w:tabs>
        <w:bidi w:val="0"/>
        <w:spacing w:before="0" w:after="0" w:line="314" w:lineRule="exact"/>
        <w:ind w:left="0" w:right="0"/>
        <w:jc w:val="both"/>
      </w:pPr>
      <w:bookmarkStart w:id="508" w:name="bookmark508"/>
      <w:r>
        <w:rPr>
          <w:rFonts w:ascii="Times New Roman" w:eastAsia="Times New Roman" w:hAnsi="Times New Roman" w:cs="Times New Roman"/>
          <w:b/>
          <w:bCs/>
          <w:color w:val="000000"/>
          <w:spacing w:val="0"/>
          <w:w w:val="100"/>
          <w:position w:val="0"/>
        </w:rPr>
        <w:t>1</w:t>
      </w:r>
      <w:bookmarkEnd w:id="508"/>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钟燕女士：</w:t>
        <w:tab/>
      </w:r>
      <w:r>
        <w:rPr>
          <w:rFonts w:ascii="Times New Roman" w:eastAsia="Times New Roman" w:hAnsi="Times New Roman" w:cs="Times New Roman"/>
          <w:color w:val="000000"/>
          <w:spacing w:val="0"/>
          <w:w w:val="100"/>
          <w:position w:val="0"/>
        </w:rPr>
        <w:t>1987</w:t>
      </w:r>
      <w:r>
        <w:rPr>
          <w:color w:val="000000"/>
          <w:spacing w:val="0"/>
          <w:w w:val="100"/>
          <w:position w:val="0"/>
        </w:rPr>
        <w:t>年出生，中国籍，中央民族大学会计学专业本科毕业，中级会计师。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月起担任公司财务部</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财务经理，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月起担任公司财务部资金经理，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月起担任公司职工代表监事。</w:t>
      </w:r>
    </w:p>
    <w:p>
      <w:pPr>
        <w:pStyle w:val="Style33"/>
        <w:keepNext w:val="0"/>
        <w:keepLines w:val="0"/>
        <w:widowControl w:val="0"/>
        <w:shd w:val="clear" w:color="auto" w:fill="auto"/>
        <w:tabs>
          <w:tab w:pos="735" w:val="left"/>
        </w:tabs>
        <w:bidi w:val="0"/>
        <w:spacing w:before="0" w:after="0" w:line="315" w:lineRule="exact"/>
        <w:ind w:left="0" w:right="0"/>
        <w:jc w:val="left"/>
      </w:pPr>
      <w:bookmarkStart w:id="509" w:name="bookmark509"/>
      <w:r>
        <w:rPr>
          <w:rFonts w:ascii="Times New Roman" w:eastAsia="Times New Roman" w:hAnsi="Times New Roman" w:cs="Times New Roman"/>
          <w:b/>
          <w:bCs/>
          <w:color w:val="000000"/>
          <w:spacing w:val="0"/>
          <w:w w:val="100"/>
          <w:position w:val="0"/>
        </w:rPr>
        <w:t>1</w:t>
      </w:r>
      <w:bookmarkEnd w:id="509"/>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谭清先生：</w:t>
      </w:r>
      <w:r>
        <w:rPr>
          <w:rFonts w:ascii="Times New Roman" w:eastAsia="Times New Roman" w:hAnsi="Times New Roman" w:cs="Times New Roman"/>
          <w:color w:val="000000"/>
          <w:spacing w:val="0"/>
          <w:w w:val="100"/>
          <w:position w:val="0"/>
        </w:rPr>
        <w:t>1989</w:t>
      </w:r>
      <w:r>
        <w:rPr>
          <w:color w:val="000000"/>
          <w:spacing w:val="0"/>
          <w:w w:val="100"/>
          <w:position w:val="0"/>
        </w:rPr>
        <w:t>年出生，中国籍，河北经贸大学毕业，管理学本科。中国注册会计师，曾任立信会计师事务所央 企事业总部审计师、普华永道中天会计师事务所高级审计师。</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月加入北京信中利投资股份有限公司任高级财务经 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月至今任信中利投后管理部副总监、总监，</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日担任信中利职工监事。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 担任公司监事。</w:t>
      </w:r>
    </w:p>
    <w:p>
      <w:pPr>
        <w:pStyle w:val="Style33"/>
        <w:keepNext w:val="0"/>
        <w:keepLines w:val="0"/>
        <w:widowControl w:val="0"/>
        <w:shd w:val="clear" w:color="auto" w:fill="auto"/>
        <w:tabs>
          <w:tab w:pos="735" w:val="left"/>
        </w:tabs>
        <w:bidi w:val="0"/>
        <w:spacing w:before="0" w:after="0" w:line="312" w:lineRule="exact"/>
        <w:ind w:left="0" w:right="0"/>
        <w:jc w:val="left"/>
      </w:pPr>
      <w:bookmarkStart w:id="510" w:name="bookmark510"/>
      <w:r>
        <w:rPr>
          <w:rFonts w:ascii="Times New Roman" w:eastAsia="Times New Roman" w:hAnsi="Times New Roman" w:cs="Times New Roman"/>
          <w:b/>
          <w:bCs/>
          <w:color w:val="000000"/>
          <w:spacing w:val="0"/>
          <w:w w:val="100"/>
          <w:position w:val="0"/>
        </w:rPr>
        <w:t>1</w:t>
      </w:r>
      <w:bookmarkEnd w:id="510"/>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何金子：</w:t>
      </w:r>
      <w:r>
        <w:rPr>
          <w:rFonts w:ascii="Times New Roman" w:eastAsia="Times New Roman" w:hAnsi="Times New Roman" w:cs="Times New Roman"/>
          <w:color w:val="000000"/>
          <w:spacing w:val="0"/>
          <w:w w:val="100"/>
          <w:position w:val="0"/>
        </w:rPr>
        <w:t>1985</w:t>
      </w:r>
      <w:r>
        <w:rPr>
          <w:color w:val="000000"/>
          <w:spacing w:val="0"/>
          <w:w w:val="100"/>
          <w:position w:val="0"/>
        </w:rPr>
        <w:t>年出生，中国籍，中共党员。吉林外国语大学国际经济与贸易专业学士、中国人民大学世界经济学 专业硕士。北京交通大学客座教授。</w:t>
      </w:r>
      <w:r>
        <w:rPr>
          <w:rFonts w:ascii="Times New Roman" w:eastAsia="Times New Roman" w:hAnsi="Times New Roman" w:cs="Times New Roman"/>
          <w:color w:val="000000"/>
          <w:spacing w:val="0"/>
          <w:w w:val="100"/>
          <w:position w:val="0"/>
        </w:rPr>
        <w:t>2012</w:t>
      </w:r>
      <w:r>
        <w:rPr>
          <w:color w:val="000000"/>
          <w:spacing w:val="0"/>
          <w:w w:val="100"/>
          <w:position w:val="0"/>
        </w:rPr>
        <w:t>年获得金融界</w:t>
      </w:r>
      <w:r>
        <w:rPr>
          <w:rFonts w:ascii="Times New Roman" w:eastAsia="Times New Roman" w:hAnsi="Times New Roman" w:cs="Times New Roman"/>
          <w:color w:val="000000"/>
          <w:spacing w:val="0"/>
          <w:w w:val="100"/>
          <w:position w:val="0"/>
        </w:rPr>
        <w:t>"</w:t>
      </w:r>
      <w:r>
        <w:rPr>
          <w:color w:val="000000"/>
          <w:spacing w:val="0"/>
          <w:w w:val="100"/>
          <w:position w:val="0"/>
        </w:rPr>
        <w:t>十大金牌博主</w:t>
      </w:r>
      <w:r>
        <w:rPr>
          <w:rFonts w:ascii="Times New Roman" w:eastAsia="Times New Roman" w:hAnsi="Times New Roman" w:cs="Times New Roman"/>
          <w:color w:val="000000"/>
          <w:spacing w:val="0"/>
          <w:w w:val="100"/>
          <w:position w:val="0"/>
        </w:rPr>
        <w:t>"</w:t>
      </w:r>
      <w:r>
        <w:rPr>
          <w:color w:val="000000"/>
          <w:spacing w:val="0"/>
          <w:w w:val="100"/>
          <w:position w:val="0"/>
        </w:rPr>
        <w:t>称号，《财富讲坛》授予</w:t>
      </w:r>
      <w:r>
        <w:rPr>
          <w:rFonts w:ascii="Times New Roman" w:eastAsia="Times New Roman" w:hAnsi="Times New Roman" w:cs="Times New Roman"/>
          <w:color w:val="000000"/>
          <w:spacing w:val="0"/>
          <w:w w:val="100"/>
          <w:position w:val="0"/>
        </w:rPr>
        <w:t>“</w:t>
      </w:r>
      <w:r>
        <w:rPr>
          <w:color w:val="000000"/>
          <w:spacing w:val="0"/>
          <w:w w:val="100"/>
          <w:position w:val="0"/>
        </w:rPr>
        <w:t>技术创新奖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CCT</w:t>
      </w:r>
      <w:r>
        <w:rPr>
          <w:rFonts w:ascii="Times New Roman" w:eastAsia="Times New Roman" w:hAnsi="Times New Roman" w:cs="Times New Roman"/>
          <w:color w:val="000000"/>
          <w:spacing w:val="0"/>
          <w:w w:val="100"/>
          <w:position w:val="0"/>
        </w:rPr>
        <w:t>V</w:t>
      </w:r>
      <w:r>
        <w:rPr>
          <w:color w:val="000000"/>
          <w:spacing w:val="0"/>
          <w:w w:val="100"/>
          <w:position w:val="0"/>
        </w:rPr>
        <w:t>财富 讲坛、</w:t>
      </w:r>
      <w:r>
        <w:rPr>
          <w:rFonts w:ascii="Times New Roman" w:eastAsia="Times New Roman" w:hAnsi="Times New Roman" w:cs="Times New Roman"/>
          <w:color w:val="000000"/>
          <w:spacing w:val="0"/>
          <w:w w:val="100"/>
          <w:position w:val="0"/>
        </w:rPr>
        <w:t>CCT</w:t>
      </w:r>
      <w:r>
        <w:rPr>
          <w:rFonts w:ascii="Times New Roman" w:eastAsia="Times New Roman" w:hAnsi="Times New Roman" w:cs="Times New Roman"/>
          <w:color w:val="000000"/>
          <w:spacing w:val="0"/>
          <w:w w:val="100"/>
          <w:position w:val="0"/>
        </w:rPr>
        <w:t>V</w:t>
      </w:r>
      <w:r>
        <w:rPr>
          <w:color w:val="000000"/>
          <w:spacing w:val="0"/>
          <w:w w:val="100"/>
          <w:position w:val="0"/>
        </w:rPr>
        <w:t>投资大参考、</w:t>
      </w:r>
      <w:r>
        <w:rPr>
          <w:rFonts w:ascii="Times New Roman" w:eastAsia="Times New Roman" w:hAnsi="Times New Roman" w:cs="Times New Roman"/>
          <w:color w:val="000000"/>
          <w:spacing w:val="0"/>
          <w:w w:val="100"/>
          <w:position w:val="0"/>
        </w:rPr>
        <w:t>BTV</w:t>
      </w:r>
      <w:r>
        <w:rPr>
          <w:color w:val="000000"/>
          <w:spacing w:val="0"/>
          <w:w w:val="100"/>
          <w:position w:val="0"/>
        </w:rPr>
        <w:t>天下财经、山东卫视投资有理等多档理财节目嘉宾。著有《价值千万的股票秘密》《独孤 九剑技法》。</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月至今担任公司副总裁。</w:t>
      </w:r>
    </w:p>
    <w:p>
      <w:pPr>
        <w:pStyle w:val="Style33"/>
        <w:keepNext w:val="0"/>
        <w:keepLines w:val="0"/>
        <w:widowControl w:val="0"/>
        <w:shd w:val="clear" w:color="auto" w:fill="auto"/>
        <w:tabs>
          <w:tab w:pos="735" w:val="left"/>
        </w:tabs>
        <w:bidi w:val="0"/>
        <w:spacing w:before="0" w:after="0" w:line="314" w:lineRule="exact"/>
        <w:ind w:left="0" w:right="0"/>
        <w:jc w:val="left"/>
      </w:pPr>
      <w:bookmarkStart w:id="511" w:name="bookmark511"/>
      <w:r>
        <w:rPr>
          <w:rFonts w:ascii="Times New Roman" w:eastAsia="Times New Roman" w:hAnsi="Times New Roman" w:cs="Times New Roman"/>
          <w:b/>
          <w:bCs/>
          <w:color w:val="000000"/>
          <w:spacing w:val="0"/>
          <w:w w:val="100"/>
          <w:position w:val="0"/>
        </w:rPr>
        <w:t>1</w:t>
      </w:r>
      <w:bookmarkEnd w:id="511"/>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寇汉先生</w:t>
      </w:r>
      <w:r>
        <w:rPr>
          <w:color w:val="000000"/>
          <w:spacing w:val="0"/>
          <w:w w:val="100"/>
          <w:position w:val="0"/>
        </w:rPr>
        <w:t>：</w:t>
      </w:r>
      <w:r>
        <w:rPr>
          <w:rFonts w:ascii="Times New Roman" w:eastAsia="Times New Roman" w:hAnsi="Times New Roman" w:cs="Times New Roman"/>
          <w:color w:val="000000"/>
          <w:spacing w:val="0"/>
          <w:w w:val="100"/>
          <w:position w:val="0"/>
        </w:rPr>
        <w:t>1975</w:t>
      </w:r>
      <w:r>
        <w:rPr>
          <w:color w:val="000000"/>
          <w:spacing w:val="0"/>
          <w:w w:val="100"/>
          <w:position w:val="0"/>
        </w:rPr>
        <w:t>年出生，中国国籍，无境外永久居住权，</w:t>
      </w:r>
      <w:r>
        <w:rPr>
          <w:rFonts w:ascii="Times New Roman" w:eastAsia="Times New Roman" w:hAnsi="Times New Roman" w:cs="Times New Roman"/>
          <w:color w:val="000000"/>
          <w:spacing w:val="0"/>
          <w:w w:val="100"/>
          <w:position w:val="0"/>
        </w:rPr>
        <w:t>1995</w:t>
      </w:r>
      <w:r>
        <w:rPr>
          <w:color w:val="000000"/>
          <w:spacing w:val="0"/>
          <w:w w:val="100"/>
          <w:position w:val="0"/>
        </w:rPr>
        <w:t>年毕业于西南财经大学；</w:t>
      </w:r>
      <w:r>
        <w:rPr>
          <w:rFonts w:ascii="Times New Roman" w:eastAsia="Times New Roman" w:hAnsi="Times New Roman" w:cs="Times New Roman"/>
          <w:color w:val="000000"/>
          <w:spacing w:val="0"/>
          <w:w w:val="100"/>
          <w:position w:val="0"/>
        </w:rPr>
        <w:t>2008</w:t>
      </w:r>
      <w:r>
        <w:rPr>
          <w:color w:val="000000"/>
          <w:spacing w:val="0"/>
          <w:w w:val="100"/>
          <w:position w:val="0"/>
        </w:rPr>
        <w:t>年毕业于清华大学经 济管理学院，研究生学历。</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月，在重庆机场从事财务工作；</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月，在中国联通达州 分公司工作，负责筹建及运营管理；</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月，在中国联通四川分公司工作，负责移动电话业务的市场营 销；</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月开始自主创业；</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月至今，担任成都哆可梦网络科技有限公司总经理；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月至今担任公司副总 裁。</w:t>
      </w:r>
    </w:p>
    <w:p>
      <w:pPr>
        <w:pStyle w:val="Style33"/>
        <w:keepNext w:val="0"/>
        <w:keepLines w:val="0"/>
        <w:widowControl w:val="0"/>
        <w:shd w:val="clear" w:color="auto" w:fill="auto"/>
        <w:tabs>
          <w:tab w:pos="735" w:val="left"/>
        </w:tabs>
        <w:bidi w:val="0"/>
        <w:spacing w:before="0" w:after="0" w:line="314" w:lineRule="exact"/>
        <w:ind w:left="0" w:right="0"/>
        <w:jc w:val="left"/>
      </w:pPr>
      <w:bookmarkStart w:id="512" w:name="bookmark512"/>
      <w:r>
        <w:rPr>
          <w:rFonts w:ascii="Times New Roman" w:eastAsia="Times New Roman" w:hAnsi="Times New Roman" w:cs="Times New Roman"/>
          <w:b/>
          <w:bCs/>
          <w:color w:val="000000"/>
          <w:spacing w:val="0"/>
          <w:w w:val="100"/>
          <w:position w:val="0"/>
        </w:rPr>
        <w:t>1</w:t>
      </w:r>
      <w:bookmarkEnd w:id="512"/>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付汝峰先生：</w:t>
      </w:r>
      <w:r>
        <w:rPr>
          <w:rFonts w:ascii="Times New Roman" w:eastAsia="Times New Roman" w:hAnsi="Times New Roman" w:cs="Times New Roman"/>
          <w:color w:val="000000"/>
          <w:spacing w:val="0"/>
          <w:w w:val="100"/>
          <w:position w:val="0"/>
        </w:rPr>
        <w:t>1989</w:t>
      </w:r>
      <w:r>
        <w:rPr>
          <w:color w:val="000000"/>
          <w:spacing w:val="0"/>
          <w:w w:val="100"/>
          <w:position w:val="0"/>
        </w:rPr>
        <w:t>年出生，中国籍，汉族，中共党员，中南财经政法大学会计学本科，中南民族大学经济法学硕 士研究生，持有中国注册会计师（非执业会员）、特许公认会计师（</w:t>
      </w:r>
      <w:r>
        <w:rPr>
          <w:rFonts w:ascii="Times New Roman" w:eastAsia="Times New Roman" w:hAnsi="Times New Roman" w:cs="Times New Roman"/>
          <w:color w:val="000000"/>
          <w:spacing w:val="0"/>
          <w:w w:val="100"/>
          <w:position w:val="0"/>
        </w:rPr>
        <w:t>ACCA</w:t>
      </w:r>
      <w:r>
        <w:rPr>
          <w:color w:val="000000"/>
          <w:spacing w:val="0"/>
          <w:w w:val="100"/>
          <w:position w:val="0"/>
        </w:rPr>
        <w:t>）</w:t>
      </w:r>
      <w:r>
        <w:rPr>
          <w:color w:val="000000"/>
          <w:spacing w:val="0"/>
          <w:w w:val="100"/>
          <w:position w:val="0"/>
        </w:rPr>
        <w:t>、法律职业资格证书及深交所董事会秘书资 格证书。</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月进入本公司，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月担任本公司投资管理部副经理职务，</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月起担任公司董事会 秘书兼副总裁。</w:t>
      </w:r>
    </w:p>
    <w:p>
      <w:pPr>
        <w:pStyle w:val="Style33"/>
        <w:keepNext w:val="0"/>
        <w:keepLines w:val="0"/>
        <w:widowControl w:val="0"/>
        <w:shd w:val="clear" w:color="auto" w:fill="auto"/>
        <w:tabs>
          <w:tab w:pos="735" w:val="left"/>
        </w:tabs>
        <w:bidi w:val="0"/>
        <w:spacing w:before="0" w:after="0" w:line="314" w:lineRule="exact"/>
        <w:ind w:left="0" w:right="0"/>
        <w:jc w:val="left"/>
      </w:pPr>
      <w:bookmarkStart w:id="513" w:name="bookmark513"/>
      <w:r>
        <w:rPr>
          <w:rFonts w:ascii="Times New Roman" w:eastAsia="Times New Roman" w:hAnsi="Times New Roman" w:cs="Times New Roman"/>
          <w:b/>
          <w:bCs/>
          <w:color w:val="000000"/>
          <w:spacing w:val="0"/>
          <w:w w:val="100"/>
          <w:position w:val="0"/>
        </w:rPr>
        <w:t>1</w:t>
      </w:r>
      <w:bookmarkEnd w:id="513"/>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贺庆华先生：</w:t>
      </w:r>
      <w:r>
        <w:rPr>
          <w:rFonts w:ascii="Times New Roman" w:eastAsia="Times New Roman" w:hAnsi="Times New Roman" w:cs="Times New Roman"/>
          <w:color w:val="000000"/>
          <w:spacing w:val="0"/>
          <w:w w:val="100"/>
          <w:position w:val="0"/>
        </w:rPr>
        <w:t>1971</w:t>
      </w:r>
      <w:r>
        <w:rPr>
          <w:color w:val="000000"/>
          <w:spacing w:val="0"/>
          <w:w w:val="100"/>
          <w:position w:val="0"/>
        </w:rPr>
        <w:t>年出生，中国籍，汉族，中共党员，哈尔滨工程大学电气自动化专业本科毕业。先后供职于哈 尔滨电业局、武汉凯迪电力股份有限公司、中国电力报社。</w:t>
      </w:r>
      <w:r>
        <w:rPr>
          <w:rFonts w:ascii="Times New Roman" w:eastAsia="Times New Roman" w:hAnsi="Times New Roman" w:cs="Times New Roman"/>
          <w:color w:val="000000"/>
          <w:spacing w:val="0"/>
          <w:w w:val="100"/>
          <w:position w:val="0"/>
        </w:rPr>
        <w:t>2015</w:t>
      </w:r>
      <w:r>
        <w:rPr>
          <w:color w:val="000000"/>
          <w:spacing w:val="0"/>
          <w:w w:val="100"/>
          <w:position w:val="0"/>
        </w:rPr>
        <w:t>年至今相继担任中国电力传媒集团记者部主任、团委书 记、新媒体中心主任、党支部书记、威宇（北京）光电技术有限公司董事长兼总经理、北京数知科技股份有限公司电力能 源事业部总裁。曾获评</w:t>
      </w:r>
      <w:r>
        <w:rPr>
          <w:rFonts w:ascii="Times New Roman" w:eastAsia="Times New Roman" w:hAnsi="Times New Roman" w:cs="Times New Roman"/>
          <w:color w:val="000000"/>
          <w:spacing w:val="0"/>
          <w:w w:val="100"/>
          <w:position w:val="0"/>
        </w:rPr>
        <w:t>“</w:t>
      </w:r>
      <w:r>
        <w:rPr>
          <w:color w:val="000000"/>
          <w:spacing w:val="0"/>
          <w:w w:val="100"/>
          <w:position w:val="0"/>
        </w:rPr>
        <w:t>黑龙江省电力有限公司安全生产突出贡献个人</w:t>
      </w:r>
      <w:r>
        <w:rPr>
          <w:rFonts w:ascii="Times New Roman" w:eastAsia="Times New Roman" w:hAnsi="Times New Roman" w:cs="Times New Roman"/>
          <w:color w:val="000000"/>
          <w:spacing w:val="0"/>
          <w:w w:val="100"/>
          <w:position w:val="0"/>
        </w:rPr>
        <w:t>“</w:t>
      </w:r>
      <w:r>
        <w:rPr>
          <w:color w:val="000000"/>
          <w:spacing w:val="0"/>
          <w:w w:val="100"/>
          <w:position w:val="0"/>
        </w:rPr>
        <w:t>中国报业经营管理先进个人。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月进入公 司担任总裁顾问职务，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月至今担任公司副总裁。</w:t>
      </w:r>
    </w:p>
    <w:p>
      <w:pPr>
        <w:pStyle w:val="Style33"/>
        <w:keepNext w:val="0"/>
        <w:keepLines w:val="0"/>
        <w:widowControl w:val="0"/>
        <w:shd w:val="clear" w:color="auto" w:fill="auto"/>
        <w:tabs>
          <w:tab w:pos="735" w:val="left"/>
        </w:tabs>
        <w:bidi w:val="0"/>
        <w:spacing w:before="0" w:after="0" w:line="314" w:lineRule="exact"/>
        <w:ind w:left="0" w:right="0"/>
        <w:jc w:val="left"/>
      </w:pPr>
      <w:bookmarkStart w:id="514" w:name="bookmark514"/>
      <w:r>
        <w:rPr>
          <w:rFonts w:ascii="Times New Roman" w:eastAsia="Times New Roman" w:hAnsi="Times New Roman" w:cs="Times New Roman"/>
          <w:b/>
          <w:bCs/>
          <w:color w:val="000000"/>
          <w:spacing w:val="0"/>
          <w:w w:val="100"/>
          <w:position w:val="0"/>
        </w:rPr>
        <w:t>1</w:t>
      </w:r>
      <w:bookmarkEnd w:id="514"/>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 xml:space="preserve">赵红艳女士： </w:t>
      </w:r>
      <w:r>
        <w:rPr>
          <w:rFonts w:ascii="Times New Roman" w:eastAsia="Times New Roman" w:hAnsi="Times New Roman" w:cs="Times New Roman"/>
          <w:color w:val="000000"/>
          <w:spacing w:val="0"/>
          <w:w w:val="100"/>
          <w:position w:val="0"/>
        </w:rPr>
        <w:t>1977</w:t>
      </w:r>
      <w:r>
        <w:rPr>
          <w:color w:val="000000"/>
          <w:spacing w:val="0"/>
          <w:w w:val="100"/>
          <w:position w:val="0"/>
        </w:rPr>
        <w:t>年出生，中国籍，河北农业大学财务会计与管理专业毕业，中国人民大学财政金融学院硕士研 究生，获注册资产评估师、注册税务师、高级会计师、国际金融理财师、银行从业资格、证券从业资格、基金从业资格、 保险从业资格等证书。曾任职北京农村商业银行股份有限公司。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月担任公司财务部副总经理，</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-202</w:t>
      </w:r>
      <w:r>
        <w:rPr>
          <w:rFonts w:ascii="Times New Roman" w:eastAsia="Times New Roman" w:hAnsi="Times New Roman" w:cs="Times New Roman"/>
          <w:color w:val="000000"/>
          <w:spacing w:val="0"/>
          <w:w w:val="100"/>
          <w:position w:val="0"/>
        </w:rPr>
        <w:t>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月担任公司内审负责人。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月担任公司财务总监兼副总裁。</w:t>
      </w:r>
    </w:p>
    <w:p>
      <w:pPr>
        <w:pStyle w:val="Style33"/>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26"/>
        <w:gridCol w:w="3259"/>
        <w:gridCol w:w="1445"/>
        <w:gridCol w:w="1675"/>
        <w:gridCol w:w="1277"/>
        <w:gridCol w:w="1104"/>
      </w:tblGrid>
      <w:tr>
        <w:trPr>
          <w:trHeight w:val="104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任职人员 姓名</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在股东单位担任 的职务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 是否领取报 酬津贴</w:t>
            </w:r>
          </w:p>
        </w:tc>
      </w:tr>
    </w:tbl>
    <w:p>
      <w:pPr>
        <w:spacing w:lineRule="exact" w:line="1"/>
        <w:rPr>
          <w:sz w:val="2"/>
          <w:szCs w:val="2"/>
        </w:rPr>
      </w:pPr>
      <w:r>
        <w:br w:type="page"/>
      </w:r>
    </w:p>
    <w:tbl>
      <w:tblPr>
        <w:tblOverlap w:val="never"/>
        <w:jc w:val="center"/>
        <w:tblLayout w:type="fixed"/>
      </w:tblPr>
      <w:tblGrid>
        <w:gridCol w:w="826"/>
        <w:gridCol w:w="3259"/>
        <w:gridCol w:w="1445"/>
        <w:gridCol w:w="1675"/>
        <w:gridCol w:w="1277"/>
        <w:gridCol w:w="1104"/>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汪超涌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中驰惠程企业管理有限公司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汪超涌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北京信中利投资股份有限公司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汪超涌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信中利策信基金管理（海南）有限公司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汪超涌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北京信中利嘉信股权投资管理有限责任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汪超涌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北京信中利盈佳投资管理咨询有限公司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汪超涌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北京信中达创业投资有限公司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经理兼董事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汪超涌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深圳信中利投资管理有限公司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汪超涌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北京信中利股权投资管理有限公司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汪超涌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湖北省长江信中利产业基金管理有限公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执行董事兼总经</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汪超涌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共青城中源信投资管理合伙企业（有限 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汪超涌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北京信中利宏信管理咨询合伙企业（有 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汪超涌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北京信中利潮客海创科技有限公司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沈晓超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北京信中利投资股份有限公司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董事、副总经 理、财务总监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沈晓超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北京信中达创业投资有限公司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沈晓超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中视环球汽车赛事管理有限公司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沈晓超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北京信中利股权投资管理有限公司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沈晓超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天津信中利股权投资管理有限公司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沈晓超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天津信中利创业投资有限公司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沈晓超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青岛信中利少海汇高创投资管理有限公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沈晓超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北京信中利科信管理咨询有限公司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沈晓超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湖北长江科信投资有限公司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执行董事兼总经</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沈晓超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深圳信中利恒信股权投资管理有限公司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沈晓超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湖北长江楚信股权投资基金管理有限公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沈晓超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长利基金管理有限公司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沈晓超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中驰惠程企业管理有限公司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北京信中利投资股份有限公司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董事兼总经理</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826"/>
        <w:gridCol w:w="3259"/>
        <w:gridCol w:w="1445"/>
        <w:gridCol w:w="1675"/>
        <w:gridCol w:w="1277"/>
        <w:gridCol w:w="1104"/>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北京信中利盈佳投资管理咨询有限公司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北京信中达创业投资有限公司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北京信中利股权投资管理有限公司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深圳信中利恒信股权投资管理有限公司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执行董事兼总经</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湖北长江楚信股权投资基金管理有限公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执行董事兼总经</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天津信中利瑞信投资管理有限公司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湖北省长江信中利产业基金管理有限公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湖北长江科信投资有限公司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北京信中利科信管理咨询有限公司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信中利策信基金管理（海南）有限公司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潘林武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北京信中利股权投资管理有限公司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高级合伙人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谭清</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北京信中利投资股份有限公司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7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在其他单位</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林嘉喜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深圳国金投资顾问有限公司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林嘉喜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深圳国金纵横投资管理有限公司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叶陈刚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对外经济贸易大学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会计学与审 计学教授和 博士生导师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叶陈刚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远大产业控股股份有限公司（证券简 称：远大控股，证券代码：</w:t>
            </w:r>
            <w:r>
              <w:rPr>
                <w:rFonts w:ascii="Times New Roman" w:eastAsia="Times New Roman" w:hAnsi="Times New Roman" w:cs="Times New Roman"/>
                <w:color w:val="000000"/>
                <w:spacing w:val="0"/>
                <w:w w:val="100"/>
                <w:position w:val="0"/>
              </w:rPr>
              <w:t>000626</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叶陈刚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北京四达时代软件技术股份有限公司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钟晓林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深圳图灵资产管理有限公司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钟晓林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新晨科技股份有限公司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钟晓林</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映美控股有限公司（香港）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tbl>
      <w:tblPr>
        <w:tblOverlap w:val="never"/>
        <w:jc w:val="center"/>
        <w:tblLayout w:type="fixed"/>
      </w:tblPr>
      <w:tblGrid>
        <w:gridCol w:w="1243"/>
        <w:gridCol w:w="3274"/>
        <w:gridCol w:w="1094"/>
        <w:gridCol w:w="1229"/>
        <w:gridCol w:w="1358"/>
        <w:gridCol w:w="1387"/>
      </w:tblGrid>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Key Ke Liu</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（中文名：刘</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南方科技大学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清洁能源研 究院院长、 创新创业学 院院长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Key Ke Liu </w:t>
            </w:r>
            <w:r>
              <w:rPr>
                <w:color w:val="000000"/>
                <w:spacing w:val="0"/>
                <w:w w:val="100"/>
                <w:position w:val="0"/>
              </w:rPr>
              <w:t>（中文名：刘 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宁波江丰电子材料股份有限公司（证券 简称：江丰电子，证券代码：</w:t>
            </w:r>
            <w:r>
              <w:rPr>
                <w:rFonts w:ascii="Times New Roman" w:eastAsia="Times New Roman" w:hAnsi="Times New Roman" w:cs="Times New Roman"/>
                <w:color w:val="000000"/>
                <w:spacing w:val="0"/>
                <w:w w:val="100"/>
                <w:position w:val="0"/>
              </w:rPr>
              <w:t>300666</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梅绍华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中智慧合投资（北京）股份有限公司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梅绍华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北京汉飞航空科技有限公司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周志达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重庆绿发资产经营管理有限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公司高级投 资经理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国科量子通信网络有限公司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市场总监、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sz w:val="24"/>
          <w:szCs w:val="24"/>
        </w:rPr>
        <w:t>四</w:t>
      </w:r>
      <w:bookmarkEnd w:id="517"/>
      <w:r>
        <w:rPr>
          <w:color w:val="000000"/>
          <w:spacing w:val="0"/>
          <w:w w:val="100"/>
          <w:position w:val="0"/>
          <w:sz w:val="24"/>
          <w:szCs w:val="24"/>
        </w:rPr>
        <w:t>、董事、监事、高级管理人员报酬情况</w:t>
      </w:r>
      <w:bookmarkEnd w:id="515"/>
      <w:bookmarkEnd w:id="516"/>
      <w:bookmarkEnd w:id="518"/>
    </w:p>
    <w:p>
      <w:pPr>
        <w:pStyle w:val="Style33"/>
        <w:keepNext w:val="0"/>
        <w:keepLines w:val="0"/>
        <w:widowControl w:val="0"/>
        <w:shd w:val="clear" w:color="auto" w:fill="auto"/>
        <w:bidi w:val="0"/>
        <w:spacing w:before="0" w:after="160" w:line="315" w:lineRule="exact"/>
        <w:ind w:left="0" w:right="0" w:firstLine="0"/>
        <w:jc w:val="left"/>
      </w:pPr>
      <w:r>
        <w:rPr>
          <w:color w:val="000000"/>
          <w:spacing w:val="0"/>
          <w:w w:val="100"/>
          <w:position w:val="0"/>
        </w:rPr>
        <w:t>董事、监事、高级管理人员报酬的决策程序、确定依据、实际支付情况</w:t>
      </w:r>
    </w:p>
    <w:p>
      <w:pPr>
        <w:pStyle w:val="Style33"/>
        <w:keepNext w:val="0"/>
        <w:keepLines w:val="0"/>
        <w:widowControl w:val="0"/>
        <w:shd w:val="clear" w:color="auto" w:fill="auto"/>
        <w:tabs>
          <w:tab w:pos="669" w:val="left"/>
        </w:tabs>
        <w:bidi w:val="0"/>
        <w:spacing w:before="0" w:after="0"/>
        <w:ind w:left="0" w:right="0" w:firstLine="360"/>
        <w:jc w:val="left"/>
      </w:pPr>
      <w:bookmarkStart w:id="519" w:name="bookmark519"/>
      <w:r>
        <w:rPr>
          <w:rFonts w:ascii="Times New Roman" w:eastAsia="Times New Roman" w:hAnsi="Times New Roman" w:cs="Times New Roman"/>
          <w:b/>
          <w:bCs/>
          <w:color w:val="000000"/>
          <w:spacing w:val="0"/>
          <w:w w:val="100"/>
          <w:position w:val="0"/>
        </w:rPr>
        <w:t>1</w:t>
      </w:r>
      <w:bookmarkEnd w:id="519"/>
      <w:r>
        <w:rPr>
          <w:b/>
          <w:bCs/>
          <w:color w:val="000000"/>
          <w:spacing w:val="0"/>
          <w:w w:val="100"/>
          <w:position w:val="0"/>
        </w:rPr>
        <w:t>、</w:t>
        <w:tab/>
        <w:t>决策程序：</w:t>
      </w:r>
    </w:p>
    <w:p>
      <w:pPr>
        <w:pStyle w:val="Style33"/>
        <w:keepNext w:val="0"/>
        <w:keepLines w:val="0"/>
        <w:widowControl w:val="0"/>
        <w:shd w:val="clear" w:color="auto" w:fill="auto"/>
        <w:tabs>
          <w:tab w:pos="870" w:val="left"/>
        </w:tabs>
        <w:bidi w:val="0"/>
        <w:spacing w:before="0" w:after="0" w:line="315" w:lineRule="exact"/>
        <w:ind w:left="0" w:right="0" w:firstLine="360"/>
        <w:jc w:val="left"/>
      </w:pPr>
      <w:bookmarkStart w:id="520" w:name="bookmark520"/>
      <w:r>
        <w:rPr>
          <w:color w:val="000000"/>
          <w:spacing w:val="0"/>
          <w:w w:val="100"/>
          <w:position w:val="0"/>
        </w:rPr>
        <w:t>（</w:t>
      </w:r>
      <w:bookmarkEnd w:id="520"/>
      <w:r>
        <w:rPr>
          <w:rFonts w:ascii="Times New Roman" w:eastAsia="Times New Roman" w:hAnsi="Times New Roman" w:cs="Times New Roman"/>
          <w:color w:val="000000"/>
          <w:spacing w:val="0"/>
          <w:w w:val="100"/>
          <w:position w:val="0"/>
        </w:rPr>
        <w:t>1</w:t>
      </w:r>
      <w:r>
        <w:rPr>
          <w:color w:val="000000"/>
          <w:spacing w:val="0"/>
          <w:w w:val="100"/>
          <w:position w:val="0"/>
        </w:rPr>
        <w:t>）</w:t>
        <w:tab/>
        <w:t>公司董事报酬经公司薪酬委员会、董事会审议确定提交股东大会审核批准；监事薪酬经监事会审议确定、股东大 会审核批准。高级管理人员的薪酬方案，经董事会薪酬与考核委员会审议，报董事会审议通过后实施，同时应当向股东大 会说明，并予以充分披露。</w:t>
      </w:r>
    </w:p>
    <w:p>
      <w:pPr>
        <w:pStyle w:val="Style33"/>
        <w:keepNext w:val="0"/>
        <w:keepLines w:val="0"/>
        <w:widowControl w:val="0"/>
        <w:shd w:val="clear" w:color="auto" w:fill="auto"/>
        <w:tabs>
          <w:tab w:pos="865" w:val="left"/>
        </w:tabs>
        <w:bidi w:val="0"/>
        <w:spacing w:before="0" w:after="0" w:line="315" w:lineRule="exact"/>
        <w:ind w:left="0" w:right="0" w:firstLine="360"/>
        <w:jc w:val="left"/>
      </w:pPr>
      <w:bookmarkStart w:id="521" w:name="bookmark521"/>
      <w:r>
        <w:rPr>
          <w:color w:val="000000"/>
          <w:spacing w:val="0"/>
          <w:w w:val="100"/>
          <w:position w:val="0"/>
        </w:rPr>
        <w:t>（</w:t>
      </w:r>
      <w:bookmarkEnd w:id="521"/>
      <w:r>
        <w:rPr>
          <w:rFonts w:ascii="Times New Roman" w:eastAsia="Times New Roman" w:hAnsi="Times New Roman" w:cs="Times New Roman"/>
          <w:color w:val="000000"/>
          <w:spacing w:val="0"/>
          <w:w w:val="100"/>
          <w:position w:val="0"/>
        </w:rPr>
        <w:t>2</w:t>
      </w:r>
      <w:r>
        <w:rPr>
          <w:color w:val="000000"/>
          <w:spacing w:val="0"/>
          <w:w w:val="100"/>
          <w:position w:val="0"/>
        </w:rPr>
        <w:t>）</w:t>
        <w:tab/>
        <w:t>董事会薪酬与考核委员会是确定公司高管人员薪酬方案、负责薪酬管理、考核和监督的专门机构。对于公司引进 高管人员或对公司有杰出贡献的人员，其个人报酬由董事会或总经理决定，公司独立董事应对该薪酬方案发表意见。</w:t>
      </w:r>
    </w:p>
    <w:p>
      <w:pPr>
        <w:pStyle w:val="Style33"/>
        <w:keepNext w:val="0"/>
        <w:keepLines w:val="0"/>
        <w:widowControl w:val="0"/>
        <w:shd w:val="clear" w:color="auto" w:fill="auto"/>
        <w:tabs>
          <w:tab w:pos="673" w:val="left"/>
        </w:tabs>
        <w:bidi w:val="0"/>
        <w:spacing w:before="0" w:after="100" w:line="315" w:lineRule="exact"/>
        <w:ind w:left="0" w:right="0" w:firstLine="360"/>
        <w:jc w:val="left"/>
      </w:pPr>
      <w:bookmarkStart w:id="522" w:name="bookmark522"/>
      <w:r>
        <w:rPr>
          <w:rFonts w:ascii="Times New Roman" w:eastAsia="Times New Roman" w:hAnsi="Times New Roman" w:cs="Times New Roman"/>
          <w:b/>
          <w:bCs/>
          <w:color w:val="000000"/>
          <w:spacing w:val="0"/>
          <w:w w:val="100"/>
          <w:position w:val="0"/>
        </w:rPr>
        <w:t>2</w:t>
      </w:r>
      <w:bookmarkEnd w:id="522"/>
      <w:r>
        <w:rPr>
          <w:b/>
          <w:bCs/>
          <w:color w:val="000000"/>
          <w:spacing w:val="0"/>
          <w:w w:val="100"/>
          <w:position w:val="0"/>
        </w:rPr>
        <w:t>、</w:t>
        <w:tab/>
        <w:t>确定依据：</w:t>
      </w:r>
      <w:r>
        <w:rPr>
          <w:rFonts w:ascii="Times New Roman" w:eastAsia="Times New Roman" w:hAnsi="Times New Roman" w:cs="Times New Roman"/>
          <w:color w:val="000000"/>
          <w:spacing w:val="0"/>
          <w:w w:val="100"/>
          <w:position w:val="0"/>
        </w:rPr>
        <w:t>2017</w:t>
      </w:r>
      <w:r>
        <w:rPr>
          <w:color w:val="000000"/>
          <w:spacing w:val="0"/>
          <w:w w:val="100"/>
          <w:position w:val="0"/>
        </w:rPr>
        <w:t>年第二次临时股东大会审议通过的《关于公司第六届董事会董事、第六届监事会监事薪酬的议 案》、第六届董事会第一次会议审议通过的《关于确定公司高级管理人员薪酬的议案》、</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年第三次临时股东大会审议 通过的《董事、监事、高级管理人员薪酬制度》、</w:t>
      </w:r>
      <w:r>
        <w:rPr>
          <w:rFonts w:ascii="Times New Roman" w:eastAsia="Times New Roman" w:hAnsi="Times New Roman" w:cs="Times New Roman"/>
          <w:color w:val="000000"/>
          <w:spacing w:val="0"/>
          <w:w w:val="100"/>
          <w:position w:val="0"/>
        </w:rPr>
        <w:t>2015</w:t>
      </w:r>
      <w:r>
        <w:rPr>
          <w:color w:val="000000"/>
          <w:spacing w:val="0"/>
          <w:w w:val="100"/>
          <w:position w:val="0"/>
        </w:rPr>
        <w:t>年两期股权激励计划及</w:t>
      </w:r>
      <w:r>
        <w:rPr>
          <w:rFonts w:ascii="Times New Roman" w:eastAsia="Times New Roman" w:hAnsi="Times New Roman" w:cs="Times New Roman"/>
          <w:color w:val="000000"/>
          <w:spacing w:val="0"/>
          <w:w w:val="100"/>
          <w:position w:val="0"/>
        </w:rPr>
        <w:t>2016</w:t>
      </w:r>
      <w:r>
        <w:rPr>
          <w:color w:val="000000"/>
          <w:spacing w:val="0"/>
          <w:w w:val="100"/>
          <w:position w:val="0"/>
        </w:rPr>
        <w:t>年股权激励计划。</w:t>
      </w:r>
    </w:p>
    <w:p>
      <w:pPr>
        <w:pStyle w:val="Style33"/>
        <w:keepNext w:val="0"/>
        <w:keepLines w:val="0"/>
        <w:widowControl w:val="0"/>
        <w:shd w:val="clear" w:color="auto" w:fill="auto"/>
        <w:tabs>
          <w:tab w:pos="683" w:val="left"/>
        </w:tabs>
        <w:bidi w:val="0"/>
        <w:spacing w:before="0" w:after="0"/>
        <w:ind w:left="0" w:right="0" w:firstLine="360"/>
        <w:jc w:val="left"/>
      </w:pPr>
      <w:bookmarkStart w:id="523" w:name="bookmark523"/>
      <w:r>
        <w:rPr>
          <w:rFonts w:ascii="Times New Roman" w:eastAsia="Times New Roman" w:hAnsi="Times New Roman" w:cs="Times New Roman"/>
          <w:b/>
          <w:bCs/>
          <w:color w:val="000000"/>
          <w:spacing w:val="0"/>
          <w:w w:val="100"/>
          <w:position w:val="0"/>
        </w:rPr>
        <w:t>3</w:t>
      </w:r>
      <w:bookmarkEnd w:id="523"/>
      <w:r>
        <w:rPr>
          <w:b/>
          <w:bCs/>
          <w:color w:val="000000"/>
          <w:spacing w:val="0"/>
          <w:w w:val="100"/>
          <w:position w:val="0"/>
        </w:rPr>
        <w:t>、</w:t>
        <w:tab/>
        <w:t>实际支付情况：</w:t>
      </w:r>
    </w:p>
    <w:p>
      <w:pPr>
        <w:pStyle w:val="Style33"/>
        <w:keepNext w:val="0"/>
        <w:keepLines w:val="0"/>
        <w:widowControl w:val="0"/>
        <w:shd w:val="clear" w:color="auto" w:fill="auto"/>
        <w:tabs>
          <w:tab w:pos="870" w:val="left"/>
        </w:tabs>
        <w:bidi w:val="0"/>
        <w:spacing w:before="0" w:after="0" w:line="315" w:lineRule="exact"/>
        <w:ind w:left="0" w:right="0" w:firstLine="360"/>
        <w:jc w:val="left"/>
      </w:pPr>
      <w:bookmarkStart w:id="524" w:name="bookmark524"/>
      <w:r>
        <w:rPr>
          <w:color w:val="000000"/>
          <w:spacing w:val="0"/>
          <w:w w:val="100"/>
          <w:position w:val="0"/>
        </w:rPr>
        <w:t>（</w:t>
      </w:r>
      <w:bookmarkEnd w:id="524"/>
      <w:r>
        <w:rPr>
          <w:rFonts w:ascii="Times New Roman" w:eastAsia="Times New Roman" w:hAnsi="Times New Roman" w:cs="Times New Roman"/>
          <w:color w:val="000000"/>
          <w:spacing w:val="0"/>
          <w:w w:val="100"/>
          <w:position w:val="0"/>
        </w:rPr>
        <w:t>1</w:t>
      </w:r>
      <w:r>
        <w:rPr>
          <w:color w:val="000000"/>
          <w:spacing w:val="0"/>
          <w:w w:val="100"/>
          <w:position w:val="0"/>
        </w:rPr>
        <w:t>）</w:t>
        <w:tab/>
        <w:t>报告期内，第六届、第七届董事、监事的薪酬分别根据</w:t>
      </w:r>
      <w:r>
        <w:rPr>
          <w:rFonts w:ascii="Times New Roman" w:eastAsia="Times New Roman" w:hAnsi="Times New Roman" w:cs="Times New Roman"/>
          <w:color w:val="000000"/>
          <w:spacing w:val="0"/>
          <w:w w:val="100"/>
          <w:position w:val="0"/>
        </w:rPr>
        <w:t>2017</w:t>
      </w:r>
      <w:r>
        <w:rPr>
          <w:color w:val="000000"/>
          <w:spacing w:val="0"/>
          <w:w w:val="100"/>
          <w:position w:val="0"/>
        </w:rPr>
        <w:t>年第二次临时股东大会审议通过的《关于公司第六届 董事会董事、第六届监事会监事薪酬的议案》和</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年第三次临时股东大会审议通过的《董事、监事、高级管理人员薪酬 制度》按月发放。</w:t>
      </w:r>
    </w:p>
    <w:p>
      <w:pPr>
        <w:pStyle w:val="Style33"/>
        <w:keepNext w:val="0"/>
        <w:keepLines w:val="0"/>
        <w:widowControl w:val="0"/>
        <w:shd w:val="clear" w:color="auto" w:fill="auto"/>
        <w:tabs>
          <w:tab w:pos="870" w:val="left"/>
        </w:tabs>
        <w:bidi w:val="0"/>
        <w:spacing w:before="0" w:after="40" w:line="326" w:lineRule="exact"/>
        <w:ind w:left="0" w:right="0" w:firstLine="360"/>
        <w:jc w:val="left"/>
      </w:pPr>
      <w:bookmarkStart w:id="525" w:name="bookmark525"/>
      <w:r>
        <w:rPr>
          <w:color w:val="000000"/>
          <w:spacing w:val="0"/>
          <w:w w:val="100"/>
          <w:position w:val="0"/>
        </w:rPr>
        <w:t>（</w:t>
      </w:r>
      <w:bookmarkEnd w:id="525"/>
      <w:r>
        <w:rPr>
          <w:rFonts w:ascii="Times New Roman" w:eastAsia="Times New Roman" w:hAnsi="Times New Roman" w:cs="Times New Roman"/>
          <w:color w:val="000000"/>
          <w:spacing w:val="0"/>
          <w:w w:val="100"/>
          <w:position w:val="0"/>
        </w:rPr>
        <w:t>2</w:t>
      </w:r>
      <w:r>
        <w:rPr>
          <w:color w:val="000000"/>
          <w:spacing w:val="0"/>
          <w:w w:val="100"/>
          <w:position w:val="0"/>
        </w:rPr>
        <w:t>）</w:t>
        <w:tab/>
        <w:t>报告期内，公司第六届、第七届高级管理人员的基本工资分别根据第六届董事会第一次会议审议通过的《关于确 定公司高级管理人员薪酬的议案》和</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年第三次临时股东大会审议通过的《董事、监事、高级管理人员薪酬制度》按月 发放，绩效奖金根据《高级管理人员绩效考核实施细则》在年度绩效考评结束后发放。 公司报告期内董事、监事和高级管理人员报酬情况</w:t>
      </w:r>
    </w:p>
    <w:p>
      <w:pPr>
        <w:pStyle w:val="Style33"/>
        <w:keepNext w:val="0"/>
        <w:keepLines w:val="0"/>
        <w:widowControl w:val="0"/>
        <w:shd w:val="clear" w:color="auto" w:fill="auto"/>
        <w:bidi w:val="0"/>
        <w:spacing w:before="0" w:after="100" w:line="315" w:lineRule="exact"/>
        <w:ind w:left="0" w:right="0" w:firstLine="0"/>
        <w:jc w:val="right"/>
      </w:pPr>
      <w:r>
        <w:rPr>
          <w:color w:val="000000"/>
          <w:spacing w:val="0"/>
          <w:w w:val="100"/>
          <w:position w:val="0"/>
        </w:rPr>
        <w:t>单位：万元</w:t>
      </w:r>
    </w:p>
    <w:tbl>
      <w:tblPr>
        <w:tblOverlap w:val="never"/>
        <w:jc w:val="center"/>
        <w:tblLayout w:type="fixed"/>
      </w:tblPr>
      <w:tblGrid>
        <w:gridCol w:w="2386"/>
        <w:gridCol w:w="1699"/>
        <w:gridCol w:w="854"/>
        <w:gridCol w:w="989"/>
        <w:gridCol w:w="917"/>
        <w:gridCol w:w="1368"/>
        <w:gridCol w:w="1378"/>
      </w:tblGrid>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任职状态</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从公司获得的税 前报酬总额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是否在公司关联 方获取报酬</w:t>
            </w:r>
          </w:p>
        </w:tc>
      </w:tr>
    </w:tbl>
    <w:p>
      <w:pPr>
        <w:spacing w:lineRule="exact" w:line="1"/>
        <w:rPr>
          <w:sz w:val="2"/>
          <w:szCs w:val="2"/>
        </w:rPr>
      </w:pPr>
      <w:r>
        <w:br w:type="page"/>
      </w:r>
    </w:p>
    <w:tbl>
      <w:tblPr>
        <w:tblOverlap w:val="never"/>
        <w:jc w:val="center"/>
        <w:tblLayout w:type="fixed"/>
      </w:tblPr>
      <w:tblGrid>
        <w:gridCol w:w="2386"/>
        <w:gridCol w:w="1699"/>
        <w:gridCol w:w="854"/>
        <w:gridCol w:w="989"/>
        <w:gridCol w:w="917"/>
        <w:gridCol w:w="1368"/>
        <w:gridCol w:w="1378"/>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汪超涌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林嘉喜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34.64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潘林武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38.79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叶陈刚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钟晓林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Key Ke Liu </w:t>
            </w:r>
            <w:r>
              <w:rPr>
                <w:color w:val="000000"/>
                <w:spacing w:val="0"/>
                <w:w w:val="100"/>
                <w:position w:val="0"/>
              </w:rPr>
              <w:t>（中文名：刘科）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沈晓超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WAN XIAO YANG </w:t>
            </w:r>
            <w:r>
              <w:rPr>
                <w:color w:val="000000"/>
                <w:spacing w:val="0"/>
                <w:w w:val="100"/>
                <w:position w:val="0"/>
              </w:rPr>
              <w:t>（中文 名：万晓阳）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37.05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梅绍华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钟燕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34.62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谭清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温秋萍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何金子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64.19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寇汉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99.44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付汝峰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董事会秘书兼副总裁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69.41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贺庆华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赵红艳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财务总监兼副总裁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42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922.67</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公司董事、高级管理人员报告期内被授予的股权激励情况</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sz w:val="24"/>
          <w:szCs w:val="24"/>
        </w:rPr>
        <w:t>五</w:t>
      </w:r>
      <w:bookmarkEnd w:id="528"/>
      <w:r>
        <w:rPr>
          <w:color w:val="000000"/>
          <w:spacing w:val="0"/>
          <w:w w:val="100"/>
          <w:position w:val="0"/>
          <w:sz w:val="24"/>
          <w:szCs w:val="24"/>
        </w:rPr>
        <w:t>、公司员工情况</w:t>
      </w:r>
      <w:bookmarkEnd w:id="526"/>
      <w:bookmarkEnd w:id="527"/>
      <w:bookmarkEnd w:id="529"/>
    </w:p>
    <w:p>
      <w:pPr>
        <w:pStyle w:val="Style37"/>
        <w:keepNext/>
        <w:keepLines/>
        <w:widowControl w:val="0"/>
        <w:shd w:val="clear" w:color="auto" w:fill="auto"/>
        <w:bidi w:val="0"/>
        <w:spacing w:before="0" w:after="300" w:line="240" w:lineRule="auto"/>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1</w:t>
      </w:r>
      <w:bookmarkEnd w:id="532"/>
      <w:r>
        <w:rPr>
          <w:color w:val="000000"/>
          <w:spacing w:val="0"/>
          <w:w w:val="100"/>
          <w:position w:val="0"/>
        </w:rPr>
        <w:t>、员工数量、专业构成及教育程度</w:t>
      </w:r>
      <w:bookmarkEnd w:id="530"/>
      <w:bookmarkEnd w:id="531"/>
      <w:bookmarkEnd w:id="53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287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352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639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147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560" w:right="0" w:firstLine="0"/>
              <w:jc w:val="left"/>
            </w:pPr>
            <w:r>
              <w:rPr>
                <w:rFonts w:ascii="Times New Roman" w:eastAsia="Times New Roman" w:hAnsi="Times New Roman" w:cs="Times New Roman"/>
                <w:color w:val="000000"/>
                <w:spacing w:val="0"/>
                <w:w w:val="100"/>
                <w:position w:val="0"/>
              </w:rPr>
              <w:t>68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331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560" w:right="0" w:firstLine="0"/>
              <w:jc w:val="left"/>
            </w:pPr>
            <w:r>
              <w:rPr>
                <w:rFonts w:ascii="Times New Roman" w:eastAsia="Times New Roman" w:hAnsi="Times New Roman" w:cs="Times New Roman"/>
                <w:color w:val="000000"/>
                <w:spacing w:val="0"/>
                <w:w w:val="100"/>
                <w:position w:val="0"/>
              </w:rPr>
              <w:t>18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560" w:right="0" w:firstLine="0"/>
              <w:jc w:val="left"/>
            </w:pPr>
            <w:r>
              <w:rPr>
                <w:rFonts w:ascii="Times New Roman" w:eastAsia="Times New Roman" w:hAnsi="Times New Roman" w:cs="Times New Roman"/>
                <w:color w:val="000000"/>
                <w:spacing w:val="0"/>
                <w:w w:val="100"/>
                <w:position w:val="0"/>
              </w:rPr>
              <w:t>75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639</w:t>
            </w:r>
          </w:p>
        </w:tc>
      </w:tr>
      <w:tr>
        <w:trPr>
          <w:trHeight w:val="40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560" w:right="0" w:firstLine="0"/>
              <w:jc w:val="left"/>
            </w:pPr>
            <w:r>
              <w:rPr>
                <w:rFonts w:ascii="Times New Roman" w:eastAsia="Times New Roman" w:hAnsi="Times New Roman" w:cs="Times New Roman"/>
                <w:color w:val="000000"/>
                <w:spacing w:val="0"/>
                <w:w w:val="100"/>
                <w:position w:val="0"/>
              </w:rPr>
              <w:t>17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307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560" w:right="0" w:firstLine="0"/>
              <w:jc w:val="left"/>
            </w:pPr>
            <w:r>
              <w:rPr>
                <w:rFonts w:ascii="Times New Roman" w:eastAsia="Times New Roman" w:hAnsi="Times New Roman" w:cs="Times New Roman"/>
                <w:color w:val="000000"/>
                <w:spacing w:val="0"/>
                <w:w w:val="100"/>
                <w:position w:val="0"/>
              </w:rPr>
              <w:t>60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255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639</w:t>
            </w:r>
          </w:p>
        </w:tc>
      </w:tr>
    </w:tbl>
    <w:p>
      <w:pPr>
        <w:widowControl w:val="0"/>
        <w:spacing w:after="319" w:line="1" w:lineRule="exact"/>
      </w:pPr>
    </w:p>
    <w:p>
      <w:pPr>
        <w:pStyle w:val="Style37"/>
        <w:keepNext/>
        <w:keepLines/>
        <w:widowControl w:val="0"/>
        <w:shd w:val="clear" w:color="auto" w:fill="auto"/>
        <w:tabs>
          <w:tab w:pos="373" w:val="left"/>
        </w:tabs>
        <w:bidi w:val="0"/>
        <w:spacing w:before="0" w:after="280" w:line="240" w:lineRule="auto"/>
        <w:ind w:left="0" w:right="0" w:firstLine="0"/>
        <w:jc w:val="both"/>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2</w:t>
      </w:r>
      <w:bookmarkEnd w:id="536"/>
      <w:r>
        <w:rPr>
          <w:color w:val="000000"/>
          <w:spacing w:val="0"/>
          <w:w w:val="100"/>
          <w:position w:val="0"/>
        </w:rPr>
        <w:t>、</w:t>
        <w:tab/>
        <w:t>薪酬政策</w:t>
      </w:r>
      <w:bookmarkEnd w:id="534"/>
      <w:bookmarkEnd w:id="535"/>
      <w:bookmarkEnd w:id="537"/>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公司的薪酬结构包括基本薪金及津贴、绩效工资，坚持公司与员工共同发展的原则，为员工提供公平的及有竞争力的 福利待遇，严格遵照劳动法及劳动合同法规定，实行对全体员工劳动合同制，并根据相关规定缴纳各类社会保险及住房公 积金，针对部分特殊岗位购买意外险。对于各类休假严格按照劳动法及相关法律法规规定执行。公司定期会根据员工上年 度绩效考核、工作结果对员工重新进行定薪定级。公司对工资核算及发放制定了严格的审批流程，确保员工工资发放的准 确、及时。</w:t>
      </w:r>
    </w:p>
    <w:p>
      <w:pPr>
        <w:pStyle w:val="Style33"/>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3"/>
        <w:keepNext w:val="0"/>
        <w:keepLines w:val="0"/>
        <w:widowControl w:val="0"/>
        <w:shd w:val="clear" w:color="auto" w:fill="auto"/>
        <w:bidi w:val="0"/>
        <w:spacing w:before="0" w:after="0" w:line="326" w:lineRule="exact"/>
        <w:ind w:left="0" w:right="0" w:firstLine="300"/>
        <w:jc w:val="both"/>
      </w:pPr>
      <w:r>
        <w:rPr>
          <w:color w:val="000000"/>
          <w:spacing w:val="0"/>
          <w:w w:val="100"/>
          <w:position w:val="0"/>
        </w:rPr>
        <w:t>报告期内职工薪酬总额（计入成本部分）为</w:t>
      </w:r>
      <w:r>
        <w:rPr>
          <w:rFonts w:ascii="Times New Roman" w:eastAsia="Times New Roman" w:hAnsi="Times New Roman" w:cs="Times New Roman"/>
          <w:color w:val="000000"/>
          <w:spacing w:val="0"/>
          <w:w w:val="100"/>
          <w:position w:val="0"/>
        </w:rPr>
        <w:t>11,376.28</w:t>
      </w:r>
      <w:r>
        <w:rPr>
          <w:color w:val="000000"/>
          <w:spacing w:val="0"/>
          <w:w w:val="100"/>
          <w:position w:val="0"/>
        </w:rPr>
        <w:t>万元，占公司成本总额</w:t>
      </w:r>
      <w:r>
        <w:rPr>
          <w:rFonts w:ascii="Times New Roman" w:eastAsia="Times New Roman" w:hAnsi="Times New Roman" w:cs="Times New Roman"/>
          <w:color w:val="000000"/>
          <w:spacing w:val="0"/>
          <w:w w:val="100"/>
          <w:position w:val="0"/>
        </w:rPr>
        <w:t>89,398.21</w:t>
      </w:r>
      <w:r>
        <w:rPr>
          <w:color w:val="000000"/>
          <w:spacing w:val="0"/>
          <w:w w:val="100"/>
          <w:position w:val="0"/>
        </w:rPr>
        <w:t>万元的</w:t>
      </w:r>
      <w:r>
        <w:rPr>
          <w:rFonts w:ascii="Times New Roman" w:eastAsia="Times New Roman" w:hAnsi="Times New Roman" w:cs="Times New Roman"/>
          <w:color w:val="000000"/>
          <w:spacing w:val="0"/>
          <w:w w:val="100"/>
          <w:position w:val="0"/>
        </w:rPr>
        <w:t>12.73%%</w:t>
      </w:r>
      <w:r>
        <w:rPr>
          <w:color w:val="000000"/>
          <w:spacing w:val="0"/>
          <w:w w:val="100"/>
          <w:position w:val="0"/>
        </w:rPr>
        <w:t>，职工薪酬总额占 公司成本总额比重较小，公司利润对职工薪酬总额变化的敏感性较低。</w:t>
      </w:r>
    </w:p>
    <w:p>
      <w:pPr>
        <w:pStyle w:val="Style33"/>
        <w:keepNext w:val="0"/>
        <w:keepLines w:val="0"/>
        <w:widowControl w:val="0"/>
        <w:shd w:val="clear" w:color="auto" w:fill="auto"/>
        <w:bidi w:val="0"/>
        <w:spacing w:before="0" w:after="380" w:line="302" w:lineRule="exact"/>
        <w:ind w:left="0" w:right="0"/>
        <w:jc w:val="both"/>
      </w:pPr>
      <w:r>
        <w:rPr>
          <w:color w:val="000000"/>
          <w:spacing w:val="0"/>
          <w:w w:val="100"/>
          <w:position w:val="0"/>
        </w:rPr>
        <w:t>报告期内核心技术人员数量（含离职）为</w:t>
      </w:r>
      <w:r>
        <w:rPr>
          <w:rFonts w:ascii="Times New Roman" w:eastAsia="Times New Roman" w:hAnsi="Times New Roman" w:cs="Times New Roman"/>
          <w:color w:val="000000"/>
          <w:spacing w:val="0"/>
          <w:w w:val="100"/>
          <w:position w:val="0"/>
        </w:rPr>
        <w:t>131</w:t>
      </w:r>
      <w:r>
        <w:rPr>
          <w:color w:val="000000"/>
          <w:spacing w:val="0"/>
          <w:w w:val="100"/>
          <w:position w:val="0"/>
        </w:rPr>
        <w:t>人，占当期领取薪酬员工总人数</w:t>
      </w:r>
      <w:r>
        <w:rPr>
          <w:rFonts w:ascii="Times New Roman" w:eastAsia="Times New Roman" w:hAnsi="Times New Roman" w:cs="Times New Roman"/>
          <w:color w:val="000000"/>
          <w:spacing w:val="0"/>
          <w:w w:val="100"/>
          <w:position w:val="0"/>
        </w:rPr>
        <w:t>1,131</w:t>
      </w:r>
      <w:r>
        <w:rPr>
          <w:color w:val="000000"/>
          <w:spacing w:val="0"/>
          <w:w w:val="100"/>
          <w:position w:val="0"/>
        </w:rPr>
        <w:t>人的</w:t>
      </w:r>
      <w:r>
        <w:rPr>
          <w:rFonts w:ascii="Times New Roman" w:eastAsia="Times New Roman" w:hAnsi="Times New Roman" w:cs="Times New Roman"/>
          <w:color w:val="000000"/>
          <w:spacing w:val="0"/>
          <w:w w:val="100"/>
          <w:position w:val="0"/>
        </w:rPr>
        <w:t>11.58%</w:t>
      </w:r>
      <w:r>
        <w:rPr>
          <w:color w:val="000000"/>
          <w:spacing w:val="0"/>
          <w:w w:val="100"/>
          <w:position w:val="0"/>
        </w:rPr>
        <w:t>,核心技术人员薪酬总额 （含离职）为</w:t>
      </w:r>
      <w:r>
        <w:rPr>
          <w:rFonts w:ascii="Times New Roman" w:eastAsia="Times New Roman" w:hAnsi="Times New Roman" w:cs="Times New Roman"/>
          <w:color w:val="000000"/>
          <w:spacing w:val="0"/>
          <w:w w:val="100"/>
          <w:position w:val="0"/>
        </w:rPr>
        <w:t>1,626.27</w:t>
      </w:r>
      <w:r>
        <w:rPr>
          <w:color w:val="000000"/>
          <w:spacing w:val="0"/>
          <w:w w:val="100"/>
          <w:position w:val="0"/>
        </w:rPr>
        <w:t>万元，占职工薪酬总额</w:t>
      </w:r>
      <w:r>
        <w:rPr>
          <w:rFonts w:ascii="Times New Roman" w:eastAsia="Times New Roman" w:hAnsi="Times New Roman" w:cs="Times New Roman"/>
          <w:color w:val="000000"/>
          <w:spacing w:val="0"/>
          <w:w w:val="100"/>
          <w:position w:val="0"/>
        </w:rPr>
        <w:t>11,376.28</w:t>
      </w:r>
      <w:r>
        <w:rPr>
          <w:color w:val="000000"/>
          <w:spacing w:val="0"/>
          <w:w w:val="100"/>
          <w:position w:val="0"/>
        </w:rPr>
        <w:t>万元的</w:t>
      </w:r>
      <w:r>
        <w:rPr>
          <w:rFonts w:ascii="Times New Roman" w:eastAsia="Times New Roman" w:hAnsi="Times New Roman" w:cs="Times New Roman"/>
          <w:color w:val="000000"/>
          <w:spacing w:val="0"/>
          <w:w w:val="100"/>
          <w:position w:val="0"/>
        </w:rPr>
        <w:t>14.30%</w:t>
      </w:r>
      <w:r>
        <w:rPr>
          <w:color w:val="000000"/>
          <w:spacing w:val="0"/>
          <w:w w:val="100"/>
          <w:position w:val="0"/>
        </w:rPr>
        <w:t>,相比</w:t>
      </w:r>
      <w:r>
        <w:rPr>
          <w:rFonts w:ascii="Times New Roman" w:eastAsia="Times New Roman" w:hAnsi="Times New Roman" w:cs="Times New Roman"/>
          <w:color w:val="000000"/>
          <w:spacing w:val="0"/>
          <w:w w:val="100"/>
          <w:position w:val="0"/>
        </w:rPr>
        <w:t>2019</w:t>
      </w:r>
      <w:r>
        <w:rPr>
          <w:color w:val="000000"/>
          <w:spacing w:val="0"/>
          <w:w w:val="100"/>
          <w:position w:val="0"/>
        </w:rPr>
        <w:t>年度变动不大。</w:t>
      </w:r>
    </w:p>
    <w:p>
      <w:pPr>
        <w:pStyle w:val="Style37"/>
        <w:keepNext/>
        <w:keepLines/>
        <w:widowControl w:val="0"/>
        <w:shd w:val="clear" w:color="auto" w:fill="auto"/>
        <w:tabs>
          <w:tab w:pos="373" w:val="left"/>
        </w:tabs>
        <w:bidi w:val="0"/>
        <w:spacing w:before="0" w:after="280" w:line="240" w:lineRule="auto"/>
        <w:ind w:left="0" w:right="0" w:firstLine="0"/>
        <w:jc w:val="both"/>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3</w:t>
      </w:r>
      <w:bookmarkEnd w:id="540"/>
      <w:r>
        <w:rPr>
          <w:color w:val="000000"/>
          <w:spacing w:val="0"/>
          <w:w w:val="100"/>
          <w:position w:val="0"/>
        </w:rPr>
        <w:t>、</w:t>
        <w:tab/>
        <w:t>培训计划</w:t>
      </w:r>
      <w:bookmarkEnd w:id="538"/>
      <w:bookmarkEnd w:id="539"/>
      <w:bookmarkEnd w:id="541"/>
    </w:p>
    <w:p>
      <w:pPr>
        <w:pStyle w:val="Style33"/>
        <w:keepNext w:val="0"/>
        <w:keepLines w:val="0"/>
        <w:widowControl w:val="0"/>
        <w:shd w:val="clear" w:color="auto" w:fill="auto"/>
        <w:bidi w:val="0"/>
        <w:spacing w:before="0" w:after="380" w:line="312" w:lineRule="exact"/>
        <w:ind w:left="0" w:right="0"/>
        <w:jc w:val="both"/>
      </w:pPr>
      <w:r>
        <w:rPr>
          <w:color w:val="000000"/>
          <w:spacing w:val="0"/>
          <w:w w:val="100"/>
          <w:position w:val="0"/>
        </w:rPr>
        <w:t>公司严格按照既定的培训计划进行开展相关培训</w:t>
      </w:r>
      <w:r>
        <w:rPr>
          <w:color w:val="000000"/>
          <w:spacing w:val="0"/>
          <w:w w:val="100"/>
          <w:position w:val="0"/>
        </w:rPr>
        <w:t>，</w:t>
      </w:r>
      <w:r>
        <w:rPr>
          <w:color w:val="000000"/>
          <w:spacing w:val="0"/>
          <w:w w:val="100"/>
          <w:position w:val="0"/>
        </w:rPr>
        <w:t>积极开拓多种学习资源，以技能培训为主，旨在提高公司在职员工的 职业素养，从而提高工作效率，为公司经营目标的实现奠定基础。</w:t>
      </w:r>
    </w:p>
    <w:p>
      <w:pPr>
        <w:pStyle w:val="Style37"/>
        <w:keepNext/>
        <w:keepLines/>
        <w:widowControl w:val="0"/>
        <w:shd w:val="clear" w:color="auto" w:fill="auto"/>
        <w:tabs>
          <w:tab w:pos="373" w:val="left"/>
        </w:tabs>
        <w:bidi w:val="0"/>
        <w:spacing w:before="0" w:after="280" w:line="240" w:lineRule="auto"/>
        <w:ind w:left="0" w:right="0" w:firstLine="0"/>
        <w:jc w:val="both"/>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4</w:t>
      </w:r>
      <w:bookmarkEnd w:id="544"/>
      <w:r>
        <w:rPr>
          <w:color w:val="000000"/>
          <w:spacing w:val="0"/>
          <w:w w:val="100"/>
          <w:position w:val="0"/>
        </w:rPr>
        <w:t>、</w:t>
        <w:tab/>
        <w:t>劳务外包情况</w:t>
      </w:r>
      <w:bookmarkEnd w:id="542"/>
      <w:bookmarkEnd w:id="543"/>
      <w:bookmarkEnd w:id="545"/>
    </w:p>
    <w:p>
      <w:pPr>
        <w:pStyle w:val="Style33"/>
        <w:keepNext w:val="0"/>
        <w:keepLines w:val="0"/>
        <w:widowControl w:val="0"/>
        <w:shd w:val="clear" w:color="auto" w:fill="auto"/>
        <w:bidi w:val="0"/>
        <w:spacing w:before="0" w:after="28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keepLines/>
        <w:widowControl w:val="0"/>
        <w:shd w:val="clear" w:color="auto" w:fill="auto"/>
        <w:bidi w:val="0"/>
        <w:spacing w:before="0" w:after="560" w:line="240" w:lineRule="auto"/>
        <w:ind w:left="0" w:right="0" w:firstLine="0"/>
        <w:jc w:val="center"/>
      </w:pPr>
      <w:bookmarkStart w:id="546" w:name="bookmark546"/>
      <w:bookmarkStart w:id="547" w:name="bookmark547"/>
      <w:bookmarkStart w:id="548" w:name="bookmark548"/>
      <w:r>
        <w:rPr>
          <w:color w:val="000000"/>
          <w:spacing w:val="0"/>
          <w:w w:val="100"/>
          <w:position w:val="0"/>
        </w:rPr>
        <w:t>第十节公司治理</w:t>
      </w:r>
      <w:bookmarkEnd w:id="546"/>
      <w:bookmarkEnd w:id="547"/>
      <w:bookmarkEnd w:id="548"/>
    </w:p>
    <w:p>
      <w:pPr>
        <w:pStyle w:val="Style29"/>
        <w:keepNext/>
        <w:keepLines/>
        <w:widowControl w:val="0"/>
        <w:shd w:val="clear" w:color="auto" w:fill="auto"/>
        <w:bidi w:val="0"/>
        <w:spacing w:before="0" w:after="260" w:line="240" w:lineRule="auto"/>
        <w:ind w:left="0" w:right="0" w:firstLine="0"/>
        <w:jc w:val="left"/>
      </w:pPr>
      <w:bookmarkStart w:id="549" w:name="bookmark549"/>
      <w:bookmarkStart w:id="550" w:name="bookmark550"/>
      <w:bookmarkStart w:id="551" w:name="bookmark551"/>
      <w:bookmarkStart w:id="552" w:name="bookmark552"/>
      <w:bookmarkStart w:id="553" w:name="bookmark553"/>
      <w:r>
        <w:rPr>
          <w:color w:val="000000"/>
          <w:spacing w:val="0"/>
          <w:w w:val="100"/>
          <w:position w:val="0"/>
          <w:sz w:val="24"/>
          <w:szCs w:val="24"/>
        </w:rPr>
        <w:t>一</w:t>
      </w:r>
      <w:bookmarkEnd w:id="552"/>
      <w:r>
        <w:rPr>
          <w:color w:val="000000"/>
          <w:spacing w:val="0"/>
          <w:w w:val="100"/>
          <w:position w:val="0"/>
          <w:sz w:val="24"/>
          <w:szCs w:val="24"/>
        </w:rPr>
        <w:t>、公司治理的基本状况</w:t>
      </w:r>
      <w:bookmarkEnd w:id="550"/>
      <w:bookmarkEnd w:id="551"/>
      <w:bookmarkEnd w:id="553"/>
      <w:bookmarkEnd w:id="549"/>
    </w:p>
    <w:p>
      <w:pPr>
        <w:pStyle w:val="Style33"/>
        <w:keepNext w:val="0"/>
        <w:keepLines w:val="0"/>
        <w:widowControl w:val="0"/>
        <w:shd w:val="clear" w:color="auto" w:fill="auto"/>
        <w:bidi w:val="0"/>
        <w:spacing w:before="0" w:after="0" w:line="310" w:lineRule="exact"/>
        <w:ind w:left="0" w:right="0"/>
        <w:jc w:val="both"/>
      </w:pPr>
      <w:r>
        <w:rPr>
          <w:color w:val="000000"/>
          <w:spacing w:val="0"/>
          <w:w w:val="100"/>
          <w:position w:val="0"/>
        </w:rPr>
        <w:t>公司严格按照《公司法》《证券法》《上市公司治理准则》《深圳证券交易所股票上市规则》《深圳证券交易所上市 公司规范运作指引》和中国证监会及深交所颁布的其他有关法律法规的要求，不断完善公司法人治理结构，建立健全内部 控制制度，加强公司信息披露工作，积极开展投资者关系管理，维护公司及全体股东的利益，确保公司规范运作、健康发 展。</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截至报告期末，公司治理的实际状况符合《上市公司治理准则》《深圳证券交易所股票上市规则》《深圳证券交易所 上市公司规范运作指引》等相关法律法规的要求，具体情况如下：</w:t>
      </w:r>
    </w:p>
    <w:p>
      <w:pPr>
        <w:pStyle w:val="Style33"/>
        <w:keepNext w:val="0"/>
        <w:keepLines w:val="0"/>
        <w:widowControl w:val="0"/>
        <w:shd w:val="clear" w:color="auto" w:fill="auto"/>
        <w:bidi w:val="0"/>
        <w:spacing w:before="0" w:after="0" w:line="313" w:lineRule="exact"/>
        <w:ind w:left="0" w:right="0"/>
        <w:jc w:val="both"/>
      </w:pPr>
      <w:bookmarkStart w:id="554" w:name="bookmark554"/>
      <w:r>
        <w:rPr>
          <w:b/>
          <w:bCs/>
          <w:color w:val="000000"/>
          <w:spacing w:val="0"/>
          <w:w w:val="100"/>
          <w:position w:val="0"/>
        </w:rPr>
        <w:t>（</w:t>
      </w:r>
      <w:bookmarkEnd w:id="554"/>
      <w:r>
        <w:rPr>
          <w:b/>
          <w:bCs/>
          <w:color w:val="000000"/>
          <w:spacing w:val="0"/>
          <w:w w:val="100"/>
          <w:position w:val="0"/>
        </w:rPr>
        <w:t>一）公司治理结构</w:t>
      </w:r>
    </w:p>
    <w:p>
      <w:pPr>
        <w:pStyle w:val="Style33"/>
        <w:keepNext w:val="0"/>
        <w:keepLines w:val="0"/>
        <w:widowControl w:val="0"/>
        <w:shd w:val="clear" w:color="auto" w:fill="auto"/>
        <w:tabs>
          <w:tab w:pos="787" w:val="left"/>
        </w:tabs>
        <w:bidi w:val="0"/>
        <w:spacing w:before="0" w:after="0" w:line="313" w:lineRule="exact"/>
        <w:ind w:left="0" w:right="0"/>
        <w:jc w:val="both"/>
      </w:pPr>
      <w:bookmarkStart w:id="555" w:name="bookmark555"/>
      <w:r>
        <w:rPr>
          <w:b/>
          <w:bCs/>
          <w:color w:val="000000"/>
          <w:spacing w:val="0"/>
          <w:w w:val="100"/>
          <w:position w:val="0"/>
        </w:rPr>
        <w:t>（</w:t>
      </w:r>
      <w:bookmarkEnd w:id="55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股东与股东大会</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公司依据《公司法》《公司章程》《上市公司治理准则》等文件制定了《股东大会议事规则》《控股股东、实际控制 人行为规范》，对股东大会的权力、召开程序、提案、表决和控股股东及实际控制人行为进行了规范，为维护中小股东权 益提供制度保障。</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公司股东严格根据《上市公司治理准则》《深圳证券交易所股票上市规则》《公司章程》规范自身行为，通过股东大 会行使股东权利，未发生超越股东大会及董事会而直接干预公司经营与决策的行为。</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公司依据《上市公司股东大会规则》的要求，报告期内召开股东大会均采取现场及网络投票相结合的表决方式，方便 中小投资者通过股东大会行使股东权利，提高中小投资者对公司决策的参与度。</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rPr>
        <w:t>4</w:t>
      </w:r>
      <w:r>
        <w:rPr>
          <w:color w:val="000000"/>
          <w:spacing w:val="0"/>
          <w:w w:val="100"/>
          <w:position w:val="0"/>
        </w:rPr>
        <w:t>次股东大会，会议的召集与召开程序、出席会议人员的资格、会议表决程序、表决结果和决议 内容均符合法律法规和《公司章程》的规定。</w:t>
      </w:r>
    </w:p>
    <w:p>
      <w:pPr>
        <w:pStyle w:val="Style33"/>
        <w:keepNext w:val="0"/>
        <w:keepLines w:val="0"/>
        <w:widowControl w:val="0"/>
        <w:shd w:val="clear" w:color="auto" w:fill="auto"/>
        <w:tabs>
          <w:tab w:pos="787" w:val="left"/>
        </w:tabs>
        <w:bidi w:val="0"/>
        <w:spacing w:before="0" w:after="0" w:line="313" w:lineRule="exact"/>
        <w:ind w:left="0" w:right="0"/>
        <w:jc w:val="both"/>
      </w:pPr>
      <w:bookmarkStart w:id="556" w:name="bookmark556"/>
      <w:r>
        <w:rPr>
          <w:b/>
          <w:bCs/>
          <w:color w:val="000000"/>
          <w:spacing w:val="0"/>
          <w:w w:val="100"/>
          <w:position w:val="0"/>
        </w:rPr>
        <w:t>（</w:t>
      </w:r>
      <w:bookmarkEnd w:id="55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公司与控股股东、实际控制人</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报告期内存在控股股东及关联方占用公司资金的情况，表明公司的内部控制运行机制未能有效执行，公司及公司控股 股东已对此进行了总结和分析，并提出了全面整改措施，截止年报披露日，控股股东及其关联方已全部归还占用的资金。</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除此之外，公司控股股东和实际控制人按照《上市公司治理准则》《深圳证券交易所股票上市规则》《深圳证券交易 所上市公司规范运作指引》《公司章程》等的规定和要求规范自己的行为，依法行使权利并承担相应义务，没有超越权限 直接或间接干预公司的决策及生产经营活动，没有损害公司及其他股东的利益。公司与控股股东、实际控制人在人员、资 产、财务、机构、业务上均保持独立，公司拥有独立完整的自主经营能力；公司董事会、监事会及其他内部机构均独立运 作。</w:t>
      </w:r>
    </w:p>
    <w:p>
      <w:pPr>
        <w:pStyle w:val="Style33"/>
        <w:keepNext w:val="0"/>
        <w:keepLines w:val="0"/>
        <w:widowControl w:val="0"/>
        <w:shd w:val="clear" w:color="auto" w:fill="auto"/>
        <w:tabs>
          <w:tab w:pos="873" w:val="left"/>
        </w:tabs>
        <w:bidi w:val="0"/>
        <w:spacing w:before="0" w:after="0" w:line="313" w:lineRule="exact"/>
        <w:ind w:left="380" w:right="0" w:firstLine="0"/>
        <w:jc w:val="left"/>
      </w:pPr>
      <w:bookmarkStart w:id="557" w:name="bookmark557"/>
      <w:r>
        <w:rPr>
          <w:b/>
          <w:bCs/>
          <w:color w:val="000000"/>
          <w:spacing w:val="0"/>
          <w:w w:val="100"/>
          <w:position w:val="0"/>
        </w:rPr>
        <w:t>（</w:t>
      </w:r>
      <w:bookmarkEnd w:id="557"/>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 xml:space="preserve">董事与董事会 </w:t>
      </w:r>
      <w:r>
        <w:rPr>
          <w:color w:val="000000"/>
          <w:spacing w:val="0"/>
          <w:w w:val="100"/>
          <w:position w:val="0"/>
        </w:rPr>
        <w:t>公司依据《公司法》《公司章程》《上市公司治理准则》等文件制定了《董事会议事规则》《独立董事年报工作制</w:t>
      </w:r>
    </w:p>
    <w:p>
      <w:pPr>
        <w:pStyle w:val="Style33"/>
        <w:keepNext w:val="0"/>
        <w:keepLines w:val="0"/>
        <w:widowControl w:val="0"/>
        <w:shd w:val="clear" w:color="auto" w:fill="auto"/>
        <w:bidi w:val="0"/>
        <w:spacing w:before="0" w:after="0" w:line="313" w:lineRule="exact"/>
        <w:ind w:left="0" w:right="0" w:firstLine="0"/>
        <w:jc w:val="both"/>
      </w:pPr>
      <w:r>
        <w:rPr>
          <w:color w:val="000000"/>
          <w:spacing w:val="0"/>
          <w:w w:val="100"/>
          <w:position w:val="0"/>
        </w:rPr>
        <w:t>度》《总经理工作细则》《独立董事工作制度》，公司董事会设董事</w:t>
      </w:r>
      <w:r>
        <w:rPr>
          <w:rFonts w:ascii="Times New Roman" w:eastAsia="Times New Roman" w:hAnsi="Times New Roman" w:cs="Times New Roman"/>
          <w:color w:val="000000"/>
          <w:spacing w:val="0"/>
          <w:w w:val="100"/>
          <w:position w:val="0"/>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名，公司董事选举程序、董事会 人数及人员构成符合法律、法规的要求；公司董事勤勉尽责地履行职责，维护公司和全体股东的合法权益；独立董事能够 严格按照《公司章程》《独立董事工作制度》的要求独立履行职责，对公司生产经营、关联交易、人事任免等重要及重大 事项发表独立意见，保证公司的规范运作。</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rPr>
        <w:t>11</w:t>
      </w:r>
      <w:r>
        <w:rPr>
          <w:color w:val="000000"/>
          <w:spacing w:val="0"/>
          <w:w w:val="100"/>
          <w:position w:val="0"/>
        </w:rPr>
        <w:t>次董事会会议，会议的召集与召开程序、出席会议人员的资格、会议表决程序、表决结果和 决议内容均符合法律法规和《公司章程》的规定。</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公司董事会设立了审计、薪酬与考核、提名、战略四个专门委员会，建立并完善了议事规则，各委员会分工明确，报 告期内，公司共召开</w:t>
      </w:r>
      <w:r>
        <w:rPr>
          <w:rFonts w:ascii="Times New Roman" w:eastAsia="Times New Roman" w:hAnsi="Times New Roman" w:cs="Times New Roman"/>
          <w:color w:val="000000"/>
          <w:spacing w:val="0"/>
          <w:w w:val="100"/>
          <w:position w:val="0"/>
        </w:rPr>
        <w:t>7</w:t>
      </w:r>
      <w:r>
        <w:rPr>
          <w:color w:val="000000"/>
          <w:spacing w:val="0"/>
          <w:w w:val="100"/>
          <w:position w:val="0"/>
        </w:rPr>
        <w:t>次审计委员会会议、</w:t>
      </w:r>
      <w:r>
        <w:rPr>
          <w:rFonts w:ascii="Times New Roman" w:eastAsia="Times New Roman" w:hAnsi="Times New Roman" w:cs="Times New Roman"/>
          <w:color w:val="000000"/>
          <w:spacing w:val="0"/>
          <w:w w:val="100"/>
          <w:position w:val="0"/>
        </w:rPr>
        <w:t>2</w:t>
      </w:r>
      <w:r>
        <w:rPr>
          <w:color w:val="000000"/>
          <w:spacing w:val="0"/>
          <w:w w:val="100"/>
          <w:position w:val="0"/>
        </w:rPr>
        <w:t>次薪酬与考核委员会会议、</w:t>
      </w:r>
      <w:r>
        <w:rPr>
          <w:rFonts w:ascii="Times New Roman" w:eastAsia="Times New Roman" w:hAnsi="Times New Roman" w:cs="Times New Roman"/>
          <w:color w:val="000000"/>
          <w:spacing w:val="0"/>
          <w:w w:val="100"/>
          <w:position w:val="0"/>
        </w:rPr>
        <w:t>4</w:t>
      </w:r>
      <w:r>
        <w:rPr>
          <w:color w:val="000000"/>
          <w:spacing w:val="0"/>
          <w:w w:val="100"/>
          <w:position w:val="0"/>
        </w:rPr>
        <w:t>次提名委员会会议及</w:t>
      </w:r>
      <w:r>
        <w:rPr>
          <w:rFonts w:ascii="Times New Roman" w:eastAsia="Times New Roman" w:hAnsi="Times New Roman" w:cs="Times New Roman"/>
          <w:color w:val="000000"/>
          <w:spacing w:val="0"/>
          <w:w w:val="100"/>
          <w:position w:val="0"/>
        </w:rPr>
        <w:t>1</w:t>
      </w:r>
      <w:r>
        <w:rPr>
          <w:color w:val="000000"/>
          <w:spacing w:val="0"/>
          <w:w w:val="100"/>
          <w:position w:val="0"/>
        </w:rPr>
        <w:t>次战略委员会会议，为董事 会的决策提供科学和专业的意见，确保董事会对经营层的有效监督。</w:t>
      </w:r>
    </w:p>
    <w:p>
      <w:pPr>
        <w:pStyle w:val="Style33"/>
        <w:keepNext w:val="0"/>
        <w:keepLines w:val="0"/>
        <w:widowControl w:val="0"/>
        <w:shd w:val="clear" w:color="auto" w:fill="auto"/>
        <w:tabs>
          <w:tab w:pos="873" w:val="left"/>
        </w:tabs>
        <w:bidi w:val="0"/>
        <w:spacing w:before="0" w:after="0" w:line="313" w:lineRule="exact"/>
        <w:ind w:left="380" w:right="0" w:firstLine="0"/>
        <w:jc w:val="left"/>
      </w:pPr>
      <w:bookmarkStart w:id="558" w:name="bookmark558"/>
      <w:r>
        <w:rPr>
          <w:b/>
          <w:bCs/>
          <w:color w:val="000000"/>
          <w:spacing w:val="0"/>
          <w:w w:val="100"/>
          <w:position w:val="0"/>
        </w:rPr>
        <w:t>（</w:t>
      </w:r>
      <w:bookmarkEnd w:id="558"/>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 xml:space="preserve">监事与监事会 </w:t>
      </w:r>
      <w:r>
        <w:rPr>
          <w:color w:val="000000"/>
          <w:spacing w:val="0"/>
          <w:w w:val="100"/>
          <w:position w:val="0"/>
        </w:rPr>
        <w:t>公司依据《公司法》《公司章程》《上市公司治理准则》等文件制定了《监事会议事规则》，公司监事会设监事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 xml:space="preserve">名， </w:t>
      </w:r>
      <w:r>
        <w:rPr>
          <w:color w:val="000000"/>
          <w:spacing w:val="0"/>
          <w:w w:val="100"/>
          <w:position w:val="0"/>
        </w:rPr>
        <w:t>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名，监事会的人数、构成及选聘程序均符合相关法律法规的规定。公司监事按规定出席监事会，认真履 行职责，对公司重大事项、关联交易、财务状况等进行监督并发表意见，维护公司及股东的合法权益。</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rPr>
        <w:t>7</w:t>
      </w:r>
      <w:r>
        <w:rPr>
          <w:color w:val="000000"/>
          <w:spacing w:val="0"/>
          <w:w w:val="100"/>
          <w:position w:val="0"/>
        </w:rPr>
        <w:t>次监事会会议，会议的召集与召开程序、出席会议人员的资格、会议表决程序、表决结果和决 议内容均符合法律法规和《公司章程》的规定。</w:t>
      </w:r>
    </w:p>
    <w:p>
      <w:pPr>
        <w:pStyle w:val="Style33"/>
        <w:keepNext w:val="0"/>
        <w:keepLines w:val="0"/>
        <w:widowControl w:val="0"/>
        <w:shd w:val="clear" w:color="auto" w:fill="auto"/>
        <w:tabs>
          <w:tab w:pos="770" w:val="left"/>
        </w:tabs>
        <w:bidi w:val="0"/>
        <w:spacing w:before="0" w:after="0" w:line="313" w:lineRule="exact"/>
        <w:ind w:left="0" w:right="0"/>
        <w:jc w:val="both"/>
      </w:pPr>
      <w:bookmarkStart w:id="559" w:name="bookmark559"/>
      <w:r>
        <w:rPr>
          <w:b/>
          <w:bCs/>
          <w:color w:val="000000"/>
          <w:spacing w:val="0"/>
          <w:w w:val="100"/>
          <w:position w:val="0"/>
        </w:rPr>
        <w:t>（</w:t>
      </w:r>
      <w:bookmarkEnd w:id="559"/>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信息披露</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公司上市前就根据相关文件制度制定了《信息披露管理制度》和《投资者关系管理制度》，公司上市后按照中国证监 会、深圳证券交易所发布的相关法规修订或者制定了《信息披露管理制度》《年报信息披露重大差错责任追究制度》《推 广和接待制度》《重大信息内部报告制度》《董事会审计委员会年报工作规程》《独立董事年报工作制度》《内部信息保 密制度》《内幕信息知情人登记和报备制度》，指定公司董事会秘书负责信息披露工作，规范公司内部重大信息传递的程 序，对年报信息披露重大差错责任追究作出明确规定，切实履行信息披露义务。公司指定《证券时报》《中国证券报》 《上海证券报》《证券日报》和巨潮资讯网站为公司信息披露的报纸和网站，真实、准确、完整、及时地披露公司信息， 确保公司所有股东公平的获得公司相关信息。</w:t>
      </w:r>
    </w:p>
    <w:p>
      <w:pPr>
        <w:pStyle w:val="Style33"/>
        <w:keepNext w:val="0"/>
        <w:keepLines w:val="0"/>
        <w:widowControl w:val="0"/>
        <w:shd w:val="clear" w:color="auto" w:fill="auto"/>
        <w:tabs>
          <w:tab w:pos="770" w:val="left"/>
        </w:tabs>
        <w:bidi w:val="0"/>
        <w:spacing w:before="0" w:after="0" w:line="313" w:lineRule="exact"/>
        <w:ind w:left="0" w:right="0"/>
        <w:jc w:val="both"/>
      </w:pPr>
      <w:bookmarkStart w:id="560" w:name="bookmark560"/>
      <w:r>
        <w:rPr>
          <w:b/>
          <w:bCs/>
          <w:color w:val="000000"/>
          <w:spacing w:val="0"/>
          <w:w w:val="100"/>
          <w:position w:val="0"/>
        </w:rPr>
        <w:t>（</w:t>
      </w:r>
      <w:bookmarkEnd w:id="560"/>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投资者关系管理</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公司重视投资者关系管理工作，指定董事会秘书为投资者关系管理负责人，公司证券部作为投资者关系管理的具体实 施机构，协助实施投资者关系的日常管理工作，包括投资者来电和来访接待、股东大会的组织安排、投资者关系互动平台 答疑等，加强与投资者沟通和交流，充分保障广大投资者的知情权。</w:t>
      </w:r>
    </w:p>
    <w:p>
      <w:pPr>
        <w:pStyle w:val="Style33"/>
        <w:keepNext w:val="0"/>
        <w:keepLines w:val="0"/>
        <w:widowControl w:val="0"/>
        <w:shd w:val="clear" w:color="auto" w:fill="auto"/>
        <w:tabs>
          <w:tab w:pos="770" w:val="left"/>
        </w:tabs>
        <w:bidi w:val="0"/>
        <w:spacing w:before="0" w:after="40" w:line="313" w:lineRule="exact"/>
        <w:ind w:left="0" w:right="0"/>
        <w:jc w:val="both"/>
      </w:pPr>
      <w:bookmarkStart w:id="561" w:name="bookmark561"/>
      <w:r>
        <w:rPr>
          <w:b/>
          <w:bCs/>
          <w:color w:val="000000"/>
          <w:spacing w:val="0"/>
          <w:w w:val="100"/>
          <w:position w:val="0"/>
        </w:rPr>
        <w:t>（</w:t>
      </w:r>
      <w:bookmarkEnd w:id="561"/>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关于利益相关者</w:t>
      </w:r>
    </w:p>
    <w:p>
      <w:pPr>
        <w:pStyle w:val="Style33"/>
        <w:keepNext w:val="0"/>
        <w:keepLines w:val="0"/>
        <w:widowControl w:val="0"/>
        <w:shd w:val="clear" w:color="auto" w:fill="auto"/>
        <w:bidi w:val="0"/>
        <w:spacing w:before="0" w:after="0" w:line="307" w:lineRule="exact"/>
        <w:ind w:left="0" w:right="0"/>
        <w:jc w:val="both"/>
      </w:pPr>
      <w:r>
        <w:rPr>
          <w:color w:val="000000"/>
          <w:spacing w:val="0"/>
          <w:w w:val="100"/>
          <w:position w:val="0"/>
        </w:rPr>
        <w:t>公司充分尊重和维护利益相关者（债权人、员工、关联方等）的合法权益，重视公司的社会责任，努力实现股东、员 工、社会等各方利益的协调平衡，通过与利益相关者积极合作共同推动公司持续、健康发展。</w:t>
      </w:r>
    </w:p>
    <w:p>
      <w:pPr>
        <w:pStyle w:val="Style33"/>
        <w:keepNext w:val="0"/>
        <w:keepLines w:val="0"/>
        <w:widowControl w:val="0"/>
        <w:shd w:val="clear" w:color="auto" w:fill="auto"/>
        <w:bidi w:val="0"/>
        <w:spacing w:before="0" w:after="0" w:line="313" w:lineRule="exact"/>
        <w:ind w:left="0" w:right="0"/>
        <w:jc w:val="both"/>
      </w:pPr>
      <w:bookmarkStart w:id="562" w:name="bookmark562"/>
      <w:r>
        <w:rPr>
          <w:b/>
          <w:bCs/>
          <w:color w:val="000000"/>
          <w:spacing w:val="0"/>
          <w:w w:val="100"/>
          <w:position w:val="0"/>
        </w:rPr>
        <w:t>（</w:t>
      </w:r>
      <w:bookmarkEnd w:id="562"/>
      <w:r>
        <w:rPr>
          <w:b/>
          <w:bCs/>
          <w:color w:val="000000"/>
          <w:spacing w:val="0"/>
          <w:w w:val="100"/>
          <w:position w:val="0"/>
        </w:rPr>
        <w:t>二）公司董事履行职责情况</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报告期内，公司董事长能够积极推动公司内部各项制度的制定和完善，报告期内推动公司修订了《公司章程》《董 事、监事、高级管理人员薪酬制度》《深圳市惠程信息科技股份有限公司投融资管理制度》，加强董事会建设，确保董事 会会议依法正常召集和召开。董事长未有从事超越其职权范围的行为，能够积极督促股东大会决议和董事会决议的执行， 及时将有关情况告知其他董事，能够保证独立董事和董事会秘书的知情权，为其行使职能和发挥作用提供平台和保障。</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报告期内，公司全体董事能够依照《公司法》《公司章程》的规定出席公司召开的董事会会议并客观地发表意见，恪 尽职守、廉洁自律、忠实勤勉地履行职责，致力于保护公司和股东利益及合法权益，未出现违反有关法律法规、《公司章 程》等规定不能担任公司董事职责的行为。</w:t>
      </w:r>
    </w:p>
    <w:p>
      <w:pPr>
        <w:pStyle w:val="Style33"/>
        <w:keepNext w:val="0"/>
        <w:keepLines w:val="0"/>
        <w:widowControl w:val="0"/>
        <w:shd w:val="clear" w:color="auto" w:fill="auto"/>
        <w:bidi w:val="0"/>
        <w:spacing w:before="0" w:after="120" w:line="313" w:lineRule="exact"/>
        <w:ind w:left="0" w:right="0"/>
        <w:jc w:val="both"/>
      </w:pPr>
      <w:r>
        <w:rPr>
          <w:color w:val="000000"/>
          <w:spacing w:val="0"/>
          <w:w w:val="100"/>
          <w:position w:val="0"/>
        </w:rPr>
        <w:t>报告期内，公司独立董事能够定期了解公司经营情况，对公司的重大决策提供了专业性意见，对公司重大生产经营活 动进行有效监督，保证了公司决策的科学性。对关于公司利用自有资金投资理财产品、核销长期挂账往来款项、董监高薪 酬、与关联方资金往来、公司累计和当期对外担保、定期报告、关于哆可梦</w:t>
      </w:r>
      <w:r>
        <w:rPr>
          <w:rFonts w:ascii="Times New Roman" w:eastAsia="Times New Roman" w:hAnsi="Times New Roman" w:cs="Times New Roman"/>
          <w:color w:val="000000"/>
          <w:spacing w:val="0"/>
          <w:w w:val="100"/>
          <w:position w:val="0"/>
        </w:rPr>
        <w:t>77.57%</w:t>
      </w:r>
      <w:r>
        <w:rPr>
          <w:color w:val="000000"/>
          <w:spacing w:val="0"/>
          <w:w w:val="100"/>
          <w:position w:val="0"/>
        </w:rPr>
        <w:t>股东权益价值减值测试专项报告、非公 开发行</w:t>
      </w:r>
      <w:r>
        <w:rPr>
          <w:rFonts w:ascii="Times New Roman" w:eastAsia="Times New Roman" w:hAnsi="Times New Roman" w:cs="Times New Roman"/>
          <w:color w:val="000000"/>
          <w:spacing w:val="0"/>
          <w:w w:val="100"/>
          <w:position w:val="0"/>
        </w:rPr>
        <w:t>A</w:t>
      </w:r>
      <w:r>
        <w:rPr>
          <w:color w:val="000000"/>
          <w:spacing w:val="0"/>
          <w:w w:val="100"/>
          <w:position w:val="0"/>
        </w:rPr>
        <w:t>股股票方案及预案、控股股东及其他关联方占用资金情况、公司对外担保情况、提名第七届董事会成员、修订董 监高薪酬制度、拟聘任会计师事务所、向深圳市高新投集团有限公司申请信用贷款并接受关联方担保、聘任高级管理人员 等重大事项进行审核并发表了独立意见，为完善公司监督机制、维护公司和全体股东的合法权益发挥了应有的作用。报告 期内，独立董事没有对公司有关事项提出异议。</w:t>
      </w:r>
    </w:p>
    <w:p>
      <w:pPr>
        <w:pStyle w:val="Style31"/>
        <w:keepNext w:val="0"/>
        <w:keepLines w:val="0"/>
        <w:widowControl w:val="0"/>
        <w:shd w:val="clear" w:color="auto" w:fill="auto"/>
        <w:bidi w:val="0"/>
        <w:spacing w:before="0" w:after="0" w:line="240" w:lineRule="auto"/>
        <w:ind w:left="346" w:right="0" w:firstLine="0"/>
        <w:jc w:val="left"/>
      </w:pPr>
      <w:r>
        <w:rPr>
          <w:color w:val="000000"/>
          <w:spacing w:val="0"/>
          <w:w w:val="100"/>
          <w:position w:val="0"/>
        </w:rPr>
        <w:t>报告期内董事出席董事会的情况:</w:t>
      </w:r>
    </w:p>
    <w:tbl>
      <w:tblPr>
        <w:tblOverlap w:val="never"/>
        <w:jc w:val="center"/>
        <w:tblLayout w:type="fixed"/>
      </w:tblPr>
      <w:tblGrid>
        <w:gridCol w:w="1776"/>
        <w:gridCol w:w="1555"/>
        <w:gridCol w:w="1224"/>
        <w:gridCol w:w="1051"/>
        <w:gridCol w:w="1051"/>
        <w:gridCol w:w="1051"/>
        <w:gridCol w:w="1939"/>
      </w:tblGrid>
      <w:tr>
        <w:trPr>
          <w:trHeight w:val="66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董事姓名</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职务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应参加董事会 次数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亲自出席次 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委托出席次 数</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缺席次数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是否连续两次未亲自参</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加会议</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汪超涌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沈晓超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林嘉喜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潘林武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tbl>
      <w:tblPr>
        <w:tblOverlap w:val="never"/>
        <w:jc w:val="center"/>
        <w:tblLayout w:type="fixed"/>
      </w:tblPr>
      <w:tblGrid>
        <w:gridCol w:w="1776"/>
        <w:gridCol w:w="1555"/>
        <w:gridCol w:w="1224"/>
        <w:gridCol w:w="1051"/>
        <w:gridCol w:w="1051"/>
        <w:gridCol w:w="1051"/>
        <w:gridCol w:w="1939"/>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叶陈刚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钟晓林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Key Ke Liu</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WAN XIAO YANG</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离任董事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31"/>
        <w:keepNext w:val="0"/>
        <w:keepLines w:val="0"/>
        <w:widowControl w:val="0"/>
        <w:shd w:val="clear" w:color="auto" w:fill="auto"/>
        <w:bidi w:val="0"/>
        <w:spacing w:before="0" w:after="0" w:line="240" w:lineRule="auto"/>
        <w:ind w:left="437" w:right="0" w:firstLine="0"/>
        <w:jc w:val="left"/>
      </w:pPr>
      <w:r>
        <w:rPr>
          <w:b/>
          <w:bCs/>
          <w:color w:val="000000"/>
          <w:spacing w:val="0"/>
          <w:w w:val="100"/>
          <w:position w:val="0"/>
        </w:rPr>
        <w:t>（三）公司内部审计制度的建立和执行</w:t>
      </w:r>
    </w:p>
    <w:p>
      <w:pPr>
        <w:pStyle w:val="Style33"/>
        <w:keepNext w:val="0"/>
        <w:keepLines w:val="0"/>
        <w:widowControl w:val="0"/>
        <w:shd w:val="clear" w:color="auto" w:fill="auto"/>
        <w:bidi w:val="0"/>
        <w:spacing w:before="0" w:after="0" w:line="312" w:lineRule="exact"/>
        <w:ind w:left="0" w:right="0"/>
        <w:jc w:val="left"/>
      </w:pPr>
      <w:r>
        <w:rPr>
          <w:color w:val="000000"/>
          <w:spacing w:val="0"/>
          <w:w w:val="100"/>
          <w:position w:val="0"/>
        </w:rPr>
        <w:t>公司根据《中华人民共和国审计法》《审计署关于内部审计工作的规定》等法律法规和《公司章程》的有关规定，结 合公司实际情况，制定了《内部审计制度》。</w:t>
      </w:r>
    </w:p>
    <w:p>
      <w:pPr>
        <w:pStyle w:val="Style33"/>
        <w:keepNext w:val="0"/>
        <w:keepLines w:val="0"/>
        <w:widowControl w:val="0"/>
        <w:shd w:val="clear" w:color="auto" w:fill="auto"/>
        <w:bidi w:val="0"/>
        <w:spacing w:before="0" w:after="0" w:line="312" w:lineRule="exact"/>
        <w:ind w:left="0" w:right="0"/>
        <w:jc w:val="left"/>
      </w:pPr>
      <w:r>
        <w:rPr>
          <w:color w:val="000000"/>
          <w:spacing w:val="0"/>
          <w:w w:val="100"/>
          <w:position w:val="0"/>
        </w:rPr>
        <w:t>根据《内部审计制度》，公司董事会设审计委员会，审计委员会下设审计室作为公司内部审计的执行机构，审计室负 责人由董事会审计委员会提名，董事会任免。内部审计机构对审计委员会负责，向审计委员会报告工作，对公司及所属的 经营管理活动进行审计监督。</w:t>
      </w:r>
    </w:p>
    <w:p>
      <w:pPr>
        <w:pStyle w:val="Style33"/>
        <w:keepNext w:val="0"/>
        <w:keepLines w:val="0"/>
        <w:widowControl w:val="0"/>
        <w:shd w:val="clear" w:color="auto" w:fill="auto"/>
        <w:bidi w:val="0"/>
        <w:spacing w:before="0" w:after="0" w:line="312" w:lineRule="exact"/>
        <w:ind w:left="0" w:right="0"/>
        <w:jc w:val="left"/>
      </w:pPr>
      <w:r>
        <w:rPr>
          <w:color w:val="000000"/>
          <w:spacing w:val="0"/>
          <w:w w:val="100"/>
          <w:position w:val="0"/>
        </w:rPr>
        <w:t>审计室负责组织实施公司内部审计制度，对公司财务计划成本计划或公司预算的执行和决算情况、财务收支及其有关的 经济活动，生产经营开发的经济效益和资产保值增值情况、建设项目预算和决算情况、经济合同的签订及履行情况、内部控 制制度等事项的合法性、合规性、真实性和完整性进行审计监督，负责监督检查公司董事会各项经营决策的贯彻执行情况, 确定反舞弊的重点领域、关键环节和主要内容，并在内部审计过程中合理关注和检查可能存在的舞弊行为。</w:t>
      </w:r>
    </w:p>
    <w:p>
      <w:pPr>
        <w:pStyle w:val="Style33"/>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9"/>
        <w:keepNext/>
        <w:keepLines/>
        <w:widowControl w:val="0"/>
        <w:shd w:val="clear" w:color="auto" w:fill="auto"/>
        <w:tabs>
          <w:tab w:pos="577" w:val="left"/>
        </w:tabs>
        <w:bidi w:val="0"/>
        <w:spacing w:before="0" w:after="260" w:line="240" w:lineRule="auto"/>
        <w:ind w:left="0" w:right="0" w:firstLine="0"/>
        <w:jc w:val="left"/>
      </w:pPr>
      <w:bookmarkStart w:id="563" w:name="bookmark563"/>
      <w:bookmarkStart w:id="564" w:name="bookmark564"/>
      <w:bookmarkStart w:id="565" w:name="bookmark565"/>
      <w:bookmarkStart w:id="566" w:name="bookmark566"/>
      <w:r>
        <w:rPr>
          <w:color w:val="000000"/>
          <w:spacing w:val="0"/>
          <w:w w:val="100"/>
          <w:position w:val="0"/>
          <w:sz w:val="24"/>
          <w:szCs w:val="24"/>
        </w:rPr>
        <w:t>二</w:t>
      </w:r>
      <w:bookmarkEnd w:id="565"/>
      <w:r>
        <w:rPr>
          <w:color w:val="000000"/>
          <w:spacing w:val="0"/>
          <w:w w:val="100"/>
          <w:position w:val="0"/>
          <w:sz w:val="24"/>
          <w:szCs w:val="24"/>
        </w:rPr>
        <w:t>、</w:t>
        <w:tab/>
        <w:t>公司相对于控股股东在业务、人员、资产、机构、财务等方面的独立情况</w:t>
      </w:r>
      <w:bookmarkEnd w:id="563"/>
      <w:bookmarkEnd w:id="564"/>
      <w:bookmarkEnd w:id="566"/>
    </w:p>
    <w:p>
      <w:pPr>
        <w:pStyle w:val="Style33"/>
        <w:keepNext w:val="0"/>
        <w:keepLines w:val="0"/>
        <w:widowControl w:val="0"/>
        <w:shd w:val="clear" w:color="auto" w:fill="auto"/>
        <w:bidi w:val="0"/>
        <w:spacing w:before="0" w:after="0" w:line="314" w:lineRule="exact"/>
        <w:ind w:left="0" w:right="0"/>
        <w:jc w:val="left"/>
      </w:pPr>
      <w:r>
        <w:rPr>
          <w:color w:val="000000"/>
          <w:spacing w:val="0"/>
          <w:w w:val="100"/>
          <w:position w:val="0"/>
        </w:rPr>
        <w:t>公司与控股股东在业务、人员、资产、机构、财务等方面完全分开，具有独立完整的业务及自主经营能力。</w:t>
      </w:r>
    </w:p>
    <w:p>
      <w:pPr>
        <w:pStyle w:val="Style33"/>
        <w:keepNext w:val="0"/>
        <w:keepLines w:val="0"/>
        <w:widowControl w:val="0"/>
        <w:shd w:val="clear" w:color="auto" w:fill="auto"/>
        <w:tabs>
          <w:tab w:pos="704" w:val="left"/>
        </w:tabs>
        <w:bidi w:val="0"/>
        <w:spacing w:before="0" w:after="0" w:line="317" w:lineRule="exact"/>
        <w:ind w:left="0" w:right="0"/>
        <w:jc w:val="left"/>
      </w:pPr>
      <w:bookmarkStart w:id="567" w:name="bookmark567"/>
      <w:r>
        <w:rPr>
          <w:rFonts w:ascii="Times New Roman" w:eastAsia="Times New Roman" w:hAnsi="Times New Roman" w:cs="Times New Roman"/>
          <w:b/>
          <w:bCs/>
          <w:color w:val="000000"/>
          <w:spacing w:val="0"/>
          <w:w w:val="100"/>
          <w:position w:val="0"/>
        </w:rPr>
        <w:t>1</w:t>
      </w:r>
      <w:bookmarkEnd w:id="567"/>
      <w:r>
        <w:rPr>
          <w:b/>
          <w:bCs/>
          <w:color w:val="000000"/>
          <w:spacing w:val="0"/>
          <w:w w:val="100"/>
          <w:position w:val="0"/>
        </w:rPr>
        <w:t>、</w:t>
        <w:tab/>
        <w:t>业务：</w:t>
      </w:r>
      <w:r>
        <w:rPr>
          <w:color w:val="000000"/>
          <w:spacing w:val="0"/>
          <w:w w:val="100"/>
          <w:position w:val="0"/>
        </w:rPr>
        <w:t>公司业务结构完整，自主独立经营，不依赖于控股股东或其他任何关联方，与控股股东、实际控制人及其控 制的其他企业间不存在同业竞争或者显失公平的关联交易，也不存在控股股东直接或间接干预公司经营运作的情形。</w:t>
      </w:r>
    </w:p>
    <w:p>
      <w:pPr>
        <w:pStyle w:val="Style33"/>
        <w:keepNext w:val="0"/>
        <w:keepLines w:val="0"/>
        <w:widowControl w:val="0"/>
        <w:shd w:val="clear" w:color="auto" w:fill="auto"/>
        <w:tabs>
          <w:tab w:pos="699" w:val="left"/>
        </w:tabs>
        <w:bidi w:val="0"/>
        <w:spacing w:before="0" w:after="0" w:line="322" w:lineRule="exact"/>
        <w:ind w:left="0" w:right="0"/>
        <w:jc w:val="left"/>
      </w:pPr>
      <w:bookmarkStart w:id="568" w:name="bookmark568"/>
      <w:r>
        <w:rPr>
          <w:rFonts w:ascii="Times New Roman" w:eastAsia="Times New Roman" w:hAnsi="Times New Roman" w:cs="Times New Roman"/>
          <w:b/>
          <w:bCs/>
          <w:color w:val="000000"/>
          <w:spacing w:val="0"/>
          <w:w w:val="100"/>
          <w:position w:val="0"/>
        </w:rPr>
        <w:t>2</w:t>
      </w:r>
      <w:bookmarkEnd w:id="568"/>
      <w:r>
        <w:rPr>
          <w:b/>
          <w:bCs/>
          <w:color w:val="000000"/>
          <w:spacing w:val="0"/>
          <w:w w:val="100"/>
          <w:position w:val="0"/>
        </w:rPr>
        <w:t>、</w:t>
        <w:tab/>
        <w:t>人员：</w:t>
      </w:r>
      <w:r>
        <w:rPr>
          <w:color w:val="000000"/>
          <w:spacing w:val="0"/>
          <w:w w:val="100"/>
          <w:position w:val="0"/>
        </w:rPr>
        <w:t>公司在劳动、人事及工资等方面均完全独立于控股股东。公司董事长、总裁、副总裁、董事会秘书、财务负 责人等人员均在公司领取薪酬，未在控股股东及其下属企业担任董事、监事以外的任何职务。</w:t>
      </w:r>
    </w:p>
    <w:p>
      <w:pPr>
        <w:pStyle w:val="Style33"/>
        <w:keepNext w:val="0"/>
        <w:keepLines w:val="0"/>
        <w:widowControl w:val="0"/>
        <w:shd w:val="clear" w:color="auto" w:fill="auto"/>
        <w:tabs>
          <w:tab w:pos="704" w:val="left"/>
        </w:tabs>
        <w:bidi w:val="0"/>
        <w:spacing w:before="0" w:after="140" w:line="317" w:lineRule="exact"/>
        <w:ind w:left="0" w:right="0"/>
        <w:jc w:val="left"/>
      </w:pPr>
      <w:bookmarkStart w:id="569" w:name="bookmark569"/>
      <w:r>
        <w:rPr>
          <w:rFonts w:ascii="Times New Roman" w:eastAsia="Times New Roman" w:hAnsi="Times New Roman" w:cs="Times New Roman"/>
          <w:b/>
          <w:bCs/>
          <w:color w:val="000000"/>
          <w:spacing w:val="0"/>
          <w:w w:val="100"/>
          <w:position w:val="0"/>
        </w:rPr>
        <w:t>3</w:t>
      </w:r>
      <w:bookmarkEnd w:id="569"/>
      <w:r>
        <w:rPr>
          <w:b/>
          <w:bCs/>
          <w:color w:val="000000"/>
          <w:spacing w:val="0"/>
          <w:w w:val="100"/>
          <w:position w:val="0"/>
        </w:rPr>
        <w:t>、</w:t>
        <w:tab/>
        <w:t>资产：</w:t>
      </w:r>
      <w:r>
        <w:rPr>
          <w:color w:val="000000"/>
          <w:spacing w:val="0"/>
          <w:w w:val="100"/>
          <w:position w:val="0"/>
        </w:rPr>
        <w:t>公司拥有独立于控股股东的生产经营场所，拥有独立完整的资产结构，拥有独立的生产系统、辅助生产系统 和配套设施、土地使用权、房屋所有权等资产，拥有独立的采购和销售系统，对所有资产拥有完全的控制支配权，不存在 资产、资金被控股股东、实际控制人及其控制的其他企业违规占用而损害公司利益的情况。</w:t>
      </w:r>
    </w:p>
    <w:p>
      <w:pPr>
        <w:pStyle w:val="Style33"/>
        <w:keepNext w:val="0"/>
        <w:keepLines w:val="0"/>
        <w:widowControl w:val="0"/>
        <w:shd w:val="clear" w:color="auto" w:fill="auto"/>
        <w:tabs>
          <w:tab w:pos="734" w:val="left"/>
        </w:tabs>
        <w:bidi w:val="0"/>
        <w:spacing w:before="0" w:after="0"/>
        <w:ind w:left="0" w:right="0"/>
        <w:jc w:val="left"/>
      </w:pPr>
      <w:bookmarkStart w:id="570" w:name="bookmark570"/>
      <w:r>
        <w:rPr>
          <w:rFonts w:ascii="Times New Roman" w:eastAsia="Times New Roman" w:hAnsi="Times New Roman" w:cs="Times New Roman"/>
          <w:b/>
          <w:bCs/>
          <w:color w:val="000000"/>
          <w:spacing w:val="0"/>
          <w:w w:val="100"/>
          <w:position w:val="0"/>
        </w:rPr>
        <w:t>4</w:t>
      </w:r>
      <w:bookmarkEnd w:id="570"/>
      <w:r>
        <w:rPr>
          <w:b/>
          <w:bCs/>
          <w:color w:val="000000"/>
          <w:spacing w:val="0"/>
          <w:w w:val="100"/>
          <w:position w:val="0"/>
        </w:rPr>
        <w:t>、</w:t>
        <w:tab/>
        <w:t>机构：</w:t>
      </w:r>
      <w:r>
        <w:rPr>
          <w:color w:val="000000"/>
          <w:spacing w:val="0"/>
          <w:w w:val="100"/>
          <w:position w:val="0"/>
        </w:rPr>
        <w:t>公司设立了健全的组织机构体系，独立运作，不存在与控股股东或其职能部门之间的从属关系。</w:t>
      </w:r>
    </w:p>
    <w:p>
      <w:pPr>
        <w:pStyle w:val="Style33"/>
        <w:keepNext w:val="0"/>
        <w:keepLines w:val="0"/>
        <w:widowControl w:val="0"/>
        <w:shd w:val="clear" w:color="auto" w:fill="auto"/>
        <w:tabs>
          <w:tab w:pos="709" w:val="left"/>
        </w:tabs>
        <w:bidi w:val="0"/>
        <w:spacing w:before="0" w:after="360" w:line="322" w:lineRule="exact"/>
        <w:ind w:left="0" w:right="0"/>
        <w:jc w:val="left"/>
      </w:pPr>
      <w:bookmarkStart w:id="571" w:name="bookmark571"/>
      <w:r>
        <w:rPr>
          <w:rFonts w:ascii="Times New Roman" w:eastAsia="Times New Roman" w:hAnsi="Times New Roman" w:cs="Times New Roman"/>
          <w:b/>
          <w:bCs/>
          <w:color w:val="000000"/>
          <w:spacing w:val="0"/>
          <w:w w:val="100"/>
          <w:position w:val="0"/>
        </w:rPr>
        <w:t>5</w:t>
      </w:r>
      <w:bookmarkEnd w:id="571"/>
      <w:r>
        <w:rPr>
          <w:b/>
          <w:bCs/>
          <w:color w:val="000000"/>
          <w:spacing w:val="0"/>
          <w:w w:val="100"/>
          <w:position w:val="0"/>
        </w:rPr>
        <w:t>、</w:t>
        <w:tab/>
        <w:t>财务：</w:t>
      </w:r>
      <w:r>
        <w:rPr>
          <w:color w:val="000000"/>
          <w:spacing w:val="0"/>
          <w:w w:val="100"/>
          <w:position w:val="0"/>
        </w:rPr>
        <w:t>公司设有独立的财务会计部门，配备独立的财务会计人员，建立了独立的会计核算体系和财务管理制度，独 立进行财务决策；公司独立开设银行账户，独立纳税。</w:t>
      </w:r>
    </w:p>
    <w:p>
      <w:pPr>
        <w:pStyle w:val="Style29"/>
        <w:keepNext/>
        <w:keepLines/>
        <w:widowControl w:val="0"/>
        <w:shd w:val="clear" w:color="auto" w:fill="auto"/>
        <w:tabs>
          <w:tab w:pos="577" w:val="left"/>
        </w:tabs>
        <w:bidi w:val="0"/>
        <w:spacing w:before="0" w:after="360" w:line="240" w:lineRule="auto"/>
        <w:ind w:left="0" w:right="0" w:firstLine="0"/>
        <w:jc w:val="left"/>
      </w:pPr>
      <w:bookmarkStart w:id="572" w:name="bookmark572"/>
      <w:bookmarkStart w:id="573" w:name="bookmark573"/>
      <w:bookmarkStart w:id="574" w:name="bookmark574"/>
      <w:bookmarkStart w:id="575" w:name="bookmark575"/>
      <w:r>
        <w:rPr>
          <w:color w:val="000000"/>
          <w:spacing w:val="0"/>
          <w:w w:val="100"/>
          <w:position w:val="0"/>
          <w:sz w:val="24"/>
          <w:szCs w:val="24"/>
        </w:rPr>
        <w:t>三</w:t>
      </w:r>
      <w:bookmarkEnd w:id="574"/>
      <w:r>
        <w:rPr>
          <w:color w:val="000000"/>
          <w:spacing w:val="0"/>
          <w:w w:val="100"/>
          <w:position w:val="0"/>
          <w:sz w:val="24"/>
          <w:szCs w:val="24"/>
        </w:rPr>
        <w:t>、</w:t>
        <w:tab/>
        <w:t>同业竞争情况</w:t>
      </w:r>
      <w:bookmarkEnd w:id="572"/>
      <w:bookmarkEnd w:id="573"/>
      <w:bookmarkEnd w:id="575"/>
    </w:p>
    <w:p>
      <w:pPr>
        <w:pStyle w:val="Style33"/>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577" w:val="left"/>
        </w:tabs>
        <w:bidi w:val="0"/>
        <w:spacing w:before="0" w:after="360" w:line="240" w:lineRule="auto"/>
        <w:ind w:left="0" w:right="0" w:firstLine="0"/>
        <w:jc w:val="left"/>
      </w:pPr>
      <w:bookmarkStart w:id="576" w:name="bookmark576"/>
      <w:bookmarkStart w:id="577" w:name="bookmark577"/>
      <w:bookmarkStart w:id="578" w:name="bookmark578"/>
      <w:bookmarkStart w:id="579" w:name="bookmark579"/>
      <w:r>
        <w:rPr>
          <w:color w:val="000000"/>
          <w:spacing w:val="0"/>
          <w:w w:val="100"/>
          <w:position w:val="0"/>
          <w:sz w:val="24"/>
          <w:szCs w:val="24"/>
        </w:rPr>
        <w:t>四</w:t>
      </w:r>
      <w:bookmarkEnd w:id="578"/>
      <w:r>
        <w:rPr>
          <w:color w:val="000000"/>
          <w:spacing w:val="0"/>
          <w:w w:val="100"/>
          <w:position w:val="0"/>
          <w:sz w:val="24"/>
          <w:szCs w:val="24"/>
        </w:rPr>
        <w:t>、</w:t>
        <w:tab/>
        <w:t>报告期内召开的年度股东大会和临时股东大会的有关情况</w:t>
      </w:r>
      <w:bookmarkEnd w:id="576"/>
      <w:bookmarkEnd w:id="577"/>
      <w:bookmarkEnd w:id="579"/>
    </w:p>
    <w:p>
      <w:pPr>
        <w:pStyle w:val="Style37"/>
        <w:keepNext/>
        <w:keepLines/>
        <w:widowControl w:val="0"/>
        <w:shd w:val="clear" w:color="auto" w:fill="auto"/>
        <w:bidi w:val="0"/>
        <w:spacing w:before="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1</w:t>
      </w:r>
      <w:bookmarkEnd w:id="582"/>
      <w:r>
        <w:rPr>
          <w:color w:val="000000"/>
          <w:spacing w:val="0"/>
          <w:w w:val="100"/>
          <w:position w:val="0"/>
        </w:rPr>
        <w:t>、本报告期股东大会情况</w:t>
      </w:r>
      <w:bookmarkEnd w:id="580"/>
      <w:bookmarkEnd w:id="581"/>
      <w:bookmarkEnd w:id="583"/>
    </w:p>
    <w:tbl>
      <w:tblPr>
        <w:tblOverlap w:val="never"/>
        <w:jc w:val="center"/>
        <w:tblLayout w:type="fixed"/>
      </w:tblPr>
      <w:tblGrid>
        <w:gridCol w:w="1253"/>
        <w:gridCol w:w="1272"/>
        <w:gridCol w:w="1421"/>
        <w:gridCol w:w="1560"/>
        <w:gridCol w:w="1699"/>
        <w:gridCol w:w="2381"/>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披露索引</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spacing w:lineRule="exact" w:line="1"/>
        <w:rPr>
          <w:sz w:val="2"/>
          <w:szCs w:val="2"/>
        </w:rPr>
      </w:pPr>
      <w:r>
        <w:br w:type="page"/>
      </w:r>
    </w:p>
    <w:tbl>
      <w:tblPr>
        <w:tblOverlap w:val="never"/>
        <w:jc w:val="center"/>
        <w:tblLayout w:type="fixed"/>
      </w:tblPr>
      <w:tblGrid>
        <w:gridCol w:w="1253"/>
        <w:gridCol w:w="1272"/>
        <w:gridCol w:w="1421"/>
        <w:gridCol w:w="1560"/>
        <w:gridCol w:w="1699"/>
        <w:gridCol w:w="2381"/>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rFonts w:ascii="Times New Roman" w:eastAsia="Times New Roman" w:hAnsi="Times New Roman" w:cs="Times New Roman"/>
                <w:color w:val="000000"/>
                <w:spacing w:val="0"/>
                <w:w w:val="100"/>
                <w:position w:val="0"/>
              </w:rPr>
              <w:t>2020</w:t>
            </w:r>
          </w:p>
          <w:p>
            <w:pPr>
              <w:pStyle w:val="Style26"/>
              <w:keepNext w:val="0"/>
              <w:keepLines w:val="0"/>
              <w:widowControl w:val="0"/>
              <w:shd w:val="clear" w:color="auto" w:fill="auto"/>
              <w:bidi w:val="0"/>
              <w:spacing w:before="0" w:after="0" w:line="305" w:lineRule="exact"/>
              <w:ind w:left="0" w:right="0" w:firstLine="0"/>
              <w:jc w:val="left"/>
            </w:pPr>
            <w:r>
              <w:rPr>
                <w:color w:val="000000"/>
                <w:spacing w:val="0"/>
                <w:w w:val="100"/>
                <w:position w:val="0"/>
              </w:rPr>
              <w:t>年第一次临时股东大会决议 公告）（公告编号：</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007</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巨潮资讯网</w:t>
            </w:r>
          </w:p>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rFonts w:ascii="Times New Roman" w:eastAsia="Times New Roman" w:hAnsi="Times New Roman" w:cs="Times New Roman"/>
                <w:color w:val="000000"/>
                <w:spacing w:val="0"/>
                <w:w w:val="100"/>
                <w:position w:val="0"/>
              </w:rPr>
              <w:t xml:space="preserve"> </w:t>
            </w:r>
            <w:r>
              <w:rPr>
                <w:color w:val="000000"/>
                <w:spacing w:val="0"/>
                <w:w w:val="100"/>
                <w:position w:val="0"/>
              </w:rPr>
              <w:t>）《</w:t>
            </w:r>
            <w:r>
              <w:rPr>
                <w:rFonts w:ascii="Times New Roman" w:eastAsia="Times New Roman" w:hAnsi="Times New Roman" w:cs="Times New Roman"/>
                <w:color w:val="000000"/>
                <w:spacing w:val="0"/>
                <w:w w:val="100"/>
                <w:position w:val="0"/>
              </w:rPr>
              <w:t xml:space="preserve">2 019 </w:t>
            </w:r>
            <w:r>
              <w:rPr>
                <w:color w:val="000000"/>
                <w:spacing w:val="0"/>
                <w:w w:val="100"/>
                <w:position w:val="0"/>
              </w:rPr>
              <w:t>年年度股东大会决议公告》</w:t>
            </w:r>
          </w:p>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2020-027</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年第二次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rFonts w:ascii="Times New Roman" w:eastAsia="Times New Roman" w:hAnsi="Times New Roman" w:cs="Times New Roman"/>
                <w:color w:val="000000"/>
                <w:spacing w:val="0"/>
                <w:w w:val="100"/>
                <w:position w:val="0"/>
              </w:rPr>
              <w:t xml:space="preserve"> </w:t>
            </w:r>
            <w:r>
              <w:rPr>
                <w:color w:val="000000"/>
                <w:spacing w:val="0"/>
                <w:w w:val="100"/>
                <w:position w:val="0"/>
              </w:rPr>
              <w:t>）《</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年第二次临时股东大会决议 公告》（公告编号：</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055</w:t>
            </w:r>
            <w:r>
              <w:rPr>
                <w:color w:val="000000"/>
                <w:spacing w:val="0"/>
                <w:w w:val="100"/>
                <w:position w:val="0"/>
              </w:rPr>
              <w:t>）</w:t>
            </w:r>
          </w:p>
        </w:tc>
      </w:tr>
      <w:tr>
        <w:trPr>
          <w:trHeight w:val="165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年第三次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rFonts w:ascii="Times New Roman" w:eastAsia="Times New Roman" w:hAnsi="Times New Roman" w:cs="Times New Roman"/>
                <w:color w:val="000000"/>
                <w:spacing w:val="0"/>
                <w:w w:val="100"/>
                <w:position w:val="0"/>
              </w:rPr>
              <w:t xml:space="preserve"> </w:t>
            </w:r>
            <w:r>
              <w:rPr>
                <w:color w:val="000000"/>
                <w:spacing w:val="0"/>
                <w:w w:val="100"/>
                <w:position w:val="0"/>
              </w:rPr>
              <w:t>）《</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年第三次临时股东大会决议 公告》（公告编号：</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074</w:t>
            </w:r>
            <w:r>
              <w:rPr>
                <w:color w:val="000000"/>
                <w:spacing w:val="0"/>
                <w:w w:val="100"/>
                <w:position w:val="0"/>
              </w:rPr>
              <w:t>）</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2</w:t>
      </w:r>
      <w:bookmarkEnd w:id="586"/>
      <w:r>
        <w:rPr>
          <w:color w:val="000000"/>
          <w:spacing w:val="0"/>
          <w:w w:val="100"/>
          <w:position w:val="0"/>
        </w:rPr>
        <w:t>、表决权恢复的优先股股东请求召开临时股东大会</w:t>
      </w:r>
      <w:bookmarkEnd w:id="584"/>
      <w:bookmarkEnd w:id="585"/>
      <w:bookmarkEnd w:id="587"/>
    </w:p>
    <w:p>
      <w:pPr>
        <w:pStyle w:val="Style3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sz w:val="24"/>
          <w:szCs w:val="24"/>
        </w:rPr>
        <w:t>五</w:t>
      </w:r>
      <w:bookmarkEnd w:id="590"/>
      <w:r>
        <w:rPr>
          <w:color w:val="000000"/>
          <w:spacing w:val="0"/>
          <w:w w:val="100"/>
          <w:position w:val="0"/>
          <w:sz w:val="24"/>
          <w:szCs w:val="24"/>
        </w:rPr>
        <w:t>、报告期内独立董事履行职责的情况</w:t>
      </w:r>
      <w:bookmarkEnd w:id="588"/>
      <w:bookmarkEnd w:id="589"/>
      <w:bookmarkEnd w:id="591"/>
    </w:p>
    <w:p>
      <w:pPr>
        <w:pStyle w:val="Style37"/>
        <w:keepNext/>
        <w:keepLines/>
        <w:widowControl w:val="0"/>
        <w:shd w:val="clear" w:color="auto" w:fill="auto"/>
        <w:bidi w:val="0"/>
        <w:spacing w:before="0" w:after="34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1</w:t>
      </w:r>
      <w:bookmarkEnd w:id="594"/>
      <w:r>
        <w:rPr>
          <w:color w:val="000000"/>
          <w:spacing w:val="0"/>
          <w:w w:val="100"/>
          <w:position w:val="0"/>
        </w:rPr>
        <w:t>、独立董事出席董事会及股东大会的情况</w:t>
      </w:r>
      <w:bookmarkEnd w:id="592"/>
      <w:bookmarkEnd w:id="593"/>
      <w:bookmarkEnd w:id="595"/>
    </w:p>
    <w:tbl>
      <w:tblPr>
        <w:tblOverlap w:val="never"/>
        <w:jc w:val="center"/>
        <w:tblLayout w:type="fixed"/>
      </w:tblPr>
      <w:tblGrid>
        <w:gridCol w:w="1435"/>
        <w:gridCol w:w="1162"/>
        <w:gridCol w:w="1166"/>
        <w:gridCol w:w="1162"/>
        <w:gridCol w:w="1166"/>
        <w:gridCol w:w="1162"/>
        <w:gridCol w:w="1162"/>
        <w:gridCol w:w="1171"/>
      </w:tblGrid>
      <w:tr>
        <w:trPr>
          <w:trHeight w:val="408" w:hRule="exact"/>
        </w:trPr>
        <w:tc>
          <w:tcPr>
            <w:gridSpan w:val="8"/>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叶陈刚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钟晓林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Key Ke Liu</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2</w:t>
      </w:r>
      <w:bookmarkEnd w:id="598"/>
      <w:r>
        <w:rPr>
          <w:color w:val="000000"/>
          <w:spacing w:val="0"/>
          <w:w w:val="100"/>
          <w:position w:val="0"/>
        </w:rPr>
        <w:t>、独立董事对公司有关事项提出异议的情况</w:t>
      </w:r>
      <w:bookmarkEnd w:id="596"/>
      <w:bookmarkEnd w:id="597"/>
      <w:bookmarkEnd w:id="599"/>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独立董事对公司有关事项是否提出异议</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报告期内独立董事对公司有关事项未提出异议。</w:t>
      </w:r>
    </w:p>
    <w:p>
      <w:pPr>
        <w:pStyle w:val="Style37"/>
        <w:keepNext/>
        <w:keepLines/>
        <w:widowControl w:val="0"/>
        <w:shd w:val="clear" w:color="auto" w:fill="auto"/>
        <w:bidi w:val="0"/>
        <w:spacing w:before="0" w:after="26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3</w:t>
      </w:r>
      <w:bookmarkEnd w:id="602"/>
      <w:r>
        <w:rPr>
          <w:color w:val="000000"/>
          <w:spacing w:val="0"/>
          <w:w w:val="100"/>
          <w:position w:val="0"/>
        </w:rPr>
        <w:t>、独立董事履行职责的其他说明</w:t>
      </w:r>
      <w:bookmarkEnd w:id="600"/>
      <w:bookmarkEnd w:id="601"/>
      <w:bookmarkEnd w:id="603"/>
    </w:p>
    <w:p>
      <w:pPr>
        <w:pStyle w:val="Style33"/>
        <w:keepNext w:val="0"/>
        <w:keepLines w:val="0"/>
        <w:widowControl w:val="0"/>
        <w:shd w:val="clear" w:color="auto" w:fill="auto"/>
        <w:bidi w:val="0"/>
        <w:spacing w:before="0" w:after="0" w:line="316" w:lineRule="exact"/>
        <w:ind w:left="0" w:right="0" w:firstLine="0"/>
        <w:jc w:val="left"/>
      </w:pPr>
      <w:r>
        <w:rPr>
          <w:color w:val="000000"/>
          <w:spacing w:val="0"/>
          <w:w w:val="100"/>
          <w:position w:val="0"/>
        </w:rPr>
        <w:t>独立董事对公司有关建议是否被采纳</w:t>
      </w:r>
    </w:p>
    <w:p>
      <w:pPr>
        <w:pStyle w:val="Style33"/>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3"/>
        <w:keepNext w:val="0"/>
        <w:keepLines w:val="0"/>
        <w:widowControl w:val="0"/>
        <w:shd w:val="clear" w:color="auto" w:fill="auto"/>
        <w:bidi w:val="0"/>
        <w:spacing w:before="0" w:after="0" w:line="316" w:lineRule="exact"/>
        <w:ind w:left="0" w:right="0" w:firstLine="0"/>
        <w:jc w:val="left"/>
      </w:pPr>
      <w:r>
        <w:rPr>
          <w:color w:val="000000"/>
          <w:spacing w:val="0"/>
          <w:w w:val="100"/>
          <w:position w:val="0"/>
        </w:rPr>
        <w:t>独立董事对公司有关建议被采纳或未被采纳的说明</w:t>
      </w:r>
    </w:p>
    <w:p>
      <w:pPr>
        <w:pStyle w:val="Style33"/>
        <w:keepNext w:val="0"/>
        <w:keepLines w:val="0"/>
        <w:widowControl w:val="0"/>
        <w:shd w:val="clear" w:color="auto" w:fill="auto"/>
        <w:bidi w:val="0"/>
        <w:spacing w:before="0" w:after="360" w:line="313" w:lineRule="exact"/>
        <w:ind w:left="0" w:right="0"/>
        <w:jc w:val="left"/>
      </w:pPr>
      <w:r>
        <w:rPr>
          <w:color w:val="000000"/>
          <w:spacing w:val="0"/>
          <w:w w:val="100"/>
          <w:position w:val="0"/>
        </w:rPr>
        <w:t>公司独立董事关注公司运作，根据《公司法》《证券法》《关于在上市公司建立独立董事制度的指导意见》等相关法 律法规的规定独立履行职责，对报告期内定期报告、关于公司利用自有资金投资理财产品、核销长期挂账往来款项、董监 高薪酬、定期报告、关于哆可梦</w:t>
      </w:r>
      <w:r>
        <w:rPr>
          <w:rFonts w:ascii="Times New Roman" w:eastAsia="Times New Roman" w:hAnsi="Times New Roman" w:cs="Times New Roman"/>
          <w:color w:val="000000"/>
          <w:spacing w:val="0"/>
          <w:w w:val="100"/>
          <w:position w:val="0"/>
        </w:rPr>
        <w:t>77.57%</w:t>
      </w:r>
      <w:r>
        <w:rPr>
          <w:color w:val="000000"/>
          <w:spacing w:val="0"/>
          <w:w w:val="100"/>
          <w:position w:val="0"/>
        </w:rPr>
        <w:t>股东权益价值减值测试专项报告、非公开发行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股股票方案及预案、提名第七届董 事会成员、修订董监高薪酬制度、拟聘任会计师事务所、向深圳市高新投集团有限公司申请信用贷款并接受关联方担保、 聘任高级管理人员等重大事项进行审核并发表了同意的独立意见，对维护公司及全体股东的权益发挥了积极的作用。</w:t>
      </w:r>
    </w:p>
    <w:p>
      <w:pPr>
        <w:pStyle w:val="Style29"/>
        <w:keepNext/>
        <w:keepLines/>
        <w:widowControl w:val="0"/>
        <w:shd w:val="clear" w:color="auto" w:fill="auto"/>
        <w:tabs>
          <w:tab w:pos="563" w:val="left"/>
        </w:tabs>
        <w:bidi w:val="0"/>
        <w:spacing w:before="0" w:after="260" w:line="240" w:lineRule="auto"/>
        <w:ind w:left="0" w:right="0" w:firstLine="0"/>
        <w:jc w:val="left"/>
      </w:pPr>
      <w:bookmarkStart w:id="604" w:name="bookmark604"/>
      <w:bookmarkStart w:id="605" w:name="bookmark605"/>
      <w:bookmarkStart w:id="606" w:name="bookmark606"/>
      <w:bookmarkStart w:id="607" w:name="bookmark607"/>
      <w:r>
        <w:rPr>
          <w:color w:val="000000"/>
          <w:spacing w:val="0"/>
          <w:w w:val="100"/>
          <w:position w:val="0"/>
          <w:sz w:val="24"/>
          <w:szCs w:val="24"/>
        </w:rPr>
        <w:t>六</w:t>
      </w:r>
      <w:bookmarkEnd w:id="606"/>
      <w:r>
        <w:rPr>
          <w:color w:val="000000"/>
          <w:spacing w:val="0"/>
          <w:w w:val="100"/>
          <w:position w:val="0"/>
          <w:sz w:val="24"/>
          <w:szCs w:val="24"/>
        </w:rPr>
        <w:t>、</w:t>
        <w:tab/>
        <w:t>董事会下设专门委员会在报告期内履行职责情况</w:t>
      </w:r>
      <w:bookmarkEnd w:id="604"/>
      <w:bookmarkEnd w:id="605"/>
      <w:bookmarkEnd w:id="607"/>
    </w:p>
    <w:p>
      <w:pPr>
        <w:pStyle w:val="Style33"/>
        <w:keepNext w:val="0"/>
        <w:keepLines w:val="0"/>
        <w:widowControl w:val="0"/>
        <w:shd w:val="clear" w:color="auto" w:fill="auto"/>
        <w:tabs>
          <w:tab w:pos="709" w:val="left"/>
        </w:tabs>
        <w:bidi w:val="0"/>
        <w:spacing w:before="0" w:after="0" w:line="318" w:lineRule="exact"/>
        <w:ind w:left="0" w:right="0"/>
        <w:jc w:val="left"/>
      </w:pPr>
      <w:bookmarkStart w:id="608" w:name="bookmark608"/>
      <w:r>
        <w:rPr>
          <w:rFonts w:ascii="Times New Roman" w:eastAsia="Times New Roman" w:hAnsi="Times New Roman" w:cs="Times New Roman"/>
          <w:color w:val="000000"/>
          <w:spacing w:val="0"/>
          <w:w w:val="100"/>
          <w:position w:val="0"/>
        </w:rPr>
        <w:t>1</w:t>
      </w:r>
      <w:bookmarkEnd w:id="608"/>
      <w:r>
        <w:rPr>
          <w:color w:val="000000"/>
          <w:spacing w:val="0"/>
          <w:w w:val="100"/>
          <w:position w:val="0"/>
        </w:rPr>
        <w:t>、</w:t>
        <w:tab/>
        <w:t>报告期内公司董事会战略委员会召开</w:t>
      </w:r>
      <w:r>
        <w:rPr>
          <w:rFonts w:ascii="Times New Roman" w:eastAsia="Times New Roman" w:hAnsi="Times New Roman" w:cs="Times New Roman"/>
          <w:color w:val="000000"/>
          <w:spacing w:val="0"/>
          <w:w w:val="100"/>
          <w:position w:val="0"/>
        </w:rPr>
        <w:t>1</w:t>
      </w:r>
      <w:r>
        <w:rPr>
          <w:color w:val="000000"/>
          <w:spacing w:val="0"/>
          <w:w w:val="100"/>
          <w:position w:val="0"/>
        </w:rPr>
        <w:t>次会议，审议关于公司非公开发行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股股票预案、关于</w:t>
      </w:r>
      <w:r>
        <w:rPr>
          <w:rFonts w:ascii="Times New Roman" w:eastAsia="Times New Roman" w:hAnsi="Times New Roman" w:cs="Times New Roman"/>
          <w:color w:val="000000"/>
          <w:spacing w:val="0"/>
          <w:w w:val="100"/>
          <w:position w:val="0"/>
        </w:rPr>
        <w:t>2020</w:t>
      </w:r>
      <w:r>
        <w:rPr>
          <w:color w:val="000000"/>
          <w:spacing w:val="0"/>
          <w:w w:val="100"/>
          <w:position w:val="0"/>
        </w:rPr>
        <w:t>年度非公开发行 股票募集资金可行性分析报告等议案，相关议案已提交公司董事会审议。</w:t>
      </w:r>
    </w:p>
    <w:p>
      <w:pPr>
        <w:pStyle w:val="Style33"/>
        <w:keepNext w:val="0"/>
        <w:keepLines w:val="0"/>
        <w:widowControl w:val="0"/>
        <w:shd w:val="clear" w:color="auto" w:fill="auto"/>
        <w:tabs>
          <w:tab w:pos="714" w:val="left"/>
        </w:tabs>
        <w:bidi w:val="0"/>
        <w:spacing w:before="0" w:after="0" w:line="318" w:lineRule="exact"/>
        <w:ind w:left="0" w:right="0"/>
        <w:jc w:val="left"/>
      </w:pPr>
      <w:bookmarkStart w:id="609" w:name="bookmark609"/>
      <w:r>
        <w:rPr>
          <w:rFonts w:ascii="Times New Roman" w:eastAsia="Times New Roman" w:hAnsi="Times New Roman" w:cs="Times New Roman"/>
          <w:color w:val="000000"/>
          <w:spacing w:val="0"/>
          <w:w w:val="100"/>
          <w:position w:val="0"/>
        </w:rPr>
        <w:t>2</w:t>
      </w:r>
      <w:bookmarkEnd w:id="609"/>
      <w:r>
        <w:rPr>
          <w:color w:val="000000"/>
          <w:spacing w:val="0"/>
          <w:w w:val="100"/>
          <w:position w:val="0"/>
        </w:rPr>
        <w:t>、</w:t>
        <w:tab/>
        <w:t>报告期内公司董事会审计委员会召开</w:t>
      </w:r>
      <w:r>
        <w:rPr>
          <w:rFonts w:ascii="Times New Roman" w:eastAsia="Times New Roman" w:hAnsi="Times New Roman" w:cs="Times New Roman"/>
          <w:color w:val="000000"/>
          <w:spacing w:val="0"/>
          <w:w w:val="100"/>
          <w:position w:val="0"/>
        </w:rPr>
        <w:t>7</w:t>
      </w:r>
      <w:r>
        <w:rPr>
          <w:color w:val="000000"/>
          <w:spacing w:val="0"/>
          <w:w w:val="100"/>
          <w:position w:val="0"/>
        </w:rPr>
        <w:t xml:space="preserve">次会议，审议公司审计室提交的各项内部审计报告，听取审计室年度工作总 结和工作计划安排，指导审计室开展各项工作，围绕定期报告审计开展各项工作，提议聘任会计师事务所、定期报告、 </w:t>
      </w:r>
      <w:r>
        <w:rPr>
          <w:rFonts w:ascii="Times New Roman" w:eastAsia="Times New Roman" w:hAnsi="Times New Roman" w:cs="Times New Roman"/>
          <w:color w:val="000000"/>
          <w:spacing w:val="0"/>
          <w:w w:val="100"/>
          <w:position w:val="0"/>
        </w:rPr>
        <w:t>2020</w:t>
      </w:r>
      <w:r>
        <w:rPr>
          <w:color w:val="000000"/>
          <w:spacing w:val="0"/>
          <w:w w:val="100"/>
          <w:position w:val="0"/>
        </w:rPr>
        <w:t>年工作计划等相关议案已提交公司董事会审议。</w:t>
      </w:r>
    </w:p>
    <w:p>
      <w:pPr>
        <w:pStyle w:val="Style33"/>
        <w:keepNext w:val="0"/>
        <w:keepLines w:val="0"/>
        <w:widowControl w:val="0"/>
        <w:shd w:val="clear" w:color="auto" w:fill="auto"/>
        <w:tabs>
          <w:tab w:pos="714" w:val="left"/>
        </w:tabs>
        <w:bidi w:val="0"/>
        <w:spacing w:before="0" w:after="0" w:line="324" w:lineRule="exact"/>
        <w:ind w:left="0" w:right="0"/>
        <w:jc w:val="left"/>
      </w:pPr>
      <w:bookmarkStart w:id="610" w:name="bookmark610"/>
      <w:r>
        <w:rPr>
          <w:rFonts w:ascii="Times New Roman" w:eastAsia="Times New Roman" w:hAnsi="Times New Roman" w:cs="Times New Roman"/>
          <w:color w:val="000000"/>
          <w:spacing w:val="0"/>
          <w:w w:val="100"/>
          <w:position w:val="0"/>
        </w:rPr>
        <w:t>3</w:t>
      </w:r>
      <w:bookmarkEnd w:id="610"/>
      <w:r>
        <w:rPr>
          <w:color w:val="000000"/>
          <w:spacing w:val="0"/>
          <w:w w:val="100"/>
          <w:position w:val="0"/>
        </w:rPr>
        <w:t>、</w:t>
        <w:tab/>
        <w:t>报告期内公司董事会薪酬与考核委员会召开</w:t>
      </w:r>
      <w:r>
        <w:rPr>
          <w:rFonts w:ascii="Times New Roman" w:eastAsia="Times New Roman" w:hAnsi="Times New Roman" w:cs="Times New Roman"/>
          <w:color w:val="000000"/>
          <w:spacing w:val="0"/>
          <w:w w:val="100"/>
          <w:position w:val="0"/>
        </w:rPr>
        <w:t>2</w:t>
      </w:r>
      <w:r>
        <w:rPr>
          <w:color w:val="000000"/>
          <w:spacing w:val="0"/>
          <w:w w:val="100"/>
          <w:position w:val="0"/>
        </w:rPr>
        <w:t>次会议，修订《董事、监事、高级管理人员薪酬制度》等相关议案已 提交公司董事会审议。</w:t>
      </w:r>
    </w:p>
    <w:p>
      <w:pPr>
        <w:pStyle w:val="Style33"/>
        <w:keepNext w:val="0"/>
        <w:keepLines w:val="0"/>
        <w:widowControl w:val="0"/>
        <w:shd w:val="clear" w:color="auto" w:fill="auto"/>
        <w:tabs>
          <w:tab w:pos="704" w:val="left"/>
        </w:tabs>
        <w:bidi w:val="0"/>
        <w:spacing w:before="0" w:after="360" w:line="324" w:lineRule="exact"/>
        <w:ind w:left="0" w:right="0"/>
        <w:jc w:val="left"/>
      </w:pPr>
      <w:bookmarkStart w:id="611" w:name="bookmark611"/>
      <w:r>
        <w:rPr>
          <w:rFonts w:ascii="Times New Roman" w:eastAsia="Times New Roman" w:hAnsi="Times New Roman" w:cs="Times New Roman"/>
          <w:color w:val="000000"/>
          <w:spacing w:val="0"/>
          <w:w w:val="100"/>
          <w:position w:val="0"/>
        </w:rPr>
        <w:t>4</w:t>
      </w:r>
      <w:bookmarkEnd w:id="611"/>
      <w:r>
        <w:rPr>
          <w:color w:val="000000"/>
          <w:spacing w:val="0"/>
          <w:w w:val="100"/>
          <w:position w:val="0"/>
        </w:rPr>
        <w:t>、</w:t>
        <w:tab/>
        <w:t>报告期内公司董事会提名委员会召开</w:t>
      </w:r>
      <w:r>
        <w:rPr>
          <w:rFonts w:ascii="Times New Roman" w:eastAsia="Times New Roman" w:hAnsi="Times New Roman" w:cs="Times New Roman"/>
          <w:color w:val="000000"/>
          <w:spacing w:val="0"/>
          <w:w w:val="100"/>
          <w:position w:val="0"/>
        </w:rPr>
        <w:t>4</w:t>
      </w:r>
      <w:r>
        <w:rPr>
          <w:color w:val="000000"/>
          <w:spacing w:val="0"/>
          <w:w w:val="100"/>
          <w:position w:val="0"/>
        </w:rPr>
        <w:t>次会议，审议提名第七届董事会及独立董事成员、聘任公司总裁、副总裁、 财务总监、董事会秘书、内审负责人、证券事务代表等议案，相关议案已提交公司董事会审议。</w:t>
      </w:r>
    </w:p>
    <w:p>
      <w:pPr>
        <w:pStyle w:val="Style29"/>
        <w:keepNext/>
        <w:keepLines/>
        <w:widowControl w:val="0"/>
        <w:shd w:val="clear" w:color="auto" w:fill="auto"/>
        <w:tabs>
          <w:tab w:pos="563" w:val="left"/>
        </w:tabs>
        <w:bidi w:val="0"/>
        <w:spacing w:before="0" w:after="26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sz w:val="24"/>
          <w:szCs w:val="24"/>
        </w:rPr>
        <w:t>七</w:t>
      </w:r>
      <w:bookmarkEnd w:id="614"/>
      <w:r>
        <w:rPr>
          <w:color w:val="000000"/>
          <w:spacing w:val="0"/>
          <w:w w:val="100"/>
          <w:position w:val="0"/>
          <w:sz w:val="24"/>
          <w:szCs w:val="24"/>
        </w:rPr>
        <w:t>、</w:t>
        <w:tab/>
        <w:t>监事会工作情况</w:t>
      </w:r>
      <w:bookmarkEnd w:id="612"/>
      <w:bookmarkEnd w:id="613"/>
      <w:bookmarkEnd w:id="615"/>
    </w:p>
    <w:p>
      <w:pPr>
        <w:pStyle w:val="Style33"/>
        <w:keepNext w:val="0"/>
        <w:keepLines w:val="0"/>
        <w:widowControl w:val="0"/>
        <w:shd w:val="clear" w:color="auto" w:fill="auto"/>
        <w:bidi w:val="0"/>
        <w:spacing w:before="0" w:after="0" w:line="316" w:lineRule="exact"/>
        <w:ind w:left="0" w:right="0" w:firstLine="0"/>
        <w:jc w:val="left"/>
      </w:pPr>
      <w:r>
        <w:rPr>
          <w:color w:val="000000"/>
          <w:spacing w:val="0"/>
          <w:w w:val="100"/>
          <w:position w:val="0"/>
        </w:rPr>
        <w:t>监事会在报告期内的监督活动中发现公司是否存在风险</w:t>
      </w:r>
    </w:p>
    <w:p>
      <w:pPr>
        <w:pStyle w:val="Style33"/>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val="0"/>
        <w:keepLines w:val="0"/>
        <w:widowControl w:val="0"/>
        <w:shd w:val="clear" w:color="auto" w:fill="auto"/>
        <w:bidi w:val="0"/>
        <w:spacing w:before="0" w:after="360" w:line="316" w:lineRule="exact"/>
        <w:ind w:left="0" w:right="0" w:firstLine="0"/>
        <w:jc w:val="left"/>
      </w:pPr>
      <w:r>
        <w:rPr>
          <w:color w:val="000000"/>
          <w:spacing w:val="0"/>
          <w:w w:val="100"/>
          <w:position w:val="0"/>
        </w:rPr>
        <w:t>监事会对报告期内的监督事项无异议。</w:t>
      </w:r>
    </w:p>
    <w:p>
      <w:pPr>
        <w:pStyle w:val="Style29"/>
        <w:keepNext/>
        <w:keepLines/>
        <w:widowControl w:val="0"/>
        <w:shd w:val="clear" w:color="auto" w:fill="auto"/>
        <w:tabs>
          <w:tab w:pos="563" w:val="left"/>
        </w:tabs>
        <w:bidi w:val="0"/>
        <w:spacing w:before="0" w:after="260" w:line="240" w:lineRule="auto"/>
        <w:ind w:left="0" w:right="0" w:firstLine="0"/>
        <w:jc w:val="left"/>
      </w:pPr>
      <w:bookmarkStart w:id="616" w:name="bookmark616"/>
      <w:bookmarkStart w:id="617" w:name="bookmark617"/>
      <w:bookmarkStart w:id="618" w:name="bookmark618"/>
      <w:bookmarkStart w:id="619" w:name="bookmark619"/>
      <w:r>
        <w:rPr>
          <w:color w:val="000000"/>
          <w:spacing w:val="0"/>
          <w:w w:val="100"/>
          <w:position w:val="0"/>
          <w:sz w:val="24"/>
          <w:szCs w:val="24"/>
        </w:rPr>
        <w:t>八</w:t>
      </w:r>
      <w:bookmarkEnd w:id="618"/>
      <w:r>
        <w:rPr>
          <w:color w:val="000000"/>
          <w:spacing w:val="0"/>
          <w:w w:val="100"/>
          <w:position w:val="0"/>
          <w:sz w:val="24"/>
          <w:szCs w:val="24"/>
        </w:rPr>
        <w:t>、</w:t>
        <w:tab/>
        <w:t>高级管理人员的考评及激励情况</w:t>
      </w:r>
      <w:bookmarkEnd w:id="616"/>
      <w:bookmarkEnd w:id="617"/>
      <w:bookmarkEnd w:id="619"/>
    </w:p>
    <w:p>
      <w:pPr>
        <w:pStyle w:val="Style33"/>
        <w:keepNext w:val="0"/>
        <w:keepLines w:val="0"/>
        <w:widowControl w:val="0"/>
        <w:shd w:val="clear" w:color="auto" w:fill="auto"/>
        <w:bidi w:val="0"/>
        <w:spacing w:before="0" w:after="360" w:line="313" w:lineRule="exact"/>
        <w:ind w:left="0" w:right="0" w:firstLine="300"/>
        <w:jc w:val="left"/>
      </w:pPr>
      <w:r>
        <w:rPr>
          <w:color w:val="000000"/>
          <w:spacing w:val="0"/>
          <w:w w:val="100"/>
          <w:position w:val="0"/>
        </w:rPr>
        <w:t>公司按照《上市公司治理准则》的要求，建立了公正、透明的高级管理人员的绩效评价标准程序。公司高级管理人员 由董事会聘任，直接对董事会负责，董事会下设的薪酬与考核委员会负责对高级管理人员的工作能力、履职情况、责任目 标完成情况等进行年终考核，制定薪酬方案并报董事会审批。根据高级管理人员绩效管理模式，以业绩主导、注重创新， 促进绩效水平不断提高。报告期内，公司高级管理人员能够严格按照《公司法》《公司章程》及国家有关法律法规，认真 履行职责，积极落实公司股东大会和董事会相关决议。</w:t>
      </w:r>
    </w:p>
    <w:p>
      <w:pPr>
        <w:pStyle w:val="Style29"/>
        <w:keepNext/>
        <w:keepLines/>
        <w:widowControl w:val="0"/>
        <w:shd w:val="clear" w:color="auto" w:fill="auto"/>
        <w:tabs>
          <w:tab w:pos="563" w:val="left"/>
        </w:tabs>
        <w:bidi w:val="0"/>
        <w:spacing w:before="0" w:after="360" w:line="240" w:lineRule="auto"/>
        <w:ind w:left="0" w:right="0" w:firstLine="0"/>
        <w:jc w:val="both"/>
      </w:pPr>
      <w:bookmarkStart w:id="620" w:name="bookmark620"/>
      <w:bookmarkStart w:id="621" w:name="bookmark621"/>
      <w:bookmarkStart w:id="622" w:name="bookmark622"/>
      <w:bookmarkStart w:id="623" w:name="bookmark623"/>
      <w:r>
        <w:rPr>
          <w:color w:val="000000"/>
          <w:spacing w:val="0"/>
          <w:w w:val="100"/>
          <w:position w:val="0"/>
          <w:sz w:val="24"/>
          <w:szCs w:val="24"/>
        </w:rPr>
        <w:t>九</w:t>
      </w:r>
      <w:bookmarkEnd w:id="622"/>
      <w:r>
        <w:rPr>
          <w:color w:val="000000"/>
          <w:spacing w:val="0"/>
          <w:w w:val="100"/>
          <w:position w:val="0"/>
          <w:sz w:val="24"/>
          <w:szCs w:val="24"/>
        </w:rPr>
        <w:t>、</w:t>
        <w:tab/>
        <w:t>内部控制评价报告</w:t>
      </w:r>
      <w:bookmarkEnd w:id="620"/>
      <w:bookmarkEnd w:id="621"/>
      <w:bookmarkEnd w:id="623"/>
    </w:p>
    <w:p>
      <w:pPr>
        <w:pStyle w:val="Style37"/>
        <w:keepNext/>
        <w:keepLines/>
        <w:widowControl w:val="0"/>
        <w:shd w:val="clear" w:color="auto" w:fill="auto"/>
        <w:bidi w:val="0"/>
        <w:spacing w:before="0" w:after="260" w:line="240" w:lineRule="auto"/>
        <w:ind w:left="0" w:right="0" w:firstLine="0"/>
        <w:jc w:val="both"/>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1</w:t>
      </w:r>
      <w:bookmarkEnd w:id="626"/>
      <w:r>
        <w:rPr>
          <w:color w:val="000000"/>
          <w:spacing w:val="0"/>
          <w:w w:val="100"/>
          <w:position w:val="0"/>
        </w:rPr>
        <w:t>、报告期内发现的内部控制重大缺陷的具体情况</w:t>
      </w:r>
      <w:bookmarkEnd w:id="624"/>
      <w:bookmarkEnd w:id="625"/>
      <w:bookmarkEnd w:id="627"/>
    </w:p>
    <w:p>
      <w:pPr>
        <w:pStyle w:val="Style33"/>
        <w:keepNext w:val="0"/>
        <w:keepLines w:val="0"/>
        <w:widowControl w:val="0"/>
        <w:shd w:val="clear" w:color="auto" w:fill="auto"/>
        <w:bidi w:val="0"/>
        <w:spacing w:before="0" w:after="260" w:line="316"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br w:type="page"/>
      </w:r>
    </w:p>
    <w:p>
      <w:pPr>
        <w:pStyle w:val="Style37"/>
        <w:keepNext/>
        <w:keepLines/>
        <w:widowControl w:val="0"/>
        <w:shd w:val="clear" w:color="auto" w:fill="auto"/>
        <w:bidi w:val="0"/>
        <w:spacing w:before="0" w:after="34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2</w:t>
      </w:r>
      <w:bookmarkEnd w:id="630"/>
      <w:r>
        <w:rPr>
          <w:color w:val="000000"/>
          <w:spacing w:val="0"/>
          <w:w w:val="100"/>
          <w:position w:val="0"/>
        </w:rPr>
        <w:t>、内控自我评价报告</w:t>
      </w:r>
      <w:bookmarkEnd w:id="628"/>
      <w:bookmarkEnd w:id="629"/>
      <w:bookmarkEnd w:id="631"/>
    </w:p>
    <w:tbl>
      <w:tblPr>
        <w:tblOverlap w:val="never"/>
        <w:jc w:val="center"/>
        <w:tblLayout w:type="fixed"/>
      </w:tblPr>
      <w:tblGrid>
        <w:gridCol w:w="2808"/>
        <w:gridCol w:w="3715"/>
        <w:gridCol w:w="306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i/>
                <w:iCs/>
                <w:color w:val="000000"/>
                <w:spacing w:val="0"/>
                <w:w w:val="100"/>
                <w:position w:val="0"/>
              </w:rPr>
              <w:t>29</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《深圳市惠程信息科技股份有限公司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年度内部 控制的自我评价报告》</w:t>
            </w:r>
          </w:p>
        </w:tc>
      </w:tr>
      <w:tr>
        <w:trPr>
          <w:trHeight w:val="403" w:hRule="exact"/>
        </w:trPr>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tabs>
                <w:tab w:pos="8957" w:val="left"/>
              </w:tabs>
              <w:bidi w:val="0"/>
              <w:spacing w:before="0" w:after="0" w:line="240" w:lineRule="auto"/>
              <w:ind w:left="0" w:right="0" w:firstLine="0"/>
              <w:jc w:val="center"/>
            </w:pPr>
            <w:r>
              <w:rPr>
                <w:color w:val="000000"/>
                <w:spacing w:val="0"/>
                <w:w w:val="100"/>
                <w:position w:val="0"/>
              </w:rPr>
              <w:t>纳入评价范围单位资产总额占公司合并财务报表资产总额的比例</w:t>
              <w:tab/>
            </w:r>
            <w:r>
              <w:rPr>
                <w:rFonts w:ascii="Times New Roman" w:eastAsia="Times New Roman" w:hAnsi="Times New Roman" w:cs="Times New Roman"/>
                <w:color w:val="000000"/>
                <w:spacing w:val="0"/>
                <w:w w:val="100"/>
                <w:position w:val="0"/>
              </w:rPr>
              <w:t>90.00%</w:t>
            </w:r>
          </w:p>
        </w:tc>
      </w:tr>
      <w:tr>
        <w:trPr>
          <w:trHeight w:val="403" w:hRule="exact"/>
        </w:trPr>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tabs>
                <w:tab w:pos="8957" w:val="left"/>
              </w:tabs>
              <w:bidi w:val="0"/>
              <w:spacing w:before="0" w:after="0" w:line="240" w:lineRule="auto"/>
              <w:ind w:left="0" w:right="0" w:firstLine="0"/>
              <w:jc w:val="center"/>
            </w:pPr>
            <w:r>
              <w:rPr>
                <w:color w:val="000000"/>
                <w:spacing w:val="0"/>
                <w:w w:val="100"/>
                <w:position w:val="0"/>
              </w:rPr>
              <w:t>纳入评价范围单位营业收入占公司合并财务报表营业收入的比例</w:t>
              <w:tab/>
            </w:r>
            <w:r>
              <w:rPr>
                <w:rFonts w:ascii="Times New Roman" w:eastAsia="Times New Roman" w:hAnsi="Times New Roman" w:cs="Times New Roman"/>
                <w:color w:val="000000"/>
                <w:spacing w:val="0"/>
                <w:w w:val="100"/>
                <w:position w:val="0"/>
              </w:rPr>
              <w:t>95.00%</w:t>
            </w:r>
          </w:p>
        </w:tc>
      </w:tr>
      <w:tr>
        <w:trPr>
          <w:trHeight w:val="398" w:hRule="exact"/>
        </w:trPr>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83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①重大缺陷：控制环境无效；公司审计委员会 和内部审计机构对内部控制的监督无效；发现 董事、监事和高级管理人员重大舞弊；公司对 已经公布的财务报表进行重大更正；外部审计 发现当期财务报表存在重大错报，而内部控制 在运行过程中未能发现该错报；已经发现并报 告给管理层的重大缺陷在合理的时间后未加以 改正；其他可能影响报表使用者正确判断的缺 陷。②重要缺陷：单独缺陷或连同其他缺陷组 合，其严重程度低于重大缺陷，但仍有可能导 致公司偏离控制目标。③一般缺陷：不构成重 大缺陷或重要缺陷的其他内部控制缺陷。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①重大缺陷：违反国家法律、法规或 规范性文件；缺乏决策程序或决策程 序不科学，导致重大失误；重要业务 缺乏制度控制或制度系统性失败；内 部控制评价的结果特别是重大或重要 缺陷未得到整改；其他对公司影响重 大的情形。②重要缺陷：单独缺陷或 连同其他缺陷组合，其严重程度低于 重大缺陷，但仍有可能导致公司偏离 控制目标。③一般缺陷：不构成重大 缺陷或重要缺陷的其他内部控制缺 陷。</w:t>
            </w:r>
          </w:p>
        </w:tc>
      </w:tr>
      <w:tr>
        <w:trPr>
          <w:trHeight w:val="414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公司所采用标准直接取决于该内部控制缺陷造 成财产损失大小，根据损失占公司上一年度合 并报表的潜在错报项目总额的比率作为判断标 准。①重大缺陷：潜在错报</w:t>
            </w:r>
            <w:r>
              <w:rPr>
                <w:rFonts w:ascii="Times New Roman" w:eastAsia="Times New Roman" w:hAnsi="Times New Roman" w:cs="Times New Roman"/>
                <w:color w:val="000000"/>
                <w:spacing w:val="0"/>
                <w:w w:val="100"/>
                <w:position w:val="0"/>
              </w:rPr>
              <w:t>Z</w:t>
            </w:r>
            <w:r>
              <w:rPr>
                <w:color w:val="000000"/>
                <w:spacing w:val="0"/>
                <w:w w:val="100"/>
                <w:position w:val="0"/>
              </w:rPr>
              <w:t xml:space="preserve">营业收入总额的 </w:t>
            </w:r>
            <w:r>
              <w:rPr>
                <w:rFonts w:ascii="Times New Roman" w:eastAsia="Times New Roman" w:hAnsi="Times New Roman" w:cs="Times New Roman"/>
                <w:color w:val="000000"/>
                <w:spacing w:val="0"/>
                <w:w w:val="100"/>
                <w:position w:val="0"/>
              </w:rPr>
              <w:t>3%</w:t>
            </w:r>
            <w:r>
              <w:rPr>
                <w:color w:val="000000"/>
                <w:spacing w:val="0"/>
                <w:w w:val="100"/>
                <w:position w:val="0"/>
              </w:rPr>
              <w:t>；潜在错报</w:t>
            </w:r>
            <w:r>
              <w:rPr>
                <w:rFonts w:ascii="Times New Roman" w:eastAsia="Times New Roman" w:hAnsi="Times New Roman" w:cs="Times New Roman"/>
                <w:color w:val="000000"/>
                <w:spacing w:val="0"/>
                <w:w w:val="100"/>
                <w:position w:val="0"/>
              </w:rPr>
              <w:t>Z</w:t>
            </w:r>
            <w:r>
              <w:rPr>
                <w:color w:val="000000"/>
                <w:spacing w:val="0"/>
                <w:w w:val="100"/>
                <w:position w:val="0"/>
              </w:rPr>
              <w:t>利润总额的</w:t>
            </w:r>
            <w:r>
              <w:rPr>
                <w:rFonts w:ascii="Times New Roman" w:eastAsia="Times New Roman" w:hAnsi="Times New Roman" w:cs="Times New Roman"/>
                <w:color w:val="000000"/>
                <w:spacing w:val="0"/>
                <w:w w:val="100"/>
                <w:position w:val="0"/>
              </w:rPr>
              <w:t>3%</w:t>
            </w:r>
            <w:r>
              <w:rPr>
                <w:color w:val="000000"/>
                <w:spacing w:val="0"/>
                <w:w w:val="100"/>
                <w:position w:val="0"/>
              </w:rPr>
              <w:t>；潜在错报</w:t>
            </w:r>
            <w:r>
              <w:rPr>
                <w:rFonts w:ascii="Times New Roman" w:eastAsia="Times New Roman" w:hAnsi="Times New Roman" w:cs="Times New Roman"/>
                <w:color w:val="000000"/>
                <w:spacing w:val="0"/>
                <w:w w:val="100"/>
                <w:position w:val="0"/>
              </w:rPr>
              <w:t>Z</w:t>
            </w:r>
            <w:r>
              <w:rPr>
                <w:color w:val="000000"/>
                <w:spacing w:val="0"/>
                <w:w w:val="100"/>
                <w:position w:val="0"/>
              </w:rPr>
              <w:t>资 产总额的</w:t>
            </w:r>
            <w:r>
              <w:rPr>
                <w:rFonts w:ascii="Times New Roman" w:eastAsia="Times New Roman" w:hAnsi="Times New Roman" w:cs="Times New Roman"/>
                <w:color w:val="000000"/>
                <w:spacing w:val="0"/>
                <w:w w:val="100"/>
                <w:position w:val="0"/>
              </w:rPr>
              <w:t>2%</w:t>
            </w:r>
            <w:r>
              <w:rPr>
                <w:color w:val="000000"/>
                <w:spacing w:val="0"/>
                <w:w w:val="100"/>
                <w:position w:val="0"/>
              </w:rPr>
              <w:t xml:space="preserve">。②重要缺陷：营业收入总额的 </w:t>
            </w:r>
            <w:r>
              <w:rPr>
                <w:rFonts w:ascii="Times New Roman" w:eastAsia="Times New Roman" w:hAnsi="Times New Roman" w:cs="Times New Roman"/>
                <w:color w:val="000000"/>
                <w:spacing w:val="0"/>
                <w:w w:val="100"/>
                <w:position w:val="0"/>
              </w:rPr>
              <w:t>2%＜</w:t>
            </w:r>
            <w:r>
              <w:rPr>
                <w:color w:val="000000"/>
                <w:spacing w:val="0"/>
                <w:w w:val="100"/>
                <w:position w:val="0"/>
              </w:rPr>
              <w:t>潜在错报〈营业收入总额的</w:t>
            </w:r>
            <w:r>
              <w:rPr>
                <w:rFonts w:ascii="Times New Roman" w:eastAsia="Times New Roman" w:hAnsi="Times New Roman" w:cs="Times New Roman"/>
                <w:color w:val="000000"/>
                <w:spacing w:val="0"/>
                <w:w w:val="100"/>
                <w:position w:val="0"/>
              </w:rPr>
              <w:t>3%</w:t>
            </w:r>
            <w:r>
              <w:rPr>
                <w:color w:val="000000"/>
                <w:spacing w:val="0"/>
                <w:w w:val="100"/>
                <w:position w:val="0"/>
              </w:rPr>
              <w:t>；利润总 额的</w:t>
            </w:r>
            <w:r>
              <w:rPr>
                <w:rFonts w:ascii="Times New Roman" w:eastAsia="Times New Roman" w:hAnsi="Times New Roman" w:cs="Times New Roman"/>
                <w:color w:val="000000"/>
                <w:spacing w:val="0"/>
                <w:w w:val="100"/>
                <w:position w:val="0"/>
              </w:rPr>
              <w:t>2%＜</w:t>
            </w:r>
            <w:r>
              <w:rPr>
                <w:color w:val="000000"/>
                <w:spacing w:val="0"/>
                <w:w w:val="100"/>
                <w:position w:val="0"/>
              </w:rPr>
              <w:t>潜在错报〈利润总额的</w:t>
            </w:r>
            <w:r>
              <w:rPr>
                <w:rFonts w:ascii="Times New Roman" w:eastAsia="Times New Roman" w:hAnsi="Times New Roman" w:cs="Times New Roman"/>
                <w:color w:val="000000"/>
                <w:spacing w:val="0"/>
                <w:w w:val="100"/>
                <w:position w:val="0"/>
              </w:rPr>
              <w:t>3%</w:t>
            </w:r>
            <w:r>
              <w:rPr>
                <w:color w:val="000000"/>
                <w:spacing w:val="0"/>
                <w:w w:val="100"/>
                <w:position w:val="0"/>
              </w:rPr>
              <w:t>；资产总 额的</w:t>
            </w:r>
            <w:r>
              <w:rPr>
                <w:rFonts w:ascii="Times New Roman" w:eastAsia="Times New Roman" w:hAnsi="Times New Roman" w:cs="Times New Roman"/>
                <w:color w:val="000000"/>
                <w:spacing w:val="0"/>
                <w:w w:val="100"/>
                <w:position w:val="0"/>
              </w:rPr>
              <w:t>1%＜</w:t>
            </w:r>
            <w:r>
              <w:rPr>
                <w:color w:val="000000"/>
                <w:spacing w:val="0"/>
                <w:w w:val="100"/>
                <w:position w:val="0"/>
              </w:rPr>
              <w:t>潜在错报〈资产总额的</w:t>
            </w:r>
            <w:r>
              <w:rPr>
                <w:rFonts w:ascii="Times New Roman" w:eastAsia="Times New Roman" w:hAnsi="Times New Roman" w:cs="Times New Roman"/>
                <w:color w:val="000000"/>
                <w:spacing w:val="0"/>
                <w:w w:val="100"/>
                <w:position w:val="0"/>
              </w:rPr>
              <w:t>2%</w:t>
            </w:r>
            <w:r>
              <w:rPr>
                <w:color w:val="000000"/>
                <w:spacing w:val="0"/>
                <w:w w:val="100"/>
                <w:position w:val="0"/>
              </w:rPr>
              <w:t>。③一般 缺陷：潜在错报〈营业收入总额的</w:t>
            </w:r>
            <w:r>
              <w:rPr>
                <w:rFonts w:ascii="Times New Roman" w:eastAsia="Times New Roman" w:hAnsi="Times New Roman" w:cs="Times New Roman"/>
                <w:color w:val="000000"/>
                <w:spacing w:val="0"/>
                <w:w w:val="100"/>
                <w:position w:val="0"/>
              </w:rPr>
              <w:t>2%</w:t>
            </w:r>
            <w:r>
              <w:rPr>
                <w:color w:val="000000"/>
                <w:spacing w:val="0"/>
                <w:w w:val="100"/>
                <w:position w:val="0"/>
              </w:rPr>
              <w:t>；潜在 错报〈利润总额的</w:t>
            </w:r>
            <w:r>
              <w:rPr>
                <w:rFonts w:ascii="Times New Roman" w:eastAsia="Times New Roman" w:hAnsi="Times New Roman" w:cs="Times New Roman"/>
                <w:color w:val="000000"/>
                <w:spacing w:val="0"/>
                <w:w w:val="100"/>
                <w:position w:val="0"/>
              </w:rPr>
              <w:t>2%</w:t>
            </w:r>
            <w:r>
              <w:rPr>
                <w:color w:val="000000"/>
                <w:spacing w:val="0"/>
                <w:w w:val="100"/>
                <w:position w:val="0"/>
              </w:rPr>
              <w:t>；潜在错报〈资产总额 的</w:t>
            </w:r>
            <w:r>
              <w:rPr>
                <w:rFonts w:ascii="Times New Roman" w:eastAsia="Times New Roman" w:hAnsi="Times New Roman" w:cs="Times New Roman"/>
                <w:color w:val="000000"/>
                <w:spacing w:val="0"/>
                <w:w w:val="100"/>
                <w:position w:val="0"/>
              </w:rPr>
              <w:t>1%</w:t>
            </w:r>
            <w:r>
              <w:rPr>
                <w:color w:val="000000"/>
                <w:spacing w:val="0"/>
                <w:w w:val="100"/>
                <w:position w:val="0"/>
              </w:rPr>
              <w:t>。当某项内部控制缺陷导致的潜在错报 影响多项指标时，按孰低原则认定缺陷性质。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公司所采用标准直接取决于该内部控 制缺陷造成财产损失大小，根据损失 占公司上一年度合并报表资产总额的 比率作为判断标准。①重大缺陷：损 失金额</w:t>
            </w:r>
            <w:r>
              <w:rPr>
                <w:rFonts w:ascii="Times New Roman" w:eastAsia="Times New Roman" w:hAnsi="Times New Roman" w:cs="Times New Roman"/>
                <w:color w:val="000000"/>
                <w:spacing w:val="0"/>
                <w:w w:val="100"/>
                <w:position w:val="0"/>
              </w:rPr>
              <w:t>Z</w:t>
            </w:r>
            <w:r>
              <w:rPr>
                <w:color w:val="000000"/>
                <w:spacing w:val="0"/>
                <w:w w:val="100"/>
                <w:position w:val="0"/>
              </w:rPr>
              <w:t>资产总额的</w:t>
            </w:r>
            <w:r>
              <w:rPr>
                <w:rFonts w:ascii="Times New Roman" w:eastAsia="Times New Roman" w:hAnsi="Times New Roman" w:cs="Times New Roman"/>
                <w:color w:val="000000"/>
                <w:spacing w:val="0"/>
                <w:w w:val="100"/>
                <w:position w:val="0"/>
              </w:rPr>
              <w:t>2%</w:t>
            </w:r>
            <w:r>
              <w:rPr>
                <w:color w:val="000000"/>
                <w:spacing w:val="0"/>
                <w:w w:val="100"/>
                <w:position w:val="0"/>
              </w:rPr>
              <w:t>。②重要缺 陷：资产总额的</w:t>
            </w:r>
            <w:r>
              <w:rPr>
                <w:rFonts w:ascii="Times New Roman" w:eastAsia="Times New Roman" w:hAnsi="Times New Roman" w:cs="Times New Roman"/>
                <w:color w:val="000000"/>
                <w:spacing w:val="0"/>
                <w:w w:val="100"/>
                <w:position w:val="0"/>
              </w:rPr>
              <w:t>1%＜</w:t>
            </w:r>
            <w:r>
              <w:rPr>
                <w:color w:val="000000"/>
                <w:spacing w:val="0"/>
                <w:w w:val="100"/>
                <w:position w:val="0"/>
              </w:rPr>
              <w:t>损失金额〈资产 总额的</w:t>
            </w:r>
            <w:r>
              <w:rPr>
                <w:rFonts w:ascii="Times New Roman" w:eastAsia="Times New Roman" w:hAnsi="Times New Roman" w:cs="Times New Roman"/>
                <w:color w:val="000000"/>
                <w:spacing w:val="0"/>
                <w:w w:val="100"/>
                <w:position w:val="0"/>
              </w:rPr>
              <w:t>2%</w:t>
            </w:r>
            <w:r>
              <w:rPr>
                <w:color w:val="000000"/>
                <w:spacing w:val="0"/>
                <w:w w:val="100"/>
                <w:position w:val="0"/>
              </w:rPr>
              <w:t>。③一般缺陷：损失金额＜ 资产总额的</w:t>
            </w:r>
            <w:r>
              <w:rPr>
                <w:rFonts w:ascii="Times New Roman" w:eastAsia="Times New Roman" w:hAnsi="Times New Roman" w:cs="Times New Roman"/>
                <w:color w:val="000000"/>
                <w:spacing w:val="0"/>
                <w:w w:val="100"/>
                <w:position w:val="0"/>
              </w:rPr>
              <w:t>1%</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664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664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6640" w:right="0" w:firstLine="0"/>
              <w:jc w:val="left"/>
            </w:pPr>
            <w:r>
              <w:rPr>
                <w:rFonts w:ascii="Times New Roman" w:eastAsia="Times New Roman" w:hAnsi="Times New Roman" w:cs="Times New Roman"/>
                <w:color w:val="000000"/>
                <w:spacing w:val="0"/>
                <w:w w:val="100"/>
                <w:position w:val="0"/>
              </w:rPr>
              <w:t>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6640" w:right="0" w:firstLine="0"/>
              <w:jc w:val="left"/>
            </w:pPr>
            <w:r>
              <w:rPr>
                <w:rFonts w:ascii="Times New Roman" w:eastAsia="Times New Roman" w:hAnsi="Times New Roman" w:cs="Times New Roman"/>
                <w:color w:val="000000"/>
                <w:spacing w:val="0"/>
                <w:w w:val="100"/>
                <w:position w:val="0"/>
              </w:rPr>
              <w:t>0</w:t>
            </w:r>
          </w:p>
        </w:tc>
      </w:tr>
    </w:tbl>
    <w:p>
      <w:pPr>
        <w:pStyle w:val="Style29"/>
        <w:keepNext/>
        <w:keepLines/>
        <w:widowControl w:val="0"/>
        <w:shd w:val="clear" w:color="auto" w:fill="auto"/>
        <w:bidi w:val="0"/>
        <w:spacing w:before="0" w:after="360" w:line="240" w:lineRule="auto"/>
        <w:ind w:left="0" w:right="0" w:firstLine="0"/>
        <w:jc w:val="left"/>
      </w:pPr>
      <w:bookmarkStart w:id="632" w:name="bookmark632"/>
      <w:bookmarkStart w:id="633" w:name="bookmark633"/>
      <w:bookmarkStart w:id="634" w:name="bookmark634"/>
      <w:r>
        <w:rPr>
          <w:color w:val="000000"/>
          <w:spacing w:val="0"/>
          <w:w w:val="100"/>
          <w:position w:val="0"/>
          <w:sz w:val="24"/>
          <w:szCs w:val="24"/>
        </w:rPr>
        <w:t>十、内部控制审计报告或鉴证报告</w:t>
      </w:r>
      <w:bookmarkEnd w:id="632"/>
      <w:bookmarkEnd w:id="633"/>
      <w:bookmarkEnd w:id="634"/>
    </w:p>
    <w:p>
      <w:pPr>
        <w:pStyle w:val="Style3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83" w:right="1072" w:bottom="1426" w:left="1055" w:header="0" w:footer="3" w:gutter="0"/>
          <w:cols w:space="720"/>
          <w:noEndnote/>
          <w:rtlGutter w:val="0"/>
          <w:docGrid w:linePitch="360"/>
        </w:sectPr>
      </w:pPr>
      <w:r>
        <w:rPr>
          <w:color w:val="000000"/>
          <w:spacing w:val="0"/>
          <w:w w:val="100"/>
          <w:position w:val="0"/>
        </w:rPr>
        <w:t>不适用</w:t>
      </w:r>
    </w:p>
    <w:p>
      <w:pPr>
        <w:pStyle w:val="Style18"/>
        <w:keepNext/>
        <w:keepLines/>
        <w:widowControl w:val="0"/>
        <w:shd w:val="clear" w:color="auto" w:fill="auto"/>
        <w:bidi w:val="0"/>
        <w:spacing w:before="0" w:after="580" w:line="240" w:lineRule="auto"/>
        <w:ind w:left="0" w:right="0" w:firstLine="0"/>
        <w:jc w:val="center"/>
      </w:pPr>
      <w:bookmarkStart w:id="635" w:name="bookmark635"/>
      <w:bookmarkStart w:id="636" w:name="bookmark636"/>
      <w:bookmarkStart w:id="637" w:name="bookmark637"/>
      <w:r>
        <w:rPr>
          <w:color w:val="000000"/>
          <w:spacing w:val="0"/>
          <w:w w:val="100"/>
          <w:position w:val="0"/>
        </w:rPr>
        <w:t>第十一节公司债券相关情况</w:t>
      </w:r>
      <w:bookmarkEnd w:id="635"/>
      <w:bookmarkEnd w:id="636"/>
      <w:bookmarkEnd w:id="637"/>
    </w:p>
    <w:p>
      <w:pPr>
        <w:pStyle w:val="Style33"/>
        <w:keepNext w:val="0"/>
        <w:keepLines w:val="0"/>
        <w:widowControl w:val="0"/>
        <w:shd w:val="clear" w:color="auto" w:fill="auto"/>
        <w:bidi w:val="0"/>
        <w:spacing w:before="0" w:after="140" w:line="240" w:lineRule="auto"/>
        <w:ind w:left="0" w:right="0" w:firstLine="0"/>
        <w:jc w:val="left"/>
      </w:pPr>
      <w:bookmarkStart w:id="638" w:name="bookmark638"/>
      <w:r>
        <w:rPr>
          <w:color w:val="000000"/>
          <w:spacing w:val="0"/>
          <w:w w:val="100"/>
          <w:position w:val="0"/>
        </w:rPr>
        <w:t>公司是否存在公开发行并在证券交易所上市，且在年度报告批准报出日未到期或到期未能全额兑付的公司债券</w:t>
      </w:r>
      <w:bookmarkEnd w:id="638"/>
    </w:p>
    <w:p>
      <w:pPr>
        <w:pStyle w:val="Style3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6" w:right="1205" w:bottom="1926" w:left="1109" w:header="0" w:footer="3" w:gutter="0"/>
          <w:cols w:space="720"/>
          <w:noEndnote/>
          <w:rtlGutter w:val="0"/>
          <w:docGrid w:linePitch="360"/>
        </w:sectPr>
      </w:pPr>
      <w:r>
        <w:rPr>
          <w:color w:val="000000"/>
          <w:spacing w:val="0"/>
          <w:w w:val="100"/>
          <w:position w:val="0"/>
        </w:rPr>
        <w:t>否</w:t>
      </w:r>
    </w:p>
    <w:p>
      <w:pPr>
        <w:pStyle w:val="Style18"/>
        <w:keepNext/>
        <w:keepLines/>
        <w:widowControl w:val="0"/>
        <w:shd w:val="clear" w:color="auto" w:fill="auto"/>
        <w:bidi w:val="0"/>
        <w:spacing w:before="520" w:after="560" w:line="240" w:lineRule="auto"/>
        <w:ind w:left="0" w:right="0" w:firstLine="0"/>
        <w:jc w:val="center"/>
      </w:pPr>
      <w:bookmarkStart w:id="639" w:name="bookmark639"/>
      <w:bookmarkStart w:id="640" w:name="bookmark640"/>
      <w:bookmarkStart w:id="641" w:name="bookmark641"/>
      <w:r>
        <w:rPr>
          <w:color w:val="000000"/>
          <w:spacing w:val="0"/>
          <w:w w:val="100"/>
          <w:position w:val="0"/>
        </w:rPr>
        <w:t>第十二节财务报告</w:t>
      </w:r>
      <w:bookmarkEnd w:id="639"/>
      <w:bookmarkEnd w:id="640"/>
      <w:bookmarkEnd w:id="641"/>
    </w:p>
    <w:p>
      <w:pPr>
        <w:pStyle w:val="Style29"/>
        <w:keepNext/>
        <w:keepLines/>
        <w:widowControl w:val="0"/>
        <w:shd w:val="clear" w:color="auto" w:fill="auto"/>
        <w:bidi w:val="0"/>
        <w:spacing w:before="0" w:after="300" w:line="240" w:lineRule="auto"/>
        <w:ind w:left="0" w:right="0" w:firstLine="0"/>
        <w:jc w:val="left"/>
      </w:pPr>
      <w:bookmarkStart w:id="642" w:name="bookmark642"/>
      <w:bookmarkStart w:id="643" w:name="bookmark643"/>
      <w:bookmarkStart w:id="644" w:name="bookmark644"/>
      <w:bookmarkStart w:id="645" w:name="bookmark645"/>
      <w:bookmarkStart w:id="646" w:name="bookmark646"/>
      <w:r>
        <w:rPr>
          <w:color w:val="000000"/>
          <w:spacing w:val="0"/>
          <w:w w:val="100"/>
          <w:position w:val="0"/>
          <w:sz w:val="24"/>
          <w:szCs w:val="24"/>
        </w:rPr>
        <w:t>一</w:t>
      </w:r>
      <w:bookmarkEnd w:id="645"/>
      <w:r>
        <w:rPr>
          <w:color w:val="000000"/>
          <w:spacing w:val="0"/>
          <w:w w:val="100"/>
          <w:position w:val="0"/>
          <w:sz w:val="24"/>
          <w:szCs w:val="24"/>
        </w:rPr>
        <w:t>、审计报告</w:t>
      </w:r>
      <w:bookmarkEnd w:id="643"/>
      <w:bookmarkEnd w:id="644"/>
      <w:bookmarkEnd w:id="646"/>
      <w:bookmarkEnd w:id="64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保留意见</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大信审字</w:t>
            </w:r>
            <w:r>
              <w:rPr>
                <w:rFonts w:ascii="Times New Roman" w:eastAsia="Times New Roman" w:hAnsi="Times New Roman" w:cs="Times New Roman"/>
                <w:color w:val="000000"/>
                <w:spacing w:val="0"/>
                <w:w w:val="100"/>
                <w:position w:val="0"/>
              </w:rPr>
              <w:t>［2021 ］</w:t>
            </w:r>
            <w:r>
              <w:rPr>
                <w:color w:val="000000"/>
                <w:spacing w:val="0"/>
                <w:w w:val="100"/>
                <w:position w:val="0"/>
              </w:rPr>
              <w:t>第</w:t>
            </w:r>
            <w:r>
              <w:rPr>
                <w:rFonts w:ascii="Times New Roman" w:eastAsia="Times New Roman" w:hAnsi="Times New Roman" w:cs="Times New Roman"/>
                <w:color w:val="000000"/>
                <w:spacing w:val="0"/>
                <w:w w:val="100"/>
                <w:position w:val="0"/>
              </w:rPr>
              <w:t>11-10001</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蔡瑜、汪云飞</w:t>
            </w:r>
          </w:p>
        </w:tc>
      </w:tr>
    </w:tbl>
    <w:p>
      <w:pPr>
        <w:pStyle w:val="Style31"/>
        <w:keepNext w:val="0"/>
        <w:keepLines w:val="0"/>
        <w:widowControl w:val="0"/>
        <w:shd w:val="clear" w:color="auto" w:fill="auto"/>
        <w:bidi w:val="0"/>
        <w:spacing w:before="0" w:after="0" w:line="240" w:lineRule="auto"/>
        <w:ind w:left="4243" w:right="0" w:firstLine="0"/>
        <w:jc w:val="left"/>
      </w:pPr>
      <w:r>
        <w:rPr>
          <w:color w:val="000000"/>
          <w:spacing w:val="0"/>
          <w:w w:val="100"/>
          <w:position w:val="0"/>
        </w:rPr>
        <w:t>审计报告正文</w:t>
      </w:r>
    </w:p>
    <w:p>
      <w:pPr>
        <w:pStyle w:val="Style33"/>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深圳市惠程信息科技股份有限公司全体股东：</w:t>
      </w:r>
    </w:p>
    <w:p>
      <w:pPr>
        <w:pStyle w:val="Style33"/>
        <w:keepNext w:val="0"/>
        <w:keepLines w:val="0"/>
        <w:widowControl w:val="0"/>
        <w:shd w:val="clear" w:color="auto" w:fill="auto"/>
        <w:tabs>
          <w:tab w:pos="792" w:val="left"/>
        </w:tabs>
        <w:bidi w:val="0"/>
        <w:spacing w:before="0" w:after="0" w:line="312" w:lineRule="exact"/>
        <w:ind w:left="0" w:right="0"/>
        <w:jc w:val="left"/>
      </w:pPr>
      <w:bookmarkStart w:id="647" w:name="bookmark647"/>
      <w:r>
        <w:rPr>
          <w:b/>
          <w:bCs/>
          <w:color w:val="000000"/>
          <w:spacing w:val="0"/>
          <w:w w:val="100"/>
          <w:position w:val="0"/>
        </w:rPr>
        <w:t>一</w:t>
      </w:r>
      <w:bookmarkEnd w:id="647"/>
      <w:r>
        <w:rPr>
          <w:b/>
          <w:bCs/>
          <w:color w:val="000000"/>
          <w:spacing w:val="0"/>
          <w:w w:val="100"/>
          <w:position w:val="0"/>
        </w:rPr>
        <w:t>、</w:t>
        <w:tab/>
        <w:t>保留意见</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我们审计了深圳市惠程信息科技股份有限公司（以下简称“贵公司”）的财务报表，包括</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日的合并及母 公司资产负债表，</w:t>
      </w:r>
      <w:r>
        <w:rPr>
          <w:color w:val="000000"/>
          <w:spacing w:val="0"/>
          <w:w w:val="100"/>
          <w:position w:val="0"/>
          <w:sz w:val="22"/>
          <w:szCs w:val="22"/>
        </w:rPr>
        <w:t>2020</w:t>
      </w:r>
      <w:r>
        <w:rPr>
          <w:color w:val="000000"/>
          <w:spacing w:val="0"/>
          <w:w w:val="100"/>
          <w:position w:val="0"/>
        </w:rPr>
        <w:t>年度的合并及母公司利润表、合并及母公司现金流量表、合并及母公司股东权益变动表，以及财务 报表附注。</w:t>
      </w:r>
    </w:p>
    <w:p>
      <w:pPr>
        <w:pStyle w:val="Style33"/>
        <w:keepNext w:val="0"/>
        <w:keepLines w:val="0"/>
        <w:widowControl w:val="0"/>
        <w:shd w:val="clear" w:color="auto" w:fill="auto"/>
        <w:bidi w:val="0"/>
        <w:spacing w:before="0" w:after="300" w:line="312" w:lineRule="exact"/>
        <w:ind w:left="0" w:right="0"/>
        <w:jc w:val="both"/>
      </w:pPr>
      <w:r>
        <w:rPr>
          <w:color w:val="000000"/>
          <w:spacing w:val="0"/>
          <w:w w:val="100"/>
          <w:position w:val="0"/>
        </w:rPr>
        <w:t>我们认为，除“形成保留意见的基础”部分所述事项产生的影响外，后附的财务报表在所有重大方面按照企业会计准 则的规定编制，公允反映了贵公司</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日的合并及母公司财务状况以及</w:t>
      </w:r>
      <w:r>
        <w:rPr>
          <w:color w:val="000000"/>
          <w:spacing w:val="0"/>
          <w:w w:val="100"/>
          <w:position w:val="0"/>
          <w:sz w:val="22"/>
          <w:szCs w:val="22"/>
        </w:rPr>
        <w:t>2020</w:t>
      </w:r>
      <w:r>
        <w:rPr>
          <w:color w:val="000000"/>
          <w:spacing w:val="0"/>
          <w:w w:val="100"/>
          <w:position w:val="0"/>
        </w:rPr>
        <w:t>年度的合并及母公司的经营成果和现 金流量。</w:t>
      </w:r>
    </w:p>
    <w:p>
      <w:pPr>
        <w:pStyle w:val="Style33"/>
        <w:keepNext w:val="0"/>
        <w:keepLines w:val="0"/>
        <w:widowControl w:val="0"/>
        <w:shd w:val="clear" w:color="auto" w:fill="auto"/>
        <w:tabs>
          <w:tab w:pos="792" w:val="left"/>
        </w:tabs>
        <w:bidi w:val="0"/>
        <w:spacing w:before="0" w:after="0" w:line="314" w:lineRule="exact"/>
        <w:ind w:left="0" w:right="0"/>
        <w:jc w:val="both"/>
      </w:pPr>
      <w:bookmarkStart w:id="648" w:name="bookmark648"/>
      <w:r>
        <w:rPr>
          <w:b/>
          <w:bCs/>
          <w:color w:val="000000"/>
          <w:spacing w:val="0"/>
          <w:w w:val="100"/>
          <w:position w:val="0"/>
        </w:rPr>
        <w:t>二</w:t>
      </w:r>
      <w:bookmarkEnd w:id="648"/>
      <w:r>
        <w:rPr>
          <w:b/>
          <w:bCs/>
          <w:color w:val="000000"/>
          <w:spacing w:val="0"/>
          <w:w w:val="100"/>
          <w:position w:val="0"/>
        </w:rPr>
        <w:t>、</w:t>
        <w:tab/>
        <w:t>形成保留意见的基础</w:t>
      </w:r>
    </w:p>
    <w:p>
      <w:pPr>
        <w:pStyle w:val="Style33"/>
        <w:keepNext w:val="0"/>
        <w:keepLines w:val="0"/>
        <w:widowControl w:val="0"/>
        <w:shd w:val="clear" w:color="auto" w:fill="auto"/>
        <w:tabs>
          <w:tab w:pos="882" w:val="left"/>
        </w:tabs>
        <w:bidi w:val="0"/>
        <w:spacing w:before="0" w:after="0" w:line="314" w:lineRule="exact"/>
        <w:ind w:left="0" w:right="0"/>
        <w:jc w:val="both"/>
      </w:pPr>
      <w:bookmarkStart w:id="649" w:name="bookmark649"/>
      <w:r>
        <w:rPr>
          <w:color w:val="000000"/>
          <w:spacing w:val="0"/>
          <w:w w:val="100"/>
          <w:position w:val="0"/>
        </w:rPr>
        <w:t>（</w:t>
      </w:r>
      <w:bookmarkEnd w:id="649"/>
      <w:r>
        <w:rPr>
          <w:color w:val="000000"/>
          <w:spacing w:val="0"/>
          <w:w w:val="100"/>
          <w:position w:val="0"/>
        </w:rPr>
        <w:t>一）</w:t>
        <w:tab/>
        <w:t>预付游戏推广费用</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截至</w:t>
      </w:r>
      <w:r>
        <w:rPr>
          <w:color w:val="000000"/>
          <w:spacing w:val="0"/>
          <w:w w:val="100"/>
          <w:position w:val="0"/>
          <w:sz w:val="22"/>
          <w:szCs w:val="22"/>
        </w:rPr>
        <w:t>2019</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日，贵公司预付上海智趣广告有限公司、西藏亦复广告有限公司、睿晟天和（北京）传媒科技有限 公司、北京品众互动网络营销技术有限公司、上海悦效信息科技有限公司、乐推（上海）文化传播有限公司、深圳市安果 文化传播有限公司、江西巨广网络科技有限公司等单位款项余额</w:t>
      </w:r>
      <w:r>
        <w:rPr>
          <w:color w:val="000000"/>
          <w:spacing w:val="0"/>
          <w:w w:val="100"/>
          <w:position w:val="0"/>
          <w:sz w:val="22"/>
          <w:szCs w:val="22"/>
        </w:rPr>
        <w:t>19,075.4</w:t>
      </w:r>
      <w:r>
        <w:rPr>
          <w:color w:val="000000"/>
          <w:spacing w:val="0"/>
          <w:w w:val="100"/>
          <w:position w:val="0"/>
          <w:sz w:val="22"/>
          <w:szCs w:val="22"/>
        </w:rPr>
        <w:t>2</w:t>
      </w:r>
      <w:r>
        <w:rPr>
          <w:color w:val="000000"/>
          <w:spacing w:val="0"/>
          <w:w w:val="100"/>
          <w:position w:val="0"/>
        </w:rPr>
        <w:t>万元，应付账款余额</w:t>
      </w:r>
      <w:r>
        <w:rPr>
          <w:color w:val="000000"/>
          <w:spacing w:val="0"/>
          <w:w w:val="100"/>
          <w:position w:val="0"/>
          <w:sz w:val="22"/>
          <w:szCs w:val="22"/>
        </w:rPr>
        <w:t xml:space="preserve">3, </w:t>
      </w:r>
      <w:r>
        <w:rPr>
          <w:color w:val="000000"/>
          <w:spacing w:val="0"/>
          <w:w w:val="100"/>
          <w:position w:val="0"/>
          <w:sz w:val="22"/>
          <w:szCs w:val="22"/>
        </w:rPr>
        <w:t xml:space="preserve">267. </w:t>
      </w:r>
      <w:r>
        <w:rPr>
          <w:color w:val="000000"/>
          <w:spacing w:val="0"/>
          <w:w w:val="100"/>
          <w:position w:val="0"/>
          <w:sz w:val="22"/>
          <w:szCs w:val="22"/>
        </w:rPr>
        <w:t>85</w:t>
      </w:r>
      <w:r>
        <w:rPr>
          <w:color w:val="000000"/>
          <w:spacing w:val="0"/>
          <w:w w:val="100"/>
          <w:position w:val="0"/>
        </w:rPr>
        <w:t>万元，合同约定预 付款项用于游戏推广的广告费用支出。</w:t>
      </w:r>
      <w:r>
        <w:rPr>
          <w:color w:val="000000"/>
          <w:spacing w:val="0"/>
          <w:w w:val="100"/>
          <w:position w:val="0"/>
          <w:sz w:val="22"/>
          <w:szCs w:val="22"/>
        </w:rPr>
        <w:t>2020</w:t>
      </w:r>
      <w:r>
        <w:rPr>
          <w:color w:val="000000"/>
          <w:spacing w:val="0"/>
          <w:w w:val="100"/>
          <w:position w:val="0"/>
        </w:rPr>
        <w:t>年度，新增支付该等单位款项</w:t>
      </w:r>
      <w:r>
        <w:rPr>
          <w:color w:val="000000"/>
          <w:spacing w:val="0"/>
          <w:w w:val="100"/>
          <w:position w:val="0"/>
          <w:sz w:val="22"/>
          <w:szCs w:val="22"/>
        </w:rPr>
        <w:t>31,020.26</w:t>
      </w:r>
      <w:r>
        <w:rPr>
          <w:color w:val="000000"/>
          <w:spacing w:val="0"/>
          <w:w w:val="100"/>
          <w:position w:val="0"/>
        </w:rPr>
        <w:t>万元，实际发生推广费用</w:t>
      </w:r>
      <w:r>
        <w:rPr>
          <w:color w:val="000000"/>
          <w:spacing w:val="0"/>
          <w:w w:val="100"/>
          <w:position w:val="0"/>
          <w:sz w:val="22"/>
          <w:szCs w:val="22"/>
        </w:rPr>
        <w:t>15,837.58</w:t>
      </w:r>
      <w:r>
        <w:rPr>
          <w:color w:val="000000"/>
          <w:spacing w:val="0"/>
          <w:w w:val="100"/>
          <w:position w:val="0"/>
        </w:rPr>
        <w:t>万 元，截至</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日，贵公司预付上述单位款项余额为</w:t>
      </w:r>
      <w:r>
        <w:rPr>
          <w:color w:val="000000"/>
          <w:spacing w:val="0"/>
          <w:w w:val="100"/>
          <w:position w:val="0"/>
          <w:sz w:val="22"/>
          <w:szCs w:val="22"/>
        </w:rPr>
        <w:t xml:space="preserve">31,498. </w:t>
      </w:r>
      <w:r>
        <w:rPr>
          <w:color w:val="000000"/>
          <w:spacing w:val="0"/>
          <w:w w:val="100"/>
          <w:position w:val="0"/>
          <w:sz w:val="22"/>
          <w:szCs w:val="22"/>
        </w:rPr>
        <w:t>63</w:t>
      </w:r>
      <w:r>
        <w:rPr>
          <w:color w:val="000000"/>
          <w:spacing w:val="0"/>
          <w:w w:val="100"/>
          <w:position w:val="0"/>
        </w:rPr>
        <w:t>万元，应付账款余额</w:t>
      </w:r>
      <w:r>
        <w:rPr>
          <w:color w:val="000000"/>
          <w:spacing w:val="0"/>
          <w:w w:val="100"/>
          <w:position w:val="0"/>
          <w:sz w:val="22"/>
          <w:szCs w:val="22"/>
        </w:rPr>
        <w:t xml:space="preserve">508. </w:t>
      </w:r>
      <w:r>
        <w:rPr>
          <w:color w:val="000000"/>
          <w:spacing w:val="0"/>
          <w:w w:val="100"/>
          <w:position w:val="0"/>
          <w:sz w:val="22"/>
          <w:szCs w:val="22"/>
        </w:rPr>
        <w:t>38</w:t>
      </w:r>
      <w:r>
        <w:rPr>
          <w:color w:val="000000"/>
          <w:spacing w:val="0"/>
          <w:w w:val="100"/>
          <w:position w:val="0"/>
        </w:rPr>
        <w:t>万元。</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我们对该等款项实施了分析、检查、函证、访谈等审计程序，获取了部分单位的询证函回函，但我们无法实施其他满 意的程序，以判断大额预付款项长期未予结算的合理性，以及可能对期初和本期财务报表产生的影响。</w:t>
      </w:r>
    </w:p>
    <w:p>
      <w:pPr>
        <w:pStyle w:val="Style33"/>
        <w:keepNext w:val="0"/>
        <w:keepLines w:val="0"/>
        <w:widowControl w:val="0"/>
        <w:shd w:val="clear" w:color="auto" w:fill="auto"/>
        <w:tabs>
          <w:tab w:pos="882" w:val="left"/>
        </w:tabs>
        <w:bidi w:val="0"/>
        <w:spacing w:before="0" w:after="0" w:line="314" w:lineRule="exact"/>
        <w:ind w:left="0" w:right="0"/>
        <w:jc w:val="both"/>
      </w:pPr>
      <w:bookmarkStart w:id="650" w:name="bookmark650"/>
      <w:r>
        <w:rPr>
          <w:color w:val="000000"/>
          <w:spacing w:val="0"/>
          <w:w w:val="100"/>
          <w:position w:val="0"/>
        </w:rPr>
        <w:t>（</w:t>
      </w:r>
      <w:bookmarkEnd w:id="650"/>
      <w:r>
        <w:rPr>
          <w:color w:val="000000"/>
          <w:spacing w:val="0"/>
          <w:w w:val="100"/>
          <w:position w:val="0"/>
        </w:rPr>
        <w:t>二）</w:t>
        <w:tab/>
        <w:t>应付游戏分成款</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截至</w:t>
      </w:r>
      <w:r>
        <w:rPr>
          <w:color w:val="000000"/>
          <w:spacing w:val="0"/>
          <w:w w:val="100"/>
          <w:position w:val="0"/>
          <w:sz w:val="22"/>
          <w:szCs w:val="22"/>
        </w:rPr>
        <w:t>2019</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日，贵公司应付广州赤星信息科技有限公司和广州乐游信息科技有限公司款项余额</w:t>
      </w:r>
      <w:r>
        <w:rPr>
          <w:color w:val="000000"/>
          <w:spacing w:val="0"/>
          <w:w w:val="100"/>
          <w:position w:val="0"/>
          <w:sz w:val="22"/>
          <w:szCs w:val="22"/>
        </w:rPr>
        <w:t xml:space="preserve">17, </w:t>
      </w:r>
      <w:r>
        <w:rPr>
          <w:color w:val="000000"/>
          <w:spacing w:val="0"/>
          <w:w w:val="100"/>
          <w:position w:val="0"/>
          <w:sz w:val="22"/>
          <w:szCs w:val="22"/>
        </w:rPr>
        <w:t xml:space="preserve">928. </w:t>
      </w:r>
      <w:r>
        <w:rPr>
          <w:color w:val="000000"/>
          <w:spacing w:val="0"/>
          <w:w w:val="100"/>
          <w:position w:val="0"/>
          <w:sz w:val="22"/>
          <w:szCs w:val="22"/>
        </w:rPr>
        <w:t>90</w:t>
      </w:r>
      <w:r>
        <w:rPr>
          <w:color w:val="000000"/>
          <w:spacing w:val="0"/>
          <w:w w:val="100"/>
          <w:position w:val="0"/>
        </w:rPr>
        <w:t>万元， 系双方合同约定的贵公司应付《至尊传奇》《绝世武林》游戏分成款。</w:t>
      </w:r>
      <w:r>
        <w:rPr>
          <w:color w:val="000000"/>
          <w:spacing w:val="0"/>
          <w:w w:val="100"/>
          <w:position w:val="0"/>
          <w:sz w:val="22"/>
          <w:szCs w:val="22"/>
        </w:rPr>
        <w:t>2020</w:t>
      </w:r>
      <w:r>
        <w:rPr>
          <w:color w:val="000000"/>
          <w:spacing w:val="0"/>
          <w:w w:val="100"/>
          <w:position w:val="0"/>
        </w:rPr>
        <w:t>年度，贵公司新增计提应付游戏分成款</w:t>
      </w:r>
      <w:r>
        <w:rPr>
          <w:color w:val="000000"/>
          <w:spacing w:val="0"/>
          <w:w w:val="100"/>
          <w:position w:val="0"/>
          <w:sz w:val="22"/>
          <w:szCs w:val="22"/>
        </w:rPr>
        <w:t xml:space="preserve">371.80 </w:t>
      </w:r>
      <w:r>
        <w:rPr>
          <w:color w:val="000000"/>
          <w:spacing w:val="0"/>
          <w:w w:val="100"/>
          <w:position w:val="0"/>
        </w:rPr>
        <w:t>万元，实际支付</w:t>
      </w:r>
      <w:r>
        <w:rPr>
          <w:color w:val="000000"/>
          <w:spacing w:val="0"/>
          <w:w w:val="100"/>
          <w:position w:val="0"/>
          <w:sz w:val="22"/>
          <w:szCs w:val="22"/>
        </w:rPr>
        <w:t xml:space="preserve">9, </w:t>
      </w:r>
      <w:r>
        <w:rPr>
          <w:color w:val="000000"/>
          <w:spacing w:val="0"/>
          <w:w w:val="100"/>
          <w:position w:val="0"/>
          <w:sz w:val="22"/>
          <w:szCs w:val="22"/>
        </w:rPr>
        <w:t xml:space="preserve">959. </w:t>
      </w:r>
      <w:r>
        <w:rPr>
          <w:color w:val="000000"/>
          <w:spacing w:val="0"/>
          <w:w w:val="100"/>
          <w:position w:val="0"/>
          <w:sz w:val="22"/>
          <w:szCs w:val="22"/>
        </w:rPr>
        <w:t>00</w:t>
      </w:r>
      <w:r>
        <w:rPr>
          <w:color w:val="000000"/>
          <w:spacing w:val="0"/>
          <w:w w:val="100"/>
          <w:position w:val="0"/>
        </w:rPr>
        <w:t>万元。截至</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日，贵公司应付广州赤星信息科技有限公司和广州乐游信息科技有限公 司款项余额</w:t>
      </w:r>
      <w:r>
        <w:rPr>
          <w:color w:val="000000"/>
          <w:spacing w:val="0"/>
          <w:w w:val="100"/>
          <w:position w:val="0"/>
          <w:sz w:val="22"/>
          <w:szCs w:val="22"/>
        </w:rPr>
        <w:t>7,109.40</w:t>
      </w:r>
      <w:r>
        <w:rPr>
          <w:color w:val="000000"/>
          <w:spacing w:val="0"/>
          <w:w w:val="100"/>
          <w:position w:val="0"/>
        </w:rPr>
        <w:t>万元。</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9</w:t>
      </w:r>
      <w:r>
        <w:rPr>
          <w:color w:val="000000"/>
          <w:spacing w:val="0"/>
          <w:w w:val="100"/>
          <w:position w:val="0"/>
        </w:rPr>
        <w:t>月，广州赤星信息科技有限公司起诉贵公司，诉讼要求贵公司支付自</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9</w:t>
      </w:r>
      <w:r>
        <w:rPr>
          <w:color w:val="000000"/>
          <w:spacing w:val="0"/>
          <w:w w:val="100"/>
          <w:position w:val="0"/>
        </w:rPr>
        <w:t>月</w:t>
      </w:r>
      <w:r>
        <w:rPr>
          <w:color w:val="000000"/>
          <w:spacing w:val="0"/>
          <w:w w:val="100"/>
          <w:position w:val="0"/>
          <w:sz w:val="22"/>
          <w:szCs w:val="22"/>
        </w:rPr>
        <w:t>1</w:t>
      </w:r>
      <w:r>
        <w:rPr>
          <w:color w:val="000000"/>
          <w:spacing w:val="0"/>
          <w:w w:val="100"/>
          <w:position w:val="0"/>
        </w:rPr>
        <w:t xml:space="preserve">日至 </w:t>
      </w: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2</w:t>
      </w:r>
      <w:r>
        <w:rPr>
          <w:color w:val="000000"/>
          <w:spacing w:val="0"/>
          <w:w w:val="100"/>
          <w:position w:val="0"/>
        </w:rPr>
        <w:t>月</w:t>
      </w:r>
      <w:r>
        <w:rPr>
          <w:color w:val="000000"/>
          <w:spacing w:val="0"/>
          <w:w w:val="100"/>
          <w:position w:val="0"/>
          <w:sz w:val="22"/>
          <w:szCs w:val="22"/>
        </w:rPr>
        <w:t>28</w:t>
      </w:r>
      <w:r>
        <w:rPr>
          <w:color w:val="000000"/>
          <w:spacing w:val="0"/>
          <w:w w:val="100"/>
          <w:position w:val="0"/>
        </w:rPr>
        <w:t>日的欠付分成款</w:t>
      </w:r>
      <w:r>
        <w:rPr>
          <w:color w:val="000000"/>
          <w:spacing w:val="0"/>
          <w:w w:val="100"/>
          <w:position w:val="0"/>
          <w:sz w:val="22"/>
          <w:szCs w:val="22"/>
        </w:rPr>
        <w:t>11,338.08</w:t>
      </w:r>
      <w:r>
        <w:rPr>
          <w:color w:val="000000"/>
          <w:spacing w:val="0"/>
          <w:w w:val="100"/>
          <w:position w:val="0"/>
        </w:rPr>
        <w:t>万元，同时申请法院冻结了贵公司银行账户资金</w:t>
      </w:r>
      <w:r>
        <w:rPr>
          <w:color w:val="000000"/>
          <w:spacing w:val="0"/>
          <w:w w:val="100"/>
          <w:position w:val="0"/>
          <w:sz w:val="22"/>
          <w:szCs w:val="22"/>
        </w:rPr>
        <w:t>11,338.08</w:t>
      </w:r>
      <w:r>
        <w:rPr>
          <w:color w:val="000000"/>
          <w:spacing w:val="0"/>
          <w:w w:val="100"/>
          <w:position w:val="0"/>
        </w:rPr>
        <w:t>万元。</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我们对该等应付账款实施了检查、函证、访谈等审计程序，获取了广州赤星信息科技有限公司和广州乐游信息科技有 限公司的询证函回函，回函显示不符，我们无法判断回函不符的具体原因以及对期初和本期财务报表产生的影响。</w:t>
      </w:r>
    </w:p>
    <w:p>
      <w:pPr>
        <w:pStyle w:val="Style33"/>
        <w:keepNext w:val="0"/>
        <w:keepLines w:val="0"/>
        <w:widowControl w:val="0"/>
        <w:shd w:val="clear" w:color="auto" w:fill="auto"/>
        <w:tabs>
          <w:tab w:pos="882" w:val="left"/>
        </w:tabs>
        <w:bidi w:val="0"/>
        <w:spacing w:before="0" w:after="0" w:line="314" w:lineRule="exact"/>
        <w:ind w:left="0" w:right="0"/>
        <w:jc w:val="both"/>
      </w:pPr>
      <w:bookmarkStart w:id="651" w:name="bookmark651"/>
      <w:r>
        <w:rPr>
          <w:color w:val="000000"/>
          <w:spacing w:val="0"/>
          <w:w w:val="100"/>
          <w:position w:val="0"/>
        </w:rPr>
        <w:t>（</w:t>
      </w:r>
      <w:bookmarkEnd w:id="651"/>
      <w:r>
        <w:rPr>
          <w:color w:val="000000"/>
          <w:spacing w:val="0"/>
          <w:w w:val="100"/>
          <w:position w:val="0"/>
        </w:rPr>
        <w:t>三）</w:t>
        <w:tab/>
        <w:t>商誉减值</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如财务报表“附注五（十七）商誉”所示，截至</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日，贵公司哆可梦商誉账面原值为</w:t>
      </w:r>
      <w:r>
        <w:rPr>
          <w:color w:val="000000"/>
          <w:spacing w:val="0"/>
          <w:w w:val="100"/>
          <w:position w:val="0"/>
          <w:sz w:val="22"/>
          <w:szCs w:val="22"/>
        </w:rPr>
        <w:t>122,024.05</w:t>
      </w:r>
      <w:r>
        <w:rPr>
          <w:color w:val="000000"/>
          <w:spacing w:val="0"/>
          <w:w w:val="100"/>
          <w:position w:val="0"/>
        </w:rPr>
        <w:t>万元。贵 公司对商誉减值进行了测试，并计提减值准备</w:t>
      </w:r>
      <w:r>
        <w:rPr>
          <w:color w:val="000000"/>
          <w:spacing w:val="0"/>
          <w:w w:val="100"/>
          <w:position w:val="0"/>
          <w:sz w:val="22"/>
          <w:szCs w:val="22"/>
        </w:rPr>
        <w:t xml:space="preserve">90, </w:t>
      </w:r>
      <w:r>
        <w:rPr>
          <w:color w:val="000000"/>
          <w:spacing w:val="0"/>
          <w:w w:val="100"/>
          <w:position w:val="0"/>
          <w:sz w:val="22"/>
          <w:szCs w:val="22"/>
        </w:rPr>
        <w:t>798.15</w:t>
      </w:r>
      <w:r>
        <w:rPr>
          <w:color w:val="000000"/>
          <w:spacing w:val="0"/>
          <w:w w:val="100"/>
          <w:position w:val="0"/>
        </w:rPr>
        <w:t xml:space="preserve">万元。我们复核了贵公司减值测试过程，包括资产组可收回金额所 采用的收入和成本费用的增长率、折现率、营运资金等关键参数的合理性。由于受上述预付游戏推广费用和应付游戏分成 </w:t>
      </w:r>
      <w:r>
        <w:rPr>
          <w:color w:val="000000"/>
          <w:spacing w:val="0"/>
          <w:w w:val="100"/>
          <w:position w:val="0"/>
        </w:rPr>
        <w:t>款的影响，我们无法判断贵公司预测的营运资金、未来成本费用的增长趋势是否恰当，无法判断哆可梦商誉前期是否减值 及</w:t>
      </w:r>
      <w:r>
        <w:rPr>
          <w:color w:val="000000"/>
          <w:spacing w:val="0"/>
          <w:w w:val="100"/>
          <w:position w:val="0"/>
          <w:sz w:val="22"/>
          <w:szCs w:val="22"/>
        </w:rPr>
        <w:t>2020</w:t>
      </w:r>
      <w:r>
        <w:rPr>
          <w:color w:val="000000"/>
          <w:spacing w:val="0"/>
          <w:w w:val="100"/>
          <w:position w:val="0"/>
        </w:rPr>
        <w:t>年度减值金额是否恰当。</w:t>
      </w:r>
    </w:p>
    <w:p>
      <w:pPr>
        <w:pStyle w:val="Style33"/>
        <w:keepNext w:val="0"/>
        <w:keepLines w:val="0"/>
        <w:widowControl w:val="0"/>
        <w:shd w:val="clear" w:color="auto" w:fill="auto"/>
        <w:bidi w:val="0"/>
        <w:spacing w:before="0" w:after="0" w:line="314" w:lineRule="exact"/>
        <w:ind w:left="0" w:right="0"/>
        <w:jc w:val="left"/>
      </w:pPr>
      <w:bookmarkStart w:id="652" w:name="bookmark652"/>
      <w:r>
        <w:rPr>
          <w:color w:val="000000"/>
          <w:spacing w:val="0"/>
          <w:w w:val="100"/>
          <w:position w:val="0"/>
        </w:rPr>
        <w:t>（</w:t>
      </w:r>
      <w:bookmarkEnd w:id="652"/>
      <w:r>
        <w:rPr>
          <w:color w:val="000000"/>
          <w:spacing w:val="0"/>
          <w:w w:val="100"/>
          <w:position w:val="0"/>
        </w:rPr>
        <w:t>四）购买子公司少数股东股权</w:t>
      </w:r>
    </w:p>
    <w:p>
      <w:pPr>
        <w:pStyle w:val="Style33"/>
        <w:keepNext w:val="0"/>
        <w:keepLines w:val="0"/>
        <w:widowControl w:val="0"/>
        <w:shd w:val="clear" w:color="auto" w:fill="auto"/>
        <w:bidi w:val="0"/>
        <w:spacing w:before="0" w:after="0" w:line="314" w:lineRule="exact"/>
        <w:ind w:left="0" w:right="0"/>
        <w:jc w:val="left"/>
      </w:pP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27</w:t>
      </w:r>
      <w:r>
        <w:rPr>
          <w:color w:val="000000"/>
          <w:spacing w:val="0"/>
          <w:w w:val="100"/>
          <w:position w:val="0"/>
        </w:rPr>
        <w:t>日，贵公司与宁波梅山保税港区航翼投资管理合伙企业（有限合伙</w:t>
      </w:r>
      <w:r>
        <w:rPr>
          <w:color w:val="000000"/>
          <w:spacing w:val="0"/>
          <w:w w:val="100"/>
          <w:position w:val="0"/>
          <w:sz w:val="22"/>
          <w:szCs w:val="22"/>
        </w:rPr>
        <w:t>）（</w:t>
      </w:r>
      <w:r>
        <w:rPr>
          <w:color w:val="000000"/>
          <w:spacing w:val="0"/>
          <w:w w:val="100"/>
          <w:position w:val="0"/>
        </w:rPr>
        <w:t>简称“航翼投资”）共同成立上海 季娱网络科技有限公司，注册资本</w:t>
      </w:r>
      <w:r>
        <w:rPr>
          <w:color w:val="000000"/>
          <w:spacing w:val="0"/>
          <w:w w:val="100"/>
          <w:position w:val="0"/>
          <w:sz w:val="22"/>
          <w:szCs w:val="22"/>
        </w:rPr>
        <w:t>1,000.00</w:t>
      </w:r>
      <w:r>
        <w:rPr>
          <w:color w:val="000000"/>
          <w:spacing w:val="0"/>
          <w:w w:val="100"/>
          <w:position w:val="0"/>
        </w:rPr>
        <w:t>万元，贵公司与航翼投资分别持有</w:t>
      </w:r>
      <w:r>
        <w:rPr>
          <w:color w:val="000000"/>
          <w:spacing w:val="0"/>
          <w:w w:val="100"/>
          <w:position w:val="0"/>
          <w:sz w:val="22"/>
          <w:szCs w:val="22"/>
        </w:rPr>
        <w:t>51%</w:t>
      </w:r>
      <w:r>
        <w:rPr>
          <w:color w:val="000000"/>
          <w:spacing w:val="0"/>
          <w:w w:val="100"/>
          <w:position w:val="0"/>
        </w:rPr>
        <w:t>和</w:t>
      </w:r>
      <w:r>
        <w:rPr>
          <w:color w:val="000000"/>
          <w:spacing w:val="0"/>
          <w:w w:val="100"/>
          <w:position w:val="0"/>
          <w:sz w:val="22"/>
          <w:szCs w:val="22"/>
        </w:rPr>
        <w:t>49%</w:t>
      </w:r>
      <w:r>
        <w:rPr>
          <w:color w:val="000000"/>
          <w:spacing w:val="0"/>
          <w:w w:val="100"/>
          <w:position w:val="0"/>
        </w:rPr>
        <w:t>股权，航翼投资于</w:t>
      </w:r>
      <w:r>
        <w:rPr>
          <w:color w:val="000000"/>
          <w:spacing w:val="0"/>
          <w:w w:val="100"/>
          <w:position w:val="0"/>
          <w:sz w:val="22"/>
          <w:szCs w:val="22"/>
        </w:rPr>
        <w:t>2019</w:t>
      </w:r>
      <w:r>
        <w:rPr>
          <w:color w:val="000000"/>
          <w:spacing w:val="0"/>
          <w:w w:val="100"/>
          <w:position w:val="0"/>
        </w:rPr>
        <w:t>年</w:t>
      </w:r>
      <w:r>
        <w:rPr>
          <w:color w:val="000000"/>
          <w:spacing w:val="0"/>
          <w:w w:val="100"/>
          <w:position w:val="0"/>
          <w:sz w:val="22"/>
          <w:szCs w:val="22"/>
        </w:rPr>
        <w:t>3</w:t>
      </w:r>
      <w:r>
        <w:rPr>
          <w:color w:val="000000"/>
          <w:spacing w:val="0"/>
          <w:w w:val="100"/>
          <w:position w:val="0"/>
        </w:rPr>
        <w:t>月实缴到 位。上海季娱网络科技有限公司</w:t>
      </w:r>
      <w:r>
        <w:rPr>
          <w:color w:val="000000"/>
          <w:spacing w:val="0"/>
          <w:w w:val="100"/>
          <w:position w:val="0"/>
          <w:sz w:val="22"/>
          <w:szCs w:val="22"/>
        </w:rPr>
        <w:t>2019</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日资产总额分别为</w:t>
      </w:r>
      <w:r>
        <w:rPr>
          <w:color w:val="000000"/>
          <w:spacing w:val="0"/>
          <w:w w:val="100"/>
          <w:position w:val="0"/>
          <w:sz w:val="22"/>
          <w:szCs w:val="22"/>
        </w:rPr>
        <w:t>8,711.74</w:t>
      </w:r>
      <w:r>
        <w:rPr>
          <w:color w:val="000000"/>
          <w:spacing w:val="0"/>
          <w:w w:val="100"/>
          <w:position w:val="0"/>
        </w:rPr>
        <w:t>万元、</w:t>
      </w:r>
      <w:r>
        <w:rPr>
          <w:color w:val="000000"/>
          <w:spacing w:val="0"/>
          <w:w w:val="100"/>
          <w:position w:val="0"/>
          <w:sz w:val="22"/>
          <w:szCs w:val="22"/>
        </w:rPr>
        <w:t>10,213.69</w:t>
      </w:r>
      <w:r>
        <w:rPr>
          <w:color w:val="000000"/>
          <w:spacing w:val="0"/>
          <w:w w:val="100"/>
          <w:position w:val="0"/>
        </w:rPr>
        <w:t>万元，净资 产分别为</w:t>
      </w:r>
      <w:r>
        <w:rPr>
          <w:color w:val="000000"/>
          <w:spacing w:val="0"/>
          <w:w w:val="100"/>
          <w:position w:val="0"/>
          <w:sz w:val="22"/>
          <w:szCs w:val="22"/>
        </w:rPr>
        <w:t xml:space="preserve">-302. </w:t>
      </w:r>
      <w:r>
        <w:rPr>
          <w:color w:val="000000"/>
          <w:spacing w:val="0"/>
          <w:w w:val="100"/>
          <w:position w:val="0"/>
          <w:sz w:val="22"/>
          <w:szCs w:val="22"/>
        </w:rPr>
        <w:t>41</w:t>
      </w:r>
      <w:r>
        <w:rPr>
          <w:color w:val="000000"/>
          <w:spacing w:val="0"/>
          <w:w w:val="100"/>
          <w:position w:val="0"/>
        </w:rPr>
        <w:t>万元、</w:t>
      </w:r>
      <w:r>
        <w:rPr>
          <w:color w:val="000000"/>
          <w:spacing w:val="0"/>
          <w:w w:val="100"/>
          <w:position w:val="0"/>
          <w:sz w:val="22"/>
          <w:szCs w:val="22"/>
        </w:rPr>
        <w:t xml:space="preserve">-575. </w:t>
      </w:r>
      <w:r>
        <w:rPr>
          <w:color w:val="000000"/>
          <w:spacing w:val="0"/>
          <w:w w:val="100"/>
          <w:position w:val="0"/>
          <w:sz w:val="22"/>
          <w:szCs w:val="22"/>
        </w:rPr>
        <w:t>97</w:t>
      </w:r>
      <w:r>
        <w:rPr>
          <w:color w:val="000000"/>
          <w:spacing w:val="0"/>
          <w:w w:val="100"/>
          <w:position w:val="0"/>
        </w:rPr>
        <w:t>万元，</w:t>
      </w:r>
      <w:r>
        <w:rPr>
          <w:color w:val="000000"/>
          <w:spacing w:val="0"/>
          <w:w w:val="100"/>
          <w:position w:val="0"/>
          <w:sz w:val="22"/>
          <w:szCs w:val="22"/>
        </w:rPr>
        <w:t>2019</w:t>
      </w:r>
      <w:r>
        <w:rPr>
          <w:color w:val="000000"/>
          <w:spacing w:val="0"/>
          <w:w w:val="100"/>
          <w:position w:val="0"/>
        </w:rPr>
        <w:t>年度、</w:t>
      </w:r>
      <w:r>
        <w:rPr>
          <w:color w:val="000000"/>
          <w:spacing w:val="0"/>
          <w:w w:val="100"/>
          <w:position w:val="0"/>
          <w:sz w:val="22"/>
          <w:szCs w:val="22"/>
        </w:rPr>
        <w:t>2020</w:t>
      </w:r>
      <w:r>
        <w:rPr>
          <w:color w:val="000000"/>
          <w:spacing w:val="0"/>
          <w:w w:val="100"/>
          <w:position w:val="0"/>
        </w:rPr>
        <w:t>年度净利润分别为</w:t>
      </w:r>
      <w:r>
        <w:rPr>
          <w:color w:val="000000"/>
          <w:spacing w:val="0"/>
          <w:w w:val="100"/>
          <w:position w:val="0"/>
          <w:sz w:val="22"/>
          <w:szCs w:val="22"/>
        </w:rPr>
        <w:t>5.09</w:t>
      </w:r>
      <w:r>
        <w:rPr>
          <w:color w:val="000000"/>
          <w:spacing w:val="0"/>
          <w:w w:val="100"/>
          <w:position w:val="0"/>
        </w:rPr>
        <w:t>万元、</w:t>
      </w:r>
      <w:r>
        <w:rPr>
          <w:color w:val="000000"/>
          <w:spacing w:val="0"/>
          <w:w w:val="100"/>
          <w:position w:val="0"/>
          <w:sz w:val="22"/>
          <w:szCs w:val="22"/>
        </w:rPr>
        <w:t xml:space="preserve">-273. </w:t>
      </w:r>
      <w:r>
        <w:rPr>
          <w:color w:val="000000"/>
          <w:spacing w:val="0"/>
          <w:w w:val="100"/>
          <w:position w:val="0"/>
          <w:sz w:val="22"/>
          <w:szCs w:val="22"/>
        </w:rPr>
        <w:t>55</w:t>
      </w:r>
      <w:r>
        <w:rPr>
          <w:color w:val="000000"/>
          <w:spacing w:val="0"/>
          <w:w w:val="100"/>
          <w:position w:val="0"/>
        </w:rPr>
        <w:t>万元。</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3</w:t>
      </w:r>
      <w:r>
        <w:rPr>
          <w:color w:val="000000"/>
          <w:spacing w:val="0"/>
          <w:w w:val="100"/>
          <w:position w:val="0"/>
        </w:rPr>
        <w:t>月，贵公司收 购航翼投资持有的</w:t>
      </w:r>
      <w:r>
        <w:rPr>
          <w:color w:val="000000"/>
          <w:spacing w:val="0"/>
          <w:w w:val="100"/>
          <w:position w:val="0"/>
          <w:sz w:val="22"/>
          <w:szCs w:val="22"/>
        </w:rPr>
        <w:t>49%</w:t>
      </w:r>
      <w:r>
        <w:rPr>
          <w:color w:val="000000"/>
          <w:spacing w:val="0"/>
          <w:w w:val="100"/>
          <w:position w:val="0"/>
        </w:rPr>
        <w:t>股权，交易价款</w:t>
      </w:r>
      <w:r>
        <w:rPr>
          <w:color w:val="000000"/>
          <w:spacing w:val="0"/>
          <w:w w:val="100"/>
          <w:position w:val="0"/>
          <w:sz w:val="22"/>
          <w:szCs w:val="22"/>
        </w:rPr>
        <w:t>1</w:t>
      </w:r>
      <w:r>
        <w:rPr>
          <w:color w:val="000000"/>
          <w:spacing w:val="0"/>
          <w:w w:val="100"/>
          <w:position w:val="0"/>
          <w:sz w:val="22"/>
          <w:szCs w:val="22"/>
        </w:rPr>
        <w:t>.11</w:t>
      </w:r>
      <w:r>
        <w:rPr>
          <w:color w:val="000000"/>
          <w:spacing w:val="0"/>
          <w:w w:val="100"/>
          <w:position w:val="0"/>
        </w:rPr>
        <w:t>亿元，航翼投资于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3</w:t>
      </w:r>
      <w:r>
        <w:rPr>
          <w:color w:val="000000"/>
          <w:spacing w:val="0"/>
          <w:w w:val="100"/>
          <w:position w:val="0"/>
        </w:rPr>
        <w:t>月注销。我们实施了检查、访谈了解等程序，未能获 取充分适当的审计证据以证实该交易的真实性与合理性。</w:t>
      </w:r>
    </w:p>
    <w:p>
      <w:pPr>
        <w:pStyle w:val="Style33"/>
        <w:keepNext w:val="0"/>
        <w:keepLines w:val="0"/>
        <w:widowControl w:val="0"/>
        <w:shd w:val="clear" w:color="auto" w:fill="auto"/>
        <w:bidi w:val="0"/>
        <w:spacing w:before="0" w:after="0" w:line="314" w:lineRule="exact"/>
        <w:ind w:left="0" w:right="0"/>
        <w:jc w:val="left"/>
      </w:pPr>
      <w:r>
        <w:rPr>
          <w:color w:val="000000"/>
          <w:spacing w:val="0"/>
          <w:w w:val="100"/>
          <w:position w:val="0"/>
        </w:rPr>
        <w:t>我们按照中国注册会计师审计准则的规定执行了审计工作。审计报告的“注册会计师对财务报表审计的责任”部分进 一步阐述了我们在这些准则下的责任。按照中国注册会计师职业道德守则，我们独立于贵公司，并履行了职业道德方面的 其他责任。</w:t>
      </w:r>
    </w:p>
    <w:p>
      <w:pPr>
        <w:pStyle w:val="Style33"/>
        <w:keepNext w:val="0"/>
        <w:keepLines w:val="0"/>
        <w:widowControl w:val="0"/>
        <w:shd w:val="clear" w:color="auto" w:fill="auto"/>
        <w:bidi w:val="0"/>
        <w:spacing w:before="0" w:after="300" w:line="314" w:lineRule="exact"/>
        <w:ind w:left="0" w:right="0"/>
        <w:jc w:val="left"/>
      </w:pPr>
      <w:r>
        <w:rPr>
          <w:color w:val="000000"/>
          <w:spacing w:val="0"/>
          <w:w w:val="100"/>
          <w:position w:val="0"/>
        </w:rPr>
        <w:t>我们相信，我们获取的审计证据是充分、适当的，为发表保留意见提供了基础。</w:t>
      </w:r>
    </w:p>
    <w:p>
      <w:pPr>
        <w:pStyle w:val="Style33"/>
        <w:keepNext w:val="0"/>
        <w:keepLines w:val="0"/>
        <w:widowControl w:val="0"/>
        <w:shd w:val="clear" w:color="auto" w:fill="auto"/>
        <w:tabs>
          <w:tab w:pos="808" w:val="left"/>
        </w:tabs>
        <w:bidi w:val="0"/>
        <w:spacing w:before="0" w:after="0" w:line="320" w:lineRule="exact"/>
        <w:ind w:left="0" w:right="0"/>
        <w:jc w:val="both"/>
      </w:pPr>
      <w:bookmarkStart w:id="653" w:name="bookmark653"/>
      <w:r>
        <w:rPr>
          <w:b/>
          <w:bCs/>
          <w:color w:val="000000"/>
          <w:spacing w:val="0"/>
          <w:w w:val="100"/>
          <w:position w:val="0"/>
        </w:rPr>
        <w:t>三</w:t>
      </w:r>
      <w:bookmarkEnd w:id="653"/>
      <w:r>
        <w:rPr>
          <w:b/>
          <w:bCs/>
          <w:color w:val="000000"/>
          <w:spacing w:val="0"/>
          <w:w w:val="100"/>
          <w:position w:val="0"/>
        </w:rPr>
        <w:t>、</w:t>
        <w:tab/>
        <w:t>关键审计事项</w:t>
      </w:r>
    </w:p>
    <w:p>
      <w:pPr>
        <w:pStyle w:val="Style33"/>
        <w:keepNext w:val="0"/>
        <w:keepLines w:val="0"/>
        <w:widowControl w:val="0"/>
        <w:shd w:val="clear" w:color="auto" w:fill="auto"/>
        <w:bidi w:val="0"/>
        <w:spacing w:before="0" w:after="0" w:line="320" w:lineRule="exact"/>
        <w:ind w:left="0" w:right="0"/>
        <w:jc w:val="both"/>
      </w:pPr>
      <w:r>
        <w:rPr>
          <w:color w:val="000000"/>
          <w:spacing w:val="0"/>
          <w:w w:val="100"/>
          <w:position w:val="0"/>
        </w:rPr>
        <w:t>关键审计事项是我们根据职业判断，认为对本期财务报表审计最为重要的事项。这些事项的应对以对财务报表整体进 行审计并形成审计意见为背景，我们不对这些事项单独发表意见。除“形成保留意见的基础”部分所述事项外，我们确定 下列事项是需要在审计报告中沟通的关键审计事项。</w:t>
      </w:r>
    </w:p>
    <w:p>
      <w:pPr>
        <w:pStyle w:val="Style33"/>
        <w:keepNext w:val="0"/>
        <w:keepLines w:val="0"/>
        <w:widowControl w:val="0"/>
        <w:shd w:val="clear" w:color="auto" w:fill="auto"/>
        <w:bidi w:val="0"/>
        <w:spacing w:before="0" w:after="0" w:line="320" w:lineRule="exact"/>
        <w:ind w:left="0" w:right="0"/>
        <w:jc w:val="both"/>
      </w:pPr>
      <w:r>
        <w:rPr>
          <w:color w:val="000000"/>
          <w:spacing w:val="0"/>
          <w:w w:val="100"/>
          <w:position w:val="0"/>
        </w:rPr>
        <w:t>游戏收入的确认</w:t>
      </w:r>
    </w:p>
    <w:p>
      <w:pPr>
        <w:pStyle w:val="Style33"/>
        <w:keepNext w:val="0"/>
        <w:keepLines w:val="0"/>
        <w:widowControl w:val="0"/>
        <w:numPr>
          <w:ilvl w:val="0"/>
          <w:numId w:val="11"/>
        </w:numPr>
        <w:shd w:val="clear" w:color="auto" w:fill="auto"/>
        <w:tabs>
          <w:tab w:pos="673" w:val="left"/>
        </w:tabs>
        <w:bidi w:val="0"/>
        <w:spacing w:before="0" w:after="0" w:line="320" w:lineRule="exact"/>
        <w:ind w:left="0" w:right="0"/>
        <w:jc w:val="both"/>
      </w:pPr>
      <w:bookmarkStart w:id="654" w:name="bookmark654"/>
      <w:bookmarkEnd w:id="654"/>
      <w:r>
        <w:rPr>
          <w:color w:val="000000"/>
          <w:spacing w:val="0"/>
          <w:w w:val="100"/>
          <w:position w:val="0"/>
        </w:rPr>
        <w:t>事项描述</w:t>
      </w:r>
    </w:p>
    <w:p>
      <w:pPr>
        <w:pStyle w:val="Style33"/>
        <w:keepNext w:val="0"/>
        <w:keepLines w:val="0"/>
        <w:widowControl w:val="0"/>
        <w:shd w:val="clear" w:color="auto" w:fill="auto"/>
        <w:bidi w:val="0"/>
        <w:spacing w:before="0" w:after="0" w:line="320" w:lineRule="exact"/>
        <w:ind w:left="0" w:right="0"/>
        <w:jc w:val="both"/>
      </w:pPr>
      <w:r>
        <w:rPr>
          <w:color w:val="000000"/>
          <w:spacing w:val="0"/>
          <w:w w:val="100"/>
          <w:position w:val="0"/>
        </w:rPr>
        <w:t>贵公司收入主要包括游戏收入、电气事业收入和房租收入。</w:t>
      </w:r>
      <w:r>
        <w:rPr>
          <w:color w:val="000000"/>
          <w:spacing w:val="0"/>
          <w:w w:val="100"/>
          <w:position w:val="0"/>
          <w:sz w:val="22"/>
          <w:szCs w:val="22"/>
        </w:rPr>
        <w:t>2020</w:t>
      </w:r>
      <w:r>
        <w:rPr>
          <w:color w:val="000000"/>
          <w:spacing w:val="0"/>
          <w:w w:val="100"/>
          <w:position w:val="0"/>
        </w:rPr>
        <w:t>年度贵公司营业收入人民币</w:t>
      </w:r>
      <w:r>
        <w:rPr>
          <w:color w:val="000000"/>
          <w:spacing w:val="0"/>
          <w:w w:val="100"/>
          <w:position w:val="0"/>
          <w:sz w:val="22"/>
          <w:szCs w:val="22"/>
        </w:rPr>
        <w:t>78,500.89</w:t>
      </w:r>
      <w:r>
        <w:rPr>
          <w:color w:val="000000"/>
          <w:spacing w:val="0"/>
          <w:w w:val="100"/>
          <w:position w:val="0"/>
        </w:rPr>
        <w:t>万元，其中游戏 收入</w:t>
      </w:r>
      <w:r>
        <w:rPr>
          <w:color w:val="000000"/>
          <w:spacing w:val="0"/>
          <w:w w:val="100"/>
          <w:position w:val="0"/>
          <w:sz w:val="22"/>
          <w:szCs w:val="22"/>
        </w:rPr>
        <w:t xml:space="preserve">54, </w:t>
      </w:r>
      <w:r>
        <w:rPr>
          <w:color w:val="000000"/>
          <w:spacing w:val="0"/>
          <w:w w:val="100"/>
          <w:position w:val="0"/>
          <w:sz w:val="22"/>
          <w:szCs w:val="22"/>
        </w:rPr>
        <w:t xml:space="preserve">895. </w:t>
      </w:r>
      <w:r>
        <w:rPr>
          <w:color w:val="000000"/>
          <w:spacing w:val="0"/>
          <w:w w:val="100"/>
          <w:position w:val="0"/>
          <w:sz w:val="22"/>
          <w:szCs w:val="22"/>
        </w:rPr>
        <w:t>54</w:t>
      </w:r>
      <w:r>
        <w:rPr>
          <w:color w:val="000000"/>
          <w:spacing w:val="0"/>
          <w:w w:val="100"/>
          <w:position w:val="0"/>
        </w:rPr>
        <w:t>万元，占营业收入的比例为</w:t>
      </w:r>
      <w:r>
        <w:rPr>
          <w:color w:val="000000"/>
          <w:spacing w:val="0"/>
          <w:w w:val="100"/>
          <w:position w:val="0"/>
          <w:sz w:val="22"/>
          <w:szCs w:val="22"/>
        </w:rPr>
        <w:t xml:space="preserve">69. </w:t>
      </w:r>
      <w:r>
        <w:rPr>
          <w:color w:val="000000"/>
          <w:spacing w:val="0"/>
          <w:w w:val="100"/>
          <w:position w:val="0"/>
          <w:sz w:val="22"/>
          <w:szCs w:val="22"/>
        </w:rPr>
        <w:t>93%</w:t>
      </w:r>
      <w:r>
        <w:rPr>
          <w:color w:val="000000"/>
          <w:spacing w:val="0"/>
          <w:w w:val="100"/>
          <w:position w:val="0"/>
        </w:rPr>
        <w:t>。由于游戏收入占比较高。因此，我们将游戏收入的确认作为关键审计事 项。</w:t>
      </w:r>
    </w:p>
    <w:p>
      <w:pPr>
        <w:pStyle w:val="Style33"/>
        <w:keepNext w:val="0"/>
        <w:keepLines w:val="0"/>
        <w:widowControl w:val="0"/>
        <w:numPr>
          <w:ilvl w:val="0"/>
          <w:numId w:val="11"/>
        </w:numPr>
        <w:shd w:val="clear" w:color="auto" w:fill="auto"/>
        <w:tabs>
          <w:tab w:pos="688" w:val="left"/>
        </w:tabs>
        <w:bidi w:val="0"/>
        <w:spacing w:before="0" w:after="0" w:line="320" w:lineRule="exact"/>
        <w:ind w:left="0" w:right="0"/>
        <w:jc w:val="both"/>
      </w:pPr>
      <w:bookmarkStart w:id="655" w:name="bookmark655"/>
      <w:bookmarkEnd w:id="655"/>
      <w:r>
        <w:rPr>
          <w:color w:val="000000"/>
          <w:spacing w:val="0"/>
          <w:w w:val="100"/>
          <w:position w:val="0"/>
        </w:rPr>
        <w:t>审计应对</w:t>
      </w:r>
    </w:p>
    <w:p>
      <w:pPr>
        <w:pStyle w:val="Style33"/>
        <w:keepNext w:val="0"/>
        <w:keepLines w:val="0"/>
        <w:widowControl w:val="0"/>
        <w:shd w:val="clear" w:color="auto" w:fill="auto"/>
        <w:bidi w:val="0"/>
        <w:spacing w:before="0" w:after="0" w:line="320" w:lineRule="exact"/>
        <w:ind w:left="0" w:right="0"/>
        <w:jc w:val="both"/>
      </w:pPr>
      <w:r>
        <w:rPr>
          <w:color w:val="000000"/>
          <w:spacing w:val="0"/>
          <w:w w:val="100"/>
          <w:position w:val="0"/>
        </w:rPr>
        <w:t>我们对上述事项的确认实施的审计程序主要包括：</w:t>
      </w:r>
    </w:p>
    <w:p>
      <w:pPr>
        <w:pStyle w:val="Style33"/>
        <w:keepNext w:val="0"/>
        <w:keepLines w:val="0"/>
        <w:widowControl w:val="0"/>
        <w:shd w:val="clear" w:color="auto" w:fill="auto"/>
        <w:tabs>
          <w:tab w:pos="812" w:val="left"/>
        </w:tabs>
        <w:bidi w:val="0"/>
        <w:spacing w:before="0" w:after="0" w:line="320" w:lineRule="exact"/>
        <w:ind w:left="0" w:right="0"/>
        <w:jc w:val="both"/>
      </w:pPr>
      <w:bookmarkStart w:id="656" w:name="bookmark656"/>
      <w:r>
        <w:rPr>
          <w:color w:val="000000"/>
          <w:spacing w:val="0"/>
          <w:w w:val="100"/>
          <w:position w:val="0"/>
        </w:rPr>
        <w:t>（</w:t>
      </w:r>
      <w:bookmarkEnd w:id="656"/>
      <w:r>
        <w:rPr>
          <w:color w:val="000000"/>
          <w:spacing w:val="0"/>
          <w:w w:val="100"/>
          <w:position w:val="0"/>
          <w:sz w:val="22"/>
          <w:szCs w:val="22"/>
        </w:rPr>
        <w:t>1</w:t>
      </w:r>
      <w:r>
        <w:rPr>
          <w:color w:val="000000"/>
          <w:spacing w:val="0"/>
          <w:w w:val="100"/>
          <w:position w:val="0"/>
        </w:rPr>
        <w:t>）</w:t>
        <w:tab/>
        <w:t>了解和评价管理层与游戏收入确认相关的关键内部控制的设计和运行有效性；</w:t>
      </w:r>
    </w:p>
    <w:p>
      <w:pPr>
        <w:pStyle w:val="Style33"/>
        <w:keepNext w:val="0"/>
        <w:keepLines w:val="0"/>
        <w:widowControl w:val="0"/>
        <w:shd w:val="clear" w:color="auto" w:fill="auto"/>
        <w:tabs>
          <w:tab w:pos="884" w:val="left"/>
        </w:tabs>
        <w:bidi w:val="0"/>
        <w:spacing w:before="0" w:after="0" w:line="320" w:lineRule="exact"/>
        <w:ind w:left="0" w:right="0"/>
        <w:jc w:val="both"/>
      </w:pPr>
      <w:bookmarkStart w:id="657" w:name="bookmark657"/>
      <w:r>
        <w:rPr>
          <w:color w:val="000000"/>
          <w:spacing w:val="0"/>
          <w:w w:val="100"/>
          <w:position w:val="0"/>
        </w:rPr>
        <w:t>（</w:t>
      </w:r>
      <w:bookmarkEnd w:id="657"/>
      <w:r>
        <w:rPr>
          <w:color w:val="000000"/>
          <w:spacing w:val="0"/>
          <w:w w:val="100"/>
          <w:position w:val="0"/>
          <w:sz w:val="22"/>
          <w:szCs w:val="22"/>
        </w:rPr>
        <w:t>2</w:t>
      </w:r>
      <w:r>
        <w:rPr>
          <w:color w:val="000000"/>
          <w:spacing w:val="0"/>
          <w:w w:val="100"/>
          <w:position w:val="0"/>
        </w:rPr>
        <w:t>）</w:t>
        <w:tab/>
        <w:t>结合游戏的行业特征，区分自主运营、联合运营、授权运营、和代理运营分别执行分析性复核程序，判断收入和 毛利率变动的合理性；</w:t>
      </w:r>
    </w:p>
    <w:p>
      <w:pPr>
        <w:pStyle w:val="Style33"/>
        <w:keepNext w:val="0"/>
        <w:keepLines w:val="0"/>
        <w:widowControl w:val="0"/>
        <w:shd w:val="clear" w:color="auto" w:fill="auto"/>
        <w:tabs>
          <w:tab w:pos="893" w:val="left"/>
        </w:tabs>
        <w:bidi w:val="0"/>
        <w:spacing w:before="0" w:after="0" w:line="320" w:lineRule="exact"/>
        <w:ind w:left="0" w:right="0"/>
        <w:jc w:val="both"/>
      </w:pPr>
      <w:bookmarkStart w:id="658" w:name="bookmark658"/>
      <w:r>
        <w:rPr>
          <w:color w:val="000000"/>
          <w:spacing w:val="0"/>
          <w:w w:val="100"/>
          <w:position w:val="0"/>
        </w:rPr>
        <w:t>（</w:t>
      </w:r>
      <w:bookmarkEnd w:id="658"/>
      <w:r>
        <w:rPr>
          <w:color w:val="000000"/>
          <w:spacing w:val="0"/>
          <w:w w:val="100"/>
          <w:position w:val="0"/>
          <w:sz w:val="22"/>
          <w:szCs w:val="22"/>
        </w:rPr>
        <w:t>3</w:t>
      </w:r>
      <w:r>
        <w:rPr>
          <w:color w:val="000000"/>
          <w:spacing w:val="0"/>
          <w:w w:val="100"/>
          <w:position w:val="0"/>
        </w:rPr>
        <w:t>）</w:t>
        <w:tab/>
        <w:t>选取样本，对收入执行细节测试，包括：检查合同、游戏充值消耗流水、销售发票、银行回单以及经双方确认的 对账单与相关流水的匹配，检查收入确认是否与披露的会计政策一致；</w:t>
      </w:r>
    </w:p>
    <w:p>
      <w:pPr>
        <w:pStyle w:val="Style33"/>
        <w:keepNext w:val="0"/>
        <w:keepLines w:val="0"/>
        <w:widowControl w:val="0"/>
        <w:shd w:val="clear" w:color="auto" w:fill="auto"/>
        <w:tabs>
          <w:tab w:pos="874" w:val="left"/>
        </w:tabs>
        <w:bidi w:val="0"/>
        <w:spacing w:before="0" w:after="0" w:line="320" w:lineRule="exact"/>
        <w:ind w:left="0" w:right="0"/>
        <w:jc w:val="both"/>
      </w:pPr>
      <w:bookmarkStart w:id="659" w:name="bookmark659"/>
      <w:r>
        <w:rPr>
          <w:color w:val="000000"/>
          <w:spacing w:val="0"/>
          <w:w w:val="100"/>
          <w:position w:val="0"/>
        </w:rPr>
        <w:t>（</w:t>
      </w:r>
      <w:bookmarkEnd w:id="659"/>
      <w:r>
        <w:rPr>
          <w:color w:val="000000"/>
          <w:spacing w:val="0"/>
          <w:w w:val="100"/>
          <w:position w:val="0"/>
          <w:sz w:val="22"/>
          <w:szCs w:val="22"/>
        </w:rPr>
        <w:t>4</w:t>
      </w:r>
      <w:r>
        <w:rPr>
          <w:color w:val="000000"/>
          <w:spacing w:val="0"/>
          <w:w w:val="100"/>
          <w:position w:val="0"/>
        </w:rPr>
        <w:t>）</w:t>
        <w:tab/>
        <w:t>对收入执行截止性测试，复核贵公司对已充值未消耗的金币确认递延收益的准确性，以评估收入是否确认在恰当 的会计期间；</w:t>
      </w:r>
    </w:p>
    <w:p>
      <w:pPr>
        <w:pStyle w:val="Style33"/>
        <w:keepNext w:val="0"/>
        <w:keepLines w:val="0"/>
        <w:widowControl w:val="0"/>
        <w:shd w:val="clear" w:color="auto" w:fill="auto"/>
        <w:tabs>
          <w:tab w:pos="812" w:val="left"/>
        </w:tabs>
        <w:bidi w:val="0"/>
        <w:spacing w:before="0" w:after="0" w:line="320" w:lineRule="exact"/>
        <w:ind w:left="0" w:right="0"/>
        <w:jc w:val="both"/>
      </w:pPr>
      <w:bookmarkStart w:id="660" w:name="bookmark660"/>
      <w:r>
        <w:rPr>
          <w:color w:val="000000"/>
          <w:spacing w:val="0"/>
          <w:w w:val="100"/>
          <w:position w:val="0"/>
        </w:rPr>
        <w:t>（</w:t>
      </w:r>
      <w:bookmarkEnd w:id="660"/>
      <w:r>
        <w:rPr>
          <w:color w:val="000000"/>
          <w:spacing w:val="0"/>
          <w:w w:val="100"/>
          <w:position w:val="0"/>
          <w:sz w:val="22"/>
          <w:szCs w:val="22"/>
        </w:rPr>
        <w:t>5</w:t>
      </w:r>
      <w:r>
        <w:rPr>
          <w:color w:val="000000"/>
          <w:spacing w:val="0"/>
          <w:w w:val="100"/>
          <w:position w:val="0"/>
        </w:rPr>
        <w:t>）</w:t>
        <w:tab/>
        <w:t>根据不同业务模式客户交易的特点和性质，选取样本执行函证程序以确认应收账款余额和销售收入金额；</w:t>
      </w:r>
    </w:p>
    <w:p>
      <w:pPr>
        <w:pStyle w:val="Style33"/>
        <w:keepNext w:val="0"/>
        <w:keepLines w:val="0"/>
        <w:widowControl w:val="0"/>
        <w:shd w:val="clear" w:color="auto" w:fill="auto"/>
        <w:tabs>
          <w:tab w:pos="884" w:val="left"/>
        </w:tabs>
        <w:bidi w:val="0"/>
        <w:spacing w:before="0" w:after="0" w:line="320" w:lineRule="exact"/>
        <w:ind w:left="0" w:right="0"/>
        <w:jc w:val="both"/>
      </w:pPr>
      <w:bookmarkStart w:id="661" w:name="bookmark661"/>
      <w:r>
        <w:rPr>
          <w:color w:val="000000"/>
          <w:spacing w:val="0"/>
          <w:w w:val="100"/>
          <w:position w:val="0"/>
        </w:rPr>
        <w:t>（</w:t>
      </w:r>
      <w:bookmarkEnd w:id="661"/>
      <w:r>
        <w:rPr>
          <w:color w:val="000000"/>
          <w:spacing w:val="0"/>
          <w:w w:val="100"/>
          <w:position w:val="0"/>
          <w:sz w:val="22"/>
          <w:szCs w:val="22"/>
        </w:rPr>
        <w:t>6</w:t>
      </w:r>
      <w:r>
        <w:rPr>
          <w:color w:val="000000"/>
          <w:spacing w:val="0"/>
          <w:w w:val="100"/>
          <w:position w:val="0"/>
        </w:rPr>
        <w:t>）</w:t>
        <w:tab/>
        <w:t>利用管理层委聘的外部</w:t>
      </w:r>
      <w:r>
        <w:rPr>
          <w:color w:val="000000"/>
          <w:spacing w:val="0"/>
          <w:w w:val="100"/>
          <w:position w:val="0"/>
          <w:sz w:val="22"/>
          <w:szCs w:val="22"/>
        </w:rPr>
        <w:t>IT</w:t>
      </w:r>
      <w:r>
        <w:rPr>
          <w:color w:val="000000"/>
          <w:spacing w:val="0"/>
          <w:w w:val="100"/>
          <w:position w:val="0"/>
        </w:rPr>
        <w:t>审计专家进行计算机辅助审计，评估</w:t>
      </w:r>
      <w:r>
        <w:rPr>
          <w:color w:val="000000"/>
          <w:spacing w:val="0"/>
          <w:w w:val="100"/>
          <w:position w:val="0"/>
          <w:sz w:val="22"/>
          <w:szCs w:val="22"/>
        </w:rPr>
        <w:t>IT</w:t>
      </w:r>
      <w:r>
        <w:rPr>
          <w:color w:val="000000"/>
          <w:spacing w:val="0"/>
          <w:w w:val="100"/>
          <w:position w:val="0"/>
        </w:rPr>
        <w:t>信息系统的可靠性，取得异常用户清单，并对异 常用户进行电话访谈，留下访谈录音等资料，同时我们亦对外部</w:t>
      </w:r>
      <w:r>
        <w:rPr>
          <w:color w:val="000000"/>
          <w:spacing w:val="0"/>
          <w:w w:val="100"/>
          <w:position w:val="0"/>
          <w:sz w:val="22"/>
          <w:szCs w:val="22"/>
        </w:rPr>
        <w:t>IT</w:t>
      </w:r>
      <w:r>
        <w:rPr>
          <w:color w:val="000000"/>
          <w:spacing w:val="0"/>
          <w:w w:val="100"/>
          <w:position w:val="0"/>
        </w:rPr>
        <w:t>审计专家出具的《信息系统审计报告》进行复核；</w:t>
      </w:r>
    </w:p>
    <w:p>
      <w:pPr>
        <w:pStyle w:val="Style33"/>
        <w:keepNext w:val="0"/>
        <w:keepLines w:val="0"/>
        <w:widowControl w:val="0"/>
        <w:shd w:val="clear" w:color="auto" w:fill="auto"/>
        <w:tabs>
          <w:tab w:pos="812" w:val="left"/>
        </w:tabs>
        <w:bidi w:val="0"/>
        <w:spacing w:before="0" w:after="0" w:line="320" w:lineRule="exact"/>
        <w:ind w:left="0" w:right="0"/>
        <w:jc w:val="both"/>
      </w:pPr>
      <w:bookmarkStart w:id="662" w:name="bookmark662"/>
      <w:r>
        <w:rPr>
          <w:color w:val="000000"/>
          <w:spacing w:val="0"/>
          <w:w w:val="100"/>
          <w:position w:val="0"/>
        </w:rPr>
        <w:t>（</w:t>
      </w:r>
      <w:bookmarkEnd w:id="662"/>
      <w:r>
        <w:rPr>
          <w:color w:val="000000"/>
          <w:spacing w:val="0"/>
          <w:w w:val="100"/>
          <w:position w:val="0"/>
          <w:sz w:val="22"/>
          <w:szCs w:val="22"/>
        </w:rPr>
        <w:t>7</w:t>
      </w:r>
      <w:r>
        <w:rPr>
          <w:color w:val="000000"/>
          <w:spacing w:val="0"/>
          <w:w w:val="100"/>
          <w:position w:val="0"/>
        </w:rPr>
        <w:t>）</w:t>
        <w:tab/>
        <w:t>结合</w:t>
      </w:r>
      <w:r>
        <w:rPr>
          <w:color w:val="000000"/>
          <w:spacing w:val="0"/>
          <w:w w:val="100"/>
          <w:position w:val="0"/>
          <w:sz w:val="22"/>
          <w:szCs w:val="22"/>
        </w:rPr>
        <w:t>IT</w:t>
      </w:r>
      <w:r>
        <w:rPr>
          <w:color w:val="000000"/>
          <w:spacing w:val="0"/>
          <w:w w:val="100"/>
          <w:position w:val="0"/>
        </w:rPr>
        <w:t>审计的《信息系统审计报告》，对贵公司系统后台的游戏流水的真实性与准确性进行确认。</w:t>
      </w:r>
    </w:p>
    <w:p>
      <w:pPr>
        <w:pStyle w:val="Style33"/>
        <w:keepNext w:val="0"/>
        <w:keepLines w:val="0"/>
        <w:widowControl w:val="0"/>
        <w:shd w:val="clear" w:color="auto" w:fill="auto"/>
        <w:tabs>
          <w:tab w:pos="812" w:val="left"/>
        </w:tabs>
        <w:bidi w:val="0"/>
        <w:spacing w:before="0" w:after="300" w:line="320" w:lineRule="exact"/>
        <w:ind w:left="0" w:right="0"/>
        <w:jc w:val="both"/>
      </w:pPr>
      <w:bookmarkStart w:id="663" w:name="bookmark663"/>
      <w:r>
        <w:rPr>
          <w:color w:val="000000"/>
          <w:spacing w:val="0"/>
          <w:w w:val="100"/>
          <w:position w:val="0"/>
        </w:rPr>
        <w:t>（</w:t>
      </w:r>
      <w:bookmarkEnd w:id="663"/>
      <w:r>
        <w:rPr>
          <w:color w:val="000000"/>
          <w:spacing w:val="0"/>
          <w:w w:val="100"/>
          <w:position w:val="0"/>
          <w:sz w:val="22"/>
          <w:szCs w:val="22"/>
        </w:rPr>
        <w:t>8</w:t>
      </w:r>
      <w:r>
        <w:rPr>
          <w:color w:val="000000"/>
          <w:spacing w:val="0"/>
          <w:w w:val="100"/>
          <w:position w:val="0"/>
        </w:rPr>
        <w:t>）</w:t>
        <w:tab/>
        <w:t>评估期末应收账款的可收回性，包括检查期后回款情况，评估客户的经营情况和还款能力。</w:t>
      </w:r>
    </w:p>
    <w:p>
      <w:pPr>
        <w:pStyle w:val="Style33"/>
        <w:keepNext w:val="0"/>
        <w:keepLines w:val="0"/>
        <w:widowControl w:val="0"/>
        <w:shd w:val="clear" w:color="auto" w:fill="auto"/>
        <w:tabs>
          <w:tab w:pos="808" w:val="left"/>
        </w:tabs>
        <w:bidi w:val="0"/>
        <w:spacing w:before="0" w:after="0" w:line="317" w:lineRule="exact"/>
        <w:ind w:left="0" w:right="0"/>
        <w:jc w:val="both"/>
      </w:pPr>
      <w:bookmarkStart w:id="664" w:name="bookmark664"/>
      <w:r>
        <w:rPr>
          <w:b/>
          <w:bCs/>
          <w:color w:val="000000"/>
          <w:spacing w:val="0"/>
          <w:w w:val="100"/>
          <w:position w:val="0"/>
        </w:rPr>
        <w:t>四</w:t>
      </w:r>
      <w:bookmarkEnd w:id="664"/>
      <w:r>
        <w:rPr>
          <w:b/>
          <w:bCs/>
          <w:color w:val="000000"/>
          <w:spacing w:val="0"/>
          <w:w w:val="100"/>
          <w:position w:val="0"/>
        </w:rPr>
        <w:t>、</w:t>
        <w:tab/>
        <w:t>其他信息</w:t>
      </w:r>
    </w:p>
    <w:p>
      <w:pPr>
        <w:pStyle w:val="Style33"/>
        <w:keepNext w:val="0"/>
        <w:keepLines w:val="0"/>
        <w:widowControl w:val="0"/>
        <w:shd w:val="clear" w:color="auto" w:fill="auto"/>
        <w:bidi w:val="0"/>
        <w:spacing w:before="0" w:after="0" w:line="317" w:lineRule="exact"/>
        <w:ind w:left="0" w:right="0"/>
        <w:jc w:val="both"/>
      </w:pPr>
      <w:r>
        <w:rPr>
          <w:color w:val="000000"/>
          <w:spacing w:val="0"/>
          <w:w w:val="100"/>
          <w:position w:val="0"/>
        </w:rPr>
        <w:t>贵公司管理层（以下简称管理层）对其他信息负责。其他信息包括贵公司</w:t>
      </w:r>
      <w:r>
        <w:rPr>
          <w:color w:val="000000"/>
          <w:spacing w:val="0"/>
          <w:w w:val="100"/>
          <w:position w:val="0"/>
          <w:sz w:val="22"/>
          <w:szCs w:val="22"/>
        </w:rPr>
        <w:t>2020</w:t>
      </w:r>
      <w:r>
        <w:rPr>
          <w:color w:val="000000"/>
          <w:spacing w:val="0"/>
          <w:w w:val="100"/>
          <w:position w:val="0"/>
        </w:rPr>
        <w:t>年年度报告中涵盖的信息，但不包括财 务报表和我们的审计报告。</w:t>
      </w:r>
    </w:p>
    <w:p>
      <w:pPr>
        <w:pStyle w:val="Style33"/>
        <w:keepNext w:val="0"/>
        <w:keepLines w:val="0"/>
        <w:widowControl w:val="0"/>
        <w:shd w:val="clear" w:color="auto" w:fill="auto"/>
        <w:bidi w:val="0"/>
        <w:spacing w:before="0" w:after="0" w:line="317" w:lineRule="exact"/>
        <w:ind w:left="0" w:right="0"/>
        <w:jc w:val="both"/>
      </w:pPr>
      <w:r>
        <w:rPr>
          <w:color w:val="000000"/>
          <w:spacing w:val="0"/>
          <w:w w:val="100"/>
          <w:position w:val="0"/>
        </w:rPr>
        <w:t>我们对财务报表发表的审计意见并不涵盖其他信息，我们也不对其他信息发表任何形式的鉴证结论。</w:t>
      </w:r>
    </w:p>
    <w:p>
      <w:pPr>
        <w:pStyle w:val="Style33"/>
        <w:keepNext w:val="0"/>
        <w:keepLines w:val="0"/>
        <w:widowControl w:val="0"/>
        <w:shd w:val="clear" w:color="auto" w:fill="auto"/>
        <w:bidi w:val="0"/>
        <w:spacing w:before="0" w:after="160" w:line="317" w:lineRule="exact"/>
        <w:ind w:left="0" w:right="0"/>
        <w:jc w:val="both"/>
      </w:pPr>
      <w:r>
        <w:rPr>
          <w:color w:val="000000"/>
          <w:spacing w:val="0"/>
          <w:w w:val="100"/>
          <w:position w:val="0"/>
        </w:rPr>
        <w:t>结合我们对财务报表的审计，我们的责任是阅读其他信息，在此过程中，考虑其他信息是否与财务报表或我们在审计 过程中了解到的情况存在重大不一致或者似乎存在重大错报。</w:t>
      </w:r>
    </w:p>
    <w:p>
      <w:pPr>
        <w:pStyle w:val="Style33"/>
        <w:keepNext w:val="0"/>
        <w:keepLines w:val="0"/>
        <w:widowControl w:val="0"/>
        <w:shd w:val="clear" w:color="auto" w:fill="auto"/>
        <w:bidi w:val="0"/>
        <w:spacing w:before="0" w:after="300" w:line="314" w:lineRule="exact"/>
        <w:ind w:left="0" w:right="0"/>
        <w:jc w:val="both"/>
      </w:pPr>
      <w:r>
        <w:rPr>
          <w:color w:val="000000"/>
          <w:spacing w:val="0"/>
          <w:w w:val="100"/>
          <w:position w:val="0"/>
        </w:rPr>
        <w:t>基于我们已执行的工作，如果我们确定其他信息存在重大错报，我们应当报告该事实。如上述“形成保留意见的基 础”部分所述，我们无法就</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日贵公司预付游戏推广费用、应付游戏分成款、商誉减值、购买子公司少数股东 股权获取充分、适当的审计证据。因此，我们无法确定与该事项相关的其他信息是否存在重大错报。</w:t>
      </w:r>
    </w:p>
    <w:p>
      <w:pPr>
        <w:pStyle w:val="Style33"/>
        <w:keepNext w:val="0"/>
        <w:keepLines w:val="0"/>
        <w:widowControl w:val="0"/>
        <w:shd w:val="clear" w:color="auto" w:fill="auto"/>
        <w:tabs>
          <w:tab w:pos="835" w:val="left"/>
        </w:tabs>
        <w:bidi w:val="0"/>
        <w:spacing w:before="0" w:after="0" w:line="312" w:lineRule="exact"/>
        <w:ind w:left="0" w:right="0"/>
        <w:jc w:val="both"/>
      </w:pPr>
      <w:bookmarkStart w:id="665" w:name="bookmark665"/>
      <w:r>
        <w:rPr>
          <w:b/>
          <w:bCs/>
          <w:color w:val="000000"/>
          <w:spacing w:val="0"/>
          <w:w w:val="100"/>
          <w:position w:val="0"/>
        </w:rPr>
        <w:t>五</w:t>
      </w:r>
      <w:bookmarkEnd w:id="665"/>
      <w:r>
        <w:rPr>
          <w:b/>
          <w:bCs/>
          <w:color w:val="000000"/>
          <w:spacing w:val="0"/>
          <w:w w:val="100"/>
          <w:position w:val="0"/>
        </w:rPr>
        <w:t>、</w:t>
        <w:tab/>
        <w:t>管理层和治理层对财务报表的责任</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管理层负责按照企业会计准则的规定编制财务报表，使其实现公允反映，并设计、执行和维护必要的内部控制，以使 财务报表不存在由于舞弊或错误导致的重大错报。</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在编制财务报表时，管理层负责评估贵公司的持续经营能力，披露与持续经营相关的事项（如适用），并运用持续经 营假设，除非管理层计划清算贵公司、终止运营或别无其他现实的选择。</w:t>
      </w:r>
    </w:p>
    <w:p>
      <w:pPr>
        <w:pStyle w:val="Style33"/>
        <w:keepNext w:val="0"/>
        <w:keepLines w:val="0"/>
        <w:widowControl w:val="0"/>
        <w:shd w:val="clear" w:color="auto" w:fill="auto"/>
        <w:bidi w:val="0"/>
        <w:spacing w:before="0" w:after="300" w:line="312" w:lineRule="exact"/>
        <w:ind w:left="0" w:right="0"/>
        <w:jc w:val="both"/>
      </w:pPr>
      <w:r>
        <w:rPr>
          <w:color w:val="000000"/>
          <w:spacing w:val="0"/>
          <w:w w:val="100"/>
          <w:position w:val="0"/>
        </w:rPr>
        <w:t>治理层负责监督贵公司的财务报告过程。</w:t>
      </w:r>
    </w:p>
    <w:p>
      <w:pPr>
        <w:pStyle w:val="Style33"/>
        <w:keepNext w:val="0"/>
        <w:keepLines w:val="0"/>
        <w:widowControl w:val="0"/>
        <w:shd w:val="clear" w:color="auto" w:fill="auto"/>
        <w:tabs>
          <w:tab w:pos="835" w:val="left"/>
        </w:tabs>
        <w:bidi w:val="0"/>
        <w:spacing w:before="0" w:after="0" w:line="313" w:lineRule="exact"/>
        <w:ind w:left="0" w:right="0"/>
        <w:jc w:val="both"/>
      </w:pPr>
      <w:bookmarkStart w:id="666" w:name="bookmark666"/>
      <w:r>
        <w:rPr>
          <w:b/>
          <w:bCs/>
          <w:color w:val="000000"/>
          <w:spacing w:val="0"/>
          <w:w w:val="100"/>
          <w:position w:val="0"/>
        </w:rPr>
        <w:t>六</w:t>
      </w:r>
      <w:bookmarkEnd w:id="666"/>
      <w:r>
        <w:rPr>
          <w:b/>
          <w:bCs/>
          <w:color w:val="000000"/>
          <w:spacing w:val="0"/>
          <w:w w:val="100"/>
          <w:position w:val="0"/>
        </w:rPr>
        <w:t>、</w:t>
        <w:tab/>
        <w:t>注册会计师对财务报表审计的责任</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 舞弊或错误导致，如果合理预期错报单独或汇总起来可能影响财务报表使用者依据财务报表作出的经济决策，则通常认为 错报是重大的。</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33"/>
        <w:keepNext w:val="0"/>
        <w:keepLines w:val="0"/>
        <w:widowControl w:val="0"/>
        <w:shd w:val="clear" w:color="auto" w:fill="auto"/>
        <w:tabs>
          <w:tab w:pos="970" w:val="left"/>
        </w:tabs>
        <w:bidi w:val="0"/>
        <w:spacing w:before="0" w:after="0" w:line="313" w:lineRule="exact"/>
        <w:ind w:left="0" w:right="0"/>
        <w:jc w:val="both"/>
      </w:pPr>
      <w:bookmarkStart w:id="667" w:name="bookmark667"/>
      <w:r>
        <w:rPr>
          <w:color w:val="000000"/>
          <w:spacing w:val="0"/>
          <w:w w:val="100"/>
          <w:position w:val="0"/>
        </w:rPr>
        <w:t>（</w:t>
      </w:r>
      <w:bookmarkEnd w:id="667"/>
      <w:r>
        <w:rPr>
          <w:color w:val="000000"/>
          <w:spacing w:val="0"/>
          <w:w w:val="100"/>
          <w:position w:val="0"/>
        </w:rPr>
        <w:t>一）</w:t>
        <w:tab/>
        <w:t>识别和评估由于舞弊或错误导致的财务报表重大错报风险，设计和实施审计程序以应对这些风险，并获取充 分、适当的审计证据，作为发表审计意见的基础。由于舞弊可能涉及串通、伪造、故意遗漏、虚假陈述或凌驾于内部控制 之上，未能发现由于舞弊导致的重大错报的风险高于未能发现由于错误导致的重大错报的风险。</w:t>
      </w:r>
    </w:p>
    <w:p>
      <w:pPr>
        <w:pStyle w:val="Style33"/>
        <w:keepNext w:val="0"/>
        <w:keepLines w:val="0"/>
        <w:widowControl w:val="0"/>
        <w:shd w:val="clear" w:color="auto" w:fill="auto"/>
        <w:tabs>
          <w:tab w:pos="894" w:val="left"/>
        </w:tabs>
        <w:bidi w:val="0"/>
        <w:spacing w:before="0" w:after="0" w:line="313" w:lineRule="exact"/>
        <w:ind w:left="0" w:right="0"/>
        <w:jc w:val="both"/>
      </w:pPr>
      <w:bookmarkStart w:id="668" w:name="bookmark668"/>
      <w:r>
        <w:rPr>
          <w:color w:val="000000"/>
          <w:spacing w:val="0"/>
          <w:w w:val="100"/>
          <w:position w:val="0"/>
        </w:rPr>
        <w:t>（</w:t>
      </w:r>
      <w:bookmarkEnd w:id="668"/>
      <w:r>
        <w:rPr>
          <w:color w:val="000000"/>
          <w:spacing w:val="0"/>
          <w:w w:val="100"/>
          <w:position w:val="0"/>
        </w:rPr>
        <w:t>二）</w:t>
        <w:tab/>
        <w:t>了解与审计相关的内部控制，以设计恰当的审计程序，但目的并非对内部控制的有效性发表意见。</w:t>
      </w:r>
    </w:p>
    <w:p>
      <w:pPr>
        <w:pStyle w:val="Style33"/>
        <w:keepNext w:val="0"/>
        <w:keepLines w:val="0"/>
        <w:widowControl w:val="0"/>
        <w:shd w:val="clear" w:color="auto" w:fill="auto"/>
        <w:tabs>
          <w:tab w:pos="894" w:val="left"/>
        </w:tabs>
        <w:bidi w:val="0"/>
        <w:spacing w:before="0" w:after="0" w:line="313" w:lineRule="exact"/>
        <w:ind w:left="0" w:right="0"/>
        <w:jc w:val="both"/>
      </w:pPr>
      <w:bookmarkStart w:id="669" w:name="bookmark669"/>
      <w:r>
        <w:rPr>
          <w:color w:val="000000"/>
          <w:spacing w:val="0"/>
          <w:w w:val="100"/>
          <w:position w:val="0"/>
        </w:rPr>
        <w:t>（</w:t>
      </w:r>
      <w:bookmarkEnd w:id="669"/>
      <w:r>
        <w:rPr>
          <w:color w:val="000000"/>
          <w:spacing w:val="0"/>
          <w:w w:val="100"/>
          <w:position w:val="0"/>
        </w:rPr>
        <w:t>三）</w:t>
        <w:tab/>
        <w:t>评价管理层选用会计政策的恰当性和作出会计估计及相关披露的合理性。</w:t>
      </w:r>
    </w:p>
    <w:p>
      <w:pPr>
        <w:pStyle w:val="Style33"/>
        <w:keepNext w:val="0"/>
        <w:keepLines w:val="0"/>
        <w:widowControl w:val="0"/>
        <w:shd w:val="clear" w:color="auto" w:fill="auto"/>
        <w:tabs>
          <w:tab w:pos="970" w:val="left"/>
        </w:tabs>
        <w:bidi w:val="0"/>
        <w:spacing w:before="0" w:after="0" w:line="313" w:lineRule="exact"/>
        <w:ind w:left="0" w:right="0"/>
        <w:jc w:val="both"/>
      </w:pPr>
      <w:bookmarkStart w:id="670" w:name="bookmark670"/>
      <w:r>
        <w:rPr>
          <w:color w:val="000000"/>
          <w:spacing w:val="0"/>
          <w:w w:val="100"/>
          <w:position w:val="0"/>
        </w:rPr>
        <w:t>（</w:t>
      </w:r>
      <w:bookmarkEnd w:id="670"/>
      <w:r>
        <w:rPr>
          <w:color w:val="000000"/>
          <w:spacing w:val="0"/>
          <w:w w:val="100"/>
          <w:position w:val="0"/>
        </w:rPr>
        <w:t>四）</w:t>
        <w:tab/>
        <w:t>对管理层使用持续经营假设的恰当性得出结论。同时，根据获取的审计证据，就可能导致对贵公司持续经营能 力产生重大疑虑的事项或情况是否存在重大不确定性得出结论。如果我们得出结论认为存在重大不确定性，审计准则要求 我们在审计报告中提请报表使用者注意财务报表中的相关披露；如果披露不充分，我们应当发表非无保留意见。我们的结 论基于截至审计报告日可获得的信息。然而，未来的事项或情况可能导致贵公司不能持续经营。</w:t>
      </w:r>
    </w:p>
    <w:p>
      <w:pPr>
        <w:pStyle w:val="Style33"/>
        <w:keepNext w:val="0"/>
        <w:keepLines w:val="0"/>
        <w:widowControl w:val="0"/>
        <w:shd w:val="clear" w:color="auto" w:fill="auto"/>
        <w:tabs>
          <w:tab w:pos="894" w:val="left"/>
        </w:tabs>
        <w:bidi w:val="0"/>
        <w:spacing w:before="0" w:after="0" w:line="313" w:lineRule="exact"/>
        <w:ind w:left="0" w:right="0"/>
        <w:jc w:val="both"/>
      </w:pPr>
      <w:bookmarkStart w:id="671" w:name="bookmark671"/>
      <w:r>
        <w:rPr>
          <w:color w:val="000000"/>
          <w:spacing w:val="0"/>
          <w:w w:val="100"/>
          <w:position w:val="0"/>
        </w:rPr>
        <w:t>（</w:t>
      </w:r>
      <w:bookmarkEnd w:id="671"/>
      <w:r>
        <w:rPr>
          <w:color w:val="000000"/>
          <w:spacing w:val="0"/>
          <w:w w:val="100"/>
          <w:position w:val="0"/>
        </w:rPr>
        <w:t>五）</w:t>
        <w:tab/>
        <w:t>评价财务报表的总体列报、结构和内容，并评价财务报表是否公允反映相关交易和事项。</w:t>
      </w:r>
    </w:p>
    <w:p>
      <w:pPr>
        <w:pStyle w:val="Style33"/>
        <w:keepNext w:val="0"/>
        <w:keepLines w:val="0"/>
        <w:widowControl w:val="0"/>
        <w:shd w:val="clear" w:color="auto" w:fill="auto"/>
        <w:tabs>
          <w:tab w:pos="965" w:val="left"/>
        </w:tabs>
        <w:bidi w:val="0"/>
        <w:spacing w:before="0" w:after="0" w:line="313" w:lineRule="exact"/>
        <w:ind w:left="0" w:right="0"/>
        <w:jc w:val="both"/>
      </w:pPr>
      <w:bookmarkStart w:id="672" w:name="bookmark672"/>
      <w:r>
        <w:rPr>
          <w:color w:val="000000"/>
          <w:spacing w:val="0"/>
          <w:w w:val="100"/>
          <w:position w:val="0"/>
        </w:rPr>
        <w:t>（</w:t>
      </w:r>
      <w:bookmarkEnd w:id="672"/>
      <w:r>
        <w:rPr>
          <w:color w:val="000000"/>
          <w:spacing w:val="0"/>
          <w:w w:val="100"/>
          <w:position w:val="0"/>
        </w:rPr>
        <w:t>六）</w:t>
        <w:tab/>
        <w:t>就贵公司中实体或业务活动的财务信息获取充分、恰当的审计证据，以对财务报表发表审计意见。我们负责指 导、监督和执行集团审计，并对审计意见承担全部责任。</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我们与治理层就计划的审计范围、时间安排和重大审计发现等事项进行沟通，包括沟通我们在审计中识别出的值得关 注的内部控制缺陷。</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我们还就遵守与独立性相关的职业道德要求向治理层提供声明，并与治理层沟通可能被合理认为影响我们独立性的所 有关系和其他事项，以及相关的防范措施（如适用）。</w:t>
      </w:r>
    </w:p>
    <w:p>
      <w:pPr>
        <w:pStyle w:val="Style33"/>
        <w:keepNext w:val="0"/>
        <w:keepLines w:val="0"/>
        <w:widowControl w:val="0"/>
        <w:shd w:val="clear" w:color="auto" w:fill="auto"/>
        <w:bidi w:val="0"/>
        <w:spacing w:before="0" w:after="300" w:line="313" w:lineRule="exact"/>
        <w:ind w:left="0" w:right="0"/>
        <w:jc w:val="both"/>
      </w:pPr>
      <w:r>
        <w:rPr>
          <w:color w:val="000000"/>
          <w:spacing w:val="0"/>
          <w:w w:val="100"/>
          <w:position w:val="0"/>
        </w:rPr>
        <w:t>从与治理层沟通过的事项中，我们确定哪些事项对本期财务报表审计最为重要，因而构成关键审计事项。我们在审计 报告中描述这些事项，除非法律法规禁止公开披露这些事项，或在极少数情形下，如果合理预期在审计报告中沟通某事项 造成的负面后果超过在公众利益方面产生的益处，我们确定不应在审计报告中沟通该事项。</w:t>
      </w:r>
    </w:p>
    <w:p>
      <w:pPr>
        <w:pStyle w:val="Style33"/>
        <w:keepNext w:val="0"/>
        <w:keepLines w:val="0"/>
        <w:widowControl w:val="0"/>
        <w:shd w:val="clear" w:color="auto" w:fill="auto"/>
        <w:tabs>
          <w:tab w:pos="4297" w:val="left"/>
        </w:tabs>
        <w:bidi w:val="0"/>
        <w:spacing w:before="0" w:after="0" w:line="313" w:lineRule="exact"/>
        <w:ind w:left="0" w:right="0"/>
        <w:jc w:val="both"/>
      </w:pPr>
      <w:r>
        <w:rPr>
          <w:color w:val="000000"/>
          <w:spacing w:val="0"/>
          <w:w w:val="100"/>
          <w:position w:val="0"/>
        </w:rPr>
        <w:t>大信会计师事务所（特殊普通合伙）</w:t>
        <w:tab/>
        <w:t>中国注册会计师：</w:t>
      </w:r>
    </w:p>
    <w:p>
      <w:pPr>
        <w:pStyle w:val="Style33"/>
        <w:keepNext w:val="0"/>
        <w:keepLines w:val="0"/>
        <w:widowControl w:val="0"/>
        <w:shd w:val="clear" w:color="auto" w:fill="auto"/>
        <w:bidi w:val="0"/>
        <w:spacing w:before="0" w:after="300" w:line="313" w:lineRule="exact"/>
        <w:ind w:left="0" w:right="0" w:firstLine="0"/>
        <w:jc w:val="center"/>
      </w:pPr>
      <w:r>
        <w:rPr>
          <w:color w:val="000000"/>
          <w:spacing w:val="0"/>
          <w:w w:val="100"/>
          <w:position w:val="0"/>
        </w:rPr>
        <w:t>（项目合伙人）</w:t>
      </w:r>
    </w:p>
    <w:p>
      <w:pPr>
        <w:pStyle w:val="Style33"/>
        <w:keepNext w:val="0"/>
        <w:keepLines w:val="0"/>
        <w:widowControl w:val="0"/>
        <w:shd w:val="clear" w:color="auto" w:fill="auto"/>
        <w:tabs>
          <w:tab w:pos="4297" w:val="left"/>
        </w:tabs>
        <w:bidi w:val="0"/>
        <w:spacing w:before="0" w:after="300" w:line="313" w:lineRule="exact"/>
        <w:ind w:left="0" w:right="0" w:firstLine="740"/>
        <w:jc w:val="both"/>
      </w:pPr>
      <w:r>
        <w:rPr>
          <w:color w:val="000000"/>
          <w:spacing w:val="0"/>
          <w:w w:val="100"/>
          <w:position w:val="0"/>
        </w:rPr>
        <w:t>中国</w:t>
      </w:r>
      <w:r>
        <w:rPr>
          <w:color w:val="000000"/>
          <w:spacing w:val="0"/>
          <w:w w:val="100"/>
          <w:position w:val="0"/>
        </w:rPr>
        <w:t>•</w:t>
      </w:r>
      <w:r>
        <w:rPr>
          <w:color w:val="000000"/>
          <w:spacing w:val="0"/>
          <w:w w:val="100"/>
          <w:position w:val="0"/>
        </w:rPr>
        <w:t>北京</w:t>
        <w:tab/>
        <w:t>中国注册会计师：</w:t>
      </w:r>
    </w:p>
    <w:p>
      <w:pPr>
        <w:pStyle w:val="Style33"/>
        <w:keepNext w:val="0"/>
        <w:keepLines w:val="0"/>
        <w:widowControl w:val="0"/>
        <w:shd w:val="clear" w:color="auto" w:fill="auto"/>
        <w:bidi w:val="0"/>
        <w:spacing w:before="0" w:after="300" w:line="313" w:lineRule="exact"/>
        <w:ind w:left="0" w:right="640" w:firstLine="0"/>
        <w:jc w:val="right"/>
      </w:pPr>
      <w:r>
        <w:rPr>
          <w:color w:val="000000"/>
          <w:spacing w:val="0"/>
          <w:w w:val="100"/>
          <w:position w:val="0"/>
        </w:rPr>
        <w:t>二。二一年四月二十九日</w:t>
      </w:r>
      <w:r>
        <w:br w:type="page"/>
      </w:r>
    </w:p>
    <w:p>
      <w:pPr>
        <w:pStyle w:val="Style29"/>
        <w:keepNext/>
        <w:keepLines/>
        <w:widowControl w:val="0"/>
        <w:shd w:val="clear" w:color="auto" w:fill="auto"/>
        <w:bidi w:val="0"/>
        <w:spacing w:before="0" w:after="360" w:line="240" w:lineRule="auto"/>
        <w:ind w:left="0" w:right="0" w:firstLine="0"/>
        <w:jc w:val="left"/>
      </w:pPr>
      <w:bookmarkStart w:id="673" w:name="bookmark673"/>
      <w:bookmarkStart w:id="674" w:name="bookmark674"/>
      <w:bookmarkStart w:id="675" w:name="bookmark675"/>
      <w:bookmarkStart w:id="676" w:name="bookmark676"/>
      <w:r>
        <w:rPr>
          <w:color w:val="000000"/>
          <w:spacing w:val="0"/>
          <w:w w:val="100"/>
          <w:position w:val="0"/>
          <w:sz w:val="24"/>
          <w:szCs w:val="24"/>
        </w:rPr>
        <w:t>二</w:t>
      </w:r>
      <w:bookmarkEnd w:id="675"/>
      <w:r>
        <w:rPr>
          <w:color w:val="000000"/>
          <w:spacing w:val="0"/>
          <w:w w:val="100"/>
          <w:position w:val="0"/>
          <w:sz w:val="24"/>
          <w:szCs w:val="24"/>
        </w:rPr>
        <w:t>、财务报表</w:t>
      </w:r>
      <w:bookmarkEnd w:id="673"/>
      <w:bookmarkEnd w:id="674"/>
      <w:bookmarkEnd w:id="676"/>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37"/>
        <w:keepNext/>
        <w:keepLines/>
        <w:widowControl w:val="0"/>
        <w:shd w:val="clear" w:color="auto" w:fill="auto"/>
        <w:bidi w:val="0"/>
        <w:spacing w:before="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1</w:t>
      </w:r>
      <w:bookmarkEnd w:id="679"/>
      <w:r>
        <w:rPr>
          <w:color w:val="000000"/>
          <w:spacing w:val="0"/>
          <w:w w:val="100"/>
          <w:position w:val="0"/>
        </w:rPr>
        <w:t>、合并资产负债表</w:t>
      </w:r>
      <w:bookmarkEnd w:id="677"/>
      <w:bookmarkEnd w:id="678"/>
      <w:bookmarkEnd w:id="680"/>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编制单位：深圳市惠程信息科技股份有限公司</w:t>
      </w:r>
    </w:p>
    <w:p>
      <w:pPr>
        <w:pStyle w:val="Style54"/>
        <w:keepNext w:val="0"/>
        <w:keepLines w:val="0"/>
        <w:widowControl w:val="0"/>
        <w:shd w:val="clear" w:color="auto" w:fill="auto"/>
        <w:bidi w:val="0"/>
        <w:spacing w:before="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5"/>
        <w:gridCol w:w="2837"/>
        <w:gridCol w:w="266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115,070,299.38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250,595,780.44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259,381,030.19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19,783,281.11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36,697,738.15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114,716,678.77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321,432,727.36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428,270,370.94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394,655,355.78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328,358,362.41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318,342,177.74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40,901.92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47,638.36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29,082,550.02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48,643,871.33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1,904,110.80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8,089,879.48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11,775,156.02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19,784,917.45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1,048,960,809.45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1,657,623,477.92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085"/>
        <w:gridCol w:w="2837"/>
        <w:gridCol w:w="266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4,007,600.07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4,445,682.26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20,708,042.24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170,580,295.60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143,508,291.68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111,498,291.68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151,726,800.00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252,679,600.00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162,023,924.68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84,788,453.31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12,062,760.42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14,424,575.46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593,601.49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312,618,971.30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1,220,600,461.98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83,331,192.93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98,594,526.22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57,086,287.25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32,043,929.80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9,415,094.30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13,747,495.36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956,488,964.87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2,003,996,913.16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2,005,449,774.32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3,661,620,391.08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142,277,974.80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357,000,000.00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38,312,793.17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38,928,316.63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220,760,275.98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337,825,358.23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3,223,315.51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2,556,713.55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13,156,155.79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16,568,464.03</w:t>
            </w:r>
          </w:p>
        </w:tc>
      </w:tr>
    </w:tbl>
    <w:p>
      <w:pPr>
        <w:widowControl w:val="0"/>
        <w:spacing w:line="1" w:lineRule="exact"/>
      </w:pPr>
      <w:r>
        <w:br w:type="page"/>
      </w:r>
    </w:p>
    <w:tbl>
      <w:tblPr>
        <w:tblOverlap w:val="never"/>
        <w:jc w:val="center"/>
        <w:tblLayout w:type="fixed"/>
      </w:tblPr>
      <w:tblGrid>
        <w:gridCol w:w="4085"/>
        <w:gridCol w:w="2837"/>
        <w:gridCol w:w="266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10,341,717.67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15,537,280.81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45,273,860.74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68,334,737.52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15,252,374.80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100,461,866.26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174,864,050.46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284,367.27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573,441,025.23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1,012,281,523.19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459,221,163.50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558,850,000.00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1,289,107.25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2,555,323.65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11,970,961.53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10,392,514.68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472,481,232.28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571,797,838.33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1,045,922,257.51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1,584,079,361.52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801,929,568.00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801,929,568.00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257,952,651.54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368,203,739.75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147,613,580.50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147,613,580.50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9,722,612.73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32,959,910.92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085"/>
        <w:gridCol w:w="2837"/>
        <w:gridCol w:w="266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94,448,815.32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94,448,815.32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-186,913,595.78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773,501,086.50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829,526,471.31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1,923,429,539.99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130,001,045.50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154,111,489.57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959,527,516.81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2,077,541,029.56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2,005,449,774.32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3,661,620,391.08</w:t>
            </w:r>
          </w:p>
        </w:tc>
      </w:tr>
    </w:tbl>
    <w:p>
      <w:pPr>
        <w:pStyle w:val="Style37"/>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52390" simplePos="0" relativeHeight="125829380" behindDoc="0" locked="0" layoutInCell="1" allowOverlap="1">
                <wp:simplePos x="0" y="0"/>
                <wp:positionH relativeFrom="page">
                  <wp:posOffset>706120</wp:posOffset>
                </wp:positionH>
                <wp:positionV relativeFrom="margin">
                  <wp:posOffset>2048510</wp:posOffset>
                </wp:positionV>
                <wp:extent cx="1051560" cy="149225"/>
                <wp:wrapTopAndBottom/>
                <wp:docPr id="64" name="Shape 64"/>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法定代表人：汪超涌</w:t>
                            </w:r>
                          </w:p>
                        </w:txbxContent>
                      </wps:txbx>
                      <wps:bodyPr wrap="none" lIns="0" tIns="0" rIns="0" bIns="0">
                        <a:noAutoFit/>
                      </wps:bodyPr>
                    </wps:wsp>
                  </a:graphicData>
                </a:graphic>
              </wp:anchor>
            </w:drawing>
          </mc:Choice>
          <mc:Fallback>
            <w:pict>
              <v:shape id="_x0000_s1090" type="#_x0000_t202" style="position:absolute;margin-left:55.600000000000001pt;margin-top:161.30000000000001pt;width:82.799999999999997pt;height:11.75pt;z-index:-125829373;mso-wrap-distance-left:9.pt;mso-wrap-distance-top:12.pt;mso-wrap-distance-right:405.6999999999999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法定代表人：汪超涌</w:t>
                      </w:r>
                    </w:p>
                  </w:txbxContent>
                </v:textbox>
                <w10:wrap type="topAndBottom" anchorx="page" anchory="margin"/>
              </v:shape>
            </w:pict>
          </mc:Fallback>
        </mc:AlternateContent>
      </w:r>
      <w:r>
        <mc:AlternateContent>
          <mc:Choice Requires="wps">
            <w:drawing>
              <wp:anchor distT="152400" distB="3175" distL="2403475" distR="2519045" simplePos="0" relativeHeight="125829382" behindDoc="0" locked="0" layoutInCell="1" allowOverlap="1">
                <wp:simplePos x="0" y="0"/>
                <wp:positionH relativeFrom="page">
                  <wp:posOffset>2995295</wp:posOffset>
                </wp:positionH>
                <wp:positionV relativeFrom="margin">
                  <wp:posOffset>2048510</wp:posOffset>
                </wp:positionV>
                <wp:extent cx="1395730" cy="146050"/>
                <wp:wrapTopAndBottom/>
                <wp:docPr id="66" name="Shape 66"/>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主管会计工作负责人：王蔚</w:t>
                            </w:r>
                          </w:p>
                        </w:txbxContent>
                      </wps:txbx>
                      <wps:bodyPr wrap="none" lIns="0" tIns="0" rIns="0" bIns="0">
                        <a:noAutoFit/>
                      </wps:bodyPr>
                    </wps:wsp>
                  </a:graphicData>
                </a:graphic>
              </wp:anchor>
            </w:drawing>
          </mc:Choice>
          <mc:Fallback>
            <w:pict>
              <v:shape id="_x0000_s1092" type="#_x0000_t202" style="position:absolute;margin-left:235.84999999999999pt;margin-top:161.30000000000001pt;width:109.90000000000001pt;height:11.5pt;z-index:-125829371;mso-wrap-distance-left:189.25pt;mso-wrap-distance-top:12.pt;mso-wrap-distance-right:198.34999999999999pt;mso-wrap-distance-bottom: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主管会计工作负责人：王蔚</w:t>
                      </w:r>
                    </w:p>
                  </w:txbxContent>
                </v:textbox>
                <w10:wrap type="topAndBottom" anchorx="page" anchory="margin"/>
              </v:shape>
            </w:pict>
          </mc:Fallback>
        </mc:AlternateContent>
      </w:r>
      <w:r>
        <mc:AlternateContent>
          <mc:Choice Requires="wps">
            <w:drawing>
              <wp:anchor distT="152400" distB="0" distL="5033645" distR="114300" simplePos="0" relativeHeight="125829384" behindDoc="0" locked="0" layoutInCell="1" allowOverlap="1">
                <wp:simplePos x="0" y="0"/>
                <wp:positionH relativeFrom="page">
                  <wp:posOffset>5625465</wp:posOffset>
                </wp:positionH>
                <wp:positionV relativeFrom="margin">
                  <wp:posOffset>2048510</wp:posOffset>
                </wp:positionV>
                <wp:extent cx="1170305" cy="149225"/>
                <wp:wrapTopAndBottom/>
                <wp:docPr id="68" name="Shape 68"/>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会计机构负责人：张鹏</w:t>
                            </w:r>
                          </w:p>
                        </w:txbxContent>
                      </wps:txbx>
                      <wps:bodyPr wrap="none" lIns="0" tIns="0" rIns="0" bIns="0">
                        <a:noAutoFit/>
                      </wps:bodyPr>
                    </wps:wsp>
                  </a:graphicData>
                </a:graphic>
              </wp:anchor>
            </w:drawing>
          </mc:Choice>
          <mc:Fallback>
            <w:pict>
              <v:shape id="_x0000_s1094" type="#_x0000_t202" style="position:absolute;margin-left:442.94999999999999pt;margin-top:161.30000000000001pt;width:92.150000000000006pt;height:11.75pt;z-index:-125829369;mso-wrap-distance-left:396.35000000000002pt;mso-wrap-distance-top:12.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会计机构负责人：张鹏</w:t>
                      </w:r>
                    </w:p>
                  </w:txbxContent>
                </v:textbox>
                <w10:wrap type="topAndBottom" anchorx="page" anchory="margin"/>
              </v:shape>
            </w:pict>
          </mc:Fallback>
        </mc:AlternateContent>
      </w: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2</w:t>
      </w:r>
      <w:bookmarkEnd w:id="683"/>
      <w:r>
        <w:rPr>
          <w:color w:val="000000"/>
          <w:spacing w:val="0"/>
          <w:w w:val="100"/>
          <w:position w:val="0"/>
        </w:rPr>
        <w:t>、母公司资产负债表</w:t>
      </w:r>
      <w:bookmarkEnd w:id="681"/>
      <w:bookmarkEnd w:id="682"/>
      <w:bookmarkEnd w:id="68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46"/>
        <w:gridCol w:w="2976"/>
        <w:gridCol w:w="266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52,569,085.40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88,869,680.06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247,020,013.70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19,783,281.11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36,697,738.15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95,025,752.63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107,783,591.76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261,671.31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2,978,864.82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567,116,341.83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594,663,966.69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40,901.92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47,638.36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29,082,550.02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48,643,871.33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1,904,110.80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8,089,879.48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842,471.80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656,421.93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766,585,264.90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1,135,404,027.92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4,007,600.07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4,445,682.26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1,135,039,260.97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1,652,289,248.71</w:t>
            </w:r>
          </w:p>
        </w:tc>
      </w:tr>
    </w:tbl>
    <w:p>
      <w:pPr>
        <w:widowControl w:val="0"/>
        <w:spacing w:line="1" w:lineRule="exact"/>
      </w:pPr>
      <w:r>
        <w:br w:type="page"/>
      </w:r>
    </w:p>
    <w:tbl>
      <w:tblPr>
        <w:tblOverlap w:val="never"/>
        <w:jc w:val="center"/>
        <w:tblLayout w:type="fixed"/>
      </w:tblPr>
      <w:tblGrid>
        <w:gridCol w:w="3946"/>
        <w:gridCol w:w="2976"/>
        <w:gridCol w:w="266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63,970,000.00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38,385,200.00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42,529,800.00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68,406,954.51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76,358,302.07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11,899,266.55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14,028,723.44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593,601.49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41,599,115.65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60,342,446.23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36,611,504.89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22,507,469.48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3,006,150.83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1,399,918,902.64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1,885,101,424.51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2,166,504,167.54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3,020,505,452.43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142,277,974.80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38,312,793.17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38,928,316.63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54,514,442.04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57,825,893.10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3,001,572.88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1,874,304.51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4,936,156.07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6,280,882.71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2,547,587.75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1,211,267.97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200,983,966.27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152,368,715.06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9,394,791.66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24,647,166.46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100,461,866.26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174,864,050.46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188,866,992.93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115,000,000.00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734,776,083.80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906,480,698.81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46"/>
        <w:gridCol w:w="2976"/>
        <w:gridCol w:w="266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459,221,163.50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558,850,000.00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1,089,381.07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1,308,415.27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4,511,644.76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5,241,508.90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464,822,189.33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565,399,924.17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1,199,598,273.13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1,471,880,622.98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801,929,568.00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801,929,568.00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368,318,682.72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368,318,682.72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147,613,580.50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147,613,580.50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5,975,875.53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6,126,291.57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94,448,815.32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94,448,815.32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-156,153,466.66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425,415,052.34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966,905,894.41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1,548,624,829.45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2,166,504,167.54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3,020,505,452.43</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3</w:t>
      </w:r>
      <w:bookmarkEnd w:id="687"/>
      <w:r>
        <w:rPr>
          <w:color w:val="000000"/>
          <w:spacing w:val="0"/>
          <w:w w:val="100"/>
          <w:position w:val="0"/>
        </w:rPr>
        <w:t>、合并利润表</w:t>
      </w:r>
      <w:bookmarkEnd w:id="685"/>
      <w:bookmarkEnd w:id="686"/>
      <w:bookmarkEnd w:id="68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12"/>
        <w:gridCol w:w="2410"/>
        <w:gridCol w:w="266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785,008,872.15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1,092,321,442.57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785,008,872.15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1,092,321,442.57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12"/>
        <w:gridCol w:w="2410"/>
        <w:gridCol w:w="266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882,148,138.64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945,623,777.56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281,996,341.91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344,171,593.23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3,208,624.78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5,386,799.61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371,510,434.17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360,381,637.91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104,971,742.08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99,841,837.89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57,050,211.71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72,319,838.15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63,410,783.99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63,522,070.77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65,537,157.10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69,454,737.42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2,636,959.16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6,097,000.89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8,361,701.52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2,907,392.33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3,653,096.07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14,153,340.83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10,956,846.97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-577,964.57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-5,152,243.47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-1,767,223.42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24,569,890.46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-600,320.98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-907,555,102.34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-304,286.62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2,388.83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-311,125.50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-973,259,535.42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160,775,441.65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7,721,755.31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3,406,062.77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2,183,261.15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-967,721,041.26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164,171,504.42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-19,909,357.23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-30,101,912.75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-947,811,684.03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194,273,417.17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12"/>
        <w:gridCol w:w="2410"/>
        <w:gridCol w:w="266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-947,811,684.03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194,273,417.17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-960,414,682.28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134,997,926.83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12,602,998.25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59,275,490.34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-23,237,298.19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-8,698,375.77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-23,237,298.19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-8,698,375.77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-277,298.19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-9,698,375.77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-126,882.15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-131,382.00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-150,416.04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-9,566,993.77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-971,048,982.22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185,575,041.40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-983,651,980.47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126,299,551.06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12,602,998.25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59,275,490.34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widowControl w:val="0"/>
        <w:spacing w:after="379" w:line="1" w:lineRule="exact"/>
      </w:pPr>
    </w:p>
    <w:p>
      <w:pPr>
        <w:pStyle w:val="Style33"/>
        <w:keepNext w:val="0"/>
        <w:keepLines w:val="0"/>
        <w:widowControl w:val="0"/>
        <w:shd w:val="clear" w:color="auto" w:fill="auto"/>
        <w:tabs>
          <w:tab w:pos="3600" w:val="left"/>
          <w:tab w:pos="7742" w:val="left"/>
        </w:tabs>
        <w:bidi w:val="0"/>
        <w:spacing w:before="0" w:after="380" w:line="240" w:lineRule="auto"/>
        <w:ind w:left="0" w:right="0" w:firstLine="0"/>
        <w:jc w:val="left"/>
      </w:pPr>
      <w:r>
        <w:rPr>
          <w:color w:val="000000"/>
          <w:spacing w:val="0"/>
          <w:w w:val="100"/>
          <w:position w:val="0"/>
        </w:rPr>
        <w:t>法定代表人：汪超涌</w:t>
        <w:tab/>
        <w:t>主管会计工作负责人：王蔚</w:t>
        <w:tab/>
        <w:t>会计机构负责人：张鹏</w:t>
      </w:r>
    </w:p>
    <w:p>
      <w:pPr>
        <w:pStyle w:val="Style37"/>
        <w:keepNext/>
        <w:keepLines/>
        <w:widowControl w:val="0"/>
        <w:shd w:val="clear" w:color="auto" w:fill="auto"/>
        <w:bidi w:val="0"/>
        <w:spacing w:before="0" w:after="38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4</w:t>
      </w:r>
      <w:bookmarkEnd w:id="691"/>
      <w:r>
        <w:rPr>
          <w:color w:val="000000"/>
          <w:spacing w:val="0"/>
          <w:w w:val="100"/>
          <w:position w:val="0"/>
        </w:rPr>
        <w:t>、母公司利润表</w:t>
      </w:r>
      <w:bookmarkEnd w:id="689"/>
      <w:bookmarkEnd w:id="690"/>
      <w:bookmarkEnd w:id="69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512"/>
        <w:gridCol w:w="2410"/>
        <w:gridCol w:w="2664"/>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bl>
    <w:p>
      <w:pPr>
        <w:widowControl w:val="0"/>
        <w:spacing w:line="1" w:lineRule="exact"/>
      </w:pPr>
      <w:r>
        <w:br w:type="page"/>
      </w:r>
    </w:p>
    <w:tbl>
      <w:tblPr>
        <w:tblOverlap w:val="never"/>
        <w:jc w:val="center"/>
        <w:tblLayout w:type="fixed"/>
      </w:tblPr>
      <w:tblGrid>
        <w:gridCol w:w="4512"/>
        <w:gridCol w:w="2410"/>
        <w:gridCol w:w="266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230,417,803.69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304,680,559.06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166,449,417.23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206,169,887.88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1,980,097.77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2,482,248.55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25,588,836.21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39,919,645.00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61,384,571.56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57,112,821.20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12,596,840.41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14,943,908.96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64,928,269.26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73,980,736.76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65,537,157.10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79,515,342.14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834,754.94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5,644,532.60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4,573,342.77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253,997.75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123,978,587.85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105,072,470.87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-67,722.53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-576,505.78</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以摊余成本计量的金融资产终止确认收益</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-3,813,900.00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1,916,660.00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7,781,496.91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13,026,103.15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-631,755,876.87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-304,286.62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2,388.83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-311,125.50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-601,744,189.26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29,725,130.36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7,468,788.07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2,477,609.35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2,100,473.35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-596,375,874.54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32,202,739.71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-14,807,355.54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-4,366,173.02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-581,568,519.00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36,568,912.73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-581,568,519.00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36,568,912.73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-150,416.04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-9,566,993.77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12"/>
        <w:gridCol w:w="2410"/>
        <w:gridCol w:w="266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-150,416.04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-9,566,993.77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-150,416.04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-9,566,993.77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-581,718,935.04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27,001,918.96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5</w:t>
      </w:r>
      <w:bookmarkEnd w:id="695"/>
      <w:r>
        <w:rPr>
          <w:color w:val="000000"/>
          <w:spacing w:val="0"/>
          <w:w w:val="100"/>
          <w:position w:val="0"/>
        </w:rPr>
        <w:t>、合并现金流量表</w:t>
      </w:r>
      <w:bookmarkEnd w:id="693"/>
      <w:bookmarkEnd w:id="694"/>
      <w:bookmarkEnd w:id="69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12"/>
        <w:gridCol w:w="2410"/>
        <w:gridCol w:w="266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1,078,112,285.29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1,153,995,920.91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1,287,079.67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253,997.75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149,077,221.38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60,275,418.54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1,228,476,586.34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1,214,525,337.20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383,487,046.75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396,951,045.66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12"/>
        <w:gridCol w:w="2410"/>
        <w:gridCol w:w="266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109,880,152.54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132,988,307.13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30,372,847.75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54,088,823.90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577,801,589.85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1,008,540,043.41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1,101,541,636.89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1,592,568,220.10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126,934,949.45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-378,042,882.90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445,207,803.17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2,649,345,916.03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347,674.05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21,936,330.30</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处置固定资产、无形资产和其他长期资产收回的现 金净额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3,107,677.68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9,762,994.09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448,663,154.90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2,731,045,240.42</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购建固定资产、无形资产和其他长期资产支付的现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809,320.56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65,592,685.82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222,441,965.69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2,593,890,052.22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223,251,286.25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2,659,482,738.04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225,411,868.65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71,562,502.38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190,100,000.00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1,207,900,000.00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190,100,000.00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1,212,800,000.00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515,082,000.00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722,630,631.09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80,177,427.60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98,788,736.75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24,578,445.28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108,700,000.00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603,380,293.30</w:t>
            </w:r>
          </w:p>
        </w:tc>
      </w:tr>
    </w:tbl>
    <w:p>
      <w:pPr>
        <w:widowControl w:val="0"/>
        <w:spacing w:line="1" w:lineRule="exact"/>
      </w:pPr>
      <w:r>
        <w:br w:type="page"/>
      </w:r>
    </w:p>
    <w:tbl>
      <w:tblPr>
        <w:tblOverlap w:val="never"/>
        <w:jc w:val="center"/>
        <w:tblLayout w:type="fixed"/>
      </w:tblPr>
      <w:tblGrid>
        <w:gridCol w:w="4512"/>
        <w:gridCol w:w="2410"/>
        <w:gridCol w:w="266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703,959,427.60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1,424,799,661.14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-513,859,427.60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-211,999,661.14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185,677.15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-32,882.38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-161,326,932.35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-518,512,924.04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214,790,733.29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733,303,657.33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53,463,800.94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214,790,733.29</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6</w:t>
      </w:r>
      <w:bookmarkEnd w:id="699"/>
      <w:r>
        <w:rPr>
          <w:color w:val="000000"/>
          <w:spacing w:val="0"/>
          <w:w w:val="100"/>
          <w:position w:val="0"/>
        </w:rPr>
        <w:t>、母公司现金流量表</w:t>
      </w:r>
      <w:bookmarkEnd w:id="697"/>
      <w:bookmarkEnd w:id="698"/>
      <w:bookmarkEnd w:id="70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12"/>
        <w:gridCol w:w="2410"/>
        <w:gridCol w:w="266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272,191,201.06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290,618,408.04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1,178,111.04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253,997.75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226,929,494.98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36,473,227.14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500,298,807.08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327,345,632.93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139,452,870.43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196,898,360.15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43,036,339.97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53,709,379.50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12,174,322.13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22,848,673.38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143,672,494.92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354,913,765.74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338,336,027.45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628,370,178.77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161,962,779.63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-301,024,545.84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597,300,000.00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191,833.13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21,574,281.16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处置固定资产、无形资产和其他长期资产收回的现 金净额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3,107,677.68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9,762,994.09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50,000,000.00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303,299,510.81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678,637,275.25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购建固定资产、无形资产和其他长期资产支付的现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258,006.22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34,717,685.49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129,970,000.00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563,198,996.00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12"/>
        <w:gridCol w:w="2410"/>
        <w:gridCol w:w="266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130,228,006.22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597,916,681.49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173,071,504.59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80,720,593.76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328,100,000.00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1,207,900,000.00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328,100,000.00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1,207,900,000.00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515,082,000.00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722,630,631.09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80,177,427.60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75,450,062.86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108,700,000.00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603,380,293.30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703,959,427.60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1,401,460,987.25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-375,859,427.60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-193,560,987.25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-143,061.99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42,300.33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-40,968,205.37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-413,822,639.00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53,064,632.91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466,887,271.91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12,096,427.54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53,064,632.91</w:t>
            </w:r>
          </w:p>
        </w:tc>
      </w:tr>
    </w:tbl>
    <w:p>
      <w:pPr>
        <w:sectPr>
          <w:footnotePr>
            <w:pos w:val="pageBottom"/>
            <w:numFmt w:val="decimal"/>
            <w:numRestart w:val="continuous"/>
          </w:footnotePr>
          <w:pgSz w:w="11900" w:h="16840"/>
          <w:pgMar w:top="1383" w:right="1106" w:bottom="1436" w:left="1107" w:header="0" w:footer="3" w:gutter="0"/>
          <w:cols w:space="720"/>
          <w:noEndnote/>
          <w:rtlGutter w:val="0"/>
          <w:docGrid w:linePitch="360"/>
        </w:sectPr>
      </w:pPr>
    </w:p>
    <w:p>
      <w:pPr>
        <w:pStyle w:val="Style37"/>
        <w:keepNext/>
        <w:keepLines/>
        <w:widowControl w:val="0"/>
        <w:shd w:val="clear" w:color="auto" w:fill="auto"/>
        <w:bidi w:val="0"/>
        <w:spacing w:before="0" w:after="38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7</w:t>
      </w:r>
      <w:bookmarkEnd w:id="703"/>
      <w:r>
        <w:rPr>
          <w:color w:val="000000"/>
          <w:spacing w:val="0"/>
          <w:w w:val="100"/>
          <w:position w:val="0"/>
        </w:rPr>
        <w:t>、合并所有者权益变动表</w:t>
      </w:r>
      <w:bookmarkEnd w:id="701"/>
      <w:bookmarkEnd w:id="702"/>
      <w:bookmarkEnd w:id="704"/>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1378"/>
        <w:gridCol w:w="1181"/>
        <w:gridCol w:w="235"/>
        <w:gridCol w:w="240"/>
        <w:gridCol w:w="235"/>
        <w:gridCol w:w="1181"/>
        <w:gridCol w:w="1181"/>
        <w:gridCol w:w="1090"/>
        <w:gridCol w:w="360"/>
        <w:gridCol w:w="1094"/>
        <w:gridCol w:w="394"/>
        <w:gridCol w:w="1181"/>
        <w:gridCol w:w="394"/>
        <w:gridCol w:w="1315"/>
        <w:gridCol w:w="1181"/>
        <w:gridCol w:w="133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196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310" w:lineRule="exact"/>
              <w:ind w:left="0" w:right="0" w:firstLine="0"/>
              <w:jc w:val="both"/>
            </w:pPr>
            <w:r>
              <w:rPr>
                <w:color w:val="000000"/>
                <w:spacing w:val="0"/>
                <w:w w:val="100"/>
                <w:position w:val="0"/>
              </w:rPr>
              <w:t>其</w:t>
            </w:r>
          </w:p>
          <w:p>
            <w:pPr>
              <w:pStyle w:val="Style26"/>
              <w:keepNext w:val="0"/>
              <w:keepLines w:val="0"/>
              <w:widowControl w:val="0"/>
              <w:shd w:val="clear" w:color="auto" w:fill="auto"/>
              <w:bidi w:val="0"/>
              <w:spacing w:before="0" w:after="240" w:line="310" w:lineRule="exact"/>
              <w:ind w:left="0" w:right="0" w:firstLine="0"/>
              <w:jc w:val="both"/>
            </w:pPr>
            <w:r>
              <w:rPr>
                <w:color w:val="000000"/>
                <w:spacing w:val="0"/>
                <w:w w:val="100"/>
                <w:position w:val="0"/>
              </w:rPr>
              <w:t>益</w:t>
            </w:r>
          </w:p>
          <w:p>
            <w:pPr>
              <w:pStyle w:val="Style26"/>
              <w:keepNext w:val="0"/>
              <w:keepLines w:val="0"/>
              <w:widowControl w:val="0"/>
              <w:shd w:val="clear" w:color="auto" w:fill="auto"/>
              <w:bidi w:val="0"/>
              <w:spacing w:before="0" w:after="160" w:line="310" w:lineRule="exact"/>
              <w:ind w:left="0" w:right="0" w:firstLine="0"/>
              <w:jc w:val="left"/>
            </w:pPr>
            <w:r>
              <w:rPr>
                <w:color w:val="000000"/>
                <w:spacing w:val="0"/>
                <w:w w:val="100"/>
                <w:position w:val="0"/>
              </w:rPr>
              <w:t>优 先 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工</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0" w:after="340" w:line="317" w:lineRule="exact"/>
              <w:ind w:left="0" w:right="0" w:firstLine="0"/>
              <w:jc w:val="both"/>
            </w:pPr>
            <w:r>
              <w:rPr>
                <w:color w:val="000000"/>
                <w:spacing w:val="0"/>
                <w:w w:val="100"/>
                <w:position w:val="0"/>
              </w:rPr>
              <w:t>权 具</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其他综合收</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 项 储 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般 风 险 准 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一、上年期末余</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801,929,568.00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368,203,739.75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147,613,580.50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32,959,910.92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94,448,815.32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773,501,086.50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1,923,429,539.99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154,111,489.57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2,077,541,029.56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加：会计政</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同一控</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801,929,568.00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368,203,739.75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147,613,580.50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32,959,910.92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94,448,815.32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773,501,086.50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1,923,429,539.99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154,111,489.57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2,077,541,029.56</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341" w:lineRule="exact"/>
              <w:ind w:left="0" w:right="0" w:firstLine="0"/>
              <w:jc w:val="both"/>
            </w:pPr>
            <w:r>
              <w:rPr>
                <w:color w:val="000000"/>
                <w:spacing w:val="0"/>
                <w:w w:val="100"/>
                <w:position w:val="0"/>
              </w:rPr>
              <w:t>三、本期增减变 动金额（减少以</w:t>
            </w:r>
          </w:p>
          <w:p>
            <w:pPr>
              <w:pStyle w:val="Style26"/>
              <w:keepNext w:val="0"/>
              <w:keepLines w:val="0"/>
              <w:widowControl w:val="0"/>
              <w:shd w:val="clear" w:color="auto" w:fill="auto"/>
              <w:bidi w:val="0"/>
              <w:spacing w:before="0" w:after="0" w:line="396"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-110,251,088.21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23,237,298.19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-960,414,682.28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-1,093,903,068.68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-24,110,444.07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1,118,013,512.75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-983,651,980.47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12,602,998.25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-971,048,982.22</w:t>
            </w:r>
          </w:p>
        </w:tc>
      </w:tr>
    </w:tbl>
    <w:p>
      <w:pPr>
        <w:spacing w:lineRule="exact" w:line="1"/>
        <w:rPr>
          <w:sz w:val="2"/>
          <w:szCs w:val="2"/>
        </w:rPr>
      </w:pPr>
      <w:r>
        <w:br w:type="page"/>
      </w:r>
    </w:p>
    <w:tbl>
      <w:tblPr>
        <w:tblOverlap w:val="never"/>
        <w:jc w:val="center"/>
        <w:tblLayout w:type="fixed"/>
      </w:tblPr>
      <w:tblGrid>
        <w:gridCol w:w="1378"/>
        <w:gridCol w:w="1181"/>
        <w:gridCol w:w="235"/>
        <w:gridCol w:w="240"/>
        <w:gridCol w:w="235"/>
        <w:gridCol w:w="1181"/>
        <w:gridCol w:w="1181"/>
        <w:gridCol w:w="1090"/>
        <w:gridCol w:w="360"/>
        <w:gridCol w:w="1094"/>
        <w:gridCol w:w="394"/>
        <w:gridCol w:w="1181"/>
        <w:gridCol w:w="394"/>
        <w:gridCol w:w="1315"/>
        <w:gridCol w:w="1181"/>
        <w:gridCol w:w="1330"/>
      </w:tblGrid>
      <w:tr>
        <w:trPr>
          <w:trHeight w:val="39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23,237,298.19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960,414,682.28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-110,251,088.21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-110,251,088.21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-748,911.79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-111,000,000.00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110,251,088.21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-110,251,088.21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-748,911.79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-35,964,530.53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-35,964,530.53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-35,964,530.53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-35,964,530.53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181"/>
        <w:gridCol w:w="235"/>
        <w:gridCol w:w="240"/>
        <w:gridCol w:w="235"/>
        <w:gridCol w:w="1181"/>
        <w:gridCol w:w="1181"/>
        <w:gridCol w:w="1090"/>
        <w:gridCol w:w="360"/>
        <w:gridCol w:w="1094"/>
        <w:gridCol w:w="394"/>
        <w:gridCol w:w="1181"/>
        <w:gridCol w:w="394"/>
        <w:gridCol w:w="1315"/>
        <w:gridCol w:w="1181"/>
        <w:gridCol w:w="1330"/>
      </w:tblGrid>
      <w:tr>
        <w:trPr>
          <w:trHeight w:val="106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801,929,568.00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257,952,651.54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147,613,580.50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9,722,612.73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94,448,815.32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-186,913,595.78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829,526,471.31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130,001,045.50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959,527,516.81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1"/>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1334"/>
        <w:gridCol w:w="1181"/>
        <w:gridCol w:w="235"/>
        <w:gridCol w:w="240"/>
        <w:gridCol w:w="240"/>
        <w:gridCol w:w="1181"/>
        <w:gridCol w:w="1181"/>
        <w:gridCol w:w="1090"/>
        <w:gridCol w:w="403"/>
        <w:gridCol w:w="1090"/>
        <w:gridCol w:w="408"/>
        <w:gridCol w:w="1181"/>
        <w:gridCol w:w="389"/>
        <w:gridCol w:w="1315"/>
        <w:gridCol w:w="1171"/>
        <w:gridCol w:w="1330"/>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其他权 益工具</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其他综合收</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般 风 险 准</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bottom"/>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34"/>
        <w:gridCol w:w="1181"/>
        <w:gridCol w:w="235"/>
        <w:gridCol w:w="240"/>
        <w:gridCol w:w="240"/>
        <w:gridCol w:w="1181"/>
        <w:gridCol w:w="1181"/>
        <w:gridCol w:w="1090"/>
        <w:gridCol w:w="403"/>
        <w:gridCol w:w="1090"/>
        <w:gridCol w:w="408"/>
        <w:gridCol w:w="1181"/>
        <w:gridCol w:w="389"/>
        <w:gridCol w:w="1315"/>
        <w:gridCol w:w="1171"/>
        <w:gridCol w:w="1330"/>
      </w:tblGrid>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一、上年期末余</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814,139,568.00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451,760,863.64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96,610,892.40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41,658,286.69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90,791,924.05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642,160,050.94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1,943,899,800.92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114,514,444.51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2,058,414,245.43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加：会计政</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740"/>
              <w:jc w:val="both"/>
            </w:pPr>
            <w:r>
              <w:rPr>
                <w:color w:val="000000"/>
                <w:spacing w:val="0"/>
                <w:w w:val="100"/>
                <w:position w:val="0"/>
              </w:rPr>
              <w:t>同一控</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814,139,568.00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451,760,863.64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96,610,892.40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41,658,286.69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90,791,924.05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642,160,050.94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1,943,899,800.92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114,514,444.51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2,058,414,245.43</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341" w:lineRule="exact"/>
              <w:ind w:left="0" w:right="0" w:firstLine="0"/>
              <w:jc w:val="both"/>
            </w:pPr>
            <w:r>
              <w:rPr>
                <w:color w:val="000000"/>
                <w:spacing w:val="0"/>
                <w:w w:val="100"/>
                <w:position w:val="0"/>
              </w:rPr>
              <w:t>三、本期增减变 动金额（减少以</w:t>
            </w:r>
          </w:p>
          <w:p>
            <w:pPr>
              <w:pStyle w:val="Style26"/>
              <w:keepNext w:val="0"/>
              <w:keepLines w:val="0"/>
              <w:widowControl w:val="0"/>
              <w:shd w:val="clear" w:color="auto" w:fill="auto"/>
              <w:bidi w:val="0"/>
              <w:spacing w:before="0" w:after="0" w:line="396"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-83,557,123.89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51,002,688.10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-8,698,375.77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3,656,891.27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131,341,035.56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-20,470,260.93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39,597,045.06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19,126,784.13</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-8,698,375.77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134,997,926.83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126,299,551.06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59,275,490.34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185,575,041.40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-83,557,123.89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51,002,688.10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-146,769,811.99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-141,869,811.99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4,900,000.00</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入所有者权益的 金额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-83,557,123.89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-96,610,892.40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843,768.51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843,768.51</w:t>
            </w:r>
          </w:p>
        </w:tc>
      </w:tr>
    </w:tbl>
    <w:p>
      <w:pPr>
        <w:spacing w:lineRule="exact" w:line="1"/>
        <w:rPr>
          <w:sz w:val="2"/>
          <w:szCs w:val="2"/>
        </w:rPr>
      </w:pPr>
      <w:r>
        <w:br w:type="page"/>
      </w:r>
    </w:p>
    <w:tbl>
      <w:tblPr>
        <w:tblOverlap w:val="never"/>
        <w:jc w:val="center"/>
        <w:tblLayout w:type="fixed"/>
      </w:tblPr>
      <w:tblGrid>
        <w:gridCol w:w="1334"/>
        <w:gridCol w:w="1181"/>
        <w:gridCol w:w="235"/>
        <w:gridCol w:w="240"/>
        <w:gridCol w:w="240"/>
        <w:gridCol w:w="1181"/>
        <w:gridCol w:w="1181"/>
        <w:gridCol w:w="1090"/>
        <w:gridCol w:w="403"/>
        <w:gridCol w:w="1090"/>
        <w:gridCol w:w="408"/>
        <w:gridCol w:w="1181"/>
        <w:gridCol w:w="389"/>
        <w:gridCol w:w="1315"/>
        <w:gridCol w:w="1171"/>
        <w:gridCol w:w="1330"/>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147,613,580.50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-147,613,580.50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-147,613,580.50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3,656,891.27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-3,656,891.27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-24,578,445.28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-24,578,445.28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3,656,891.27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-3,656,891.27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-24,578,445.28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-24,578,445.28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34"/>
        <w:gridCol w:w="1181"/>
        <w:gridCol w:w="235"/>
        <w:gridCol w:w="240"/>
        <w:gridCol w:w="240"/>
        <w:gridCol w:w="1181"/>
        <w:gridCol w:w="1181"/>
        <w:gridCol w:w="1090"/>
        <w:gridCol w:w="403"/>
        <w:gridCol w:w="1090"/>
        <w:gridCol w:w="408"/>
        <w:gridCol w:w="1181"/>
        <w:gridCol w:w="389"/>
        <w:gridCol w:w="1315"/>
        <w:gridCol w:w="1171"/>
        <w:gridCol w:w="1330"/>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801,929,568.00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368,203,739.75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147,613,580.50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32,959,910.92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94,448,815.32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773,501,086.50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1,923,429,539.99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154,111,489.57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2,077,541,029.56</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8</w:t>
      </w:r>
      <w:bookmarkEnd w:id="707"/>
      <w:r>
        <w:rPr>
          <w:color w:val="000000"/>
          <w:spacing w:val="0"/>
          <w:w w:val="100"/>
          <w:position w:val="0"/>
        </w:rPr>
        <w:t>、母公司所有者权益变动表</w:t>
      </w:r>
      <w:bookmarkEnd w:id="705"/>
      <w:bookmarkEnd w:id="706"/>
      <w:bookmarkEnd w:id="708"/>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1786"/>
        <w:gridCol w:w="1181"/>
        <w:gridCol w:w="758"/>
        <w:gridCol w:w="754"/>
        <w:gridCol w:w="754"/>
        <w:gridCol w:w="1181"/>
        <w:gridCol w:w="1181"/>
        <w:gridCol w:w="1003"/>
        <w:gridCol w:w="864"/>
        <w:gridCol w:w="1090"/>
        <w:gridCol w:w="1181"/>
        <w:gridCol w:w="907"/>
        <w:gridCol w:w="133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其他综合收</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801,929,568.00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368,318,682.72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147,613,580.50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6,126,291.57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94,448,815.32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425,415,052.34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1,548,624,829.45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720"/>
              <w:jc w:val="left"/>
            </w:pPr>
            <w:r>
              <w:rPr>
                <w:color w:val="000000"/>
                <w:spacing w:val="0"/>
                <w:w w:val="100"/>
                <w:position w:val="0"/>
              </w:rPr>
              <w:t>前期差错更</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801,929,568.00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368,318,682.72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147,613,580.50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6,126,291.57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94,448,815.32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425,415,052.34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1,548,624,829.45</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三、本期增减变动金 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-150,416.04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-581,568,519.00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-581,718,935.04</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-150,416.04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-581,568,519.00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-581,718,935.04</w:t>
            </w:r>
          </w:p>
        </w:tc>
      </w:tr>
    </w:tbl>
    <w:p>
      <w:pPr>
        <w:spacing w:lineRule="exact" w:line="1"/>
        <w:rPr>
          <w:sz w:val="2"/>
          <w:szCs w:val="2"/>
        </w:rPr>
      </w:pPr>
      <w:r>
        <w:br w:type="page"/>
      </w:r>
    </w:p>
    <w:tbl>
      <w:tblPr>
        <w:tblOverlap w:val="never"/>
        <w:jc w:val="center"/>
        <w:tblLayout w:type="fixed"/>
      </w:tblPr>
      <w:tblGrid>
        <w:gridCol w:w="1786"/>
        <w:gridCol w:w="1181"/>
        <w:gridCol w:w="758"/>
        <w:gridCol w:w="754"/>
        <w:gridCol w:w="754"/>
        <w:gridCol w:w="1181"/>
        <w:gridCol w:w="1181"/>
        <w:gridCol w:w="1003"/>
        <w:gridCol w:w="864"/>
        <w:gridCol w:w="1090"/>
        <w:gridCol w:w="1181"/>
        <w:gridCol w:w="907"/>
        <w:gridCol w:w="1330"/>
      </w:tblGrid>
      <w:tr>
        <w:trPr>
          <w:trHeight w:val="74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.股份支付计入所有</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36" w:lineRule="exact"/>
              <w:ind w:left="0" w:right="0" w:firstLine="0"/>
              <w:jc w:val="left"/>
            </w:pPr>
            <w:r>
              <w:rPr>
                <w:color w:val="000000"/>
                <w:spacing w:val="0"/>
                <w:w w:val="100"/>
                <w:position w:val="0"/>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86"/>
        <w:gridCol w:w="1181"/>
        <w:gridCol w:w="758"/>
        <w:gridCol w:w="754"/>
        <w:gridCol w:w="754"/>
        <w:gridCol w:w="1181"/>
        <w:gridCol w:w="1181"/>
        <w:gridCol w:w="1003"/>
        <w:gridCol w:w="864"/>
        <w:gridCol w:w="1090"/>
        <w:gridCol w:w="1181"/>
        <w:gridCol w:w="907"/>
        <w:gridCol w:w="1330"/>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801,929,568.00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368,318,682.72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147,613,580.50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5,975,875.53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94,448,815.32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-156,153,466.66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966,905,894.41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1"/>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1656"/>
        <w:gridCol w:w="1181"/>
        <w:gridCol w:w="691"/>
        <w:gridCol w:w="686"/>
        <w:gridCol w:w="691"/>
        <w:gridCol w:w="1181"/>
        <w:gridCol w:w="1181"/>
        <w:gridCol w:w="1090"/>
        <w:gridCol w:w="994"/>
        <w:gridCol w:w="1094"/>
        <w:gridCol w:w="1181"/>
        <w:gridCol w:w="1013"/>
        <w:gridCol w:w="133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其他综合收</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814,139,568.00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451,875,806.61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96,610,892.40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15,693,285.34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90,791,924.05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392,503,030.88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1,668,392,722.48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前期差错</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814,139,568.00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451,875,806.61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96,610,892.40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15,693,285.34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90,791,924.05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392,503,030.88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1,668,392,722.48</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9"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-83,557,123.89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51,002,688.10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-9,566,993.77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3,656,891.27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32,912,021.46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-119,767,893.03</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-9,566,993.77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36,568,912.73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27,001,918.96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-83,557,123.89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-96,610,892.40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843,768.51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.所有者投入的普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56"/>
        <w:gridCol w:w="1181"/>
        <w:gridCol w:w="691"/>
        <w:gridCol w:w="686"/>
        <w:gridCol w:w="691"/>
        <w:gridCol w:w="1181"/>
        <w:gridCol w:w="1181"/>
        <w:gridCol w:w="1090"/>
        <w:gridCol w:w="994"/>
        <w:gridCol w:w="1094"/>
        <w:gridCol w:w="1181"/>
        <w:gridCol w:w="1013"/>
        <w:gridCol w:w="1330"/>
      </w:tblGrid>
      <w:tr>
        <w:trPr>
          <w:trHeight w:val="39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.股份支付计入所 有者权益的金额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-83,557,123.89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-96,610,892.40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843,768.51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3,656,891.27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-3,656,891.27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3,656,891.27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-3,656,891.27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147,613,580.50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-147,613,580.50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,其他综合收益结</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147,613,580.50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-147,613,580.50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56"/>
        <w:gridCol w:w="1181"/>
        <w:gridCol w:w="691"/>
        <w:gridCol w:w="686"/>
        <w:gridCol w:w="691"/>
        <w:gridCol w:w="1181"/>
        <w:gridCol w:w="1181"/>
        <w:gridCol w:w="1090"/>
        <w:gridCol w:w="994"/>
        <w:gridCol w:w="1094"/>
        <w:gridCol w:w="1181"/>
        <w:gridCol w:w="1013"/>
        <w:gridCol w:w="1330"/>
      </w:tblGrid>
      <w:tr>
        <w:trPr>
          <w:trHeight w:val="43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801,929,568.00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368,318,682.72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147,613,580.50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6,126,291.57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94,448,815.32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425,415,052.34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1,548,624,829.45</w:t>
            </w:r>
          </w:p>
        </w:tc>
      </w:tr>
    </w:tbl>
    <w:p>
      <w:pPr>
        <w:sectPr>
          <w:headerReference w:type="default" r:id="rId31"/>
          <w:footerReference w:type="default" r:id="rId32"/>
          <w:footnotePr>
            <w:pos w:val="pageBottom"/>
            <w:numFmt w:val="decimal"/>
            <w:numRestart w:val="continuous"/>
          </w:footnotePr>
          <w:pgSz w:w="16840" w:h="11900" w:orient="landscape"/>
          <w:pgMar w:top="1102" w:right="1417" w:bottom="1203" w:left="1422" w:header="0" w:footer="3" w:gutter="0"/>
          <w:cols w:space="720"/>
          <w:noEndnote/>
          <w:rtlGutter w:val="0"/>
          <w:docGrid w:linePitch="360"/>
        </w:sectPr>
      </w:pPr>
    </w:p>
    <w:p>
      <w:pPr>
        <w:pStyle w:val="Style29"/>
        <w:keepNext/>
        <w:keepLines/>
        <w:widowControl w:val="0"/>
        <w:shd w:val="clear" w:color="auto" w:fill="auto"/>
        <w:bidi w:val="0"/>
        <w:spacing w:before="80" w:after="240" w:line="240" w:lineRule="auto"/>
        <w:ind w:left="0" w:right="0" w:firstLine="0"/>
        <w:jc w:val="left"/>
      </w:pPr>
      <w:bookmarkStart w:id="709" w:name="bookmark709"/>
      <w:bookmarkStart w:id="710" w:name="bookmark710"/>
      <w:bookmarkStart w:id="711" w:name="bookmark711"/>
      <w:bookmarkStart w:id="712" w:name="bookmark712"/>
      <w:r>
        <w:rPr>
          <w:color w:val="000000"/>
          <w:spacing w:val="0"/>
          <w:w w:val="100"/>
          <w:position w:val="0"/>
          <w:sz w:val="24"/>
          <w:szCs w:val="24"/>
        </w:rPr>
        <w:t>三</w:t>
      </w:r>
      <w:bookmarkEnd w:id="711"/>
      <w:r>
        <w:rPr>
          <w:color w:val="000000"/>
          <w:spacing w:val="0"/>
          <w:w w:val="100"/>
          <w:position w:val="0"/>
          <w:sz w:val="24"/>
          <w:szCs w:val="24"/>
        </w:rPr>
        <w:t>、公司基本情况</w:t>
      </w:r>
      <w:bookmarkEnd w:id="709"/>
      <w:bookmarkEnd w:id="710"/>
      <w:bookmarkEnd w:id="712"/>
    </w:p>
    <w:p>
      <w:pPr>
        <w:pStyle w:val="Style33"/>
        <w:keepNext w:val="0"/>
        <w:keepLines w:val="0"/>
        <w:widowControl w:val="0"/>
        <w:shd w:val="clear" w:color="auto" w:fill="auto"/>
        <w:bidi w:val="0"/>
        <w:spacing w:before="0" w:after="0" w:line="314" w:lineRule="exact"/>
        <w:ind w:left="0" w:right="0"/>
        <w:jc w:val="left"/>
      </w:pPr>
      <w:r>
        <w:rPr>
          <w:color w:val="000000"/>
          <w:spacing w:val="0"/>
          <w:w w:val="100"/>
          <w:position w:val="0"/>
        </w:rPr>
        <w:t>深圳市惠程信息科技股份有限公司（以下简称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color w:val="000000"/>
          <w:spacing w:val="0"/>
          <w:w w:val="100"/>
          <w:position w:val="0"/>
        </w:rPr>
        <w:t>''）</w:t>
      </w:r>
      <w:r>
        <w:rPr>
          <w:color w:val="000000"/>
          <w:spacing w:val="0"/>
          <w:w w:val="100"/>
          <w:position w:val="0"/>
        </w:rPr>
        <w:t>前身为深圳市惠程电气有限责任公司，曾用名</w:t>
      </w:r>
      <w:r>
        <w:rPr>
          <w:rFonts w:ascii="Times New Roman" w:eastAsia="Times New Roman" w:hAnsi="Times New Roman" w:cs="Times New Roman"/>
          <w:color w:val="000000"/>
          <w:spacing w:val="0"/>
          <w:w w:val="100"/>
          <w:position w:val="0"/>
        </w:rPr>
        <w:t>“</w:t>
      </w:r>
      <w:r>
        <w:rPr>
          <w:color w:val="000000"/>
          <w:spacing w:val="0"/>
          <w:w w:val="100"/>
          <w:position w:val="0"/>
        </w:rPr>
        <w:t>深圳 市惠程电气股份有限公司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系于</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日经深圳市工商局核准，由吕晓义、邓树坚共同发起设立的有限责任公司。 </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日，经深圳市人民政府深府股</w:t>
      </w:r>
      <w:r>
        <w:rPr>
          <w:color w:val="000000"/>
          <w:spacing w:val="0"/>
          <w:w w:val="100"/>
          <w:position w:val="0"/>
        </w:rPr>
        <w:t>[</w:t>
      </w:r>
      <w:r>
        <w:rPr>
          <w:rFonts w:ascii="Times New Roman" w:eastAsia="Times New Roman" w:hAnsi="Times New Roman" w:cs="Times New Roman"/>
          <w:color w:val="000000"/>
          <w:spacing w:val="0"/>
          <w:w w:val="100"/>
          <w:position w:val="0"/>
        </w:rPr>
        <w:t>2002</w:t>
      </w:r>
      <w:r>
        <w:rPr>
          <w:color w:val="000000"/>
          <w:spacing w:val="0"/>
          <w:w w:val="100"/>
          <w:position w:val="0"/>
        </w:rPr>
        <w:t xml:space="preserve">] </w:t>
      </w:r>
      <w:r>
        <w:rPr>
          <w:rFonts w:ascii="Times New Roman" w:eastAsia="Times New Roman" w:hAnsi="Times New Roman" w:cs="Times New Roman"/>
          <w:color w:val="000000"/>
          <w:spacing w:val="0"/>
          <w:w w:val="100"/>
          <w:position w:val="0"/>
        </w:rPr>
        <w:t>44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关于以发起方式改组设立深圳市惠程电气股份有限公司的批复</w:t>
      </w:r>
      <w:r>
        <w:rPr>
          <w:rFonts w:ascii="Times New Roman" w:eastAsia="Times New Roman" w:hAnsi="Times New Roman" w:cs="Times New Roman"/>
          <w:color w:val="000000"/>
          <w:spacing w:val="0"/>
          <w:w w:val="100"/>
          <w:position w:val="0"/>
        </w:rPr>
        <w:t xml:space="preserve">” </w:t>
      </w:r>
      <w:r>
        <w:rPr>
          <w:color w:val="000000"/>
          <w:spacing w:val="0"/>
          <w:w w:val="100"/>
          <w:position w:val="0"/>
        </w:rPr>
        <w:t>文件批准，并经本公司股东会决议，整体变更为股份有限公司。公司统一社会信用代码：</w:t>
      </w:r>
      <w:r>
        <w:rPr>
          <w:rFonts w:ascii="Times New Roman" w:eastAsia="Times New Roman" w:hAnsi="Times New Roman" w:cs="Times New Roman"/>
          <w:color w:val="000000"/>
          <w:spacing w:val="0"/>
          <w:w w:val="100"/>
          <w:position w:val="0"/>
        </w:rPr>
        <w:t>914403007152119019</w:t>
      </w:r>
      <w:r>
        <w:rPr>
          <w:color w:val="000000"/>
          <w:spacing w:val="0"/>
          <w:w w:val="100"/>
          <w:position w:val="0"/>
        </w:rPr>
        <w:t>。</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 在深圳证券交易所上市。所属行业为输配电及控制设备制造业、互联网和相关服务业。</w:t>
      </w:r>
    </w:p>
    <w:p>
      <w:pPr>
        <w:pStyle w:val="Style33"/>
        <w:keepNext w:val="0"/>
        <w:keepLines w:val="0"/>
        <w:widowControl w:val="0"/>
        <w:shd w:val="clear" w:color="auto" w:fill="auto"/>
        <w:bidi w:val="0"/>
        <w:spacing w:before="0" w:after="100" w:line="314" w:lineRule="exact"/>
        <w:ind w:left="0" w:right="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日，本公司股本总数为</w:t>
      </w:r>
      <w:r>
        <w:rPr>
          <w:rFonts w:ascii="Times New Roman" w:eastAsia="Times New Roman" w:hAnsi="Times New Roman" w:cs="Times New Roman"/>
          <w:color w:val="000000"/>
          <w:spacing w:val="0"/>
          <w:w w:val="100"/>
          <w:position w:val="0"/>
        </w:rPr>
        <w:t>801,929,568.00</w:t>
      </w:r>
      <w:r>
        <w:rPr>
          <w:color w:val="000000"/>
          <w:spacing w:val="0"/>
          <w:w w:val="100"/>
          <w:position w:val="0"/>
        </w:rPr>
        <w:t>股，注册资本为</w:t>
      </w:r>
      <w:r>
        <w:rPr>
          <w:rFonts w:ascii="Times New Roman" w:eastAsia="Times New Roman" w:hAnsi="Times New Roman" w:cs="Times New Roman"/>
          <w:color w:val="000000"/>
          <w:spacing w:val="0"/>
          <w:w w:val="100"/>
          <w:position w:val="0"/>
        </w:rPr>
        <w:t>801,929,568.00</w:t>
      </w:r>
      <w:r>
        <w:rPr>
          <w:color w:val="000000"/>
          <w:spacing w:val="0"/>
          <w:w w:val="100"/>
          <w:position w:val="0"/>
        </w:rPr>
        <w:t>元，注册地：深圳市坪山新区大 工业区兰景路以东、锦绣路以南惠程科技工业厂区。本公司主要经营活动为电气设备的生产销售；证券、股权等相关投 资；网络技术服务、电脑游戏软件开发、计算机、软件及辅助设备销售、第二类增值电信业务中的信息服务业务（不含固 定网电话信息服务和互联网信息服务）。本公司的实际控制人为汪超涌先生及李亦非女士。</w:t>
      </w:r>
    </w:p>
    <w:p>
      <w:pPr>
        <w:pStyle w:val="Style31"/>
        <w:keepNext w:val="0"/>
        <w:keepLines w:val="0"/>
        <w:widowControl w:val="0"/>
        <w:shd w:val="clear" w:color="auto" w:fill="auto"/>
        <w:bidi w:val="0"/>
        <w:spacing w:before="0" w:after="0" w:line="240" w:lineRule="auto"/>
        <w:ind w:left="408" w:right="0" w:firstLine="0"/>
        <w:jc w:val="left"/>
      </w:pPr>
      <w:r>
        <w:rPr>
          <w:color w:val="000000"/>
          <w:spacing w:val="0"/>
          <w:w w:val="100"/>
          <w:position w:val="0"/>
        </w:rPr>
        <w:t>本期纳入合并财务报表范围的主体共</w:t>
      </w:r>
      <w:r>
        <w:rPr>
          <w:rFonts w:ascii="Times New Roman" w:eastAsia="Times New Roman" w:hAnsi="Times New Roman" w:cs="Times New Roman"/>
          <w:color w:val="000000"/>
          <w:spacing w:val="0"/>
          <w:w w:val="100"/>
          <w:position w:val="0"/>
        </w:rPr>
        <w:t>26</w:t>
      </w:r>
      <w:r>
        <w:rPr>
          <w:color w:val="000000"/>
          <w:spacing w:val="0"/>
          <w:w w:val="100"/>
          <w:position w:val="0"/>
        </w:rPr>
        <w:t>户，具体包括:</w:t>
      </w:r>
    </w:p>
    <w:tbl>
      <w:tblPr>
        <w:tblOverlap w:val="never"/>
        <w:jc w:val="center"/>
        <w:tblLayout w:type="fixed"/>
      </w:tblPr>
      <w:tblGrid>
        <w:gridCol w:w="4541"/>
        <w:gridCol w:w="1306"/>
        <w:gridCol w:w="787"/>
        <w:gridCol w:w="1426"/>
        <w:gridCol w:w="1589"/>
      </w:tblGrid>
      <w:tr>
        <w:trPr>
          <w:trHeight w:val="37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级次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表决权比例（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香港惠程有限公司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深圳市惠程智能电力设备有限公司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100.00</w:t>
            </w:r>
          </w:p>
        </w:tc>
      </w:tr>
      <w:tr>
        <w:trPr>
          <w:trHeight w:val="41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中汇联银投资管理（北京）有限公司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中行置盛投资（北京）有限公司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中融建银投资（北京）有限公司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豪琛投资管理（上海）有限公司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鹏胤投资管理（上海）有限公司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北京中汇同盈咨询服务有限公司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喀什中汇联银创业投资有限公司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中汇联鑫股权投资管理（深圳）合伙企业（有限合伙）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铁匣电力设备（深圳）有限责任公司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深圳市一零电力设备有限责任公司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深圳市零玖电力设备有限责任公司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链接世界株式会社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成都哆可梦网络科技有限公司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77.57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77.57</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成都吉乾科技有限公司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77.57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77.57</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上海旭梅网络科技有限公司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77.57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77.57</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上海游湛网络科技有限公司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77.57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77.57</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上海华向文化传播有限公司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77.57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77.57</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翔瑞科技有限公司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77.57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77.57</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成都缘中缘网络科技有限公司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77.57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77.57</w:t>
            </w: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成都致合世纪网络科技有限公司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77.57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77.57</w:t>
            </w:r>
          </w:p>
        </w:tc>
      </w:tr>
      <w:tr>
        <w:trPr>
          <w:trHeight w:val="42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成都多趣网络科技有限公司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77.57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77.57</w:t>
            </w:r>
          </w:p>
        </w:tc>
      </w:tr>
    </w:tbl>
    <w:tbl>
      <w:tblPr>
        <w:tblOverlap w:val="never"/>
        <w:jc w:val="center"/>
        <w:tblLayout w:type="fixed"/>
      </w:tblPr>
      <w:tblGrid>
        <w:gridCol w:w="4541"/>
        <w:gridCol w:w="1306"/>
        <w:gridCol w:w="787"/>
        <w:gridCol w:w="1426"/>
        <w:gridCol w:w="1589"/>
      </w:tblGrid>
      <w:tr>
        <w:trPr>
          <w:trHeight w:val="41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江西省高奇网络科技有限公司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77.57</w:t>
            </w:r>
          </w:p>
        </w:tc>
      </w:tr>
      <w:tr>
        <w:trPr>
          <w:trHeight w:val="41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上海季娱网络科技有限公司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2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成都珂星网络科技有限公司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359" w:line="1" w:lineRule="exact"/>
      </w:pPr>
    </w:p>
    <w:p>
      <w:pPr>
        <w:pStyle w:val="Style33"/>
        <w:keepNext w:val="0"/>
        <w:keepLines w:val="0"/>
        <w:widowControl w:val="0"/>
        <w:shd w:val="clear" w:color="auto" w:fill="auto"/>
        <w:bidi w:val="0"/>
        <w:spacing w:before="0" w:after="120" w:line="240" w:lineRule="auto"/>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年合并报表范围相比上年，无新增。</w:t>
      </w:r>
    </w:p>
    <w:p>
      <w:pPr>
        <w:pStyle w:val="Style33"/>
        <w:keepNext w:val="0"/>
        <w:keepLines w:val="0"/>
        <w:widowControl w:val="0"/>
        <w:shd w:val="clear" w:color="auto" w:fill="auto"/>
        <w:bidi w:val="0"/>
        <w:spacing w:before="0" w:after="360" w:line="240" w:lineRule="auto"/>
        <w:ind w:left="0" w:right="0"/>
        <w:jc w:val="left"/>
      </w:pPr>
      <w:r>
        <w:rPr>
          <w:color w:val="000000"/>
          <w:spacing w:val="0"/>
          <w:w w:val="100"/>
          <w:position w:val="0"/>
        </w:rPr>
        <w:t>详见本附注</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29"/>
        <w:keepNext/>
        <w:keepLines/>
        <w:widowControl w:val="0"/>
        <w:shd w:val="clear" w:color="auto" w:fill="auto"/>
        <w:bidi w:val="0"/>
        <w:spacing w:before="0" w:after="360" w:line="240" w:lineRule="auto"/>
        <w:ind w:left="0" w:right="0" w:firstLine="0"/>
        <w:jc w:val="left"/>
      </w:pPr>
      <w:bookmarkStart w:id="713" w:name="bookmark713"/>
      <w:bookmarkStart w:id="714" w:name="bookmark714"/>
      <w:bookmarkStart w:id="715" w:name="bookmark715"/>
      <w:bookmarkStart w:id="716" w:name="bookmark716"/>
      <w:r>
        <w:rPr>
          <w:color w:val="000000"/>
          <w:spacing w:val="0"/>
          <w:w w:val="100"/>
          <w:position w:val="0"/>
          <w:sz w:val="24"/>
          <w:szCs w:val="24"/>
        </w:rPr>
        <w:t>四</w:t>
      </w:r>
      <w:bookmarkEnd w:id="715"/>
      <w:r>
        <w:rPr>
          <w:color w:val="000000"/>
          <w:spacing w:val="0"/>
          <w:w w:val="100"/>
          <w:position w:val="0"/>
          <w:sz w:val="24"/>
          <w:szCs w:val="24"/>
        </w:rPr>
        <w:t>、财务报表的编制基础</w:t>
      </w:r>
      <w:bookmarkEnd w:id="713"/>
      <w:bookmarkEnd w:id="714"/>
      <w:bookmarkEnd w:id="716"/>
    </w:p>
    <w:p>
      <w:pPr>
        <w:pStyle w:val="Style37"/>
        <w:keepNext/>
        <w:keepLines/>
        <w:widowControl w:val="0"/>
        <w:shd w:val="clear" w:color="auto" w:fill="auto"/>
        <w:bidi w:val="0"/>
        <w:spacing w:before="0" w:after="26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1</w:t>
      </w:r>
      <w:bookmarkEnd w:id="719"/>
      <w:r>
        <w:rPr>
          <w:color w:val="000000"/>
          <w:spacing w:val="0"/>
          <w:w w:val="100"/>
          <w:position w:val="0"/>
        </w:rPr>
        <w:t>、编制基础</w:t>
      </w:r>
      <w:bookmarkEnd w:id="717"/>
      <w:bookmarkEnd w:id="718"/>
      <w:bookmarkEnd w:id="720"/>
    </w:p>
    <w:p>
      <w:pPr>
        <w:pStyle w:val="Style33"/>
        <w:keepNext w:val="0"/>
        <w:keepLines w:val="0"/>
        <w:widowControl w:val="0"/>
        <w:shd w:val="clear" w:color="auto" w:fill="auto"/>
        <w:bidi w:val="0"/>
        <w:spacing w:before="0" w:after="680" w:line="312" w:lineRule="exact"/>
        <w:ind w:left="0" w:right="0"/>
        <w:jc w:val="both"/>
      </w:pPr>
      <w:r>
        <w:rPr>
          <w:color w:val="000000"/>
          <w:spacing w:val="0"/>
          <w:w w:val="100"/>
          <w:position w:val="0"/>
        </w:rPr>
        <w:t>公司以持续经营为财务报表的编制基础，以权责发生制为记账基础。公司一般采用历史成本对会计要素进行计量，在 保证所确定的会计要素金额能够取得并可靠计量的前提下采用重置成本、可变现净值、现值及公允价值进行计量，根据实 际发生的交易和事项，按照财政部颁布的《企业会计准则》及相关规定，并基于本附注</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所 述会计政策和会计估计编制。</w:t>
      </w:r>
    </w:p>
    <w:p>
      <w:pPr>
        <w:pStyle w:val="Style37"/>
        <w:keepNext/>
        <w:keepLines/>
        <w:widowControl w:val="0"/>
        <w:shd w:val="clear" w:color="auto" w:fill="auto"/>
        <w:bidi w:val="0"/>
        <w:spacing w:before="0" w:after="260" w:line="240" w:lineRule="auto"/>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2</w:t>
      </w:r>
      <w:bookmarkEnd w:id="723"/>
      <w:r>
        <w:rPr>
          <w:color w:val="000000"/>
          <w:spacing w:val="0"/>
          <w:w w:val="100"/>
          <w:position w:val="0"/>
        </w:rPr>
        <w:t>、持续经营</w:t>
      </w:r>
      <w:bookmarkEnd w:id="721"/>
      <w:bookmarkEnd w:id="722"/>
      <w:bookmarkEnd w:id="724"/>
    </w:p>
    <w:p>
      <w:pPr>
        <w:pStyle w:val="Style33"/>
        <w:keepNext w:val="0"/>
        <w:keepLines w:val="0"/>
        <w:widowControl w:val="0"/>
        <w:shd w:val="clear" w:color="auto" w:fill="auto"/>
        <w:bidi w:val="0"/>
        <w:spacing w:before="0" w:after="680" w:line="312" w:lineRule="exact"/>
        <w:ind w:left="0" w:right="0"/>
        <w:jc w:val="left"/>
      </w:pPr>
      <w:r>
        <w:rPr>
          <w:color w:val="000000"/>
          <w:spacing w:val="0"/>
          <w:w w:val="100"/>
          <w:position w:val="0"/>
        </w:rPr>
        <w:t>本公司无影响持续经营能力的事项，预计未来十二个月内具备持续经营的能力，本公司的财务报表系在持续经营假设 的基础上编制。</w:t>
      </w:r>
    </w:p>
    <w:p>
      <w:pPr>
        <w:pStyle w:val="Style29"/>
        <w:keepNext/>
        <w:keepLines/>
        <w:widowControl w:val="0"/>
        <w:shd w:val="clear" w:color="auto" w:fill="auto"/>
        <w:bidi w:val="0"/>
        <w:spacing w:before="0" w:after="360" w:line="240" w:lineRule="auto"/>
        <w:ind w:left="0" w:right="0" w:firstLine="0"/>
        <w:jc w:val="left"/>
      </w:pPr>
      <w:bookmarkStart w:id="725" w:name="bookmark725"/>
      <w:bookmarkStart w:id="726" w:name="bookmark726"/>
      <w:bookmarkStart w:id="727" w:name="bookmark727"/>
      <w:bookmarkStart w:id="728" w:name="bookmark728"/>
      <w:r>
        <w:rPr>
          <w:color w:val="000000"/>
          <w:spacing w:val="0"/>
          <w:w w:val="100"/>
          <w:position w:val="0"/>
          <w:sz w:val="24"/>
          <w:szCs w:val="24"/>
        </w:rPr>
        <w:t>五</w:t>
      </w:r>
      <w:bookmarkEnd w:id="727"/>
      <w:r>
        <w:rPr>
          <w:color w:val="000000"/>
          <w:spacing w:val="0"/>
          <w:w w:val="100"/>
          <w:position w:val="0"/>
          <w:sz w:val="24"/>
          <w:szCs w:val="24"/>
        </w:rPr>
        <w:t>、重要会计政策及会计估计</w:t>
      </w:r>
      <w:bookmarkEnd w:id="725"/>
      <w:bookmarkEnd w:id="726"/>
      <w:bookmarkEnd w:id="728"/>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具体会计政策和会计估计提示：</w:t>
      </w:r>
    </w:p>
    <w:p>
      <w:pPr>
        <w:pStyle w:val="Style33"/>
        <w:keepNext w:val="0"/>
        <w:keepLines w:val="0"/>
        <w:widowControl w:val="0"/>
        <w:shd w:val="clear" w:color="auto" w:fill="auto"/>
        <w:bidi w:val="0"/>
        <w:spacing w:before="0" w:after="680" w:line="240" w:lineRule="auto"/>
        <w:ind w:left="0" w:right="0"/>
        <w:jc w:val="both"/>
      </w:pPr>
      <w:r>
        <w:rPr>
          <w:color w:val="000000"/>
          <w:spacing w:val="0"/>
          <w:w w:val="100"/>
          <w:position w:val="0"/>
        </w:rPr>
        <w:t>详见以下内容。</w:t>
      </w:r>
    </w:p>
    <w:p>
      <w:pPr>
        <w:pStyle w:val="Style37"/>
        <w:keepNext/>
        <w:keepLines/>
        <w:widowControl w:val="0"/>
        <w:shd w:val="clear" w:color="auto" w:fill="auto"/>
        <w:tabs>
          <w:tab w:pos="368" w:val="left"/>
        </w:tabs>
        <w:bidi w:val="0"/>
        <w:spacing w:before="0" w:after="26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1</w:t>
      </w:r>
      <w:bookmarkEnd w:id="731"/>
      <w:r>
        <w:rPr>
          <w:color w:val="000000"/>
          <w:spacing w:val="0"/>
          <w:w w:val="100"/>
          <w:position w:val="0"/>
        </w:rPr>
        <w:t>、</w:t>
        <w:tab/>
        <w:t>遵循企业会计准则的声明</w:t>
      </w:r>
      <w:bookmarkEnd w:id="729"/>
      <w:bookmarkEnd w:id="730"/>
      <w:bookmarkEnd w:id="732"/>
    </w:p>
    <w:p>
      <w:pPr>
        <w:pStyle w:val="Style33"/>
        <w:keepNext w:val="0"/>
        <w:keepLines w:val="0"/>
        <w:widowControl w:val="0"/>
        <w:shd w:val="clear" w:color="auto" w:fill="auto"/>
        <w:bidi w:val="0"/>
        <w:spacing w:before="0" w:after="680" w:line="312" w:lineRule="exact"/>
        <w:ind w:left="0" w:right="0"/>
        <w:jc w:val="left"/>
      </w:pPr>
      <w:r>
        <w:rPr>
          <w:color w:val="000000"/>
          <w:spacing w:val="0"/>
          <w:w w:val="100"/>
          <w:position w:val="0"/>
        </w:rPr>
        <w:t>公司财务报表及附注系按财政部颁布的《企业会计准则》、应用指南、企业会计准则解释、中国证券监督管理委员会 发布的《公开发行证券的公司信息披露编报规则第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财务报告的一般规定</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》以及相关补充规定的要求编 制，真实、完整地反映了公司的财务状况、经营成果和现金流量等有关信息。</w:t>
      </w:r>
    </w:p>
    <w:p>
      <w:pPr>
        <w:pStyle w:val="Style37"/>
        <w:keepNext/>
        <w:keepLines/>
        <w:widowControl w:val="0"/>
        <w:shd w:val="clear" w:color="auto" w:fill="auto"/>
        <w:tabs>
          <w:tab w:pos="378" w:val="left"/>
        </w:tabs>
        <w:bidi w:val="0"/>
        <w:spacing w:before="0" w:after="26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2</w:t>
      </w:r>
      <w:bookmarkEnd w:id="735"/>
      <w:r>
        <w:rPr>
          <w:color w:val="000000"/>
          <w:spacing w:val="0"/>
          <w:w w:val="100"/>
          <w:position w:val="0"/>
        </w:rPr>
        <w:t>、</w:t>
        <w:tab/>
        <w:t>会计期间</w:t>
      </w:r>
      <w:bookmarkEnd w:id="733"/>
      <w:bookmarkEnd w:id="734"/>
      <w:bookmarkEnd w:id="736"/>
    </w:p>
    <w:p>
      <w:pPr>
        <w:pStyle w:val="Style33"/>
        <w:keepNext w:val="0"/>
        <w:keepLines w:val="0"/>
        <w:widowControl w:val="0"/>
        <w:shd w:val="clear" w:color="auto" w:fill="auto"/>
        <w:bidi w:val="0"/>
        <w:spacing w:before="0" w:after="360" w:line="312" w:lineRule="exact"/>
        <w:ind w:left="0" w:right="0"/>
        <w:jc w:val="left"/>
      </w:pPr>
      <w:r>
        <w:rPr>
          <w:color w:val="000000"/>
          <w:spacing w:val="0"/>
          <w:w w:val="100"/>
          <w:position w:val="0"/>
        </w:rPr>
        <w:t>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7"/>
        <w:keepNext/>
        <w:keepLines/>
        <w:widowControl w:val="0"/>
        <w:shd w:val="clear" w:color="auto" w:fill="auto"/>
        <w:tabs>
          <w:tab w:pos="378" w:val="left"/>
        </w:tabs>
        <w:bidi w:val="0"/>
        <w:spacing w:before="0" w:after="26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3</w:t>
      </w:r>
      <w:bookmarkEnd w:id="739"/>
      <w:r>
        <w:rPr>
          <w:color w:val="000000"/>
          <w:spacing w:val="0"/>
          <w:w w:val="100"/>
          <w:position w:val="0"/>
        </w:rPr>
        <w:t>、</w:t>
        <w:tab/>
        <w:t>营业周期</w:t>
      </w:r>
      <w:bookmarkEnd w:id="737"/>
      <w:bookmarkEnd w:id="738"/>
      <w:bookmarkEnd w:id="740"/>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个月作为一个营业周期，并以其作为资产和负债的流动性划分标准。</w:t>
      </w:r>
    </w:p>
    <w:p>
      <w:pPr>
        <w:pStyle w:val="Style37"/>
        <w:keepNext/>
        <w:keepLines/>
        <w:widowControl w:val="0"/>
        <w:shd w:val="clear" w:color="auto" w:fill="auto"/>
        <w:bidi w:val="0"/>
        <w:spacing w:before="0" w:after="380" w:line="240" w:lineRule="auto"/>
        <w:ind w:left="0" w:right="0" w:firstLine="0"/>
        <w:jc w:val="both"/>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4</w:t>
      </w:r>
      <w:bookmarkEnd w:id="743"/>
      <w:r>
        <w:rPr>
          <w:color w:val="000000"/>
          <w:spacing w:val="0"/>
          <w:w w:val="100"/>
          <w:position w:val="0"/>
        </w:rPr>
        <w:t>、记账本位币</w:t>
      </w:r>
      <w:bookmarkEnd w:id="741"/>
      <w:bookmarkEnd w:id="742"/>
      <w:bookmarkEnd w:id="744"/>
    </w:p>
    <w:p>
      <w:pPr>
        <w:pStyle w:val="Style33"/>
        <w:keepNext w:val="0"/>
        <w:keepLines w:val="0"/>
        <w:widowControl w:val="0"/>
        <w:shd w:val="clear" w:color="auto" w:fill="auto"/>
        <w:bidi w:val="0"/>
        <w:spacing w:before="0" w:after="700" w:line="240" w:lineRule="auto"/>
        <w:ind w:left="0" w:right="0"/>
        <w:jc w:val="both"/>
      </w:pPr>
      <w:r>
        <w:rPr>
          <w:color w:val="000000"/>
          <w:spacing w:val="0"/>
          <w:w w:val="100"/>
          <w:position w:val="0"/>
        </w:rPr>
        <w:t>本公司以人民币为记账本位币。</w:t>
      </w:r>
    </w:p>
    <w:p>
      <w:pPr>
        <w:pStyle w:val="Style37"/>
        <w:keepNext/>
        <w:keepLines/>
        <w:widowControl w:val="0"/>
        <w:shd w:val="clear" w:color="auto" w:fill="auto"/>
        <w:tabs>
          <w:tab w:pos="367" w:val="left"/>
        </w:tabs>
        <w:bidi w:val="0"/>
        <w:spacing w:before="0" w:after="28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5</w:t>
      </w:r>
      <w:bookmarkEnd w:id="747"/>
      <w:r>
        <w:rPr>
          <w:color w:val="000000"/>
          <w:spacing w:val="0"/>
          <w:w w:val="100"/>
          <w:position w:val="0"/>
        </w:rPr>
        <w:t>、</w:t>
        <w:tab/>
        <w:t>同一控制下和非同一控制下企业合并的会计处理方法</w:t>
      </w:r>
      <w:bookmarkEnd w:id="745"/>
      <w:bookmarkEnd w:id="746"/>
      <w:bookmarkEnd w:id="748"/>
    </w:p>
    <w:p>
      <w:pPr>
        <w:pStyle w:val="Style33"/>
        <w:keepNext w:val="0"/>
        <w:keepLines w:val="0"/>
        <w:widowControl w:val="0"/>
        <w:numPr>
          <w:ilvl w:val="0"/>
          <w:numId w:val="13"/>
        </w:numPr>
        <w:shd w:val="clear" w:color="auto" w:fill="auto"/>
        <w:bidi w:val="0"/>
        <w:spacing w:before="0" w:after="0" w:line="313" w:lineRule="exact"/>
        <w:ind w:left="0" w:right="0" w:firstLine="440"/>
        <w:jc w:val="both"/>
      </w:pPr>
      <w:bookmarkStart w:id="749" w:name="bookmark749"/>
      <w:bookmarkEnd w:id="749"/>
      <w:r>
        <w:rPr>
          <w:rFonts w:ascii="Times New Roman" w:eastAsia="Times New Roman" w:hAnsi="Times New Roman" w:cs="Times New Roman"/>
          <w:color w:val="000000"/>
          <w:spacing w:val="0"/>
          <w:w w:val="100"/>
          <w:position w:val="0"/>
        </w:rPr>
        <w:t xml:space="preserve"> </w:t>
      </w:r>
      <w:r>
        <w:rPr>
          <w:color w:val="000000"/>
          <w:spacing w:val="0"/>
          <w:w w:val="100"/>
          <w:position w:val="0"/>
        </w:rPr>
        <w:t>在同一控制下的企业合并中，公司作为购买方取得对其他参与合并企业的控制权，如以支付现金、转让非现金资产或 承担债务方式作为合并对价的，在合并日按照被合并方所有者权益在最终控制方合并财务报表中的账面价值的份额作为长 期股权投资的初始投资成本，长期股权投资初始投资成本与支付的现金、转让的非现金资产以及所承担债务账面价值之间的 差额，调整资本公积；资本公积不足冲减的，调整留存收益；如以发行权益性证券作为合并对价的，在合并日按照被合并方 所有者权益在最终控制方合并财务报表中的账面价值的份额作为长期股权投资的初始投资成本，按照发行股份的面值总额 作为股本，长期股权投资初始投资成本与所发行股份面值总额之间的差额，调整资本公积，资本公积不足冲减的，调整留存 收益。为进行企业合并发生的审计、法律服务、评估咨询等中介费用以及其他相关管理费用，于发生时计入当期损益。为企 业合并发行的债券或承担其他债务支付的手续费、佣金等，应当计入所发行债券及其他债务的初始计量金额。企业合并中发 行权益性证券发生的手续费、佣金等费用，应当抵减权益性证券溢价收入，溢价收入不足冲减的，冲减留存收益。</w:t>
      </w:r>
    </w:p>
    <w:p>
      <w:pPr>
        <w:pStyle w:val="Style33"/>
        <w:keepNext w:val="0"/>
        <w:keepLines w:val="0"/>
        <w:widowControl w:val="0"/>
        <w:numPr>
          <w:ilvl w:val="0"/>
          <w:numId w:val="13"/>
        </w:numPr>
        <w:shd w:val="clear" w:color="auto" w:fill="auto"/>
        <w:tabs>
          <w:tab w:pos="749" w:val="left"/>
        </w:tabs>
        <w:bidi w:val="0"/>
        <w:spacing w:before="0" w:after="0" w:line="313" w:lineRule="exact"/>
        <w:ind w:left="0" w:right="0" w:firstLine="440"/>
        <w:jc w:val="both"/>
      </w:pPr>
      <w:bookmarkStart w:id="750" w:name="bookmark750"/>
      <w:bookmarkEnd w:id="750"/>
      <w:r>
        <w:rPr>
          <w:color w:val="000000"/>
          <w:spacing w:val="0"/>
          <w:w w:val="100"/>
          <w:position w:val="0"/>
        </w:rPr>
        <w:t>公司对外合并如属非同一控制下的企业合并，按下列情况确定长期股权投资的初始投资成本：</w:t>
      </w:r>
    </w:p>
    <w:p>
      <w:pPr>
        <w:pStyle w:val="Style33"/>
        <w:keepNext w:val="0"/>
        <w:keepLines w:val="0"/>
        <w:widowControl w:val="0"/>
        <w:numPr>
          <w:ilvl w:val="0"/>
          <w:numId w:val="15"/>
        </w:numPr>
        <w:shd w:val="clear" w:color="auto" w:fill="auto"/>
        <w:tabs>
          <w:tab w:pos="765" w:val="left"/>
        </w:tabs>
        <w:bidi w:val="0"/>
        <w:spacing w:before="0" w:after="0" w:line="313" w:lineRule="exact"/>
        <w:ind w:left="0" w:right="0" w:firstLine="440"/>
        <w:jc w:val="both"/>
      </w:pPr>
      <w:bookmarkStart w:id="751" w:name="bookmark751"/>
      <w:bookmarkEnd w:id="751"/>
      <w:r>
        <w:rPr>
          <w:color w:val="000000"/>
          <w:spacing w:val="0"/>
          <w:w w:val="100"/>
          <w:position w:val="0"/>
        </w:rPr>
        <w:t>一次交换交易实现的企业合并，长期股权投资的初始投资成本为购买方在购买日为取得对被购买方的控制权而付出 的资产、发生或承担的负债以及发行的权益性证券的公允价值；</w:t>
      </w:r>
    </w:p>
    <w:p>
      <w:pPr>
        <w:pStyle w:val="Style33"/>
        <w:keepNext w:val="0"/>
        <w:keepLines w:val="0"/>
        <w:widowControl w:val="0"/>
        <w:numPr>
          <w:ilvl w:val="0"/>
          <w:numId w:val="15"/>
        </w:numPr>
        <w:shd w:val="clear" w:color="auto" w:fill="auto"/>
        <w:tabs>
          <w:tab w:pos="802" w:val="left"/>
        </w:tabs>
        <w:bidi w:val="0"/>
        <w:spacing w:before="0" w:after="0" w:line="313" w:lineRule="exact"/>
        <w:ind w:left="0" w:right="0" w:firstLine="440"/>
        <w:jc w:val="both"/>
      </w:pPr>
      <w:bookmarkStart w:id="752" w:name="bookmark752"/>
      <w:bookmarkEnd w:id="752"/>
      <w:r>
        <w:rPr>
          <w:color w:val="000000"/>
          <w:spacing w:val="0"/>
          <w:w w:val="100"/>
          <w:position w:val="0"/>
        </w:rPr>
        <w:t>通过多次交换交易分步实现的企业合并，长期股权投资的初始投资成本为每一单项交易成本之和；</w:t>
      </w:r>
    </w:p>
    <w:p>
      <w:pPr>
        <w:pStyle w:val="Style33"/>
        <w:keepNext w:val="0"/>
        <w:keepLines w:val="0"/>
        <w:widowControl w:val="0"/>
        <w:numPr>
          <w:ilvl w:val="0"/>
          <w:numId w:val="15"/>
        </w:numPr>
        <w:shd w:val="clear" w:color="auto" w:fill="auto"/>
        <w:tabs>
          <w:tab w:pos="779" w:val="left"/>
        </w:tabs>
        <w:bidi w:val="0"/>
        <w:spacing w:before="0" w:after="0" w:line="313" w:lineRule="exact"/>
        <w:ind w:left="0" w:right="0" w:firstLine="440"/>
        <w:jc w:val="both"/>
      </w:pPr>
      <w:bookmarkStart w:id="753" w:name="bookmark753"/>
      <w:bookmarkEnd w:id="753"/>
      <w:r>
        <w:rPr>
          <w:color w:val="000000"/>
          <w:spacing w:val="0"/>
          <w:w w:val="100"/>
          <w:position w:val="0"/>
        </w:rPr>
        <w:t>为进行企业合并发生的审计、法律服务、评估咨询等中介费用以及其他相关管理费用，于发生时计入当期损益；作 为合并对价发行的权益性证券或债务性证券的交易费用，计入权益性证券或债务性证券的初始确认金额；</w:t>
      </w:r>
    </w:p>
    <w:p>
      <w:pPr>
        <w:pStyle w:val="Style33"/>
        <w:keepNext w:val="0"/>
        <w:keepLines w:val="0"/>
        <w:widowControl w:val="0"/>
        <w:numPr>
          <w:ilvl w:val="0"/>
          <w:numId w:val="15"/>
        </w:numPr>
        <w:shd w:val="clear" w:color="auto" w:fill="auto"/>
        <w:tabs>
          <w:tab w:pos="775" w:val="left"/>
        </w:tabs>
        <w:bidi w:val="0"/>
        <w:spacing w:before="0" w:after="0" w:line="313" w:lineRule="exact"/>
        <w:ind w:left="0" w:right="0" w:firstLine="440"/>
        <w:jc w:val="both"/>
      </w:pPr>
      <w:bookmarkStart w:id="754" w:name="bookmark754"/>
      <w:bookmarkEnd w:id="754"/>
      <w:r>
        <w:rPr>
          <w:color w:val="000000"/>
          <w:spacing w:val="0"/>
          <w:w w:val="100"/>
          <w:position w:val="0"/>
        </w:rPr>
        <w:t>在合并合同或协议中对可能影响合并成本的未来事项作出约定的，在购买日如果估计未来事项很可能发生并且对合 并成本的影响金额能够可靠计量的，将其计入长期股权投资的初始投资成本。</w:t>
      </w:r>
    </w:p>
    <w:p>
      <w:pPr>
        <w:pStyle w:val="Style33"/>
        <w:keepNext w:val="0"/>
        <w:keepLines w:val="0"/>
        <w:widowControl w:val="0"/>
        <w:numPr>
          <w:ilvl w:val="0"/>
          <w:numId w:val="13"/>
        </w:numPr>
        <w:shd w:val="clear" w:color="auto" w:fill="auto"/>
        <w:tabs>
          <w:tab w:pos="727" w:val="left"/>
        </w:tabs>
        <w:bidi w:val="0"/>
        <w:spacing w:before="0" w:after="0" w:line="313" w:lineRule="exact"/>
        <w:ind w:left="0" w:right="0" w:firstLine="440"/>
        <w:jc w:val="both"/>
      </w:pPr>
      <w:bookmarkStart w:id="755" w:name="bookmark755"/>
      <w:bookmarkEnd w:id="755"/>
      <w:r>
        <w:rPr>
          <w:color w:val="000000"/>
          <w:spacing w:val="0"/>
          <w:w w:val="100"/>
          <w:position w:val="0"/>
        </w:rPr>
        <w:t>公司对外合并如属非同一控制下的企业合并，对长期股权投资的初始投资成本大于合并中取得的被购买方可辨认净 资产公允价值份额的差额，确认为商誉。</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对长期股权投资的初始投资成本小于合并中取得的被购买方可辨认净资产公允价值份额的差额，按照下列方法处理：</w:t>
      </w:r>
    </w:p>
    <w:p>
      <w:pPr>
        <w:pStyle w:val="Style33"/>
        <w:keepNext w:val="0"/>
        <w:keepLines w:val="0"/>
        <w:widowControl w:val="0"/>
        <w:numPr>
          <w:ilvl w:val="0"/>
          <w:numId w:val="17"/>
        </w:numPr>
        <w:shd w:val="clear" w:color="auto" w:fill="auto"/>
        <w:tabs>
          <w:tab w:pos="802" w:val="left"/>
        </w:tabs>
        <w:bidi w:val="0"/>
        <w:spacing w:before="0" w:after="0" w:line="313" w:lineRule="exact"/>
        <w:ind w:left="0" w:right="0" w:firstLine="440"/>
        <w:jc w:val="both"/>
      </w:pPr>
      <w:bookmarkStart w:id="756" w:name="bookmark756"/>
      <w:bookmarkEnd w:id="756"/>
      <w:r>
        <w:rPr>
          <w:color w:val="000000"/>
          <w:spacing w:val="0"/>
          <w:w w:val="100"/>
          <w:position w:val="0"/>
        </w:rPr>
        <w:t>对取得的被购买方各项可辨认资产、负债及或有负债的公允价值以及合并成本的计量进行复核；</w:t>
      </w:r>
    </w:p>
    <w:p>
      <w:pPr>
        <w:pStyle w:val="Style33"/>
        <w:keepNext w:val="0"/>
        <w:keepLines w:val="0"/>
        <w:widowControl w:val="0"/>
        <w:numPr>
          <w:ilvl w:val="0"/>
          <w:numId w:val="17"/>
        </w:numPr>
        <w:shd w:val="clear" w:color="auto" w:fill="auto"/>
        <w:tabs>
          <w:tab w:pos="802" w:val="left"/>
        </w:tabs>
        <w:bidi w:val="0"/>
        <w:spacing w:before="0" w:after="380" w:line="313" w:lineRule="exact"/>
        <w:ind w:left="0" w:right="0" w:firstLine="440"/>
        <w:jc w:val="both"/>
      </w:pPr>
      <w:bookmarkStart w:id="757" w:name="bookmark757"/>
      <w:bookmarkEnd w:id="757"/>
      <w:r>
        <w:rPr>
          <w:color w:val="000000"/>
          <w:spacing w:val="0"/>
          <w:w w:val="100"/>
          <w:position w:val="0"/>
        </w:rPr>
        <w:t>经复核后合并成本仍小于合并中取得的被购买方可辨认净资产公允价值份额的，其差额应当计入当期损益。</w:t>
      </w:r>
    </w:p>
    <w:p>
      <w:pPr>
        <w:pStyle w:val="Style37"/>
        <w:keepNext/>
        <w:keepLines/>
        <w:widowControl w:val="0"/>
        <w:shd w:val="clear" w:color="auto" w:fill="auto"/>
        <w:tabs>
          <w:tab w:pos="367" w:val="left"/>
        </w:tabs>
        <w:bidi w:val="0"/>
        <w:spacing w:before="0" w:after="28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6</w:t>
      </w:r>
      <w:bookmarkEnd w:id="760"/>
      <w:r>
        <w:rPr>
          <w:color w:val="000000"/>
          <w:spacing w:val="0"/>
          <w:w w:val="100"/>
          <w:position w:val="0"/>
        </w:rPr>
        <w:t>、</w:t>
        <w:tab/>
        <w:t>合并财务报表的编制方法</w:t>
      </w:r>
      <w:bookmarkEnd w:id="758"/>
      <w:bookmarkEnd w:id="759"/>
      <w:bookmarkEnd w:id="761"/>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合并财务报表的合并范围以控制为基础予以确定。控制，是指投资方拥有对被投资方的权力</w:t>
      </w:r>
      <w:r>
        <w:rPr>
          <w:color w:val="000000"/>
          <w:spacing w:val="0"/>
          <w:w w:val="100"/>
          <w:position w:val="0"/>
        </w:rPr>
        <w:t>，</w:t>
      </w:r>
      <w:r>
        <w:rPr>
          <w:color w:val="000000"/>
          <w:spacing w:val="0"/>
          <w:w w:val="100"/>
          <w:position w:val="0"/>
        </w:rPr>
        <w:t>通过参与被投资方的相 关活动而享有可变回报，并且有能力运用对被投资方的权力影响其回报金额。</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母公司应当将其全部子公司纳入合并财务报表的合并范围。子公司，是指被公司控制的主体</w:t>
      </w:r>
      <w:r>
        <w:rPr>
          <w:rFonts w:ascii="Times New Roman" w:eastAsia="Times New Roman" w:hAnsi="Times New Roman" w:cs="Times New Roman"/>
          <w:color w:val="000000"/>
          <w:spacing w:val="0"/>
          <w:w w:val="100"/>
          <w:position w:val="0"/>
        </w:rPr>
        <w:t>(</w:t>
      </w:r>
      <w:r>
        <w:rPr>
          <w:color w:val="000000"/>
          <w:spacing w:val="0"/>
          <w:w w:val="100"/>
          <w:position w:val="0"/>
        </w:rPr>
        <w:t>含企业、被投资单位中 可分割的部分，以及企业所控制的结构化主体等</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如果母公司是投资性主体，则母公司应当仅将为其投资活动提供相关服务的子公司</w:t>
      </w:r>
      <w:r>
        <w:rPr>
          <w:rFonts w:ascii="Times New Roman" w:eastAsia="Times New Roman" w:hAnsi="Times New Roman" w:cs="Times New Roman"/>
          <w:color w:val="000000"/>
          <w:spacing w:val="0"/>
          <w:w w:val="100"/>
          <w:position w:val="0"/>
        </w:rPr>
        <w:t>(</w:t>
      </w:r>
      <w:r>
        <w:rPr>
          <w:color w:val="000000"/>
          <w:spacing w:val="0"/>
          <w:w w:val="100"/>
          <w:position w:val="0"/>
        </w:rPr>
        <w:t>如有</w:t>
      </w:r>
      <w:r>
        <w:rPr>
          <w:rFonts w:ascii="Times New Roman" w:eastAsia="Times New Roman" w:hAnsi="Times New Roman" w:cs="Times New Roman"/>
          <w:color w:val="000000"/>
          <w:spacing w:val="0"/>
          <w:w w:val="100"/>
          <w:position w:val="0"/>
        </w:rPr>
        <w:t>)</w:t>
      </w:r>
      <w:r>
        <w:rPr>
          <w:color w:val="000000"/>
          <w:spacing w:val="0"/>
          <w:w w:val="100"/>
          <w:position w:val="0"/>
        </w:rPr>
        <w:t>纳入合并范围并编制合并财 务报表；其他子公司不应当予以合并，母公司对其他子公司的投资应当按照公允价值计量且其变动计入当期损益。</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当母公司同时满足下列条件时，该母公司属于投资性主体：</w:t>
      </w:r>
    </w:p>
    <w:p>
      <w:pPr>
        <w:pStyle w:val="Style33"/>
        <w:keepNext w:val="0"/>
        <w:keepLines w:val="0"/>
        <w:widowControl w:val="0"/>
        <w:numPr>
          <w:ilvl w:val="0"/>
          <w:numId w:val="19"/>
        </w:numPr>
        <w:shd w:val="clear" w:color="auto" w:fill="auto"/>
        <w:tabs>
          <w:tab w:pos="831" w:val="left"/>
        </w:tabs>
        <w:bidi w:val="0"/>
        <w:spacing w:before="0" w:after="0" w:line="314" w:lineRule="exact"/>
        <w:ind w:left="0" w:right="0" w:firstLine="440"/>
        <w:jc w:val="both"/>
      </w:pPr>
      <w:bookmarkStart w:id="762" w:name="bookmark762"/>
      <w:bookmarkEnd w:id="762"/>
      <w:r>
        <w:rPr>
          <w:color w:val="000000"/>
          <w:spacing w:val="0"/>
          <w:w w:val="100"/>
          <w:position w:val="0"/>
        </w:rPr>
        <w:t>该母公司是以向投资者提供投资管理服务为目的，从一个或多个投资者处获取资金；</w:t>
      </w:r>
    </w:p>
    <w:p>
      <w:pPr>
        <w:pStyle w:val="Style33"/>
        <w:keepNext w:val="0"/>
        <w:keepLines w:val="0"/>
        <w:widowControl w:val="0"/>
        <w:numPr>
          <w:ilvl w:val="0"/>
          <w:numId w:val="19"/>
        </w:numPr>
        <w:shd w:val="clear" w:color="auto" w:fill="auto"/>
        <w:tabs>
          <w:tab w:pos="831" w:val="left"/>
        </w:tabs>
        <w:bidi w:val="0"/>
        <w:spacing w:before="0" w:after="0" w:line="314" w:lineRule="exact"/>
        <w:ind w:left="0" w:right="0" w:firstLine="440"/>
        <w:jc w:val="both"/>
      </w:pPr>
      <w:bookmarkStart w:id="763" w:name="bookmark763"/>
      <w:bookmarkEnd w:id="763"/>
      <w:r>
        <w:rPr>
          <w:color w:val="000000"/>
          <w:spacing w:val="0"/>
          <w:w w:val="100"/>
          <w:position w:val="0"/>
        </w:rPr>
        <w:t>该母公司的唯一经营目的，是通过资本增值、投资收益或两者兼有而让投资者获得回报；</w:t>
      </w:r>
    </w:p>
    <w:p>
      <w:pPr>
        <w:pStyle w:val="Style33"/>
        <w:keepNext w:val="0"/>
        <w:keepLines w:val="0"/>
        <w:widowControl w:val="0"/>
        <w:numPr>
          <w:ilvl w:val="0"/>
          <w:numId w:val="19"/>
        </w:numPr>
        <w:shd w:val="clear" w:color="auto" w:fill="auto"/>
        <w:tabs>
          <w:tab w:pos="831" w:val="left"/>
        </w:tabs>
        <w:bidi w:val="0"/>
        <w:spacing w:before="0" w:after="0" w:line="314" w:lineRule="exact"/>
        <w:ind w:left="0" w:right="0" w:firstLine="440"/>
        <w:jc w:val="both"/>
      </w:pPr>
      <w:bookmarkStart w:id="764" w:name="bookmark764"/>
      <w:bookmarkEnd w:id="764"/>
      <w:r>
        <w:rPr>
          <w:color w:val="000000"/>
          <w:spacing w:val="0"/>
          <w:w w:val="100"/>
          <w:position w:val="0"/>
        </w:rPr>
        <w:t>该母公司按照公允价值对几乎所有投资的业绩进行考量和评价。</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编制合并报表时，公司与被合并子公司采用统一的会计政策和期间。合并财务报表以公司和子公司的财务报表为基 础，在抵销公司与子公司、子公司相互之间发生的内部交易对合并财务报表的影响后，由公司合并编制。公司在报告期内 因同一控制下企业合并增加的子公司，编制合并资产负债表时，调整合并资产负债表的年初数。因非同一控制下企业合并 </w:t>
      </w:r>
      <w:r>
        <w:rPr>
          <w:color w:val="000000"/>
          <w:spacing w:val="0"/>
          <w:w w:val="100"/>
          <w:position w:val="0"/>
        </w:rPr>
        <w:t>增加的子公司，编制合并资产负债表时，不调整合并资产负债表的年初数。公司在报告期内因同一控制下企业合并增加的 子公司，将该子公司合并当期年初至报告期末的收入、费用、利润及现金流量纳入合并利润表及现金流量表。因非同一控 制下企业合并增加的子公司，将该子公司购买日至报告期末的收入、费用、利润及现金流量纳入合并利润表及现金流量 表。公司在报告期内处置子公司，将该子公司年初至处置日的收入、费用、利润及现金流量纳入合并利润表及现金流量 表。</w:t>
      </w:r>
    </w:p>
    <w:p>
      <w:pPr>
        <w:pStyle w:val="Style3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母公司购买子公司少数股东拥有的子公司股权，在合并财务报表中，因购买少数股权新取得的长期股权投资与按照新 增持股比例计算应享有子公司自购买日或合并日开始持续计算的净资产份额之间的差额，应当调整资本公积</w:t>
      </w:r>
      <w:r>
        <w:rPr>
          <w:rFonts w:ascii="Times New Roman" w:eastAsia="Times New Roman" w:hAnsi="Times New Roman" w:cs="Times New Roman"/>
          <w:color w:val="000000"/>
          <w:spacing w:val="0"/>
          <w:w w:val="100"/>
          <w:position w:val="0"/>
        </w:rPr>
        <w:t>(</w:t>
      </w:r>
      <w:r>
        <w:rPr>
          <w:color w:val="000000"/>
          <w:spacing w:val="0"/>
          <w:w w:val="100"/>
          <w:position w:val="0"/>
        </w:rPr>
        <w:t>资本溢价或股 本溢价</w:t>
      </w:r>
      <w:r>
        <w:rPr>
          <w:rFonts w:ascii="Times New Roman" w:eastAsia="Times New Roman" w:hAnsi="Times New Roman" w:cs="Times New Roman"/>
          <w:color w:val="000000"/>
          <w:spacing w:val="0"/>
          <w:w w:val="100"/>
          <w:position w:val="0"/>
        </w:rPr>
        <w:t>)</w:t>
      </w:r>
      <w:r>
        <w:rPr>
          <w:color w:val="000000"/>
          <w:spacing w:val="0"/>
          <w:w w:val="100"/>
          <w:position w:val="0"/>
        </w:rPr>
        <w:t>，资本公积不足冲减的，调整留存收益。</w:t>
      </w:r>
    </w:p>
    <w:p>
      <w:pPr>
        <w:pStyle w:val="Style3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母公司在不丧失控制权的情况下部分处置对子公司的长期股权投资，在合并财务报表中，处置价款与处置长期股权投 资相对应享有子公司自购买日或合并日开始持续计算的净资产份额之间的差额，应当调整资本公积</w:t>
      </w:r>
      <w:r>
        <w:rPr>
          <w:rFonts w:ascii="Times New Roman" w:eastAsia="Times New Roman" w:hAnsi="Times New Roman" w:cs="Times New Roman"/>
          <w:color w:val="000000"/>
          <w:spacing w:val="0"/>
          <w:w w:val="100"/>
          <w:position w:val="0"/>
        </w:rPr>
        <w:t>(</w:t>
      </w:r>
      <w:r>
        <w:rPr>
          <w:color w:val="000000"/>
          <w:spacing w:val="0"/>
          <w:w w:val="100"/>
          <w:position w:val="0"/>
        </w:rPr>
        <w:t>资本溢价或股本溢 价</w:t>
      </w:r>
      <w:r>
        <w:rPr>
          <w:rFonts w:ascii="Times New Roman" w:eastAsia="Times New Roman" w:hAnsi="Times New Roman" w:cs="Times New Roman"/>
          <w:color w:val="000000"/>
          <w:spacing w:val="0"/>
          <w:w w:val="100"/>
          <w:position w:val="0"/>
        </w:rPr>
        <w:t>)</w:t>
      </w:r>
      <w:r>
        <w:rPr>
          <w:color w:val="000000"/>
          <w:spacing w:val="0"/>
          <w:w w:val="100"/>
          <w:position w:val="0"/>
        </w:rPr>
        <w:t>，资本公积不足冲减的，调整留存收益。</w:t>
      </w:r>
    </w:p>
    <w:p>
      <w:pPr>
        <w:pStyle w:val="Style33"/>
        <w:keepNext w:val="0"/>
        <w:keepLines w:val="0"/>
        <w:widowControl w:val="0"/>
        <w:shd w:val="clear" w:color="auto" w:fill="auto"/>
        <w:bidi w:val="0"/>
        <w:spacing w:before="0" w:after="680" w:line="313" w:lineRule="exact"/>
        <w:ind w:left="0" w:right="0" w:firstLine="440"/>
        <w:jc w:val="left"/>
      </w:pPr>
      <w:r>
        <w:rPr>
          <w:color w:val="000000"/>
          <w:spacing w:val="0"/>
          <w:w w:val="100"/>
          <w:position w:val="0"/>
        </w:rPr>
        <w:t>企业因处置部分股权投资等原因丧失了对被投资方的控制权的，在编制合并财务报表时，对于剩余股权，应当按照其 在丧失控制权日的公允价值进行重新计量。处置股权取得的对价与剩余股权公允价值之和，减去按原持股比例计算应享有 原有子公司自购买日或合并日开始持续计算的净资产的份额之间的差额，计入丧失控制权当期的投资收益，同时冲减商 誉。与原有子公司股权投资相关的其他综合收益等，应当在丧失控制权时转为当期投资收益，由于被投资方重新计量设定 受益计划净负债或净资产变动而产生的其他综合收益除外。</w:t>
      </w:r>
    </w:p>
    <w:p>
      <w:pPr>
        <w:pStyle w:val="Style37"/>
        <w:keepNext/>
        <w:keepLines/>
        <w:widowControl w:val="0"/>
        <w:shd w:val="clear" w:color="auto" w:fill="auto"/>
        <w:bidi w:val="0"/>
        <w:spacing w:before="0" w:after="280" w:line="240"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7</w:t>
      </w:r>
      <w:bookmarkEnd w:id="767"/>
      <w:r>
        <w:rPr>
          <w:color w:val="000000"/>
          <w:spacing w:val="0"/>
          <w:w w:val="100"/>
          <w:position w:val="0"/>
        </w:rPr>
        <w:t>、合营安排分类及共同经营会计处理方法</w:t>
      </w:r>
      <w:bookmarkEnd w:id="765"/>
      <w:bookmarkEnd w:id="766"/>
      <w:bookmarkEnd w:id="768"/>
    </w:p>
    <w:p>
      <w:pPr>
        <w:pStyle w:val="Style3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合营安排分为共同经营和合营企业。</w:t>
      </w:r>
    </w:p>
    <w:p>
      <w:pPr>
        <w:pStyle w:val="Style3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共同经营，是指合营方享有该安排相关资产且承担该安排相关负债的合营安排。公司确认其与共同经营中利益份额相 关的下列项目，并按照相关企业会计准则的规定进行会计处理：</w:t>
      </w:r>
    </w:p>
    <w:p>
      <w:pPr>
        <w:pStyle w:val="Style33"/>
        <w:keepNext w:val="0"/>
        <w:keepLines w:val="0"/>
        <w:widowControl w:val="0"/>
        <w:numPr>
          <w:ilvl w:val="0"/>
          <w:numId w:val="21"/>
        </w:numPr>
        <w:shd w:val="clear" w:color="auto" w:fill="auto"/>
        <w:tabs>
          <w:tab w:pos="829" w:val="left"/>
        </w:tabs>
        <w:bidi w:val="0"/>
        <w:spacing w:before="0" w:after="0" w:line="312" w:lineRule="exact"/>
        <w:ind w:left="0" w:right="0" w:firstLine="440"/>
        <w:jc w:val="left"/>
      </w:pPr>
      <w:bookmarkStart w:id="769" w:name="bookmark769"/>
      <w:bookmarkEnd w:id="769"/>
      <w:r>
        <w:rPr>
          <w:color w:val="000000"/>
          <w:spacing w:val="0"/>
          <w:w w:val="100"/>
          <w:position w:val="0"/>
        </w:rPr>
        <w:t>确认单独所持有的资产，以及按其份额确认共同持有的资产；</w:t>
      </w:r>
    </w:p>
    <w:p>
      <w:pPr>
        <w:pStyle w:val="Style33"/>
        <w:keepNext w:val="0"/>
        <w:keepLines w:val="0"/>
        <w:widowControl w:val="0"/>
        <w:numPr>
          <w:ilvl w:val="0"/>
          <w:numId w:val="21"/>
        </w:numPr>
        <w:shd w:val="clear" w:color="auto" w:fill="auto"/>
        <w:tabs>
          <w:tab w:pos="829" w:val="left"/>
        </w:tabs>
        <w:bidi w:val="0"/>
        <w:spacing w:before="0" w:after="0" w:line="312" w:lineRule="exact"/>
        <w:ind w:left="0" w:right="0" w:firstLine="440"/>
        <w:jc w:val="left"/>
      </w:pPr>
      <w:bookmarkStart w:id="770" w:name="bookmark770"/>
      <w:bookmarkEnd w:id="770"/>
      <w:r>
        <w:rPr>
          <w:color w:val="000000"/>
          <w:spacing w:val="0"/>
          <w:w w:val="100"/>
          <w:position w:val="0"/>
        </w:rPr>
        <w:t>确认单独所承担的负债，以及按其份额确认共同承担的负债；</w:t>
      </w:r>
    </w:p>
    <w:p>
      <w:pPr>
        <w:pStyle w:val="Style33"/>
        <w:keepNext w:val="0"/>
        <w:keepLines w:val="0"/>
        <w:widowControl w:val="0"/>
        <w:numPr>
          <w:ilvl w:val="0"/>
          <w:numId w:val="21"/>
        </w:numPr>
        <w:shd w:val="clear" w:color="auto" w:fill="auto"/>
        <w:tabs>
          <w:tab w:pos="829" w:val="left"/>
        </w:tabs>
        <w:bidi w:val="0"/>
        <w:spacing w:before="0" w:after="0" w:line="312" w:lineRule="exact"/>
        <w:ind w:left="0" w:right="0" w:firstLine="440"/>
        <w:jc w:val="left"/>
      </w:pPr>
      <w:bookmarkStart w:id="771" w:name="bookmark771"/>
      <w:bookmarkEnd w:id="771"/>
      <w:r>
        <w:rPr>
          <w:color w:val="000000"/>
          <w:spacing w:val="0"/>
          <w:w w:val="100"/>
          <w:position w:val="0"/>
        </w:rPr>
        <w:t>确认出售其享有的共同经营产出份额所产生的收入；</w:t>
      </w:r>
    </w:p>
    <w:p>
      <w:pPr>
        <w:pStyle w:val="Style33"/>
        <w:keepNext w:val="0"/>
        <w:keepLines w:val="0"/>
        <w:widowControl w:val="0"/>
        <w:numPr>
          <w:ilvl w:val="0"/>
          <w:numId w:val="21"/>
        </w:numPr>
        <w:shd w:val="clear" w:color="auto" w:fill="auto"/>
        <w:tabs>
          <w:tab w:pos="829" w:val="left"/>
        </w:tabs>
        <w:bidi w:val="0"/>
        <w:spacing w:before="0" w:after="0" w:line="312" w:lineRule="exact"/>
        <w:ind w:left="0" w:right="0" w:firstLine="440"/>
        <w:jc w:val="left"/>
      </w:pPr>
      <w:bookmarkStart w:id="772" w:name="bookmark772"/>
      <w:bookmarkEnd w:id="772"/>
      <w:r>
        <w:rPr>
          <w:color w:val="000000"/>
          <w:spacing w:val="0"/>
          <w:w w:val="100"/>
          <w:position w:val="0"/>
        </w:rPr>
        <w:t>按其份额确认共同经营因出售产出所产生的收入；</w:t>
      </w:r>
    </w:p>
    <w:p>
      <w:pPr>
        <w:pStyle w:val="Style33"/>
        <w:keepNext w:val="0"/>
        <w:keepLines w:val="0"/>
        <w:widowControl w:val="0"/>
        <w:numPr>
          <w:ilvl w:val="0"/>
          <w:numId w:val="21"/>
        </w:numPr>
        <w:shd w:val="clear" w:color="auto" w:fill="auto"/>
        <w:tabs>
          <w:tab w:pos="829" w:val="left"/>
        </w:tabs>
        <w:bidi w:val="0"/>
        <w:spacing w:before="0" w:after="0" w:line="312" w:lineRule="exact"/>
        <w:ind w:left="0" w:right="0" w:firstLine="440"/>
        <w:jc w:val="left"/>
      </w:pPr>
      <w:bookmarkStart w:id="773" w:name="bookmark773"/>
      <w:bookmarkEnd w:id="773"/>
      <w:r>
        <w:rPr>
          <w:color w:val="000000"/>
          <w:spacing w:val="0"/>
          <w:w w:val="100"/>
          <w:position w:val="0"/>
        </w:rPr>
        <w:t>确认单独所发生的费用，以及按其份额确认共同经营发生的费用。</w:t>
      </w:r>
    </w:p>
    <w:p>
      <w:pPr>
        <w:pStyle w:val="Style33"/>
        <w:keepNext w:val="0"/>
        <w:keepLines w:val="0"/>
        <w:widowControl w:val="0"/>
        <w:shd w:val="clear" w:color="auto" w:fill="auto"/>
        <w:bidi w:val="0"/>
        <w:spacing w:before="0" w:after="680" w:line="312" w:lineRule="exact"/>
        <w:ind w:left="0" w:right="0" w:firstLine="440"/>
        <w:jc w:val="left"/>
      </w:pPr>
      <w:r>
        <w:rPr>
          <w:color w:val="000000"/>
          <w:spacing w:val="0"/>
          <w:w w:val="100"/>
          <w:position w:val="0"/>
        </w:rPr>
        <w:t>合营企业，是指合营方仅对该安排的净资产享有权利的合营安排。公司按照权益法对合营企业的投资进行会计处理。</w:t>
      </w:r>
    </w:p>
    <w:p>
      <w:pPr>
        <w:pStyle w:val="Style37"/>
        <w:keepNext/>
        <w:keepLines/>
        <w:widowControl w:val="0"/>
        <w:shd w:val="clear" w:color="auto" w:fill="auto"/>
        <w:bidi w:val="0"/>
        <w:spacing w:before="0" w:after="280" w:line="24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8</w:t>
      </w:r>
      <w:bookmarkEnd w:id="776"/>
      <w:r>
        <w:rPr>
          <w:color w:val="000000"/>
          <w:spacing w:val="0"/>
          <w:w w:val="100"/>
          <w:position w:val="0"/>
        </w:rPr>
        <w:t>、现金及现金等价物的确定标准</w:t>
      </w:r>
      <w:bookmarkEnd w:id="774"/>
      <w:bookmarkEnd w:id="775"/>
      <w:bookmarkEnd w:id="777"/>
    </w:p>
    <w:p>
      <w:pPr>
        <w:pStyle w:val="Style33"/>
        <w:keepNext w:val="0"/>
        <w:keepLines w:val="0"/>
        <w:widowControl w:val="0"/>
        <w:shd w:val="clear" w:color="auto" w:fill="auto"/>
        <w:bidi w:val="0"/>
        <w:spacing w:before="0" w:after="680" w:line="312" w:lineRule="exact"/>
        <w:ind w:left="0" w:right="0" w:firstLine="440"/>
        <w:jc w:val="left"/>
      </w:pPr>
      <w:r>
        <w:rPr>
          <w:color w:val="000000"/>
          <w:spacing w:val="0"/>
          <w:w w:val="100"/>
          <w:position w:val="0"/>
        </w:rPr>
        <w:t>现金是指库存现金以及可以随时用于支付的存款。现金等价物是指公司持有的期限短、流动性强、易于转换为已知金 额现金、价值变动风险很小的投资。</w:t>
      </w:r>
    </w:p>
    <w:p>
      <w:pPr>
        <w:pStyle w:val="Style37"/>
        <w:keepNext/>
        <w:keepLines/>
        <w:widowControl w:val="0"/>
        <w:shd w:val="clear" w:color="auto" w:fill="auto"/>
        <w:bidi w:val="0"/>
        <w:spacing w:before="0" w:after="28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9</w:t>
      </w:r>
      <w:bookmarkEnd w:id="780"/>
      <w:r>
        <w:rPr>
          <w:color w:val="000000"/>
          <w:spacing w:val="0"/>
          <w:w w:val="100"/>
          <w:position w:val="0"/>
        </w:rPr>
        <w:t>、外币业务和外币报表折算</w:t>
      </w:r>
      <w:bookmarkEnd w:id="778"/>
      <w:bookmarkEnd w:id="779"/>
      <w:bookmarkEnd w:id="781"/>
    </w:p>
    <w:p>
      <w:pPr>
        <w:pStyle w:val="Style33"/>
        <w:keepNext w:val="0"/>
        <w:keepLines w:val="0"/>
        <w:widowControl w:val="0"/>
        <w:numPr>
          <w:ilvl w:val="0"/>
          <w:numId w:val="23"/>
        </w:numPr>
        <w:shd w:val="clear" w:color="auto" w:fill="auto"/>
        <w:tabs>
          <w:tab w:pos="806" w:val="left"/>
        </w:tabs>
        <w:bidi w:val="0"/>
        <w:spacing w:before="0" w:after="0" w:line="312" w:lineRule="exact"/>
        <w:ind w:left="0" w:right="0" w:firstLine="440"/>
        <w:jc w:val="both"/>
      </w:pPr>
      <w:bookmarkStart w:id="782" w:name="bookmark782"/>
      <w:bookmarkEnd w:id="782"/>
      <w:r>
        <w:rPr>
          <w:color w:val="000000"/>
          <w:spacing w:val="0"/>
          <w:w w:val="100"/>
          <w:position w:val="0"/>
        </w:rPr>
        <w:t>外币交易在初始确认时，采用交易发生当日中国人民银行公布的人民币外汇牌价中间价将外币金额折算为人民币金 额。</w:t>
      </w:r>
    </w:p>
    <w:p>
      <w:pPr>
        <w:pStyle w:val="Style33"/>
        <w:keepNext w:val="0"/>
        <w:keepLines w:val="0"/>
        <w:widowControl w:val="0"/>
        <w:numPr>
          <w:ilvl w:val="0"/>
          <w:numId w:val="23"/>
        </w:numPr>
        <w:shd w:val="clear" w:color="auto" w:fill="auto"/>
        <w:tabs>
          <w:tab w:pos="829" w:val="left"/>
        </w:tabs>
        <w:bidi w:val="0"/>
        <w:spacing w:before="0" w:after="0" w:line="312" w:lineRule="exact"/>
        <w:ind w:left="0" w:right="0" w:firstLine="440"/>
        <w:jc w:val="left"/>
      </w:pPr>
      <w:bookmarkStart w:id="783" w:name="bookmark783"/>
      <w:bookmarkEnd w:id="783"/>
      <w:r>
        <w:rPr>
          <w:color w:val="000000"/>
          <w:spacing w:val="0"/>
          <w:w w:val="100"/>
          <w:position w:val="0"/>
        </w:rPr>
        <w:t>于资产负债表日，按照下列方法对外币货币性项目和外币非货币性项目进行处理：</w:t>
      </w:r>
    </w:p>
    <w:p>
      <w:pPr>
        <w:pStyle w:val="Style33"/>
        <w:keepNext w:val="0"/>
        <w:keepLines w:val="0"/>
        <w:widowControl w:val="0"/>
        <w:numPr>
          <w:ilvl w:val="0"/>
          <w:numId w:val="25"/>
        </w:numPr>
        <w:shd w:val="clear" w:color="auto" w:fill="auto"/>
        <w:tabs>
          <w:tab w:pos="777" w:val="left"/>
        </w:tabs>
        <w:bidi w:val="0"/>
        <w:spacing w:before="0" w:after="0" w:line="312" w:lineRule="exact"/>
        <w:ind w:left="0" w:right="0" w:firstLine="440"/>
        <w:jc w:val="left"/>
      </w:pPr>
      <w:bookmarkStart w:id="784" w:name="bookmark784"/>
      <w:bookmarkEnd w:id="784"/>
      <w:r>
        <w:rPr>
          <w:color w:val="000000"/>
          <w:spacing w:val="0"/>
          <w:w w:val="100"/>
          <w:position w:val="0"/>
        </w:rPr>
        <w:t>外币货币性项目，采用资产负债表日中国人民银行公布的人民币外汇牌价中间价折算。因资产负债表日即期汇率与 初始确认时或者前一资产负债表日即期汇率不同而产生的汇兑差额，计入当期损益。</w:t>
      </w:r>
    </w:p>
    <w:p>
      <w:pPr>
        <w:pStyle w:val="Style33"/>
        <w:keepNext w:val="0"/>
        <w:keepLines w:val="0"/>
        <w:widowControl w:val="0"/>
        <w:numPr>
          <w:ilvl w:val="0"/>
          <w:numId w:val="25"/>
        </w:numPr>
        <w:shd w:val="clear" w:color="auto" w:fill="auto"/>
        <w:tabs>
          <w:tab w:pos="360" w:val="left"/>
        </w:tabs>
        <w:bidi w:val="0"/>
        <w:spacing w:before="0" w:after="0" w:line="312" w:lineRule="exact"/>
        <w:ind w:left="0" w:right="0" w:firstLine="440"/>
        <w:jc w:val="left"/>
      </w:pPr>
      <w:bookmarkStart w:id="785" w:name="bookmark785"/>
      <w:bookmarkEnd w:id="785"/>
      <w:r>
        <w:rPr>
          <w:color w:val="000000"/>
          <w:spacing w:val="0"/>
          <w:w w:val="100"/>
          <w:position w:val="0"/>
        </w:rPr>
        <w:t xml:space="preserve">以历史成本计量的外币非货币性项目，仍采用交易发生日的即期汇率折算，不改变其记账本位币金额；以公允价值 </w:t>
      </w:r>
      <w:r>
        <w:rPr>
          <w:color w:val="000000"/>
          <w:spacing w:val="0"/>
          <w:w w:val="100"/>
          <w:position w:val="0"/>
        </w:rPr>
        <w:t>计量的外币非货币性项目，采用公允价值确定日的即期汇率折算，折算后的记账本位币金额与原记账本位币金额的差额， 作为公允价值变动</w:t>
      </w:r>
      <w:r>
        <w:rPr>
          <w:rFonts w:ascii="Times New Roman" w:eastAsia="Times New Roman" w:hAnsi="Times New Roman" w:cs="Times New Roman"/>
          <w:color w:val="000000"/>
          <w:spacing w:val="0"/>
          <w:w w:val="100"/>
          <w:position w:val="0"/>
        </w:rPr>
        <w:t>（</w:t>
      </w:r>
      <w:r>
        <w:rPr>
          <w:color w:val="000000"/>
          <w:spacing w:val="0"/>
          <w:w w:val="100"/>
          <w:position w:val="0"/>
        </w:rPr>
        <w:t>含汇率变动</w:t>
      </w:r>
      <w:r>
        <w:rPr>
          <w:rFonts w:ascii="Times New Roman" w:eastAsia="Times New Roman" w:hAnsi="Times New Roman" w:cs="Times New Roman"/>
          <w:color w:val="000000"/>
          <w:spacing w:val="0"/>
          <w:w w:val="100"/>
          <w:position w:val="0"/>
        </w:rPr>
        <w:t>）</w:t>
      </w:r>
      <w:r>
        <w:rPr>
          <w:color w:val="000000"/>
          <w:spacing w:val="0"/>
          <w:w w:val="100"/>
          <w:position w:val="0"/>
        </w:rPr>
        <w:t>处理，并根据非货币性项目的性质计入当期损益或其他综合收益。</w:t>
      </w:r>
    </w:p>
    <w:p>
      <w:pPr>
        <w:pStyle w:val="Style33"/>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货币性项目，是指公司持有的货币资金和将以固定或可确定的金额收取的资产或者偿付的负债。非货币性项目，是指 货币性项目以外的项目。</w:t>
      </w:r>
    </w:p>
    <w:p>
      <w:pPr>
        <w:pStyle w:val="Style33"/>
        <w:keepNext w:val="0"/>
        <w:keepLines w:val="0"/>
        <w:widowControl w:val="0"/>
        <w:shd w:val="clear" w:color="auto" w:fill="auto"/>
        <w:tabs>
          <w:tab w:pos="842" w:val="left"/>
        </w:tabs>
        <w:bidi w:val="0"/>
        <w:spacing w:before="0" w:after="0"/>
        <w:ind w:left="0" w:right="0" w:firstLine="440"/>
        <w:jc w:val="both"/>
      </w:pPr>
      <w:bookmarkStart w:id="786" w:name="bookmark786"/>
      <w:r>
        <w:rPr>
          <w:rFonts w:ascii="Times New Roman" w:eastAsia="Times New Roman" w:hAnsi="Times New Roman" w:cs="Times New Roman"/>
          <w:color w:val="000000"/>
          <w:spacing w:val="0"/>
          <w:w w:val="100"/>
          <w:position w:val="0"/>
        </w:rPr>
        <w:t>（</w:t>
      </w:r>
      <w:bookmarkEnd w:id="786"/>
      <w:r>
        <w:rPr>
          <w:rFonts w:ascii="Times New Roman" w:eastAsia="Times New Roman" w:hAnsi="Times New Roman" w:cs="Times New Roman"/>
          <w:color w:val="000000"/>
          <w:spacing w:val="0"/>
          <w:w w:val="100"/>
          <w:position w:val="0"/>
        </w:rPr>
        <w:t>3）</w:t>
        <w:tab/>
      </w:r>
      <w:r>
        <w:rPr>
          <w:color w:val="000000"/>
          <w:spacing w:val="0"/>
          <w:w w:val="100"/>
          <w:position w:val="0"/>
        </w:rPr>
        <w:t>境外经营实体的外币财务报表的折算方法：</w:t>
      </w:r>
    </w:p>
    <w:p>
      <w:pPr>
        <w:pStyle w:val="Style33"/>
        <w:keepNext w:val="0"/>
        <w:keepLines w:val="0"/>
        <w:widowControl w:val="0"/>
        <w:numPr>
          <w:ilvl w:val="0"/>
          <w:numId w:val="27"/>
        </w:numPr>
        <w:shd w:val="clear" w:color="auto" w:fill="auto"/>
        <w:tabs>
          <w:tab w:pos="790" w:val="left"/>
        </w:tabs>
        <w:bidi w:val="0"/>
        <w:spacing w:before="0" w:after="0" w:line="313" w:lineRule="exact"/>
        <w:ind w:left="0" w:right="0" w:firstLine="440"/>
        <w:jc w:val="both"/>
      </w:pPr>
      <w:bookmarkStart w:id="787" w:name="bookmark787"/>
      <w:bookmarkEnd w:id="787"/>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 其他项目采用发生时的即期汇率折算；</w:t>
      </w:r>
    </w:p>
    <w:p>
      <w:pPr>
        <w:pStyle w:val="Style33"/>
        <w:keepNext w:val="0"/>
        <w:keepLines w:val="0"/>
        <w:widowControl w:val="0"/>
        <w:numPr>
          <w:ilvl w:val="0"/>
          <w:numId w:val="27"/>
        </w:numPr>
        <w:shd w:val="clear" w:color="auto" w:fill="auto"/>
        <w:tabs>
          <w:tab w:pos="781" w:val="left"/>
        </w:tabs>
        <w:bidi w:val="0"/>
        <w:spacing w:before="0" w:after="0" w:line="313" w:lineRule="exact"/>
        <w:ind w:left="0" w:right="0" w:firstLine="440"/>
        <w:jc w:val="both"/>
      </w:pPr>
      <w:bookmarkStart w:id="788" w:name="bookmark788"/>
      <w:bookmarkEnd w:id="788"/>
      <w:r>
        <w:rPr>
          <w:color w:val="000000"/>
          <w:spacing w:val="0"/>
          <w:w w:val="100"/>
          <w:position w:val="0"/>
        </w:rPr>
        <w:t>利润表中的收入和费用项目，采用交易发生日的即期汇率折算</w:t>
      </w:r>
      <w:r>
        <w:rPr>
          <w:rFonts w:ascii="Times New Roman" w:eastAsia="Times New Roman" w:hAnsi="Times New Roman" w:cs="Times New Roman"/>
          <w:color w:val="000000"/>
          <w:spacing w:val="0"/>
          <w:w w:val="100"/>
          <w:position w:val="0"/>
        </w:rPr>
        <w:t>（</w:t>
      </w:r>
      <w:r>
        <w:rPr>
          <w:color w:val="000000"/>
          <w:spacing w:val="0"/>
          <w:w w:val="100"/>
          <w:position w:val="0"/>
        </w:rPr>
        <w:t>或采用按照系统合理的方法确定的、与交易发生日 即期汇率近似的汇率折算</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val="0"/>
        <w:keepLines w:val="0"/>
        <w:widowControl w:val="0"/>
        <w:numPr>
          <w:ilvl w:val="0"/>
          <w:numId w:val="27"/>
        </w:numPr>
        <w:shd w:val="clear" w:color="auto" w:fill="auto"/>
        <w:tabs>
          <w:tab w:pos="813" w:val="left"/>
        </w:tabs>
        <w:bidi w:val="0"/>
        <w:spacing w:before="0" w:after="100" w:line="313" w:lineRule="exact"/>
        <w:ind w:left="0" w:right="0" w:firstLine="440"/>
        <w:jc w:val="left"/>
      </w:pPr>
      <w:bookmarkStart w:id="789" w:name="bookmark789"/>
      <w:bookmarkEnd w:id="789"/>
      <w:r>
        <w:rPr>
          <w:color w:val="000000"/>
          <w:spacing w:val="0"/>
          <w:w w:val="100"/>
          <w:position w:val="0"/>
        </w:rPr>
        <w:t>按照上述①、②折算产生的外币财务报表折算差额，在资产负债表中所有者权益项目下单独列示。</w:t>
      </w:r>
    </w:p>
    <w:p>
      <w:pPr>
        <w:pStyle w:val="Style33"/>
        <w:keepNext w:val="0"/>
        <w:keepLines w:val="0"/>
        <w:widowControl w:val="0"/>
        <w:shd w:val="clear" w:color="auto" w:fill="auto"/>
        <w:tabs>
          <w:tab w:pos="842" w:val="left"/>
        </w:tabs>
        <w:bidi w:val="0"/>
        <w:spacing w:before="0" w:after="0"/>
        <w:ind w:left="0" w:right="0" w:firstLine="440"/>
        <w:jc w:val="left"/>
      </w:pPr>
      <w:bookmarkStart w:id="790" w:name="bookmark790"/>
      <w:r>
        <w:rPr>
          <w:rFonts w:ascii="Times New Roman" w:eastAsia="Times New Roman" w:hAnsi="Times New Roman" w:cs="Times New Roman"/>
          <w:color w:val="000000"/>
          <w:spacing w:val="0"/>
          <w:w w:val="100"/>
          <w:position w:val="0"/>
        </w:rPr>
        <w:t>（</w:t>
      </w:r>
      <w:bookmarkEnd w:id="790"/>
      <w:r>
        <w:rPr>
          <w:rFonts w:ascii="Times New Roman" w:eastAsia="Times New Roman" w:hAnsi="Times New Roman" w:cs="Times New Roman"/>
          <w:color w:val="000000"/>
          <w:spacing w:val="0"/>
          <w:w w:val="100"/>
          <w:position w:val="0"/>
        </w:rPr>
        <w:t>4）</w:t>
        <w:tab/>
      </w:r>
      <w:r>
        <w:rPr>
          <w:color w:val="000000"/>
          <w:spacing w:val="0"/>
          <w:w w:val="100"/>
          <w:position w:val="0"/>
        </w:rPr>
        <w:t>公司对处于恶性通货膨胀经济中的境外经营的财务报表，按照下列方法进行折算：</w:t>
      </w:r>
    </w:p>
    <w:p>
      <w:pPr>
        <w:pStyle w:val="Style3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对资产负债表项目运用一般物价指数予以重述，对利润表项目运用一般物价指数变动予以重述，再按照最近资产负债 表日的即期汇率进行折算。</w:t>
      </w:r>
    </w:p>
    <w:p>
      <w:pPr>
        <w:pStyle w:val="Style3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在境外经营不再处于恶性通货膨胀经济中时，停止重述，按照停止之日的价格水平重述的财务报表进行折算。</w:t>
      </w:r>
    </w:p>
    <w:p>
      <w:pPr>
        <w:pStyle w:val="Style33"/>
        <w:keepNext w:val="0"/>
        <w:keepLines w:val="0"/>
        <w:widowControl w:val="0"/>
        <w:shd w:val="clear" w:color="auto" w:fill="auto"/>
        <w:tabs>
          <w:tab w:pos="819" w:val="left"/>
        </w:tabs>
        <w:bidi w:val="0"/>
        <w:spacing w:before="0" w:after="700" w:line="313" w:lineRule="exact"/>
        <w:ind w:left="0" w:right="0" w:firstLine="440"/>
        <w:jc w:val="left"/>
      </w:pPr>
      <w:bookmarkStart w:id="791" w:name="bookmark791"/>
      <w:r>
        <w:rPr>
          <w:rFonts w:ascii="Times New Roman" w:eastAsia="Times New Roman" w:hAnsi="Times New Roman" w:cs="Times New Roman"/>
          <w:color w:val="000000"/>
          <w:spacing w:val="0"/>
          <w:w w:val="100"/>
          <w:position w:val="0"/>
        </w:rPr>
        <w:t>（</w:t>
      </w:r>
      <w:bookmarkEnd w:id="791"/>
      <w:r>
        <w:rPr>
          <w:rFonts w:ascii="Times New Roman" w:eastAsia="Times New Roman" w:hAnsi="Times New Roman" w:cs="Times New Roman"/>
          <w:color w:val="000000"/>
          <w:spacing w:val="0"/>
          <w:w w:val="100"/>
          <w:position w:val="0"/>
        </w:rPr>
        <w:t>5）</w:t>
        <w:tab/>
      </w:r>
      <w:r>
        <w:rPr>
          <w:color w:val="000000"/>
          <w:spacing w:val="0"/>
          <w:w w:val="100"/>
          <w:position w:val="0"/>
        </w:rPr>
        <w:t>公司在处置境外经营时，将资产负债表中所有者权益项目下列示的、与该境外经营相关的外币财务报表折算差额， 自所有者权益项目转入处置当期损益；部分处置境外经营的，按处置的比例计算处置部分的外币财务报表折算差额，转入 处置当期损益。</w:t>
      </w:r>
    </w:p>
    <w:p>
      <w:pPr>
        <w:pStyle w:val="Style37"/>
        <w:keepNext/>
        <w:keepLines/>
        <w:widowControl w:val="0"/>
        <w:shd w:val="clear" w:color="auto" w:fill="auto"/>
        <w:bidi w:val="0"/>
        <w:spacing w:before="0" w:after="260" w:line="240" w:lineRule="auto"/>
        <w:ind w:left="0" w:right="0" w:firstLine="0"/>
        <w:jc w:val="both"/>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1</w:t>
      </w:r>
      <w:bookmarkEnd w:id="794"/>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92"/>
      <w:bookmarkEnd w:id="793"/>
      <w:bookmarkEnd w:id="795"/>
    </w:p>
    <w:p>
      <w:pPr>
        <w:pStyle w:val="Style33"/>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金融工具，是指形成一方的金融资产并形成其他方的金融负债或权益工具的合同。当公司成为金融工具合同的一方时， 确认相关的金融资产或金融负债。</w:t>
      </w:r>
    </w:p>
    <w:p>
      <w:pPr>
        <w:pStyle w:val="Style33"/>
        <w:keepNext w:val="0"/>
        <w:keepLines w:val="0"/>
        <w:widowControl w:val="0"/>
        <w:shd w:val="clear" w:color="auto" w:fill="auto"/>
        <w:bidi w:val="0"/>
        <w:spacing w:before="0" w:after="0"/>
        <w:ind w:left="0" w:right="0" w:firstLine="440"/>
        <w:jc w:val="both"/>
      </w:pPr>
      <w:bookmarkStart w:id="796" w:name="bookmark796"/>
      <w:r>
        <w:rPr>
          <w:rFonts w:ascii="Times New Roman" w:eastAsia="Times New Roman" w:hAnsi="Times New Roman" w:cs="Times New Roman"/>
          <w:color w:val="000000"/>
          <w:spacing w:val="0"/>
          <w:w w:val="100"/>
          <w:position w:val="0"/>
        </w:rPr>
        <w:t>（</w:t>
      </w:r>
      <w:bookmarkEnd w:id="796"/>
      <w:r>
        <w:rPr>
          <w:rFonts w:ascii="Times New Roman" w:eastAsia="Times New Roman" w:hAnsi="Times New Roman" w:cs="Times New Roman"/>
          <w:color w:val="000000"/>
          <w:spacing w:val="0"/>
          <w:w w:val="100"/>
          <w:position w:val="0"/>
        </w:rPr>
        <w:t>1）</w:t>
      </w:r>
      <w:r>
        <w:rPr>
          <w:color w:val="000000"/>
          <w:spacing w:val="0"/>
          <w:w w:val="100"/>
          <w:position w:val="0"/>
        </w:rPr>
        <w:t>金融资产</w:t>
      </w:r>
    </w:p>
    <w:p>
      <w:pPr>
        <w:pStyle w:val="Style33"/>
        <w:keepNext w:val="0"/>
        <w:keepLines w:val="0"/>
        <w:widowControl w:val="0"/>
        <w:numPr>
          <w:ilvl w:val="0"/>
          <w:numId w:val="29"/>
        </w:numPr>
        <w:shd w:val="clear" w:color="auto" w:fill="auto"/>
        <w:bidi w:val="0"/>
        <w:spacing w:before="0" w:after="0" w:line="313" w:lineRule="exact"/>
        <w:ind w:left="0" w:right="0" w:firstLine="440"/>
        <w:jc w:val="both"/>
      </w:pPr>
      <w:bookmarkStart w:id="797" w:name="bookmark797"/>
      <w:bookmarkEnd w:id="797"/>
      <w:r>
        <w:rPr>
          <w:color w:val="000000"/>
          <w:spacing w:val="0"/>
          <w:w w:val="100"/>
          <w:position w:val="0"/>
        </w:rPr>
        <w:t>分类和初始计量</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公司根据管理金融资产的业务模式和金融资产的合同现金流量特征，将金融资产划分为：</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以摊余成本计量的金融资产；</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以公允价值计量且其变动计入其他综合收益的金融资产；</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以公允价值计量且其变动计入当期损益的金融资产。</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金融资产在初始确认时以公允价值计量。对于以公允价值计量且其变动计入当期损益的金融资产，相关交易费用直接 计入当期损益；对于其他类别的金融资产，相关交易费用计入初始确认金额。因销售产品或提供劳务而产生的、未包含或不 考虑重大融资成分的应收账款或应收票据，公司按照预期有权收取的对价金额作为初始确认金额。</w:t>
      </w:r>
    </w:p>
    <w:p>
      <w:pPr>
        <w:pStyle w:val="Style33"/>
        <w:keepNext w:val="0"/>
        <w:keepLines w:val="0"/>
        <w:widowControl w:val="0"/>
        <w:shd w:val="clear" w:color="auto" w:fill="auto"/>
        <w:bidi w:val="0"/>
        <w:spacing w:before="0" w:after="0" w:line="313" w:lineRule="exact"/>
        <w:ind w:left="0" w:right="0" w:firstLine="440"/>
        <w:jc w:val="both"/>
      </w:pPr>
      <w:bookmarkStart w:id="798" w:name="bookmark798"/>
      <w:r>
        <w:rPr>
          <w:rFonts w:ascii="Times New Roman" w:eastAsia="Times New Roman" w:hAnsi="Times New Roman" w:cs="Times New Roman"/>
          <w:color w:val="000000"/>
          <w:spacing w:val="0"/>
          <w:w w:val="100"/>
          <w:position w:val="0"/>
        </w:rPr>
        <w:t>1</w:t>
      </w:r>
      <w:bookmarkEnd w:id="798"/>
      <w:r>
        <w:rPr>
          <w:rFonts w:ascii="Times New Roman" w:eastAsia="Times New Roman" w:hAnsi="Times New Roman" w:cs="Times New Roman"/>
          <w:color w:val="000000"/>
          <w:spacing w:val="0"/>
          <w:w w:val="100"/>
          <w:position w:val="0"/>
        </w:rPr>
        <w:t>）</w:t>
      </w:r>
      <w:r>
        <w:rPr>
          <w:color w:val="000000"/>
          <w:spacing w:val="0"/>
          <w:w w:val="100"/>
          <w:position w:val="0"/>
        </w:rPr>
        <w:t>债务工具</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公司持有的债务工具是指从发行方角度分析符合金融负债定义的工具，分别采用以下三种方式进行计量：</w:t>
      </w:r>
    </w:p>
    <w:p>
      <w:pPr>
        <w:pStyle w:val="Style33"/>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&lt;1&gt;</w:t>
      </w:r>
      <w:r>
        <w:rPr>
          <w:color w:val="000000"/>
          <w:spacing w:val="0"/>
          <w:w w:val="100"/>
          <w:position w:val="0"/>
        </w:rPr>
        <w:t>以摊余成本计量：</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公司管理此类金融资产的业务模式为以收取合同现金流量为目标，且此类金融资产的合同现金流量特征与基本借贷安 排相一致，即在特定日期产生的现金流量，仅为对本金和以未偿付本金金额为基础的利息的支付。公司对于此类金融资产按 照实际利率法确认利息收入。此类金融资产主要包括货币资金、应收票据及应收账款、其他应收款、债权投资和长期应收款 等。公司将自资产负债表日起一年内</w:t>
      </w:r>
      <w:r>
        <w:rPr>
          <w:rFonts w:ascii="Times New Roman" w:eastAsia="Times New Roman" w:hAnsi="Times New Roman" w:cs="Times New Roman"/>
          <w:color w:val="000000"/>
          <w:spacing w:val="0"/>
          <w:w w:val="100"/>
          <w:position w:val="0"/>
        </w:rPr>
        <w:t>（</w:t>
      </w:r>
      <w:r>
        <w:rPr>
          <w:color w:val="000000"/>
          <w:spacing w:val="0"/>
          <w:w w:val="100"/>
          <w:position w:val="0"/>
        </w:rPr>
        <w:t>含一年</w:t>
      </w:r>
      <w:r>
        <w:rPr>
          <w:rFonts w:ascii="Times New Roman" w:eastAsia="Times New Roman" w:hAnsi="Times New Roman" w:cs="Times New Roman"/>
          <w:color w:val="000000"/>
          <w:spacing w:val="0"/>
          <w:w w:val="100"/>
          <w:position w:val="0"/>
        </w:rPr>
        <w:t>）</w:t>
      </w:r>
      <w:r>
        <w:rPr>
          <w:color w:val="000000"/>
          <w:spacing w:val="0"/>
          <w:w w:val="100"/>
          <w:position w:val="0"/>
        </w:rPr>
        <w:t>到期的债权投资和长期应收款，列示为一年内到期的非流动资产；取得时期限 在一年内</w:t>
      </w:r>
      <w:r>
        <w:rPr>
          <w:rFonts w:ascii="Times New Roman" w:eastAsia="Times New Roman" w:hAnsi="Times New Roman" w:cs="Times New Roman"/>
          <w:color w:val="000000"/>
          <w:spacing w:val="0"/>
          <w:w w:val="100"/>
          <w:position w:val="0"/>
        </w:rPr>
        <w:t>（</w:t>
      </w:r>
      <w:r>
        <w:rPr>
          <w:color w:val="000000"/>
          <w:spacing w:val="0"/>
          <w:w w:val="100"/>
          <w:position w:val="0"/>
        </w:rPr>
        <w:t>含一年</w:t>
      </w:r>
      <w:r>
        <w:rPr>
          <w:rFonts w:ascii="Times New Roman" w:eastAsia="Times New Roman" w:hAnsi="Times New Roman" w:cs="Times New Roman"/>
          <w:color w:val="000000"/>
          <w:spacing w:val="0"/>
          <w:w w:val="100"/>
          <w:position w:val="0"/>
        </w:rPr>
        <w:t>）</w:t>
      </w:r>
      <w:r>
        <w:rPr>
          <w:color w:val="000000"/>
          <w:spacing w:val="0"/>
          <w:w w:val="100"/>
          <w:position w:val="0"/>
        </w:rPr>
        <w:t>的债权投资列示为其他流动资产。</w:t>
      </w:r>
    </w:p>
    <w:p>
      <w:pPr>
        <w:pStyle w:val="Style33"/>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&lt;2&gt;</w:t>
      </w:r>
      <w:r>
        <w:rPr>
          <w:color w:val="000000"/>
          <w:spacing w:val="0"/>
          <w:w w:val="100"/>
          <w:position w:val="0"/>
        </w:rPr>
        <w:t>以公允价值计量且其变动计入其他综合收益：</w:t>
      </w:r>
    </w:p>
    <w:p>
      <w:pPr>
        <w:pStyle w:val="Style33"/>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公司管理此类金融资产的业务模式为既以收取合同现金流量为目标又以出售为目标，且此类金融资产的合同现金流量 特征与基本借贷安排相一致。此类金融资产按照公允价值计量且其变动计入其他综合收益，但减值损失或利得、汇兑损益和 按照实际利率法计算的利息收入计入当期损益。此类金融资产列示为其他债权投资，自资产负债表日起一年内</w:t>
      </w:r>
      <w:r>
        <w:rPr>
          <w:rFonts w:ascii="Times New Roman" w:eastAsia="Times New Roman" w:hAnsi="Times New Roman" w:cs="Times New Roman"/>
          <w:color w:val="000000"/>
          <w:spacing w:val="0"/>
          <w:w w:val="100"/>
          <w:position w:val="0"/>
        </w:rPr>
        <w:t>（</w:t>
      </w:r>
      <w:r>
        <w:rPr>
          <w:color w:val="000000"/>
          <w:spacing w:val="0"/>
          <w:w w:val="100"/>
          <w:position w:val="0"/>
        </w:rPr>
        <w:t>含一年</w:t>
      </w:r>
      <w:r>
        <w:rPr>
          <w:rFonts w:ascii="Times New Roman" w:eastAsia="Times New Roman" w:hAnsi="Times New Roman" w:cs="Times New Roman"/>
          <w:color w:val="000000"/>
          <w:spacing w:val="0"/>
          <w:w w:val="100"/>
          <w:position w:val="0"/>
        </w:rPr>
        <w:t>）</w:t>
      </w:r>
      <w:r>
        <w:rPr>
          <w:color w:val="000000"/>
          <w:spacing w:val="0"/>
          <w:w w:val="100"/>
          <w:position w:val="0"/>
        </w:rPr>
        <w:t xml:space="preserve">到期 </w:t>
      </w:r>
      <w:r>
        <w:rPr>
          <w:color w:val="000000"/>
          <w:spacing w:val="0"/>
          <w:w w:val="100"/>
          <w:position w:val="0"/>
        </w:rPr>
        <w:t>的其他债权投资，列示为一年内到期的非流动资产；取得时期限在一年内</w:t>
      </w:r>
      <w:r>
        <w:rPr>
          <w:rFonts w:ascii="Times New Roman" w:eastAsia="Times New Roman" w:hAnsi="Times New Roman" w:cs="Times New Roman"/>
          <w:color w:val="000000"/>
          <w:spacing w:val="0"/>
          <w:w w:val="100"/>
          <w:position w:val="0"/>
        </w:rPr>
        <w:t>（</w:t>
      </w:r>
      <w:r>
        <w:rPr>
          <w:color w:val="000000"/>
          <w:spacing w:val="0"/>
          <w:w w:val="100"/>
          <w:position w:val="0"/>
        </w:rPr>
        <w:t>含一年</w:t>
      </w:r>
      <w:r>
        <w:rPr>
          <w:rFonts w:ascii="Times New Roman" w:eastAsia="Times New Roman" w:hAnsi="Times New Roman" w:cs="Times New Roman"/>
          <w:color w:val="000000"/>
          <w:spacing w:val="0"/>
          <w:w w:val="100"/>
          <w:position w:val="0"/>
        </w:rPr>
        <w:t>）</w:t>
      </w:r>
      <w:r>
        <w:rPr>
          <w:color w:val="000000"/>
          <w:spacing w:val="0"/>
          <w:w w:val="100"/>
          <w:position w:val="0"/>
        </w:rPr>
        <w:t>的其他债权投资列示为其他流动资产。</w:t>
      </w:r>
    </w:p>
    <w:p>
      <w:pPr>
        <w:pStyle w:val="Style33"/>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&lt;3&gt;</w:t>
      </w:r>
      <w:r>
        <w:rPr>
          <w:color w:val="000000"/>
          <w:spacing w:val="0"/>
          <w:w w:val="100"/>
          <w:position w:val="0"/>
        </w:rPr>
        <w:t>以公允价值计量且其变动计入当期损益：</w:t>
      </w:r>
    </w:p>
    <w:p>
      <w:pPr>
        <w:pStyle w:val="Style33"/>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公司将持有的未划分为以摊余成本计量和以公允价值计量且其变动计入其他综合收益的债务工具，以公允价值计量且 其变动计入当期损益，列示为交易性金融资产。在初始确认时，公司为了消除或显著减少会计错配，将部分金融资产指定为 以公允价值计量且其变动计入当期损益的金融资产。自资产负债表日起超过一年到期且预期持有超过一年的，列示为其他非 流动金融资产。</w:t>
      </w:r>
    </w:p>
    <w:p>
      <w:pPr>
        <w:pStyle w:val="Style33"/>
        <w:keepNext w:val="0"/>
        <w:keepLines w:val="0"/>
        <w:widowControl w:val="0"/>
        <w:shd w:val="clear" w:color="auto" w:fill="auto"/>
        <w:bidi w:val="0"/>
        <w:spacing w:before="0" w:after="0"/>
        <w:ind w:left="0" w:right="0" w:firstLine="440"/>
        <w:jc w:val="both"/>
      </w:pPr>
      <w:bookmarkStart w:id="799" w:name="bookmark799"/>
      <w:r>
        <w:rPr>
          <w:rFonts w:ascii="Times New Roman" w:eastAsia="Times New Roman" w:hAnsi="Times New Roman" w:cs="Times New Roman"/>
          <w:color w:val="000000"/>
          <w:spacing w:val="0"/>
          <w:w w:val="100"/>
          <w:position w:val="0"/>
        </w:rPr>
        <w:t>2</w:t>
      </w:r>
      <w:bookmarkEnd w:id="799"/>
      <w:r>
        <w:rPr>
          <w:rFonts w:ascii="Times New Roman" w:eastAsia="Times New Roman" w:hAnsi="Times New Roman" w:cs="Times New Roman"/>
          <w:color w:val="000000"/>
          <w:spacing w:val="0"/>
          <w:w w:val="100"/>
          <w:position w:val="0"/>
        </w:rPr>
        <w:t>）</w:t>
      </w:r>
      <w:r>
        <w:rPr>
          <w:color w:val="000000"/>
          <w:spacing w:val="0"/>
          <w:w w:val="100"/>
          <w:position w:val="0"/>
        </w:rPr>
        <w:t>权益工具</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公司将对其没有控制、共同控制和重大影响的权益工具投资按照公允价值计量且其变动计入当期损益，列示为交易性 金融资产；自资产负债表日起预期持有超过一年的，列示为其他非流动金融资产。</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此外，公司将部分非交易性权益工具投资指定为以公允价值计量且其变动计入其他综合收益的金融资产，列示为其他 权益工具投资。该类金融资产的相关股利收入计入当期损益。该指定一经做出，不得撤销。本公司在非同一控制下的企业合 并中确认的或有对价构成金融资产的，该金融资产分类为以公允价值计量且其变动计入当期损益的金融资产。</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对于非交易性权益工具投资，公司可在初始确认时将其不可撤销地指定为以公允价值计量且其变动计入其他综合收益 的金融资产。该指定在单项投资的基础上作出，且相关投资从发行者的角度符合权益工具的定义。</w:t>
      </w:r>
    </w:p>
    <w:p>
      <w:pPr>
        <w:pStyle w:val="Style33"/>
        <w:keepNext w:val="0"/>
        <w:keepLines w:val="0"/>
        <w:widowControl w:val="0"/>
        <w:numPr>
          <w:ilvl w:val="0"/>
          <w:numId w:val="29"/>
        </w:numPr>
        <w:shd w:val="clear" w:color="auto" w:fill="auto"/>
        <w:bidi w:val="0"/>
        <w:spacing w:before="0" w:after="0" w:line="313" w:lineRule="exact"/>
        <w:ind w:left="0" w:right="0" w:firstLine="440"/>
        <w:jc w:val="both"/>
      </w:pPr>
      <w:bookmarkStart w:id="800" w:name="bookmark800"/>
      <w:bookmarkEnd w:id="800"/>
      <w:r>
        <w:rPr>
          <w:color w:val="000000"/>
          <w:spacing w:val="0"/>
          <w:w w:val="100"/>
          <w:position w:val="0"/>
        </w:rPr>
        <w:t>减值</w:t>
      </w:r>
    </w:p>
    <w:p>
      <w:pPr>
        <w:pStyle w:val="Style3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公司对于以摊余成本计量的金融资产、以公允价值计量且其变动计入其他综合收益的债务工具投资和财务担保合同等, 以预期信用损失为基础确认损失准备。公司考虑有关过去事项、当前状况以及对未来经济状况的预测等合理且有依据的信 息，以发生违约的风险为权重，计算合同应收的现金流量与预期能收到的现金流量之间差额的现值的概率加权金额，确认预 期信用损失。</w:t>
      </w:r>
    </w:p>
    <w:p>
      <w:pPr>
        <w:pStyle w:val="Style3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于每个资产负债表日，公司对于处于不同阶段的金融工具的预期信用损失分别进行计量。金融工具自初始确认后信用 风险未显著增加的，处于第一阶段，公司按照未来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个月内的预期信用损失计量损失准备；金融工具自初始确认后信用风险 已显著增加但尚未发生信用减值的，处于第二阶段，公司按照该工具整个存续期的预期信用损失计量损失准备；金融工具自 初始确认后已经发生信用减值的，处于第三阶段，公司按照该工具整个存续期的预期信用损失计量损失准备。</w:t>
      </w:r>
    </w:p>
    <w:p>
      <w:pPr>
        <w:pStyle w:val="Style3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对于在资产负债表日具有较低信用风险的金融工具，公司假设其信用风险自初始确认后并未显著增加，按照未来</w:t>
      </w:r>
      <w:r>
        <w:rPr>
          <w:rFonts w:ascii="Times New Roman" w:eastAsia="Times New Roman" w:hAnsi="Times New Roman" w:cs="Times New Roman"/>
          <w:color w:val="000000"/>
          <w:spacing w:val="0"/>
          <w:w w:val="100"/>
          <w:position w:val="0"/>
        </w:rPr>
        <w:t>12</w:t>
      </w:r>
      <w:r>
        <w:rPr>
          <w:color w:val="000000"/>
          <w:spacing w:val="0"/>
          <w:w w:val="100"/>
          <w:position w:val="0"/>
        </w:rPr>
        <w:t>个 月内的预期信用损失计量损失准备。</w:t>
      </w:r>
    </w:p>
    <w:p>
      <w:pPr>
        <w:pStyle w:val="Style3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公司对于处于第一阶段和第二阶段、以及较低信用风险的金融工具，按照其未扣除减值准备的账面余额和实际利率计 算利息收入。对于处于第三阶段的金融工具，按照其账面余额减已计提减值准备后的摊余成本和实际利率计算利息收入。</w:t>
      </w:r>
    </w:p>
    <w:p>
      <w:pPr>
        <w:pStyle w:val="Style33"/>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对于应收票据及应收账款和合同资产，无论是否存在重大融资成分，公司均可以按照整个存续期的预期信用损失计量 损失准备。</w:t>
      </w:r>
    </w:p>
    <w:p>
      <w:pPr>
        <w:pStyle w:val="Style33"/>
        <w:keepNext w:val="0"/>
        <w:keepLines w:val="0"/>
        <w:widowControl w:val="0"/>
        <w:shd w:val="clear" w:color="auto" w:fill="auto"/>
        <w:tabs>
          <w:tab w:pos="749" w:val="left"/>
        </w:tabs>
        <w:bidi w:val="0"/>
        <w:spacing w:before="0" w:after="0"/>
        <w:ind w:left="0" w:right="0" w:firstLine="440"/>
        <w:jc w:val="left"/>
      </w:pPr>
      <w:bookmarkStart w:id="801" w:name="bookmark801"/>
      <w:r>
        <w:rPr>
          <w:rFonts w:ascii="Times New Roman" w:eastAsia="Times New Roman" w:hAnsi="Times New Roman" w:cs="Times New Roman"/>
          <w:color w:val="000000"/>
          <w:spacing w:val="0"/>
          <w:w w:val="100"/>
          <w:position w:val="0"/>
        </w:rPr>
        <w:t>1</w:t>
      </w:r>
      <w:bookmarkEnd w:id="801"/>
      <w:r>
        <w:rPr>
          <w:rFonts w:ascii="Times New Roman" w:eastAsia="Times New Roman" w:hAnsi="Times New Roman" w:cs="Times New Roman"/>
          <w:color w:val="000000"/>
          <w:spacing w:val="0"/>
          <w:w w:val="100"/>
          <w:position w:val="0"/>
        </w:rPr>
        <w:t>）</w:t>
        <w:tab/>
      </w:r>
      <w:r>
        <w:rPr>
          <w:color w:val="000000"/>
          <w:spacing w:val="0"/>
          <w:w w:val="100"/>
          <w:position w:val="0"/>
        </w:rPr>
        <w:t>信用风险显著增加判断标准</w:t>
      </w:r>
    </w:p>
    <w:p>
      <w:pPr>
        <w:pStyle w:val="Style3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公司在每个资产负债表日评估相关金融工具的信用风险自初始确认后是否已显著增加。</w:t>
      </w:r>
    </w:p>
    <w:p>
      <w:pPr>
        <w:pStyle w:val="Style3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在确定信用风险自初始确认后是否显著增加时，公司考虑在无须付出不必要的额外成本或努力即可获得合理且有依据 的信息，包括基于公司历史数据的定性和定量分析、外部信用风险评级以及前瞻性信息。公司以单项金融工具或者具有相似 信用风险特征的金融工具组合为基础，通过比较金融工具在资产负债表日发生违约的风险与在初始确认日发生违约的风险, 以确定金融工具预计存续期内发生违约风险的变化情况。</w:t>
      </w:r>
    </w:p>
    <w:p>
      <w:pPr>
        <w:pStyle w:val="Style3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当触发以下一个或多个定量或定性标准时，公司认为金融工具的信用风险已发生显著增加：</w:t>
      </w:r>
    </w:p>
    <w:p>
      <w:pPr>
        <w:pStyle w:val="Style33"/>
        <w:keepNext w:val="0"/>
        <w:keepLines w:val="0"/>
        <w:widowControl w:val="0"/>
        <w:shd w:val="clear" w:color="auto" w:fill="auto"/>
        <w:bidi w:val="0"/>
        <w:spacing w:before="0" w:after="0" w:line="313" w:lineRule="exact"/>
        <w:ind w:left="0" w:right="0" w:firstLine="440"/>
        <w:jc w:val="left"/>
      </w:pPr>
      <w:r>
        <w:rPr>
          <w:rFonts w:ascii="Times New Roman" w:eastAsia="Times New Roman" w:hAnsi="Times New Roman" w:cs="Times New Roman"/>
          <w:color w:val="000000"/>
          <w:spacing w:val="0"/>
          <w:w w:val="100"/>
          <w:position w:val="0"/>
        </w:rPr>
        <w:t>&lt;1&gt;</w:t>
      </w:r>
      <w:r>
        <w:rPr>
          <w:color w:val="000000"/>
          <w:spacing w:val="0"/>
          <w:w w:val="100"/>
          <w:position w:val="0"/>
        </w:rPr>
        <w:t>定量标准主要为报告日剩余存续期违约概率较初始确认时上升超过一定比例。</w:t>
      </w:r>
    </w:p>
    <w:p>
      <w:pPr>
        <w:pStyle w:val="Style33"/>
        <w:keepNext w:val="0"/>
        <w:keepLines w:val="0"/>
        <w:widowControl w:val="0"/>
        <w:shd w:val="clear" w:color="auto" w:fill="auto"/>
        <w:bidi w:val="0"/>
        <w:spacing w:before="0" w:after="0" w:line="313" w:lineRule="exact"/>
        <w:ind w:left="0" w:right="0" w:firstLine="440"/>
        <w:jc w:val="left"/>
      </w:pPr>
      <w:r>
        <w:rPr>
          <w:rFonts w:ascii="Times New Roman" w:eastAsia="Times New Roman" w:hAnsi="Times New Roman" w:cs="Times New Roman"/>
          <w:color w:val="000000"/>
          <w:spacing w:val="0"/>
          <w:w w:val="100"/>
          <w:position w:val="0"/>
        </w:rPr>
        <w:t>&lt;2&gt;</w:t>
      </w:r>
      <w:r>
        <w:rPr>
          <w:color w:val="000000"/>
          <w:spacing w:val="0"/>
          <w:w w:val="100"/>
          <w:position w:val="0"/>
        </w:rPr>
        <w:t>定性标准主要为债务人经营或财务情况出现重大不利变化、预警客户清单等。</w:t>
      </w:r>
    </w:p>
    <w:p>
      <w:pPr>
        <w:pStyle w:val="Style33"/>
        <w:keepNext w:val="0"/>
        <w:keepLines w:val="0"/>
        <w:widowControl w:val="0"/>
        <w:shd w:val="clear" w:color="auto" w:fill="auto"/>
        <w:bidi w:val="0"/>
        <w:spacing w:before="0" w:after="100" w:line="313" w:lineRule="exact"/>
        <w:ind w:left="0" w:right="0" w:firstLine="440"/>
        <w:jc w:val="left"/>
      </w:pPr>
      <w:r>
        <w:rPr>
          <w:rFonts w:ascii="Times New Roman" w:eastAsia="Times New Roman" w:hAnsi="Times New Roman" w:cs="Times New Roman"/>
          <w:color w:val="000000"/>
          <w:spacing w:val="0"/>
          <w:w w:val="100"/>
          <w:position w:val="0"/>
        </w:rPr>
        <w:t>&lt;3&gt;</w:t>
      </w:r>
      <w:r>
        <w:rPr>
          <w:color w:val="000000"/>
          <w:spacing w:val="0"/>
          <w:w w:val="100"/>
          <w:position w:val="0"/>
        </w:rPr>
        <w:t>上限指标为债务人合同付款</w:t>
      </w:r>
      <w:r>
        <w:rPr>
          <w:rFonts w:ascii="Times New Roman" w:eastAsia="Times New Roman" w:hAnsi="Times New Roman" w:cs="Times New Roman"/>
          <w:color w:val="000000"/>
          <w:spacing w:val="0"/>
          <w:w w:val="100"/>
          <w:position w:val="0"/>
        </w:rPr>
        <w:t>（</w:t>
      </w:r>
      <w:r>
        <w:rPr>
          <w:color w:val="000000"/>
          <w:spacing w:val="0"/>
          <w:w w:val="100"/>
          <w:position w:val="0"/>
        </w:rPr>
        <w:t>包括本金和利息</w:t>
      </w:r>
      <w:r>
        <w:rPr>
          <w:rFonts w:ascii="Times New Roman" w:eastAsia="Times New Roman" w:hAnsi="Times New Roman" w:cs="Times New Roman"/>
          <w:color w:val="000000"/>
          <w:spacing w:val="0"/>
          <w:w w:val="100"/>
          <w:position w:val="0"/>
        </w:rPr>
        <w:t>）</w:t>
      </w:r>
      <w:r>
        <w:rPr>
          <w:color w:val="000000"/>
          <w:spacing w:val="0"/>
          <w:w w:val="100"/>
          <w:position w:val="0"/>
        </w:rPr>
        <w:t>一般逾期超过</w:t>
      </w:r>
      <w:r>
        <w:rPr>
          <w:rFonts w:ascii="Times New Roman" w:eastAsia="Times New Roman" w:hAnsi="Times New Roman" w:cs="Times New Roman"/>
          <w:color w:val="000000"/>
          <w:spacing w:val="0"/>
          <w:w w:val="100"/>
          <w:position w:val="0"/>
        </w:rPr>
        <w:t>30</w:t>
      </w:r>
      <w:r>
        <w:rPr>
          <w:color w:val="000000"/>
          <w:spacing w:val="0"/>
          <w:w w:val="100"/>
          <w:position w:val="0"/>
        </w:rPr>
        <w:t>天，最长不超过</w:t>
      </w:r>
      <w:r>
        <w:rPr>
          <w:rFonts w:ascii="Times New Roman" w:eastAsia="Times New Roman" w:hAnsi="Times New Roman" w:cs="Times New Roman"/>
          <w:color w:val="000000"/>
          <w:spacing w:val="0"/>
          <w:w w:val="100"/>
          <w:position w:val="0"/>
        </w:rPr>
        <w:t>90</w:t>
      </w:r>
      <w:r>
        <w:rPr>
          <w:color w:val="000000"/>
          <w:spacing w:val="0"/>
          <w:w w:val="100"/>
          <w:position w:val="0"/>
        </w:rPr>
        <w:t>天。</w:t>
      </w:r>
    </w:p>
    <w:p>
      <w:pPr>
        <w:pStyle w:val="Style33"/>
        <w:keepNext w:val="0"/>
        <w:keepLines w:val="0"/>
        <w:widowControl w:val="0"/>
        <w:shd w:val="clear" w:color="auto" w:fill="auto"/>
        <w:tabs>
          <w:tab w:pos="768" w:val="left"/>
        </w:tabs>
        <w:bidi w:val="0"/>
        <w:spacing w:before="0" w:after="0"/>
        <w:ind w:left="0" w:right="0" w:firstLine="440"/>
        <w:jc w:val="left"/>
      </w:pPr>
      <w:bookmarkStart w:id="802" w:name="bookmark802"/>
      <w:r>
        <w:rPr>
          <w:rFonts w:ascii="Times New Roman" w:eastAsia="Times New Roman" w:hAnsi="Times New Roman" w:cs="Times New Roman"/>
          <w:color w:val="000000"/>
          <w:spacing w:val="0"/>
          <w:w w:val="100"/>
          <w:position w:val="0"/>
        </w:rPr>
        <w:t>2</w:t>
      </w:r>
      <w:bookmarkEnd w:id="802"/>
      <w:r>
        <w:rPr>
          <w:rFonts w:ascii="Times New Roman" w:eastAsia="Times New Roman" w:hAnsi="Times New Roman" w:cs="Times New Roman"/>
          <w:color w:val="000000"/>
          <w:spacing w:val="0"/>
          <w:w w:val="100"/>
          <w:position w:val="0"/>
        </w:rPr>
        <w:t>）</w:t>
        <w:tab/>
      </w:r>
      <w:r>
        <w:rPr>
          <w:color w:val="000000"/>
          <w:spacing w:val="0"/>
          <w:w w:val="100"/>
          <w:position w:val="0"/>
        </w:rPr>
        <w:t>已发生信用减值资产的定义</w:t>
      </w:r>
    </w:p>
    <w:p>
      <w:pPr>
        <w:pStyle w:val="Style33"/>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为确定是否发生信用减值，公司所采用的界定标准，与内部针对相关金融工具的信用风险管理目标保持一致，同时考 虑定量、定性指标。公司评估债务人是否发生信用减值时，主要考虑以下因素：</w:t>
      </w:r>
    </w:p>
    <w:p>
      <w:pPr>
        <w:pStyle w:val="Style33"/>
        <w:keepNext w:val="0"/>
        <w:keepLines w:val="0"/>
        <w:widowControl w:val="0"/>
        <w:shd w:val="clear" w:color="auto" w:fill="auto"/>
        <w:bidi w:val="0"/>
        <w:spacing w:before="0" w:after="0"/>
        <w:ind w:left="0" w:right="0" w:firstLine="440"/>
        <w:jc w:val="left"/>
      </w:pPr>
      <w:r>
        <w:rPr>
          <w:rFonts w:ascii="Times New Roman" w:eastAsia="Times New Roman" w:hAnsi="Times New Roman" w:cs="Times New Roman"/>
          <w:color w:val="000000"/>
          <w:spacing w:val="0"/>
          <w:w w:val="100"/>
          <w:position w:val="0"/>
        </w:rPr>
        <w:t>&lt;1&gt;</w:t>
      </w:r>
      <w:r>
        <w:rPr>
          <w:color w:val="000000"/>
          <w:spacing w:val="0"/>
          <w:w w:val="100"/>
          <w:position w:val="0"/>
        </w:rPr>
        <w:t>发行方或债务人发生重大财务困难；</w:t>
      </w:r>
    </w:p>
    <w:p>
      <w:pPr>
        <w:pStyle w:val="Style33"/>
        <w:keepNext w:val="0"/>
        <w:keepLines w:val="0"/>
        <w:widowControl w:val="0"/>
        <w:shd w:val="clear" w:color="auto" w:fill="auto"/>
        <w:bidi w:val="0"/>
        <w:spacing w:before="0" w:after="100"/>
        <w:ind w:left="0" w:right="0" w:firstLine="440"/>
        <w:jc w:val="left"/>
      </w:pPr>
      <w:r>
        <w:rPr>
          <w:rFonts w:ascii="Times New Roman" w:eastAsia="Times New Roman" w:hAnsi="Times New Roman" w:cs="Times New Roman"/>
          <w:color w:val="000000"/>
          <w:spacing w:val="0"/>
          <w:w w:val="100"/>
          <w:position w:val="0"/>
        </w:rPr>
        <w:t>&lt;2&gt;</w:t>
      </w:r>
      <w:r>
        <w:rPr>
          <w:color w:val="000000"/>
          <w:spacing w:val="0"/>
          <w:w w:val="100"/>
          <w:position w:val="0"/>
        </w:rPr>
        <w:t>债务人违反合同，如偿付利息或本金违约或逾期等；</w:t>
      </w:r>
    </w:p>
    <w:p>
      <w:pPr>
        <w:pStyle w:val="Style33"/>
        <w:keepNext w:val="0"/>
        <w:keepLines w:val="0"/>
        <w:widowControl w:val="0"/>
        <w:shd w:val="clear" w:color="auto" w:fill="auto"/>
        <w:bidi w:val="0"/>
        <w:spacing w:before="0" w:after="0" w:line="317" w:lineRule="exact"/>
        <w:ind w:left="0" w:right="0" w:firstLine="440"/>
        <w:jc w:val="left"/>
      </w:pPr>
      <w:r>
        <w:rPr>
          <w:rFonts w:ascii="Times New Roman" w:eastAsia="Times New Roman" w:hAnsi="Times New Roman" w:cs="Times New Roman"/>
          <w:color w:val="000000"/>
          <w:spacing w:val="0"/>
          <w:w w:val="100"/>
          <w:position w:val="0"/>
        </w:rPr>
        <w:t>＜3＞</w:t>
      </w:r>
      <w:r>
        <w:rPr>
          <w:color w:val="000000"/>
          <w:spacing w:val="0"/>
          <w:w w:val="100"/>
          <w:position w:val="0"/>
        </w:rPr>
        <w:t>债权人出于与债务人财务困难有关的经济或合同考虑，给予债务人在任何其他情况下都不会做出的让步；</w:t>
      </w:r>
    </w:p>
    <w:p>
      <w:pPr>
        <w:pStyle w:val="Style33"/>
        <w:keepNext w:val="0"/>
        <w:keepLines w:val="0"/>
        <w:widowControl w:val="0"/>
        <w:shd w:val="clear" w:color="auto" w:fill="auto"/>
        <w:bidi w:val="0"/>
        <w:spacing w:before="0" w:after="0" w:line="317" w:lineRule="exact"/>
        <w:ind w:left="0" w:right="0" w:firstLine="440"/>
        <w:jc w:val="left"/>
      </w:pPr>
      <w:r>
        <w:rPr>
          <w:rFonts w:ascii="Times New Roman" w:eastAsia="Times New Roman" w:hAnsi="Times New Roman" w:cs="Times New Roman"/>
          <w:color w:val="000000"/>
          <w:spacing w:val="0"/>
          <w:w w:val="100"/>
          <w:position w:val="0"/>
        </w:rPr>
        <w:t>＜4＞</w:t>
      </w:r>
      <w:r>
        <w:rPr>
          <w:color w:val="000000"/>
          <w:spacing w:val="0"/>
          <w:w w:val="100"/>
          <w:position w:val="0"/>
        </w:rPr>
        <w:t>债务人很可能破产或进行其他财务重组；</w:t>
      </w:r>
    </w:p>
    <w:p>
      <w:pPr>
        <w:pStyle w:val="Style33"/>
        <w:keepNext w:val="0"/>
        <w:keepLines w:val="0"/>
        <w:widowControl w:val="0"/>
        <w:shd w:val="clear" w:color="auto" w:fill="auto"/>
        <w:bidi w:val="0"/>
        <w:spacing w:before="0" w:after="0" w:line="317" w:lineRule="exact"/>
        <w:ind w:left="0" w:right="0" w:firstLine="440"/>
        <w:jc w:val="left"/>
      </w:pPr>
      <w:r>
        <w:rPr>
          <w:rFonts w:ascii="Times New Roman" w:eastAsia="Times New Roman" w:hAnsi="Times New Roman" w:cs="Times New Roman"/>
          <w:color w:val="000000"/>
          <w:spacing w:val="0"/>
          <w:w w:val="100"/>
          <w:position w:val="0"/>
        </w:rPr>
        <w:t>＜5＞</w:t>
      </w:r>
      <w:r>
        <w:rPr>
          <w:color w:val="000000"/>
          <w:spacing w:val="0"/>
          <w:w w:val="100"/>
          <w:position w:val="0"/>
        </w:rPr>
        <w:t>发行方或债务人财务困难导致该金融资产的活跃市场消失；</w:t>
      </w:r>
    </w:p>
    <w:p>
      <w:pPr>
        <w:pStyle w:val="Style33"/>
        <w:keepNext w:val="0"/>
        <w:keepLines w:val="0"/>
        <w:widowControl w:val="0"/>
        <w:shd w:val="clear" w:color="auto" w:fill="auto"/>
        <w:bidi w:val="0"/>
        <w:spacing w:before="0" w:after="0" w:line="317" w:lineRule="exact"/>
        <w:ind w:left="0" w:right="0" w:firstLine="440"/>
        <w:jc w:val="left"/>
      </w:pPr>
      <w:r>
        <w:rPr>
          <w:rFonts w:ascii="Times New Roman" w:eastAsia="Times New Roman" w:hAnsi="Times New Roman" w:cs="Times New Roman"/>
          <w:color w:val="000000"/>
          <w:spacing w:val="0"/>
          <w:w w:val="100"/>
          <w:position w:val="0"/>
        </w:rPr>
        <w:t>＜6＞</w:t>
      </w:r>
      <w:r>
        <w:rPr>
          <w:color w:val="000000"/>
          <w:spacing w:val="0"/>
          <w:w w:val="100"/>
          <w:position w:val="0"/>
        </w:rPr>
        <w:t>以大幅折扣购买或源生一项金融资产，该折扣反映了发生信用损失的事实；</w:t>
      </w:r>
    </w:p>
    <w:p>
      <w:pPr>
        <w:pStyle w:val="Style33"/>
        <w:keepNext w:val="0"/>
        <w:keepLines w:val="0"/>
        <w:widowControl w:val="0"/>
        <w:shd w:val="clear" w:color="auto" w:fill="auto"/>
        <w:bidi w:val="0"/>
        <w:spacing w:before="0" w:after="0" w:line="317" w:lineRule="exact"/>
        <w:ind w:left="0" w:right="0" w:firstLine="440"/>
        <w:jc w:val="left"/>
      </w:pPr>
      <w:r>
        <w:rPr>
          <w:rFonts w:ascii="Times New Roman" w:eastAsia="Times New Roman" w:hAnsi="Times New Roman" w:cs="Times New Roman"/>
          <w:color w:val="000000"/>
          <w:spacing w:val="0"/>
          <w:w w:val="100"/>
          <w:position w:val="0"/>
        </w:rPr>
        <w:t>＜7＞</w:t>
      </w:r>
      <w:r>
        <w:rPr>
          <w:color w:val="000000"/>
          <w:spacing w:val="0"/>
          <w:w w:val="100"/>
          <w:position w:val="0"/>
        </w:rPr>
        <w:t>金融资产发生信用减值，有可能是多个事件的共同作用所致，未必是可单独识别的事件所致。</w:t>
      </w:r>
    </w:p>
    <w:p>
      <w:pPr>
        <w:pStyle w:val="Style33"/>
        <w:keepNext w:val="0"/>
        <w:keepLines w:val="0"/>
        <w:widowControl w:val="0"/>
        <w:shd w:val="clear" w:color="auto" w:fill="auto"/>
        <w:tabs>
          <w:tab w:pos="779" w:val="left"/>
        </w:tabs>
        <w:bidi w:val="0"/>
        <w:spacing w:before="0" w:after="0" w:line="317" w:lineRule="exact"/>
        <w:ind w:left="0" w:right="0" w:firstLine="440"/>
        <w:jc w:val="left"/>
      </w:pPr>
      <w:bookmarkStart w:id="803" w:name="bookmark803"/>
      <w:r>
        <w:rPr>
          <w:rFonts w:ascii="Times New Roman" w:eastAsia="Times New Roman" w:hAnsi="Times New Roman" w:cs="Times New Roman"/>
          <w:color w:val="000000"/>
          <w:spacing w:val="0"/>
          <w:w w:val="100"/>
          <w:position w:val="0"/>
        </w:rPr>
        <w:t>3</w:t>
      </w:r>
      <w:bookmarkEnd w:id="803"/>
      <w:r>
        <w:rPr>
          <w:rFonts w:ascii="Times New Roman" w:eastAsia="Times New Roman" w:hAnsi="Times New Roman" w:cs="Times New Roman"/>
          <w:color w:val="000000"/>
          <w:spacing w:val="0"/>
          <w:w w:val="100"/>
          <w:position w:val="0"/>
        </w:rPr>
        <w:t>）</w:t>
        <w:tab/>
      </w:r>
      <w:r>
        <w:rPr>
          <w:color w:val="000000"/>
          <w:spacing w:val="0"/>
          <w:w w:val="100"/>
          <w:position w:val="0"/>
        </w:rPr>
        <w:t>预期信用损失计量的参数</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根据信用风险是否发生显著增加以及是否已发生信用减值，公司对不同的资产分别以</w:t>
      </w:r>
      <w:r>
        <w:rPr>
          <w:rFonts w:ascii="Times New Roman" w:eastAsia="Times New Roman" w:hAnsi="Times New Roman" w:cs="Times New Roman"/>
          <w:color w:val="000000"/>
          <w:spacing w:val="0"/>
          <w:w w:val="100"/>
          <w:position w:val="0"/>
        </w:rPr>
        <w:t>12</w:t>
      </w:r>
      <w:r>
        <w:rPr>
          <w:color w:val="000000"/>
          <w:spacing w:val="0"/>
          <w:w w:val="100"/>
          <w:position w:val="0"/>
        </w:rPr>
        <w:t>个月或整个存续期的预期信用 损失计量减值准备。预期信用损失计量的关键参数包括违约概率、违约损失率和违约风险敞口。公司考虑历史统计数据</w:t>
      </w:r>
      <w:r>
        <w:rPr>
          <w:rFonts w:ascii="Times New Roman" w:eastAsia="Times New Roman" w:hAnsi="Times New Roman" w:cs="Times New Roman"/>
          <w:color w:val="000000"/>
          <w:spacing w:val="0"/>
          <w:w w:val="100"/>
          <w:position w:val="0"/>
        </w:rPr>
        <w:t>（</w:t>
      </w:r>
      <w:r>
        <w:rPr>
          <w:color w:val="000000"/>
          <w:spacing w:val="0"/>
          <w:w w:val="100"/>
          <w:position w:val="0"/>
        </w:rPr>
        <w:t>如 交易对手评级、担保方式及抵质押物类别、还款方式等</w:t>
      </w:r>
      <w:r>
        <w:rPr>
          <w:rFonts w:ascii="Times New Roman" w:eastAsia="Times New Roman" w:hAnsi="Times New Roman" w:cs="Times New Roman"/>
          <w:color w:val="000000"/>
          <w:spacing w:val="0"/>
          <w:w w:val="100"/>
          <w:position w:val="0"/>
        </w:rPr>
        <w:t>）</w:t>
      </w:r>
      <w:r>
        <w:rPr>
          <w:color w:val="000000"/>
          <w:spacing w:val="0"/>
          <w:w w:val="100"/>
          <w:position w:val="0"/>
        </w:rPr>
        <w:t>的定量分析及前瞻性信息，建立违约概率、违约损失率及违约风险 敞口模型。</w:t>
      </w:r>
    </w:p>
    <w:p>
      <w:pPr>
        <w:pStyle w:val="Style33"/>
        <w:keepNext w:val="0"/>
        <w:keepLines w:val="0"/>
        <w:widowControl w:val="0"/>
        <w:shd w:val="clear" w:color="auto" w:fill="auto"/>
        <w:bidi w:val="0"/>
        <w:spacing w:before="0" w:after="0" w:line="317" w:lineRule="exact"/>
        <w:ind w:left="0" w:right="0" w:firstLine="440"/>
        <w:jc w:val="left"/>
      </w:pPr>
      <w:r>
        <w:rPr>
          <w:color w:val="000000"/>
          <w:spacing w:val="0"/>
          <w:w w:val="100"/>
          <w:position w:val="0"/>
        </w:rPr>
        <w:t>相关定义如下：</w:t>
      </w:r>
    </w:p>
    <w:p>
      <w:pPr>
        <w:pStyle w:val="Style33"/>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违约概率是指债务人在未来</w:t>
      </w:r>
      <w:r>
        <w:rPr>
          <w:rFonts w:ascii="Times New Roman" w:eastAsia="Times New Roman" w:hAnsi="Times New Roman" w:cs="Times New Roman"/>
          <w:color w:val="000000"/>
          <w:spacing w:val="0"/>
          <w:w w:val="100"/>
          <w:position w:val="0"/>
        </w:rPr>
        <w:t>12</w:t>
      </w:r>
      <w:r>
        <w:rPr>
          <w:color w:val="000000"/>
          <w:spacing w:val="0"/>
          <w:w w:val="100"/>
          <w:position w:val="0"/>
        </w:rPr>
        <w:t>个月或在整个剩余存续期，无法履行其偿付义务的可能性。公司的违约概率以历史 信用损失模型结果为基础进行调整，加入前瞻性信息，以反映当前宏观经济环境下债务人违约概率；</w:t>
      </w:r>
    </w:p>
    <w:p>
      <w:pPr>
        <w:pStyle w:val="Style33"/>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违约损失率是指公司对违约风险暴露发生损失程度作出的预期。根据交易对手的类型、追索的方式和优先级，以及 担保品的不同，违约损失率也有所不同。违约损失率为违约发生时风险敞口损失的百分比，以未来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 为基准进行计算；</w:t>
      </w:r>
    </w:p>
    <w:p>
      <w:pPr>
        <w:pStyle w:val="Style33"/>
        <w:keepNext w:val="0"/>
        <w:keepLines w:val="0"/>
        <w:widowControl w:val="0"/>
        <w:shd w:val="clear" w:color="auto" w:fill="auto"/>
        <w:bidi w:val="0"/>
        <w:spacing w:before="0" w:after="0" w:line="317" w:lineRule="exact"/>
        <w:ind w:left="0" w:right="0" w:firstLine="440"/>
        <w:jc w:val="left"/>
      </w:pPr>
      <w:r>
        <w:rPr>
          <w:rFonts w:ascii="Times New Roman" w:eastAsia="Times New Roman" w:hAnsi="Times New Roman" w:cs="Times New Roman"/>
          <w:color w:val="000000"/>
          <w:spacing w:val="0"/>
          <w:w w:val="100"/>
          <w:position w:val="0"/>
        </w:rPr>
        <w:t>＜3＞</w:t>
      </w:r>
      <w:r>
        <w:rPr>
          <w:color w:val="000000"/>
          <w:spacing w:val="0"/>
          <w:w w:val="100"/>
          <w:position w:val="0"/>
        </w:rPr>
        <w:t>违约风险敞口是指，在未来</w:t>
      </w:r>
      <w:r>
        <w:rPr>
          <w:rFonts w:ascii="Times New Roman" w:eastAsia="Times New Roman" w:hAnsi="Times New Roman" w:cs="Times New Roman"/>
          <w:color w:val="000000"/>
          <w:spacing w:val="0"/>
          <w:w w:val="100"/>
          <w:position w:val="0"/>
        </w:rPr>
        <w:t>12</w:t>
      </w:r>
      <w:r>
        <w:rPr>
          <w:color w:val="000000"/>
          <w:spacing w:val="0"/>
          <w:w w:val="100"/>
          <w:position w:val="0"/>
        </w:rPr>
        <w:t>个月或在整个剩余存续期中，在违约发生时，公司应被偿付的金额。</w:t>
      </w:r>
    </w:p>
    <w:p>
      <w:pPr>
        <w:pStyle w:val="Style33"/>
        <w:keepNext w:val="0"/>
        <w:keepLines w:val="0"/>
        <w:widowControl w:val="0"/>
        <w:shd w:val="clear" w:color="auto" w:fill="auto"/>
        <w:tabs>
          <w:tab w:pos="789" w:val="left"/>
        </w:tabs>
        <w:bidi w:val="0"/>
        <w:spacing w:before="0" w:after="0" w:line="317" w:lineRule="exact"/>
        <w:ind w:left="0" w:right="0" w:firstLine="440"/>
        <w:jc w:val="left"/>
      </w:pPr>
      <w:bookmarkStart w:id="804" w:name="bookmark804"/>
      <w:r>
        <w:rPr>
          <w:rFonts w:ascii="Times New Roman" w:eastAsia="Times New Roman" w:hAnsi="Times New Roman" w:cs="Times New Roman"/>
          <w:color w:val="000000"/>
          <w:spacing w:val="0"/>
          <w:w w:val="100"/>
          <w:position w:val="0"/>
        </w:rPr>
        <w:t>4</w:t>
      </w:r>
      <w:bookmarkEnd w:id="804"/>
      <w:r>
        <w:rPr>
          <w:rFonts w:ascii="Times New Roman" w:eastAsia="Times New Roman" w:hAnsi="Times New Roman" w:cs="Times New Roman"/>
          <w:color w:val="000000"/>
          <w:spacing w:val="0"/>
          <w:w w:val="100"/>
          <w:position w:val="0"/>
        </w:rPr>
        <w:t>）</w:t>
        <w:tab/>
      </w:r>
      <w:r>
        <w:rPr>
          <w:color w:val="000000"/>
          <w:spacing w:val="0"/>
          <w:w w:val="100"/>
          <w:position w:val="0"/>
        </w:rPr>
        <w:t>前瞻性信息</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信用风险显著增加的评估及预期信用损失的计算均涉及前瞻性信息。公司通过进行历史数据分析，识别出影响各业务 类型信用风险及预期信用损失的关键经济指标。</w:t>
      </w:r>
    </w:p>
    <w:p>
      <w:pPr>
        <w:pStyle w:val="Style33"/>
        <w:keepNext w:val="0"/>
        <w:keepLines w:val="0"/>
        <w:widowControl w:val="0"/>
        <w:shd w:val="clear" w:color="auto" w:fill="auto"/>
        <w:bidi w:val="0"/>
        <w:spacing w:before="0" w:after="40" w:line="317" w:lineRule="exact"/>
        <w:ind w:left="0" w:right="0" w:firstLine="440"/>
        <w:jc w:val="both"/>
      </w:pPr>
      <w:r>
        <w:rPr>
          <w:color w:val="000000"/>
          <w:spacing w:val="0"/>
          <w:w w:val="100"/>
          <w:position w:val="0"/>
        </w:rPr>
        <w:t>当单项金融资产无法以合理成本评估预期信用损失的信息时，公司依据信用风险特征将应收款项划分为若干组合，在</w:t>
      </w:r>
    </w:p>
    <w:p>
      <w:pPr>
        <w:pStyle w:val="Style31"/>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18"/>
          <w:szCs w:val="18"/>
        </w:rPr>
        <w:t xml:space="preserve">组合基础上计算预期信用损失，确定组合的依据如下: </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应收票据组合：</w:t>
      </w:r>
    </w:p>
    <w:tbl>
      <w:tblPr>
        <w:tblOverlap w:val="never"/>
        <w:jc w:val="center"/>
        <w:tblLayout w:type="fixed"/>
      </w:tblPr>
      <w:tblGrid>
        <w:gridCol w:w="1421"/>
        <w:gridCol w:w="3360"/>
        <w:gridCol w:w="4867"/>
      </w:tblGrid>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正常情况下，信用程度较高。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一般不计提预期信用损失。</w:t>
            </w:r>
          </w:p>
        </w:tc>
      </w:tr>
      <w:tr>
        <w:trPr>
          <w:trHeight w:val="979"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正常情况下，信用程度低于银行承兑汇票。</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参考历史信用损失经验，结合当前状况以及对未来经济状况的 预测，通过违约风险敞口和未来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 信用损失率，计算预期信用损失。</w:t>
            </w:r>
          </w:p>
        </w:tc>
      </w:tr>
    </w:tbl>
    <w:p>
      <w:pPr>
        <w:widowControl w:val="0"/>
        <w:spacing w:after="39" w:line="1" w:lineRule="exact"/>
      </w:pPr>
    </w:p>
    <w:p>
      <w:pPr>
        <w:pStyle w:val="Style26"/>
        <w:keepNext w:val="0"/>
        <w:keepLines w:val="0"/>
        <w:widowControl w:val="0"/>
        <w:shd w:val="clear" w:color="auto" w:fill="auto"/>
        <w:bidi w:val="0"/>
        <w:spacing w:before="0" w:after="20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应收账款组合:</w:t>
      </w:r>
    </w:p>
    <w:p>
      <w:pPr>
        <w:pStyle w:val="Style26"/>
        <w:keepNext w:val="0"/>
        <w:keepLines w:val="0"/>
        <w:widowControl w:val="0"/>
        <w:shd w:val="clear" w:color="auto" w:fill="auto"/>
        <w:bidi w:val="0"/>
        <w:spacing w:before="0" w:after="4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具体组合及计量预期信用损失的方法</w:t>
      </w:r>
    </w:p>
    <w:tbl>
      <w:tblPr>
        <w:tblOverlap w:val="never"/>
        <w:jc w:val="center"/>
        <w:tblLayout w:type="fixed"/>
      </w:tblPr>
      <w:tblGrid>
        <w:gridCol w:w="1848"/>
        <w:gridCol w:w="2918"/>
        <w:gridCol w:w="4882"/>
      </w:tblGrid>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正常情况下，所有应收关联方款项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一般不计提预期信用损失。</w:t>
            </w:r>
          </w:p>
        </w:tc>
      </w:tr>
      <w:tr>
        <w:trPr>
          <w:trHeight w:val="979"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信用风险特征组合</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参考历史信用损失经验，结合当前状况以及对未来经济状况的 预测，编制应收账款逾期天数与整个存续期预期信用损失率对 照表，计算预期信用损失。</w:t>
            </w:r>
          </w:p>
        </w:tc>
      </w:tr>
    </w:tbl>
    <w:p>
      <w:pPr>
        <w:widowControl w:val="0"/>
        <w:spacing w:after="39" w:line="1" w:lineRule="exact"/>
      </w:pPr>
    </w:p>
    <w:p>
      <w:pPr>
        <w:pStyle w:val="Style26"/>
        <w:keepNext w:val="0"/>
        <w:keepLines w:val="0"/>
        <w:widowControl w:val="0"/>
        <w:shd w:val="clear" w:color="auto" w:fill="auto"/>
        <w:bidi w:val="0"/>
        <w:spacing w:before="0" w:after="4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应收账款</w:t>
      </w:r>
      <w:r>
        <w:rPr>
          <w:color w:val="000000"/>
          <w:spacing w:val="0"/>
          <w:w w:val="100"/>
          <w:position w:val="0"/>
          <w:sz w:val="20"/>
          <w:szCs w:val="20"/>
        </w:rPr>
        <w:t>一</w:t>
      </w:r>
      <w:r>
        <w:rPr>
          <w:color w:val="000000"/>
          <w:spacing w:val="0"/>
          <w:w w:val="100"/>
          <w:position w:val="0"/>
          <w:sz w:val="20"/>
          <w:szCs w:val="20"/>
        </w:rPr>
        <w:t>信用风险特征组合的账龄与整个存续期预期信用损失率对照表</w:t>
      </w:r>
    </w:p>
    <w:tbl>
      <w:tblPr>
        <w:tblOverlap w:val="never"/>
        <w:jc w:val="center"/>
        <w:tblLayout w:type="fixed"/>
      </w:tblPr>
      <w:tblGrid>
        <w:gridCol w:w="2131"/>
        <w:gridCol w:w="3754"/>
        <w:gridCol w:w="3763"/>
      </w:tblGrid>
      <w:tr>
        <w:trPr>
          <w:trHeight w:val="350"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应收账款预期信用损失率（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游戏行业</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电气及其他</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1.71</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6</w:t>
            </w:r>
            <w:r>
              <w:rPr>
                <w:color w:val="000000"/>
                <w:spacing w:val="0"/>
                <w:w w:val="100"/>
                <w:position w:val="0"/>
              </w:rPr>
              <w:t>个月以内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1.71</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1.71</w:t>
            </w:r>
          </w:p>
        </w:tc>
      </w:tr>
      <w:tr>
        <w:trPr>
          <w:trHeight w:val="35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6.21</w:t>
            </w:r>
          </w:p>
        </w:tc>
      </w:tr>
    </w:tbl>
    <w:tbl>
      <w:tblPr>
        <w:tblOverlap w:val="never"/>
        <w:jc w:val="center"/>
        <w:tblLayout w:type="fixed"/>
      </w:tblPr>
      <w:tblGrid>
        <w:gridCol w:w="2131"/>
        <w:gridCol w:w="3754"/>
        <w:gridCol w:w="3763"/>
      </w:tblGrid>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8.57</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22.48</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63.46</w:t>
            </w:r>
          </w:p>
        </w:tc>
      </w:tr>
      <w:tr>
        <w:trPr>
          <w:trHeight w:val="35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bl>
    <w:p>
      <w:pPr>
        <w:pStyle w:val="Style2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&lt;3&gt;</w:t>
      </w:r>
      <w:r>
        <w:rPr>
          <w:color w:val="000000"/>
          <w:spacing w:val="0"/>
          <w:w w:val="100"/>
          <w:position w:val="0"/>
          <w:sz w:val="20"/>
          <w:szCs w:val="20"/>
        </w:rPr>
        <w:t>其他应收款组合:</w:t>
      </w:r>
    </w:p>
    <w:tbl>
      <w:tblPr>
        <w:tblOverlap w:val="never"/>
        <w:jc w:val="center"/>
        <w:tblLayout w:type="fixed"/>
      </w:tblPr>
      <w:tblGrid>
        <w:gridCol w:w="2131"/>
        <w:gridCol w:w="3274"/>
        <w:gridCol w:w="4243"/>
      </w:tblGrid>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正常情况下，所有应收关联方款项。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一般不计提预期信用损失。</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全额计提预期信用损失。</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广告费、保证金组合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一般不计提预期信用损失。</w:t>
            </w:r>
          </w:p>
        </w:tc>
      </w:tr>
      <w:tr>
        <w:trPr>
          <w:trHeight w:val="974"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除上述组合、单项计提坏账准备的款项以 外的应收款项。</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参考历史信用损失经验，结合当前状况以及对未来经 济状况的预测，通过违约风险敞口和未来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 整个存续期预期信用损失率，计算预期信用损失。</w:t>
            </w:r>
          </w:p>
        </w:tc>
      </w:tr>
    </w:tbl>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为反映金融工具的信用风险自初始确认后的变化，公司及其子公司在每个资产负债表日重新计量预期信用损失，由此 形成的损失准备的增加或转回金额，应当作为减值损失或利得计入当期损益。对于以摊余成本计量的金融资产，损失准备抵 减该金融资产在资产负债表中列示的账面价值；对于以公允价值计量且其变动计入其他综合收益的债权投资，公司及其子公 司在其他综合收益中确认其损失准备，不抵减该金融资产的账面价值。</w:t>
      </w:r>
    </w:p>
    <w:p>
      <w:pPr>
        <w:pStyle w:val="Style33"/>
        <w:keepNext w:val="0"/>
        <w:keepLines w:val="0"/>
        <w:widowControl w:val="0"/>
        <w:numPr>
          <w:ilvl w:val="0"/>
          <w:numId w:val="29"/>
        </w:numPr>
        <w:shd w:val="clear" w:color="auto" w:fill="auto"/>
        <w:tabs>
          <w:tab w:pos="802" w:val="left"/>
        </w:tabs>
        <w:bidi w:val="0"/>
        <w:spacing w:before="0" w:after="0" w:line="313" w:lineRule="exact"/>
        <w:ind w:left="0" w:right="0" w:firstLine="440"/>
        <w:jc w:val="both"/>
      </w:pPr>
      <w:bookmarkStart w:id="805" w:name="bookmark805"/>
      <w:bookmarkEnd w:id="805"/>
      <w:r>
        <w:rPr>
          <w:color w:val="000000"/>
          <w:spacing w:val="0"/>
          <w:w w:val="100"/>
          <w:position w:val="0"/>
        </w:rPr>
        <w:t>终止确认</w:t>
      </w:r>
    </w:p>
    <w:p>
      <w:pPr>
        <w:pStyle w:val="Style33"/>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金融资产满足下列条件之一的，予以终止确认：</w:t>
      </w:r>
    </w:p>
    <w:p>
      <w:pPr>
        <w:pStyle w:val="Style33"/>
        <w:keepNext w:val="0"/>
        <w:keepLines w:val="0"/>
        <w:widowControl w:val="0"/>
        <w:shd w:val="clear" w:color="auto" w:fill="auto"/>
        <w:tabs>
          <w:tab w:pos="831" w:val="left"/>
        </w:tabs>
        <w:bidi w:val="0"/>
        <w:spacing w:before="0" w:after="0"/>
        <w:ind w:left="0" w:right="0" w:firstLine="440"/>
        <w:jc w:val="both"/>
      </w:pPr>
      <w:bookmarkStart w:id="806" w:name="bookmark806"/>
      <w:r>
        <w:rPr>
          <w:rFonts w:ascii="Times New Roman" w:eastAsia="Times New Roman" w:hAnsi="Times New Roman" w:cs="Times New Roman"/>
          <w:color w:val="000000"/>
          <w:spacing w:val="0"/>
          <w:w w:val="100"/>
          <w:position w:val="0"/>
        </w:rPr>
        <w:t>（</w:t>
      </w:r>
      <w:bookmarkEnd w:id="806"/>
      <w:r>
        <w:rPr>
          <w:rFonts w:ascii="Times New Roman" w:eastAsia="Times New Roman" w:hAnsi="Times New Roman" w:cs="Times New Roman"/>
          <w:color w:val="000000"/>
          <w:spacing w:val="0"/>
          <w:w w:val="100"/>
          <w:position w:val="0"/>
        </w:rPr>
        <w:t>1）</w:t>
        <w:tab/>
      </w:r>
      <w:r>
        <w:rPr>
          <w:color w:val="000000"/>
          <w:spacing w:val="0"/>
          <w:w w:val="100"/>
          <w:position w:val="0"/>
        </w:rPr>
        <w:t>收取该金融资产现金流量的合同权利终止；</w:t>
      </w:r>
    </w:p>
    <w:p>
      <w:pPr>
        <w:pStyle w:val="Style33"/>
        <w:keepNext w:val="0"/>
        <w:keepLines w:val="0"/>
        <w:widowControl w:val="0"/>
        <w:shd w:val="clear" w:color="auto" w:fill="auto"/>
        <w:tabs>
          <w:tab w:pos="831" w:val="left"/>
        </w:tabs>
        <w:bidi w:val="0"/>
        <w:spacing w:before="0" w:after="0"/>
        <w:ind w:left="0" w:right="0" w:firstLine="440"/>
        <w:jc w:val="both"/>
      </w:pPr>
      <w:bookmarkStart w:id="807" w:name="bookmark807"/>
      <w:r>
        <w:rPr>
          <w:rFonts w:ascii="Times New Roman" w:eastAsia="Times New Roman" w:hAnsi="Times New Roman" w:cs="Times New Roman"/>
          <w:color w:val="000000"/>
          <w:spacing w:val="0"/>
          <w:w w:val="100"/>
          <w:position w:val="0"/>
        </w:rPr>
        <w:t>（</w:t>
      </w:r>
      <w:bookmarkEnd w:id="807"/>
      <w:r>
        <w:rPr>
          <w:rFonts w:ascii="Times New Roman" w:eastAsia="Times New Roman" w:hAnsi="Times New Roman" w:cs="Times New Roman"/>
          <w:color w:val="000000"/>
          <w:spacing w:val="0"/>
          <w:w w:val="100"/>
          <w:position w:val="0"/>
        </w:rPr>
        <w:t>2）</w:t>
        <w:tab/>
      </w:r>
      <w:r>
        <w:rPr>
          <w:color w:val="000000"/>
          <w:spacing w:val="0"/>
          <w:w w:val="100"/>
          <w:position w:val="0"/>
        </w:rPr>
        <w:t>该金融资产已转移，且公司将金融资产所有权上几乎所有的风险和报酬转移给转入方；</w:t>
      </w:r>
    </w:p>
    <w:p>
      <w:pPr>
        <w:pStyle w:val="Style33"/>
        <w:keepNext w:val="0"/>
        <w:keepLines w:val="0"/>
        <w:widowControl w:val="0"/>
        <w:shd w:val="clear" w:color="auto" w:fill="auto"/>
        <w:tabs>
          <w:tab w:pos="804" w:val="left"/>
        </w:tabs>
        <w:bidi w:val="0"/>
        <w:spacing w:before="0" w:after="0" w:line="313" w:lineRule="exact"/>
        <w:ind w:left="0" w:right="0" w:firstLine="440"/>
        <w:jc w:val="both"/>
      </w:pPr>
      <w:bookmarkStart w:id="808" w:name="bookmark808"/>
      <w:r>
        <w:rPr>
          <w:rFonts w:ascii="Times New Roman" w:eastAsia="Times New Roman" w:hAnsi="Times New Roman" w:cs="Times New Roman"/>
          <w:color w:val="000000"/>
          <w:spacing w:val="0"/>
          <w:w w:val="100"/>
          <w:position w:val="0"/>
        </w:rPr>
        <w:t>（</w:t>
      </w:r>
      <w:bookmarkEnd w:id="808"/>
      <w:r>
        <w:rPr>
          <w:rFonts w:ascii="Times New Roman" w:eastAsia="Times New Roman" w:hAnsi="Times New Roman" w:cs="Times New Roman"/>
          <w:color w:val="000000"/>
          <w:spacing w:val="0"/>
          <w:w w:val="100"/>
          <w:position w:val="0"/>
        </w:rPr>
        <w:t>3）</w:t>
        <w:tab/>
      </w:r>
      <w:r>
        <w:rPr>
          <w:color w:val="000000"/>
          <w:spacing w:val="0"/>
          <w:w w:val="100"/>
          <w:position w:val="0"/>
        </w:rPr>
        <w:t>该金融资产已转移，虽然公司既没有转移也没有保留金融资产所有权上几乎所有的风险和报酬，但是放弃了对该金 融资产控制。</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其他权益工具投资终止确认时，其账面价值与收到的对价以及原直接计入其他综合收益的公允价值变动累计额之和的 差额，计入留存收益；其余金融资产终止确认时，其账面价值与收到的对价以及原直接计入其他综合收益的公允价值变动累 计额之和的差额，计入当期损益。</w:t>
      </w:r>
    </w:p>
    <w:p>
      <w:pPr>
        <w:pStyle w:val="Style33"/>
        <w:keepNext w:val="0"/>
        <w:keepLines w:val="0"/>
        <w:widowControl w:val="0"/>
        <w:numPr>
          <w:ilvl w:val="0"/>
          <w:numId w:val="29"/>
        </w:numPr>
        <w:shd w:val="clear" w:color="auto" w:fill="auto"/>
        <w:tabs>
          <w:tab w:pos="802" w:val="left"/>
        </w:tabs>
        <w:bidi w:val="0"/>
        <w:spacing w:before="0" w:after="0" w:line="313" w:lineRule="exact"/>
        <w:ind w:left="0" w:right="0" w:firstLine="440"/>
        <w:jc w:val="left"/>
      </w:pPr>
      <w:bookmarkStart w:id="809" w:name="bookmark809"/>
      <w:bookmarkEnd w:id="809"/>
      <w:r>
        <w:rPr>
          <w:color w:val="000000"/>
          <w:spacing w:val="0"/>
          <w:w w:val="100"/>
          <w:position w:val="0"/>
        </w:rPr>
        <w:t>核销</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如果公司及其子公司不再合理预期金融资产合同现金流量能够全部或部分收回，则直接减记该金融资产的账面余额。 这种减记构成相关金融资产的终止确认。这种情况通常发生在公司及其子公司确定债务人没有资产或收入来源可产生足够 的现金流量以偿还将被减记的金额。但是，按照公司及其子公司收回到期款项的程序，被减记的金融资产仍可能受到执行活 动的影响。</w:t>
      </w:r>
    </w:p>
    <w:p>
      <w:pPr>
        <w:pStyle w:val="Style33"/>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已减记的金融资产以后又收回的，作为减值损失的转回计入收回当期的损益。</w:t>
      </w:r>
    </w:p>
    <w:p>
      <w:pPr>
        <w:pStyle w:val="Style33"/>
        <w:keepNext w:val="0"/>
        <w:keepLines w:val="0"/>
        <w:widowControl w:val="0"/>
        <w:shd w:val="clear" w:color="auto" w:fill="auto"/>
        <w:bidi w:val="0"/>
        <w:spacing w:before="0" w:after="0"/>
        <w:ind w:left="0" w:right="0" w:firstLine="440"/>
        <w:jc w:val="both"/>
      </w:pPr>
      <w:bookmarkStart w:id="810" w:name="bookmark810"/>
      <w:r>
        <w:rPr>
          <w:rFonts w:ascii="Times New Roman" w:eastAsia="Times New Roman" w:hAnsi="Times New Roman" w:cs="Times New Roman"/>
          <w:color w:val="000000"/>
          <w:spacing w:val="0"/>
          <w:w w:val="100"/>
          <w:position w:val="0"/>
        </w:rPr>
        <w:t>（</w:t>
      </w:r>
      <w:bookmarkEnd w:id="810"/>
      <w:r>
        <w:rPr>
          <w:rFonts w:ascii="Times New Roman" w:eastAsia="Times New Roman" w:hAnsi="Times New Roman" w:cs="Times New Roman"/>
          <w:color w:val="000000"/>
          <w:spacing w:val="0"/>
          <w:w w:val="100"/>
          <w:position w:val="0"/>
        </w:rPr>
        <w:t>2）</w:t>
      </w:r>
      <w:r>
        <w:rPr>
          <w:color w:val="000000"/>
          <w:spacing w:val="0"/>
          <w:w w:val="100"/>
          <w:position w:val="0"/>
        </w:rPr>
        <w:t>金融负债</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金融负债于初始确认时分类为以摊余成本计量的金融负债和以公允价值计量且其变动计入当期损益的金融负债。除下 列各项外，公司将金融负债分类为以摊余成本计量的金融负债：</w:t>
      </w:r>
    </w:p>
    <w:p>
      <w:pPr>
        <w:pStyle w:val="Style33"/>
        <w:keepNext w:val="0"/>
        <w:keepLines w:val="0"/>
        <w:widowControl w:val="0"/>
        <w:shd w:val="clear" w:color="auto" w:fill="auto"/>
        <w:tabs>
          <w:tab w:pos="746" w:val="left"/>
        </w:tabs>
        <w:bidi w:val="0"/>
        <w:spacing w:before="0" w:after="100" w:line="313" w:lineRule="exact"/>
        <w:ind w:left="0" w:right="0" w:firstLine="440"/>
        <w:jc w:val="both"/>
      </w:pPr>
      <w:bookmarkStart w:id="811" w:name="bookmark811"/>
      <w:r>
        <w:rPr>
          <w:rFonts w:ascii="Times New Roman" w:eastAsia="Times New Roman" w:hAnsi="Times New Roman" w:cs="Times New Roman"/>
          <w:color w:val="000000"/>
          <w:spacing w:val="0"/>
          <w:w w:val="100"/>
          <w:position w:val="0"/>
        </w:rPr>
        <w:t>1</w:t>
      </w:r>
      <w:bookmarkEnd w:id="811"/>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以公允价值计量且其变动计入当期损益的金融负债，包括交易性金融负债</w:t>
      </w:r>
      <w:r>
        <w:rPr>
          <w:rFonts w:ascii="Times New Roman" w:eastAsia="Times New Roman" w:hAnsi="Times New Roman" w:cs="Times New Roman"/>
          <w:color w:val="000000"/>
          <w:spacing w:val="0"/>
          <w:w w:val="100"/>
          <w:position w:val="0"/>
        </w:rPr>
        <w:t>（</w:t>
      </w:r>
      <w:r>
        <w:rPr>
          <w:color w:val="000000"/>
          <w:spacing w:val="0"/>
          <w:w w:val="100"/>
          <w:position w:val="0"/>
        </w:rPr>
        <w:t>含属于金融负债的衍生工具</w:t>
      </w:r>
      <w:r>
        <w:rPr>
          <w:rFonts w:ascii="Times New Roman" w:eastAsia="Times New Roman" w:hAnsi="Times New Roman" w:cs="Times New Roman"/>
          <w:color w:val="000000"/>
          <w:spacing w:val="0"/>
          <w:w w:val="100"/>
          <w:position w:val="0"/>
        </w:rPr>
        <w:t>）</w:t>
      </w:r>
      <w:r>
        <w:rPr>
          <w:color w:val="000000"/>
          <w:spacing w:val="0"/>
          <w:w w:val="100"/>
          <w:position w:val="0"/>
        </w:rPr>
        <w:t>和指定为以公 允价值计量且其变动计入当期损益的金融负债。</w:t>
      </w:r>
    </w:p>
    <w:p>
      <w:pPr>
        <w:pStyle w:val="Style33"/>
        <w:keepNext w:val="0"/>
        <w:keepLines w:val="0"/>
        <w:widowControl w:val="0"/>
        <w:shd w:val="clear" w:color="auto" w:fill="auto"/>
        <w:tabs>
          <w:tab w:pos="778" w:val="left"/>
        </w:tabs>
        <w:bidi w:val="0"/>
        <w:spacing w:before="0" w:after="0"/>
        <w:ind w:left="0" w:right="0" w:firstLine="440"/>
        <w:jc w:val="both"/>
      </w:pPr>
      <w:bookmarkStart w:id="812" w:name="bookmark812"/>
      <w:r>
        <w:rPr>
          <w:rFonts w:ascii="Times New Roman" w:eastAsia="Times New Roman" w:hAnsi="Times New Roman" w:cs="Times New Roman"/>
          <w:color w:val="000000"/>
          <w:spacing w:val="0"/>
          <w:w w:val="100"/>
          <w:position w:val="0"/>
        </w:rPr>
        <w:t>2</w:t>
      </w:r>
      <w:bookmarkEnd w:id="812"/>
      <w:r>
        <w:rPr>
          <w:rFonts w:ascii="Times New Roman" w:eastAsia="Times New Roman" w:hAnsi="Times New Roman" w:cs="Times New Roman"/>
          <w:color w:val="000000"/>
          <w:spacing w:val="0"/>
          <w:w w:val="100"/>
          <w:position w:val="0"/>
        </w:rPr>
        <w:t>）</w:t>
        <w:tab/>
      </w:r>
      <w:r>
        <w:rPr>
          <w:color w:val="000000"/>
          <w:spacing w:val="0"/>
          <w:w w:val="100"/>
          <w:position w:val="0"/>
        </w:rPr>
        <w:t>金融资产转移不符合终止确认条件或继续涉入被转移金融资产所形成的金融负债。</w:t>
      </w:r>
    </w:p>
    <w:p>
      <w:pPr>
        <w:pStyle w:val="Style33"/>
        <w:keepNext w:val="0"/>
        <w:keepLines w:val="0"/>
        <w:widowControl w:val="0"/>
        <w:shd w:val="clear" w:color="auto" w:fill="auto"/>
        <w:tabs>
          <w:tab w:pos="765" w:val="left"/>
        </w:tabs>
        <w:bidi w:val="0"/>
        <w:spacing w:before="0" w:after="0" w:line="313" w:lineRule="exact"/>
        <w:ind w:left="0" w:right="0" w:firstLine="440"/>
        <w:jc w:val="both"/>
      </w:pPr>
      <w:bookmarkStart w:id="813" w:name="bookmark813"/>
      <w:r>
        <w:rPr>
          <w:rFonts w:ascii="Times New Roman" w:eastAsia="Times New Roman" w:hAnsi="Times New Roman" w:cs="Times New Roman"/>
          <w:color w:val="000000"/>
          <w:spacing w:val="0"/>
          <w:w w:val="100"/>
          <w:position w:val="0"/>
        </w:rPr>
        <w:t>3</w:t>
      </w:r>
      <w:bookmarkEnd w:id="813"/>
      <w:r>
        <w:rPr>
          <w:rFonts w:ascii="Times New Roman" w:eastAsia="Times New Roman" w:hAnsi="Times New Roman" w:cs="Times New Roman"/>
          <w:color w:val="000000"/>
          <w:spacing w:val="0"/>
          <w:w w:val="100"/>
          <w:position w:val="0"/>
        </w:rPr>
        <w:t>）</w:t>
        <w:tab/>
      </w:r>
      <w:r>
        <w:rPr>
          <w:color w:val="000000"/>
          <w:spacing w:val="0"/>
          <w:w w:val="100"/>
          <w:position w:val="0"/>
        </w:rPr>
        <w:t>不属于本条第</w:t>
      </w:r>
      <w:r>
        <w:rPr>
          <w:rFonts w:ascii="Times New Roman" w:eastAsia="Times New Roman" w:hAnsi="Times New Roman" w:cs="Times New Roman"/>
          <w:color w:val="000000"/>
          <w:spacing w:val="0"/>
          <w:w w:val="100"/>
          <w:position w:val="0"/>
        </w:rPr>
        <w:t>1）</w:t>
      </w:r>
      <w:r>
        <w:rPr>
          <w:color w:val="000000"/>
          <w:spacing w:val="0"/>
          <w:w w:val="100"/>
          <w:position w:val="0"/>
        </w:rPr>
        <w:t>项或第</w:t>
      </w:r>
      <w:r>
        <w:rPr>
          <w:rFonts w:ascii="Times New Roman" w:eastAsia="Times New Roman" w:hAnsi="Times New Roman" w:cs="Times New Roman"/>
          <w:color w:val="000000"/>
          <w:spacing w:val="0"/>
          <w:w w:val="100"/>
          <w:position w:val="0"/>
        </w:rPr>
        <w:t>2）</w:t>
      </w:r>
      <w:r>
        <w:rPr>
          <w:color w:val="000000"/>
          <w:spacing w:val="0"/>
          <w:w w:val="100"/>
          <w:position w:val="0"/>
        </w:rPr>
        <w:t>项情形的财务担保合同，以及不属于本条第</w:t>
      </w:r>
      <w:r>
        <w:rPr>
          <w:rFonts w:ascii="Times New Roman" w:eastAsia="Times New Roman" w:hAnsi="Times New Roman" w:cs="Times New Roman"/>
          <w:color w:val="000000"/>
          <w:spacing w:val="0"/>
          <w:w w:val="100"/>
          <w:position w:val="0"/>
        </w:rPr>
        <w:t>1）</w:t>
      </w:r>
      <w:r>
        <w:rPr>
          <w:color w:val="000000"/>
          <w:spacing w:val="0"/>
          <w:w w:val="100"/>
          <w:position w:val="0"/>
        </w:rPr>
        <w:t>项情形的以低于市场利率贷款的贷款承诺。在 非同一控制下的企业合并中，公司作为购买方确认的或有对价形成金融负债的，该金融负债按照以公允价值计量且其变动计 入当期损益进行会计处理。</w:t>
      </w:r>
    </w:p>
    <w:p>
      <w:pPr>
        <w:pStyle w:val="Style33"/>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在初始确认时，为了提供更相关的会计信息，公司可以将金融负债指定为以公允价值计量且其变动计入当期损益的金 融负债，该指定满足下列条件之一：</w:t>
      </w:r>
    </w:p>
    <w:p>
      <w:pPr>
        <w:pStyle w:val="Style33"/>
        <w:keepNext w:val="0"/>
        <w:keepLines w:val="0"/>
        <w:widowControl w:val="0"/>
        <w:shd w:val="clear" w:color="auto" w:fill="auto"/>
        <w:bidi w:val="0"/>
        <w:spacing w:before="0" w:after="60"/>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能够消除或显著减少会计错配。</w:t>
      </w:r>
    </w:p>
    <w:p>
      <w:pPr>
        <w:pStyle w:val="Style33"/>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根据正式书面文件载明的企业风险管理或投资策略，以公允价值为基础对金融负债组合或金融资产和金融负债组合 进行管理和业绩评价，并在公司内部以此为基础向关键管理人员报告。该指定一经做出，不得撤销。</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公司的金融负债主要为以摊余成本计量的金融负债，包括应付票据及应付账款、其他应付款、借款及应付债券等。该 类金融负债按其公允价值扣除交易费用后的金额进行初始计量，并采用实际利率法进行后续计量。期限在一年以下</w:t>
      </w:r>
      <w:r>
        <w:rPr>
          <w:rFonts w:ascii="Times New Roman" w:eastAsia="Times New Roman" w:hAnsi="Times New Roman" w:cs="Times New Roman"/>
          <w:color w:val="000000"/>
          <w:spacing w:val="0"/>
          <w:w w:val="100"/>
          <w:position w:val="0"/>
        </w:rPr>
        <w:t>（</w:t>
      </w:r>
      <w:r>
        <w:rPr>
          <w:color w:val="000000"/>
          <w:spacing w:val="0"/>
          <w:w w:val="100"/>
          <w:position w:val="0"/>
        </w:rPr>
        <w:t>含一年</w:t>
      </w:r>
      <w:r>
        <w:rPr>
          <w:rFonts w:ascii="Times New Roman" w:eastAsia="Times New Roman" w:hAnsi="Times New Roman" w:cs="Times New Roman"/>
          <w:color w:val="000000"/>
          <w:spacing w:val="0"/>
          <w:w w:val="100"/>
          <w:position w:val="0"/>
        </w:rPr>
        <w:t xml:space="preserve">） </w:t>
      </w:r>
      <w:r>
        <w:rPr>
          <w:color w:val="000000"/>
          <w:spacing w:val="0"/>
          <w:w w:val="100"/>
          <w:position w:val="0"/>
        </w:rPr>
        <w:t>的，列示为流动负债；期限在一年以上但自资产负债表日起一年内</w:t>
      </w:r>
      <w:r>
        <w:rPr>
          <w:rFonts w:ascii="Times New Roman" w:eastAsia="Times New Roman" w:hAnsi="Times New Roman" w:cs="Times New Roman"/>
          <w:color w:val="000000"/>
          <w:spacing w:val="0"/>
          <w:w w:val="100"/>
          <w:position w:val="0"/>
        </w:rPr>
        <w:t>（</w:t>
      </w:r>
      <w:r>
        <w:rPr>
          <w:color w:val="000000"/>
          <w:spacing w:val="0"/>
          <w:w w:val="100"/>
          <w:position w:val="0"/>
        </w:rPr>
        <w:t>含一年</w:t>
      </w:r>
      <w:r>
        <w:rPr>
          <w:rFonts w:ascii="Times New Roman" w:eastAsia="Times New Roman" w:hAnsi="Times New Roman" w:cs="Times New Roman"/>
          <w:color w:val="000000"/>
          <w:spacing w:val="0"/>
          <w:w w:val="100"/>
          <w:position w:val="0"/>
        </w:rPr>
        <w:t>）</w:t>
      </w:r>
      <w:r>
        <w:rPr>
          <w:color w:val="000000"/>
          <w:spacing w:val="0"/>
          <w:w w:val="100"/>
          <w:position w:val="0"/>
        </w:rPr>
        <w:t>到期的，列示为一年内到期的非流动负债；其余 列示为非流动负债。</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当金融负债的现时义务全部或部分已经解除时，公司终止确认该金融负债或义务已解除的部分。终止确认部分的账面 价值与支付的对价之间的差额，计入当期损益。</w:t>
      </w:r>
    </w:p>
    <w:p>
      <w:pPr>
        <w:pStyle w:val="Style33"/>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金融负债</w:t>
      </w:r>
      <w:r>
        <w:rPr>
          <w:rFonts w:ascii="Times New Roman" w:eastAsia="Times New Roman" w:hAnsi="Times New Roman" w:cs="Times New Roman"/>
          <w:color w:val="000000"/>
          <w:spacing w:val="0"/>
          <w:w w:val="100"/>
          <w:position w:val="0"/>
        </w:rPr>
        <w:t>（</w:t>
      </w:r>
      <w:r>
        <w:rPr>
          <w:color w:val="000000"/>
          <w:spacing w:val="0"/>
          <w:w w:val="100"/>
          <w:position w:val="0"/>
        </w:rPr>
        <w:t>或其一部分</w:t>
      </w:r>
      <w:r>
        <w:rPr>
          <w:rFonts w:ascii="Times New Roman" w:eastAsia="Times New Roman" w:hAnsi="Times New Roman" w:cs="Times New Roman"/>
          <w:color w:val="000000"/>
          <w:spacing w:val="0"/>
          <w:w w:val="100"/>
          <w:position w:val="0"/>
        </w:rPr>
        <w:t>）</w:t>
      </w:r>
      <w:r>
        <w:rPr>
          <w:color w:val="000000"/>
          <w:spacing w:val="0"/>
          <w:w w:val="100"/>
          <w:position w:val="0"/>
        </w:rPr>
        <w:t>的现时义务已经解除的，公司终止确认该金融负债</w:t>
      </w:r>
      <w:r>
        <w:rPr>
          <w:rFonts w:ascii="Times New Roman" w:eastAsia="Times New Roman" w:hAnsi="Times New Roman" w:cs="Times New Roman"/>
          <w:color w:val="000000"/>
          <w:spacing w:val="0"/>
          <w:w w:val="100"/>
          <w:position w:val="0"/>
        </w:rPr>
        <w:t>（</w:t>
      </w:r>
      <w:r>
        <w:rPr>
          <w:color w:val="000000"/>
          <w:spacing w:val="0"/>
          <w:w w:val="100"/>
          <w:position w:val="0"/>
        </w:rPr>
        <w:t>或该部分金融负债</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val="0"/>
        <w:keepLines w:val="0"/>
        <w:widowControl w:val="0"/>
        <w:shd w:val="clear" w:color="auto" w:fill="auto"/>
        <w:tabs>
          <w:tab w:pos="842" w:val="left"/>
        </w:tabs>
        <w:bidi w:val="0"/>
        <w:spacing w:before="0" w:after="0"/>
        <w:ind w:left="0" w:right="0" w:firstLine="440"/>
        <w:jc w:val="both"/>
      </w:pPr>
      <w:bookmarkStart w:id="814" w:name="bookmark814"/>
      <w:r>
        <w:rPr>
          <w:rFonts w:ascii="Times New Roman" w:eastAsia="Times New Roman" w:hAnsi="Times New Roman" w:cs="Times New Roman"/>
          <w:color w:val="000000"/>
          <w:spacing w:val="0"/>
          <w:w w:val="100"/>
          <w:position w:val="0"/>
        </w:rPr>
        <w:t>（</w:t>
      </w:r>
      <w:bookmarkEnd w:id="814"/>
      <w:r>
        <w:rPr>
          <w:rFonts w:ascii="Times New Roman" w:eastAsia="Times New Roman" w:hAnsi="Times New Roman" w:cs="Times New Roman"/>
          <w:color w:val="000000"/>
          <w:spacing w:val="0"/>
          <w:w w:val="100"/>
          <w:position w:val="0"/>
        </w:rPr>
        <w:t>3）</w:t>
        <w:tab/>
      </w:r>
      <w:r>
        <w:rPr>
          <w:color w:val="000000"/>
          <w:spacing w:val="0"/>
          <w:w w:val="100"/>
          <w:position w:val="0"/>
        </w:rPr>
        <w:t>金融工具的公允价值确定</w:t>
      </w:r>
    </w:p>
    <w:p>
      <w:pPr>
        <w:pStyle w:val="Style33"/>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存在活跃市场的金融工具，以活跃市场中的报价确定其公允价值。不存在活跃市场的金融工具，采用估值技术确定其 公允价值。在估值时，公司采用在当前情况下适用并且有足够可利用数据和其他信息支持的估值技术，选择与市场参与者在 相关资产或负债的交易中所考虑的资产或负债特征相一致的输入值，并尽可能优先使用相关可观察输入值。在相关可观察输 入值无法取得或取得不切实可行的情况下，使用不可观察输入值。</w:t>
      </w:r>
    </w:p>
    <w:p>
      <w:pPr>
        <w:pStyle w:val="Style33"/>
        <w:keepNext w:val="0"/>
        <w:keepLines w:val="0"/>
        <w:widowControl w:val="0"/>
        <w:shd w:val="clear" w:color="auto" w:fill="auto"/>
        <w:tabs>
          <w:tab w:pos="842" w:val="left"/>
        </w:tabs>
        <w:bidi w:val="0"/>
        <w:spacing w:before="0" w:after="0"/>
        <w:ind w:left="0" w:right="0" w:firstLine="440"/>
        <w:jc w:val="both"/>
      </w:pPr>
      <w:bookmarkStart w:id="815" w:name="bookmark815"/>
      <w:r>
        <w:rPr>
          <w:rFonts w:ascii="Times New Roman" w:eastAsia="Times New Roman" w:hAnsi="Times New Roman" w:cs="Times New Roman"/>
          <w:color w:val="000000"/>
          <w:spacing w:val="0"/>
          <w:w w:val="100"/>
          <w:position w:val="0"/>
        </w:rPr>
        <w:t>（</w:t>
      </w:r>
      <w:bookmarkEnd w:id="815"/>
      <w:r>
        <w:rPr>
          <w:rFonts w:ascii="Times New Roman" w:eastAsia="Times New Roman" w:hAnsi="Times New Roman" w:cs="Times New Roman"/>
          <w:color w:val="000000"/>
          <w:spacing w:val="0"/>
          <w:w w:val="100"/>
          <w:position w:val="0"/>
        </w:rPr>
        <w:t>4）</w:t>
        <w:tab/>
      </w:r>
      <w:r>
        <w:rPr>
          <w:color w:val="000000"/>
          <w:spacing w:val="0"/>
          <w:w w:val="100"/>
          <w:position w:val="0"/>
        </w:rPr>
        <w:t>后续计量</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初始确认后，公司对不同类别的金融资产，分别以摊余成本、以公允价值计量且其变动计入其他综合收益或以公允价 值计量且其变动计入当期损益进行后续计量。</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初始确认后，公司对不同类别的金融负债，分别以摊余成本、以公允价值计量且其变动计入当期损益或以其他适当方 法进行后续计量。</w:t>
      </w:r>
    </w:p>
    <w:p>
      <w:pPr>
        <w:pStyle w:val="Style33"/>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金融资产或金融负债的摊余成本，以该金融资产或金融负债的初始确认金额经下列调整后的结果确定：</w:t>
      </w:r>
    </w:p>
    <w:p>
      <w:pPr>
        <w:pStyle w:val="Style33"/>
        <w:keepNext w:val="0"/>
        <w:keepLines w:val="0"/>
        <w:widowControl w:val="0"/>
        <w:shd w:val="clear" w:color="auto" w:fill="auto"/>
        <w:tabs>
          <w:tab w:pos="770" w:val="left"/>
        </w:tabs>
        <w:bidi w:val="0"/>
        <w:spacing w:before="0" w:after="0"/>
        <w:ind w:left="0" w:right="0" w:firstLine="440"/>
        <w:jc w:val="both"/>
      </w:pPr>
      <w:bookmarkStart w:id="816" w:name="bookmark816"/>
      <w:r>
        <w:rPr>
          <w:rFonts w:ascii="Times New Roman" w:eastAsia="Times New Roman" w:hAnsi="Times New Roman" w:cs="Times New Roman"/>
          <w:color w:val="000000"/>
          <w:spacing w:val="0"/>
          <w:w w:val="100"/>
          <w:position w:val="0"/>
        </w:rPr>
        <w:t>1</w:t>
      </w:r>
      <w:bookmarkEnd w:id="816"/>
      <w:r>
        <w:rPr>
          <w:rFonts w:ascii="Times New Roman" w:eastAsia="Times New Roman" w:hAnsi="Times New Roman" w:cs="Times New Roman"/>
          <w:color w:val="000000"/>
          <w:spacing w:val="0"/>
          <w:w w:val="100"/>
          <w:position w:val="0"/>
        </w:rPr>
        <w:t>）</w:t>
        <w:tab/>
      </w:r>
      <w:r>
        <w:rPr>
          <w:color w:val="000000"/>
          <w:spacing w:val="0"/>
          <w:w w:val="100"/>
          <w:position w:val="0"/>
        </w:rPr>
        <w:t>扣除已偿还的本金。</w:t>
      </w:r>
    </w:p>
    <w:p>
      <w:pPr>
        <w:pStyle w:val="Style33"/>
        <w:keepNext w:val="0"/>
        <w:keepLines w:val="0"/>
        <w:widowControl w:val="0"/>
        <w:shd w:val="clear" w:color="auto" w:fill="auto"/>
        <w:tabs>
          <w:tab w:pos="789" w:val="left"/>
        </w:tabs>
        <w:bidi w:val="0"/>
        <w:spacing w:before="0" w:after="0"/>
        <w:ind w:left="0" w:right="0" w:firstLine="440"/>
        <w:jc w:val="both"/>
      </w:pPr>
      <w:bookmarkStart w:id="817" w:name="bookmark817"/>
      <w:r>
        <w:rPr>
          <w:rFonts w:ascii="Times New Roman" w:eastAsia="Times New Roman" w:hAnsi="Times New Roman" w:cs="Times New Roman"/>
          <w:color w:val="000000"/>
          <w:spacing w:val="0"/>
          <w:w w:val="100"/>
          <w:position w:val="0"/>
        </w:rPr>
        <w:t>2</w:t>
      </w:r>
      <w:bookmarkEnd w:id="817"/>
      <w:r>
        <w:rPr>
          <w:rFonts w:ascii="Times New Roman" w:eastAsia="Times New Roman" w:hAnsi="Times New Roman" w:cs="Times New Roman"/>
          <w:color w:val="000000"/>
          <w:spacing w:val="0"/>
          <w:w w:val="100"/>
          <w:position w:val="0"/>
        </w:rPr>
        <w:t>）</w:t>
        <w:tab/>
      </w:r>
      <w:r>
        <w:rPr>
          <w:color w:val="000000"/>
          <w:spacing w:val="0"/>
          <w:w w:val="100"/>
          <w:position w:val="0"/>
        </w:rPr>
        <w:t>加上或减去采用实际利率法将该初始确认金额与到期日金额之间的差额进行摊销形成的累计摊销额。</w:t>
      </w:r>
    </w:p>
    <w:p>
      <w:pPr>
        <w:pStyle w:val="Style33"/>
        <w:keepNext w:val="0"/>
        <w:keepLines w:val="0"/>
        <w:widowControl w:val="0"/>
        <w:shd w:val="clear" w:color="auto" w:fill="auto"/>
        <w:tabs>
          <w:tab w:pos="789" w:val="left"/>
        </w:tabs>
        <w:bidi w:val="0"/>
        <w:spacing w:before="0" w:after="0"/>
        <w:ind w:left="0" w:right="0" w:firstLine="440"/>
        <w:jc w:val="both"/>
      </w:pPr>
      <w:bookmarkStart w:id="818" w:name="bookmark818"/>
      <w:r>
        <w:rPr>
          <w:rFonts w:ascii="Times New Roman" w:eastAsia="Times New Roman" w:hAnsi="Times New Roman" w:cs="Times New Roman"/>
          <w:color w:val="000000"/>
          <w:spacing w:val="0"/>
          <w:w w:val="100"/>
          <w:position w:val="0"/>
        </w:rPr>
        <w:t>3</w:t>
      </w:r>
      <w:bookmarkEnd w:id="818"/>
      <w:r>
        <w:rPr>
          <w:rFonts w:ascii="Times New Roman" w:eastAsia="Times New Roman" w:hAnsi="Times New Roman" w:cs="Times New Roman"/>
          <w:color w:val="000000"/>
          <w:spacing w:val="0"/>
          <w:w w:val="100"/>
          <w:position w:val="0"/>
        </w:rPr>
        <w:t>）</w:t>
        <w:tab/>
      </w:r>
      <w:r>
        <w:rPr>
          <w:color w:val="000000"/>
          <w:spacing w:val="0"/>
          <w:w w:val="100"/>
          <w:position w:val="0"/>
        </w:rPr>
        <w:t>扣除累计计提的损失准备</w:t>
      </w:r>
      <w:r>
        <w:rPr>
          <w:rFonts w:ascii="Times New Roman" w:eastAsia="Times New Roman" w:hAnsi="Times New Roman" w:cs="Times New Roman"/>
          <w:color w:val="000000"/>
          <w:spacing w:val="0"/>
          <w:w w:val="100"/>
          <w:position w:val="0"/>
        </w:rPr>
        <w:t>（</w:t>
      </w:r>
      <w:r>
        <w:rPr>
          <w:color w:val="000000"/>
          <w:spacing w:val="0"/>
          <w:w w:val="100"/>
          <w:position w:val="0"/>
        </w:rPr>
        <w:t>仅适用于金融资产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公司按照实际利率法确认利息收入。利息收入根据金融资产账面余额乘以实际利率计算确定，但下列情况除外：</w:t>
      </w:r>
    </w:p>
    <w:p>
      <w:pPr>
        <w:pStyle w:val="Style33"/>
        <w:keepNext w:val="0"/>
        <w:keepLines w:val="0"/>
        <w:widowControl w:val="0"/>
        <w:shd w:val="clear" w:color="auto" w:fill="auto"/>
        <w:bidi w:val="0"/>
        <w:spacing w:before="0" w:after="0" w:line="283"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对于购入或源生的已发生信用减值的金融资产，公司自初始确认起，按照该金融资产的摊余成本和经信用调整的实 际利率计算确定其利息收入。</w:t>
      </w:r>
    </w:p>
    <w:p>
      <w:pPr>
        <w:pStyle w:val="Style33"/>
        <w:keepNext w:val="0"/>
        <w:keepLines w:val="0"/>
        <w:widowControl w:val="0"/>
        <w:shd w:val="clear" w:color="auto" w:fill="auto"/>
        <w:bidi w:val="0"/>
        <w:spacing w:before="0" w:after="380" w:line="320" w:lineRule="exact"/>
        <w:ind w:left="0" w:right="0" w:firstLine="0"/>
        <w:jc w:val="both"/>
        <w:rPr>
          <w:sz w:val="20"/>
          <w:szCs w:val="20"/>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对于购入或源生的未发生信用减值、但在后续期间成为已发生信用减值的金融资产，公司在后续期间，按照该金融资产的 摊余成本和实际利率计算确定其利息收入。公司按照上述政策对金融资产的摊余成本运用实际利率法计算利息收入的，若 该金融工具在后续期间因其信用风险有所改善而不再存在信用减值，并且这一改善在客观上可与应用上述政策之后发生的 某一事件相联系</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如债务人的信用评级被上调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，公司转按实际利率乘以该金融资产账面余额来计算确定利息收入</w:t>
      </w:r>
      <w:r>
        <w:rPr>
          <w:color w:val="000000"/>
          <w:spacing w:val="0"/>
          <w:w w:val="100"/>
          <w:position w:val="0"/>
          <w:sz w:val="20"/>
          <w:szCs w:val="20"/>
        </w:rPr>
        <w:t>。</w:t>
      </w:r>
    </w:p>
    <w:p>
      <w:pPr>
        <w:pStyle w:val="Style37"/>
        <w:keepNext/>
        <w:keepLines/>
        <w:widowControl w:val="0"/>
        <w:shd w:val="clear" w:color="auto" w:fill="auto"/>
        <w:bidi w:val="0"/>
        <w:spacing w:before="0" w:after="260" w:line="240" w:lineRule="auto"/>
        <w:ind w:left="0" w:right="0" w:firstLine="0"/>
        <w:jc w:val="both"/>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1</w:t>
      </w:r>
      <w:bookmarkEnd w:id="821"/>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19"/>
      <w:bookmarkEnd w:id="820"/>
      <w:bookmarkEnd w:id="822"/>
    </w:p>
    <w:p>
      <w:pPr>
        <w:pStyle w:val="Style33"/>
        <w:keepNext w:val="0"/>
        <w:keepLines w:val="0"/>
        <w:widowControl w:val="0"/>
        <w:shd w:val="clear" w:color="auto" w:fill="auto"/>
        <w:bidi w:val="0"/>
        <w:spacing w:before="0" w:after="680" w:line="313" w:lineRule="exact"/>
        <w:ind w:left="0" w:right="0" w:firstLine="440"/>
        <w:jc w:val="both"/>
      </w:pPr>
      <w:r>
        <w:rPr>
          <w:color w:val="000000"/>
          <w:spacing w:val="0"/>
          <w:w w:val="100"/>
          <w:position w:val="0"/>
        </w:rPr>
        <w:t>应收票据的预期信用损失的确定方法及会计处理详见附注五、</w:t>
      </w:r>
      <w:r>
        <w:rPr>
          <w:color w:val="000000"/>
          <w:spacing w:val="0"/>
          <w:w w:val="100"/>
          <w:position w:val="0"/>
          <w:sz w:val="22"/>
          <w:szCs w:val="22"/>
        </w:rPr>
        <w:t>10</w:t>
      </w:r>
      <w:r>
        <w:rPr>
          <w:color w:val="000000"/>
          <w:spacing w:val="0"/>
          <w:w w:val="100"/>
          <w:position w:val="0"/>
        </w:rPr>
        <w:t>、金融工具。</w:t>
      </w:r>
    </w:p>
    <w:p>
      <w:pPr>
        <w:pStyle w:val="Style37"/>
        <w:keepNext/>
        <w:keepLines/>
        <w:widowControl w:val="0"/>
        <w:shd w:val="clear" w:color="auto" w:fill="auto"/>
        <w:tabs>
          <w:tab w:pos="474" w:val="left"/>
        </w:tabs>
        <w:bidi w:val="0"/>
        <w:spacing w:before="0" w:after="380" w:line="240" w:lineRule="auto"/>
        <w:ind w:left="0" w:right="0" w:firstLine="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1</w:t>
      </w:r>
      <w:bookmarkEnd w:id="825"/>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23"/>
      <w:bookmarkEnd w:id="824"/>
      <w:bookmarkEnd w:id="826"/>
    </w:p>
    <w:p>
      <w:pPr>
        <w:pStyle w:val="Style33"/>
        <w:keepNext w:val="0"/>
        <w:keepLines w:val="0"/>
        <w:widowControl w:val="0"/>
        <w:shd w:val="clear" w:color="auto" w:fill="auto"/>
        <w:bidi w:val="0"/>
        <w:spacing w:before="0" w:after="380" w:line="240" w:lineRule="auto"/>
        <w:ind w:left="0" w:right="0"/>
        <w:jc w:val="both"/>
      </w:pPr>
      <w:r>
        <w:rPr>
          <w:color w:val="000000"/>
          <w:spacing w:val="0"/>
          <w:w w:val="100"/>
          <w:position w:val="0"/>
        </w:rPr>
        <w:t>应收账款的预期信用损失的确定方法及会计处理详见附注五、</w:t>
      </w:r>
      <w:r>
        <w:rPr>
          <w:color w:val="000000"/>
          <w:spacing w:val="0"/>
          <w:w w:val="100"/>
          <w:position w:val="0"/>
          <w:sz w:val="22"/>
          <w:szCs w:val="22"/>
        </w:rPr>
        <w:t>10</w:t>
      </w:r>
      <w:r>
        <w:rPr>
          <w:color w:val="000000"/>
          <w:spacing w:val="0"/>
          <w:w w:val="100"/>
          <w:position w:val="0"/>
        </w:rPr>
        <w:t>、金融工具。</w:t>
      </w:r>
    </w:p>
    <w:p>
      <w:pPr>
        <w:pStyle w:val="Style37"/>
        <w:keepNext/>
        <w:keepLines/>
        <w:widowControl w:val="0"/>
        <w:shd w:val="clear" w:color="auto" w:fill="auto"/>
        <w:tabs>
          <w:tab w:pos="474" w:val="left"/>
        </w:tabs>
        <w:bidi w:val="0"/>
        <w:spacing w:before="0" w:after="380" w:line="240" w:lineRule="auto"/>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1</w:t>
      </w:r>
      <w:bookmarkEnd w:id="829"/>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827"/>
      <w:bookmarkEnd w:id="828"/>
      <w:bookmarkEnd w:id="830"/>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其他应收款的预期信用损失的确定方法及会计处理方法</w:t>
      </w:r>
    </w:p>
    <w:p>
      <w:pPr>
        <w:pStyle w:val="Style33"/>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其他应收款的预期信用损失的确定方法及会计处理详见附注五、</w:t>
      </w:r>
      <w:r>
        <w:rPr>
          <w:color w:val="000000"/>
          <w:spacing w:val="0"/>
          <w:w w:val="100"/>
          <w:position w:val="0"/>
          <w:sz w:val="22"/>
          <w:szCs w:val="22"/>
        </w:rPr>
        <w:t>10</w:t>
      </w:r>
      <w:r>
        <w:rPr>
          <w:color w:val="000000"/>
          <w:spacing w:val="0"/>
          <w:w w:val="100"/>
          <w:position w:val="0"/>
        </w:rPr>
        <w:t>、金融工具。</w:t>
      </w:r>
    </w:p>
    <w:p>
      <w:pPr>
        <w:pStyle w:val="Style37"/>
        <w:keepNext/>
        <w:keepLines/>
        <w:widowControl w:val="0"/>
        <w:shd w:val="clear" w:color="auto" w:fill="auto"/>
        <w:bidi w:val="0"/>
        <w:spacing w:before="0" w:after="280" w:line="240"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1</w:t>
      </w:r>
      <w:bookmarkEnd w:id="833"/>
      <w:r>
        <w:rPr>
          <w:rFonts w:ascii="Times New Roman" w:eastAsia="Times New Roman" w:hAnsi="Times New Roman" w:cs="Times New Roman"/>
          <w:color w:val="000000"/>
          <w:spacing w:val="0"/>
          <w:w w:val="100"/>
          <w:position w:val="0"/>
        </w:rPr>
        <w:t>4</w:t>
      </w:r>
      <w:r>
        <w:rPr>
          <w:color w:val="000000"/>
          <w:spacing w:val="0"/>
          <w:w w:val="100"/>
          <w:position w:val="0"/>
        </w:rPr>
        <w:t>、存货</w:t>
      </w:r>
      <w:bookmarkEnd w:id="831"/>
      <w:bookmarkEnd w:id="832"/>
      <w:bookmarkEnd w:id="834"/>
    </w:p>
    <w:p>
      <w:pPr>
        <w:pStyle w:val="Style33"/>
        <w:keepNext w:val="0"/>
        <w:keepLines w:val="0"/>
        <w:widowControl w:val="0"/>
        <w:numPr>
          <w:ilvl w:val="0"/>
          <w:numId w:val="31"/>
        </w:numPr>
        <w:shd w:val="clear" w:color="auto" w:fill="auto"/>
        <w:tabs>
          <w:tab w:pos="741" w:val="left"/>
        </w:tabs>
        <w:bidi w:val="0"/>
        <w:spacing w:before="0" w:after="0" w:line="313" w:lineRule="exact"/>
        <w:ind w:left="0" w:right="0" w:firstLine="440"/>
        <w:jc w:val="left"/>
      </w:pPr>
      <w:bookmarkStart w:id="835" w:name="bookmark835"/>
      <w:bookmarkEnd w:id="835"/>
      <w:r>
        <w:rPr>
          <w:color w:val="000000"/>
          <w:spacing w:val="0"/>
          <w:w w:val="100"/>
          <w:position w:val="0"/>
        </w:rPr>
        <w:t>存货的分类</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存货是指本公司在日常活动中持有以备出售的产成品或商品、处在生产过程中的在产品、在生产过程或提供劳务过程 中耗用的材料和物料等。主要包括原材料、低值易耗品、在产品、自制半成品、库存商品、包装物以及发出商品等。</w:t>
      </w:r>
    </w:p>
    <w:p>
      <w:pPr>
        <w:pStyle w:val="Style33"/>
        <w:keepNext w:val="0"/>
        <w:keepLines w:val="0"/>
        <w:widowControl w:val="0"/>
        <w:numPr>
          <w:ilvl w:val="0"/>
          <w:numId w:val="31"/>
        </w:numPr>
        <w:shd w:val="clear" w:color="auto" w:fill="auto"/>
        <w:tabs>
          <w:tab w:pos="760" w:val="left"/>
        </w:tabs>
        <w:bidi w:val="0"/>
        <w:spacing w:before="0" w:after="0" w:line="313" w:lineRule="exact"/>
        <w:ind w:left="0" w:right="0" w:firstLine="440"/>
        <w:jc w:val="left"/>
      </w:pPr>
      <w:bookmarkStart w:id="836" w:name="bookmark836"/>
      <w:bookmarkEnd w:id="836"/>
      <w:r>
        <w:rPr>
          <w:color w:val="000000"/>
          <w:spacing w:val="0"/>
          <w:w w:val="100"/>
          <w:position w:val="0"/>
        </w:rPr>
        <w:t>发出存货的计价方法</w:t>
      </w:r>
    </w:p>
    <w:p>
      <w:pPr>
        <w:pStyle w:val="Style3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发出存货时按加权平均法计价。</w:t>
      </w:r>
    </w:p>
    <w:p>
      <w:pPr>
        <w:pStyle w:val="Style33"/>
        <w:keepNext w:val="0"/>
        <w:keepLines w:val="0"/>
        <w:widowControl w:val="0"/>
        <w:numPr>
          <w:ilvl w:val="0"/>
          <w:numId w:val="31"/>
        </w:numPr>
        <w:shd w:val="clear" w:color="auto" w:fill="auto"/>
        <w:tabs>
          <w:tab w:pos="760" w:val="left"/>
        </w:tabs>
        <w:bidi w:val="0"/>
        <w:spacing w:before="0" w:after="0" w:line="313" w:lineRule="exact"/>
        <w:ind w:left="0" w:right="0" w:firstLine="440"/>
        <w:jc w:val="left"/>
      </w:pPr>
      <w:bookmarkStart w:id="837" w:name="bookmark837"/>
      <w:bookmarkEnd w:id="837"/>
      <w:r>
        <w:rPr>
          <w:color w:val="000000"/>
          <w:spacing w:val="0"/>
          <w:w w:val="100"/>
          <w:position w:val="0"/>
        </w:rPr>
        <w:t>存货可变现净值的确定依据及存货跌价准备的计提方法</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于资产负债表日，存货按照成本与可变现净值孰低计量，存货成本高于其可变现净值的，应当计提存货跌价准备，计 入当期损益。可变现净值，是指在日常活动中，存货的估计售价减去至完工时估计将要发生的成本、估计的销售费用以及相 关税费后的金额。</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各类存货可变现净值的确定依据如下：</w:t>
      </w:r>
    </w:p>
    <w:p>
      <w:pPr>
        <w:pStyle w:val="Style33"/>
        <w:keepNext w:val="0"/>
        <w:keepLines w:val="0"/>
        <w:widowControl w:val="0"/>
        <w:numPr>
          <w:ilvl w:val="0"/>
          <w:numId w:val="33"/>
        </w:numPr>
        <w:shd w:val="clear" w:color="auto" w:fill="auto"/>
        <w:tabs>
          <w:tab w:pos="795" w:val="left"/>
        </w:tabs>
        <w:bidi w:val="0"/>
        <w:spacing w:before="0" w:after="0" w:line="313" w:lineRule="exact"/>
        <w:ind w:left="0" w:right="0" w:firstLine="440"/>
        <w:jc w:val="both"/>
      </w:pPr>
      <w:bookmarkStart w:id="838" w:name="bookmark838"/>
      <w:bookmarkEnd w:id="838"/>
      <w:r>
        <w:rPr>
          <w:color w:val="000000"/>
          <w:spacing w:val="0"/>
          <w:w w:val="100"/>
          <w:position w:val="0"/>
        </w:rPr>
        <w:t>产成品、商品和用于出售的材料等直接用于出售的商品存货，在正常生产经营过程中，以该存货的估计售价减去估 计的销售费用和相关税费后的金额，确定其可变现净值。</w:t>
      </w:r>
    </w:p>
    <w:p>
      <w:pPr>
        <w:pStyle w:val="Style33"/>
        <w:keepNext w:val="0"/>
        <w:keepLines w:val="0"/>
        <w:widowControl w:val="0"/>
        <w:numPr>
          <w:ilvl w:val="0"/>
          <w:numId w:val="33"/>
        </w:numPr>
        <w:shd w:val="clear" w:color="auto" w:fill="auto"/>
        <w:tabs>
          <w:tab w:pos="795" w:val="left"/>
        </w:tabs>
        <w:bidi w:val="0"/>
        <w:spacing w:before="0" w:after="0" w:line="313" w:lineRule="exact"/>
        <w:ind w:left="0" w:right="0" w:firstLine="440"/>
        <w:jc w:val="both"/>
      </w:pPr>
      <w:bookmarkStart w:id="839" w:name="bookmark839"/>
      <w:bookmarkEnd w:id="839"/>
      <w:r>
        <w:rPr>
          <w:color w:val="000000"/>
          <w:spacing w:val="0"/>
          <w:w w:val="100"/>
          <w:position w:val="0"/>
        </w:rPr>
        <w:t>需要经过加工的材料存货，在正常生产经营过程中，以所生产的产成品的估计售价减去至完工时估计将要发生的成 本、估计的销售费用和相关税费后的金额，确定其可变现净值。</w:t>
      </w:r>
    </w:p>
    <w:p>
      <w:pPr>
        <w:pStyle w:val="Style33"/>
        <w:keepNext w:val="0"/>
        <w:keepLines w:val="0"/>
        <w:widowControl w:val="0"/>
        <w:numPr>
          <w:ilvl w:val="0"/>
          <w:numId w:val="33"/>
        </w:numPr>
        <w:shd w:val="clear" w:color="auto" w:fill="auto"/>
        <w:tabs>
          <w:tab w:pos="790" w:val="left"/>
        </w:tabs>
        <w:bidi w:val="0"/>
        <w:spacing w:before="0" w:after="0" w:line="313" w:lineRule="exact"/>
        <w:ind w:left="0" w:right="0" w:firstLine="440"/>
        <w:jc w:val="both"/>
      </w:pPr>
      <w:bookmarkStart w:id="840" w:name="bookmark840"/>
      <w:bookmarkEnd w:id="840"/>
      <w:r>
        <w:rPr>
          <w:color w:val="000000"/>
          <w:spacing w:val="0"/>
          <w:w w:val="100"/>
          <w:position w:val="0"/>
        </w:rPr>
        <w:t>资产负债表日，同一项存货中一部分有合同价格约定、其他部分不存在合同价格的，应当分别确定其可变现净值， 并与其相对应的成本进行比较，分别确定存货跌价准备的计提或转回的金额。</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存货跌价准备按单个存货项目</w:t>
      </w:r>
      <w:r>
        <w:rPr>
          <w:rFonts w:ascii="Times New Roman" w:eastAsia="Times New Roman" w:hAnsi="Times New Roman" w:cs="Times New Roman"/>
          <w:color w:val="000000"/>
          <w:spacing w:val="0"/>
          <w:w w:val="100"/>
          <w:position w:val="0"/>
        </w:rPr>
        <w:t>（</w:t>
      </w:r>
      <w:r>
        <w:rPr>
          <w:color w:val="000000"/>
          <w:spacing w:val="0"/>
          <w:w w:val="100"/>
          <w:position w:val="0"/>
        </w:rPr>
        <w:t>或存货类别</w:t>
      </w:r>
      <w:r>
        <w:rPr>
          <w:rFonts w:ascii="Times New Roman" w:eastAsia="Times New Roman" w:hAnsi="Times New Roman" w:cs="Times New Roman"/>
          <w:color w:val="000000"/>
          <w:spacing w:val="0"/>
          <w:w w:val="100"/>
          <w:position w:val="0"/>
        </w:rPr>
        <w:t>）</w:t>
      </w:r>
      <w:r>
        <w:rPr>
          <w:color w:val="000000"/>
          <w:spacing w:val="0"/>
          <w:w w:val="100"/>
          <w:position w:val="0"/>
        </w:rPr>
        <w:t>计提，与在同一地区生产和销售的产品系列相关、具有相同或类似最终用途 或目的，且难以与其他项目分开计量的存货，合并计提存货跌价准备。</w:t>
      </w:r>
    </w:p>
    <w:p>
      <w:pPr>
        <w:pStyle w:val="Style33"/>
        <w:keepNext w:val="0"/>
        <w:keepLines w:val="0"/>
        <w:widowControl w:val="0"/>
        <w:shd w:val="clear" w:color="auto" w:fill="auto"/>
        <w:tabs>
          <w:tab w:pos="842" w:val="left"/>
        </w:tabs>
        <w:bidi w:val="0"/>
        <w:spacing w:before="0" w:after="0" w:line="313" w:lineRule="exact"/>
        <w:ind w:left="0" w:right="0" w:firstLine="440"/>
        <w:jc w:val="left"/>
      </w:pPr>
      <w:bookmarkStart w:id="841" w:name="bookmark841"/>
      <w:r>
        <w:rPr>
          <w:rFonts w:ascii="Times New Roman" w:eastAsia="Times New Roman" w:hAnsi="Times New Roman" w:cs="Times New Roman"/>
          <w:color w:val="000000"/>
          <w:spacing w:val="0"/>
          <w:w w:val="100"/>
          <w:position w:val="0"/>
        </w:rPr>
        <w:t>（</w:t>
      </w:r>
      <w:bookmarkEnd w:id="841"/>
      <w:r>
        <w:rPr>
          <w:rFonts w:ascii="Times New Roman" w:eastAsia="Times New Roman" w:hAnsi="Times New Roman" w:cs="Times New Roman"/>
          <w:color w:val="000000"/>
          <w:spacing w:val="0"/>
          <w:w w:val="100"/>
          <w:position w:val="0"/>
        </w:rPr>
        <w:t>4）</w:t>
        <w:tab/>
      </w:r>
      <w:r>
        <w:rPr>
          <w:color w:val="000000"/>
          <w:spacing w:val="0"/>
          <w:w w:val="100"/>
          <w:position w:val="0"/>
        </w:rPr>
        <w:t>存货的盘存制度</w:t>
      </w:r>
    </w:p>
    <w:p>
      <w:pPr>
        <w:pStyle w:val="Style3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存货的盘存制度采用永续盘存制。</w:t>
      </w:r>
    </w:p>
    <w:p>
      <w:pPr>
        <w:pStyle w:val="Style33"/>
        <w:keepNext w:val="0"/>
        <w:keepLines w:val="0"/>
        <w:widowControl w:val="0"/>
        <w:shd w:val="clear" w:color="auto" w:fill="auto"/>
        <w:tabs>
          <w:tab w:pos="842" w:val="left"/>
        </w:tabs>
        <w:bidi w:val="0"/>
        <w:spacing w:before="0" w:after="0" w:line="313" w:lineRule="exact"/>
        <w:ind w:left="0" w:right="0" w:firstLine="440"/>
        <w:jc w:val="left"/>
      </w:pPr>
      <w:bookmarkStart w:id="842" w:name="bookmark842"/>
      <w:r>
        <w:rPr>
          <w:rFonts w:ascii="Times New Roman" w:eastAsia="Times New Roman" w:hAnsi="Times New Roman" w:cs="Times New Roman"/>
          <w:color w:val="000000"/>
          <w:spacing w:val="0"/>
          <w:w w:val="100"/>
          <w:position w:val="0"/>
        </w:rPr>
        <w:t>（</w:t>
      </w:r>
      <w:bookmarkEnd w:id="842"/>
      <w:r>
        <w:rPr>
          <w:rFonts w:ascii="Times New Roman" w:eastAsia="Times New Roman" w:hAnsi="Times New Roman" w:cs="Times New Roman"/>
          <w:color w:val="000000"/>
          <w:spacing w:val="0"/>
          <w:w w:val="100"/>
          <w:position w:val="0"/>
        </w:rPr>
        <w:t>5）</w:t>
        <w:tab/>
      </w:r>
      <w:r>
        <w:rPr>
          <w:color w:val="000000"/>
          <w:spacing w:val="0"/>
          <w:w w:val="100"/>
          <w:position w:val="0"/>
        </w:rPr>
        <w:t>低值易耗品和包装物的摊销方法</w:t>
      </w:r>
    </w:p>
    <w:p>
      <w:pPr>
        <w:pStyle w:val="Style33"/>
        <w:keepNext w:val="0"/>
        <w:keepLines w:val="0"/>
        <w:widowControl w:val="0"/>
        <w:shd w:val="clear" w:color="auto" w:fill="auto"/>
        <w:bidi w:val="0"/>
        <w:spacing w:before="0" w:after="700" w:line="313" w:lineRule="exact"/>
        <w:ind w:left="0" w:right="0" w:firstLine="440"/>
        <w:jc w:val="left"/>
      </w:pPr>
      <w:r>
        <w:rPr>
          <w:color w:val="000000"/>
          <w:spacing w:val="0"/>
          <w:w w:val="100"/>
          <w:position w:val="0"/>
        </w:rPr>
        <w:t>对低值易耗品采用分次转销法进行摊销。对包装物采用一次转销法。</w:t>
      </w:r>
    </w:p>
    <w:p>
      <w:pPr>
        <w:pStyle w:val="Style37"/>
        <w:keepNext/>
        <w:keepLines/>
        <w:widowControl w:val="0"/>
        <w:shd w:val="clear" w:color="auto" w:fill="auto"/>
        <w:tabs>
          <w:tab w:pos="474" w:val="left"/>
        </w:tabs>
        <w:bidi w:val="0"/>
        <w:spacing w:before="0" w:after="280" w:line="240" w:lineRule="auto"/>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1</w:t>
      </w:r>
      <w:bookmarkEnd w:id="845"/>
      <w:r>
        <w:rPr>
          <w:rFonts w:ascii="Times New Roman" w:eastAsia="Times New Roman" w:hAnsi="Times New Roman" w:cs="Times New Roman"/>
          <w:color w:val="000000"/>
          <w:spacing w:val="0"/>
          <w:w w:val="100"/>
          <w:position w:val="0"/>
        </w:rPr>
        <w:t>5</w:t>
      </w:r>
      <w:r>
        <w:rPr>
          <w:color w:val="000000"/>
          <w:spacing w:val="0"/>
          <w:w w:val="100"/>
          <w:position w:val="0"/>
        </w:rPr>
        <w:t>、</w:t>
        <w:tab/>
        <w:t>合同资产</w:t>
      </w:r>
      <w:bookmarkEnd w:id="843"/>
      <w:bookmarkEnd w:id="844"/>
      <w:bookmarkEnd w:id="846"/>
    </w:p>
    <w:p>
      <w:pPr>
        <w:pStyle w:val="Style33"/>
        <w:keepNext w:val="0"/>
        <w:keepLines w:val="0"/>
        <w:widowControl w:val="0"/>
        <w:numPr>
          <w:ilvl w:val="0"/>
          <w:numId w:val="35"/>
        </w:numPr>
        <w:shd w:val="clear" w:color="auto" w:fill="auto"/>
        <w:bidi w:val="0"/>
        <w:spacing w:before="0" w:after="0" w:line="315" w:lineRule="exact"/>
        <w:ind w:left="0" w:right="0" w:firstLine="440"/>
        <w:jc w:val="left"/>
      </w:pPr>
      <w:bookmarkStart w:id="847" w:name="bookmark847"/>
      <w:bookmarkEnd w:id="847"/>
      <w:r>
        <w:rPr>
          <w:color w:val="000000"/>
          <w:spacing w:val="0"/>
          <w:w w:val="100"/>
          <w:position w:val="0"/>
        </w:rPr>
        <w:t>合同资产</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本公司将已向客户转让商品或服务而有权收取对价的权利</w:t>
      </w:r>
      <w:r>
        <w:rPr>
          <w:rFonts w:ascii="Times New Roman" w:eastAsia="Times New Roman" w:hAnsi="Times New Roman" w:cs="Times New Roman"/>
          <w:color w:val="000000"/>
          <w:spacing w:val="0"/>
          <w:w w:val="100"/>
          <w:position w:val="0"/>
        </w:rPr>
        <w:t>（</w:t>
      </w:r>
      <w:r>
        <w:rPr>
          <w:color w:val="000000"/>
          <w:spacing w:val="0"/>
          <w:w w:val="100"/>
          <w:position w:val="0"/>
        </w:rPr>
        <w:t>且该权利取决于时间流逝之外的其他因素</w:t>
      </w:r>
      <w:r>
        <w:rPr>
          <w:rFonts w:ascii="Times New Roman" w:eastAsia="Times New Roman" w:hAnsi="Times New Roman" w:cs="Times New Roman"/>
          <w:color w:val="000000"/>
          <w:spacing w:val="0"/>
          <w:w w:val="100"/>
          <w:position w:val="0"/>
        </w:rPr>
        <w:t>）</w:t>
      </w:r>
      <w:r>
        <w:rPr>
          <w:color w:val="000000"/>
          <w:spacing w:val="0"/>
          <w:w w:val="100"/>
          <w:position w:val="0"/>
        </w:rPr>
        <w:t>作为合同资产列 示。合同资产的减值准备计提参照金融工具预期信用损失法。对于不包含重大融资成分的合同资产，本公司采用简化方法计 量损失准备。对于包含重大融资成分的合同资产，本公司按照一般方法计量损失准备。</w:t>
      </w:r>
    </w:p>
    <w:p>
      <w:pPr>
        <w:pStyle w:val="Style33"/>
        <w:keepNext w:val="0"/>
        <w:keepLines w:val="0"/>
        <w:widowControl w:val="0"/>
        <w:shd w:val="clear" w:color="auto" w:fill="auto"/>
        <w:bidi w:val="0"/>
        <w:spacing w:before="0" w:after="380" w:line="315" w:lineRule="exact"/>
        <w:ind w:left="0" w:right="0" w:firstLine="440"/>
        <w:jc w:val="both"/>
      </w:pPr>
      <w:r>
        <w:rPr>
          <w:color w:val="000000"/>
          <w:spacing w:val="0"/>
          <w:w w:val="100"/>
          <w:position w:val="0"/>
        </w:rPr>
        <w:t>合同资产发生减值损失，按应减记金额，借记</w:t>
      </w:r>
      <w:r>
        <w:rPr>
          <w:rFonts w:ascii="Times New Roman" w:eastAsia="Times New Roman" w:hAnsi="Times New Roman" w:cs="Times New Roman"/>
          <w:color w:val="000000"/>
          <w:spacing w:val="0"/>
          <w:w w:val="100"/>
          <w:position w:val="0"/>
        </w:rPr>
        <w:t>“</w:t>
      </w:r>
      <w:r>
        <w:rPr>
          <w:color w:val="000000"/>
          <w:spacing w:val="0"/>
          <w:w w:val="100"/>
          <w:position w:val="0"/>
        </w:rPr>
        <w:t>资产减值损失</w:t>
      </w:r>
      <w:r>
        <w:rPr>
          <w:rFonts w:ascii="Times New Roman" w:eastAsia="Times New Roman" w:hAnsi="Times New Roman" w:cs="Times New Roman"/>
          <w:color w:val="000000"/>
          <w:spacing w:val="0"/>
          <w:w w:val="100"/>
          <w:position w:val="0"/>
        </w:rPr>
        <w:t>”</w:t>
      </w:r>
      <w:r>
        <w:rPr>
          <w:color w:val="000000"/>
          <w:spacing w:val="0"/>
          <w:w w:val="100"/>
          <w:position w:val="0"/>
        </w:rPr>
        <w:t>，贷记合同资产减值准备；转回已计提的资产减值准备 时，做相反分录。</w:t>
      </w:r>
    </w:p>
    <w:p>
      <w:pPr>
        <w:pStyle w:val="Style37"/>
        <w:keepNext/>
        <w:keepLines/>
        <w:widowControl w:val="0"/>
        <w:shd w:val="clear" w:color="auto" w:fill="auto"/>
        <w:tabs>
          <w:tab w:pos="474" w:val="left"/>
        </w:tabs>
        <w:bidi w:val="0"/>
        <w:spacing w:before="0" w:after="280" w:line="240" w:lineRule="auto"/>
        <w:ind w:left="0" w:right="0" w:firstLine="0"/>
        <w:jc w:val="left"/>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1</w:t>
      </w:r>
      <w:bookmarkEnd w:id="850"/>
      <w:r>
        <w:rPr>
          <w:rFonts w:ascii="Times New Roman" w:eastAsia="Times New Roman" w:hAnsi="Times New Roman" w:cs="Times New Roman"/>
          <w:color w:val="000000"/>
          <w:spacing w:val="0"/>
          <w:w w:val="100"/>
          <w:position w:val="0"/>
        </w:rPr>
        <w:t>6</w:t>
      </w:r>
      <w:r>
        <w:rPr>
          <w:color w:val="000000"/>
          <w:spacing w:val="0"/>
          <w:w w:val="100"/>
          <w:position w:val="0"/>
        </w:rPr>
        <w:t>、</w:t>
        <w:tab/>
        <w:t>合同成本</w:t>
      </w:r>
      <w:bookmarkEnd w:id="848"/>
      <w:bookmarkEnd w:id="849"/>
      <w:bookmarkEnd w:id="851"/>
    </w:p>
    <w:p>
      <w:pPr>
        <w:pStyle w:val="Style33"/>
        <w:keepNext w:val="0"/>
        <w:keepLines w:val="0"/>
        <w:widowControl w:val="0"/>
        <w:shd w:val="clear" w:color="auto" w:fill="auto"/>
        <w:bidi w:val="0"/>
        <w:spacing w:before="0" w:after="0" w:line="315" w:lineRule="exact"/>
        <w:ind w:left="0" w:right="0" w:firstLine="300"/>
        <w:jc w:val="both"/>
      </w:pPr>
      <w:r>
        <w:rPr>
          <w:color w:val="000000"/>
          <w:spacing w:val="0"/>
          <w:w w:val="100"/>
          <w:position w:val="0"/>
        </w:rPr>
        <w:t>本公司的合同成本包括为取得合同发生的增量成本及合同履约成本。为取得合同发生的增量成本（</w:t>
      </w:r>
      <w:r>
        <w:rPr>
          <w:rFonts w:ascii="Times New Roman" w:eastAsia="Times New Roman" w:hAnsi="Times New Roman" w:cs="Times New Roman"/>
          <w:color w:val="000000"/>
          <w:spacing w:val="0"/>
          <w:w w:val="100"/>
          <w:position w:val="0"/>
        </w:rPr>
        <w:t>“</w:t>
      </w:r>
      <w:r>
        <w:rPr>
          <w:color w:val="000000"/>
          <w:spacing w:val="0"/>
          <w:w w:val="100"/>
          <w:position w:val="0"/>
        </w:rPr>
        <w:t>合同取得成本</w:t>
      </w:r>
      <w:r>
        <w:rPr>
          <w:rFonts w:ascii="Times New Roman" w:eastAsia="Times New Roman" w:hAnsi="Times New Roman" w:cs="Times New Roman"/>
          <w:color w:val="000000"/>
          <w:spacing w:val="0"/>
          <w:w w:val="100"/>
          <w:position w:val="0"/>
        </w:rPr>
        <w:t>”</w:t>
      </w:r>
      <w:r>
        <w:rPr>
          <w:color w:val="000000"/>
          <w:spacing w:val="0"/>
          <w:w w:val="100"/>
          <w:position w:val="0"/>
        </w:rPr>
        <w:t>）是 指不取得合同就不会发生的成本。该成本预期能够收回的，本公司将其作为合同取得成本确认为一项资产。</w:t>
      </w:r>
    </w:p>
    <w:p>
      <w:pPr>
        <w:pStyle w:val="Style33"/>
        <w:keepNext w:val="0"/>
        <w:keepLines w:val="0"/>
        <w:widowControl w:val="0"/>
        <w:shd w:val="clear" w:color="auto" w:fill="auto"/>
        <w:bidi w:val="0"/>
        <w:spacing w:before="0" w:after="0" w:line="315" w:lineRule="exact"/>
        <w:ind w:left="0" w:right="0" w:firstLine="300"/>
        <w:jc w:val="both"/>
      </w:pPr>
      <w:r>
        <w:rPr>
          <w:color w:val="000000"/>
          <w:spacing w:val="0"/>
          <w:w w:val="100"/>
          <w:position w:val="0"/>
        </w:rPr>
        <w:t>本公司为履行合同发生的成本，不属于存货等其他企业会计准则规范范围且同时满足下列条件的，作为合同履约成本 确认为一项资产：</w:t>
      </w:r>
    </w:p>
    <w:p>
      <w:pPr>
        <w:pStyle w:val="Style33"/>
        <w:keepNext w:val="0"/>
        <w:keepLines w:val="0"/>
        <w:widowControl w:val="0"/>
        <w:numPr>
          <w:ilvl w:val="0"/>
          <w:numId w:val="37"/>
        </w:numPr>
        <w:shd w:val="clear" w:color="auto" w:fill="auto"/>
        <w:tabs>
          <w:tab w:pos="733" w:val="left"/>
        </w:tabs>
        <w:bidi w:val="0"/>
        <w:spacing w:before="0" w:after="0" w:line="315" w:lineRule="exact"/>
        <w:ind w:left="0" w:right="0" w:firstLine="440"/>
        <w:jc w:val="left"/>
      </w:pPr>
      <w:bookmarkStart w:id="852" w:name="bookmark852"/>
      <w:bookmarkEnd w:id="852"/>
      <w:r>
        <w:rPr>
          <w:color w:val="000000"/>
          <w:spacing w:val="0"/>
          <w:w w:val="100"/>
          <w:position w:val="0"/>
        </w:rPr>
        <w:t>该成本与一份当前或预期取得的合同直接相关，包括直接人工、直接材料、制造费用（或类似费用）、明确由用户 承担的成本以及仅因该合同而发生的其他成本；</w:t>
      </w:r>
    </w:p>
    <w:p>
      <w:pPr>
        <w:pStyle w:val="Style33"/>
        <w:keepNext w:val="0"/>
        <w:keepLines w:val="0"/>
        <w:widowControl w:val="0"/>
        <w:numPr>
          <w:ilvl w:val="0"/>
          <w:numId w:val="37"/>
        </w:numPr>
        <w:shd w:val="clear" w:color="auto" w:fill="auto"/>
        <w:tabs>
          <w:tab w:pos="760" w:val="left"/>
        </w:tabs>
        <w:bidi w:val="0"/>
        <w:spacing w:before="0" w:after="0" w:line="315" w:lineRule="exact"/>
        <w:ind w:left="0" w:right="0" w:firstLine="440"/>
        <w:jc w:val="left"/>
      </w:pPr>
      <w:bookmarkStart w:id="853" w:name="bookmark853"/>
      <w:bookmarkEnd w:id="853"/>
      <w:r>
        <w:rPr>
          <w:color w:val="000000"/>
          <w:spacing w:val="0"/>
          <w:w w:val="100"/>
          <w:position w:val="0"/>
        </w:rPr>
        <w:t>该成本增加了本公司未来用于履行履约义务的资源；</w:t>
      </w:r>
    </w:p>
    <w:p>
      <w:pPr>
        <w:pStyle w:val="Style33"/>
        <w:keepNext w:val="0"/>
        <w:keepLines w:val="0"/>
        <w:widowControl w:val="0"/>
        <w:numPr>
          <w:ilvl w:val="0"/>
          <w:numId w:val="37"/>
        </w:numPr>
        <w:shd w:val="clear" w:color="auto" w:fill="auto"/>
        <w:tabs>
          <w:tab w:pos="760" w:val="left"/>
        </w:tabs>
        <w:bidi w:val="0"/>
        <w:spacing w:before="0" w:after="140" w:line="315" w:lineRule="exact"/>
        <w:ind w:left="0" w:right="0" w:firstLine="440"/>
        <w:jc w:val="left"/>
      </w:pPr>
      <w:bookmarkStart w:id="854" w:name="bookmark854"/>
      <w:bookmarkEnd w:id="854"/>
      <w:r>
        <w:rPr>
          <w:color w:val="000000"/>
          <w:spacing w:val="0"/>
          <w:w w:val="100"/>
          <w:position w:val="0"/>
        </w:rPr>
        <w:t>该成本预期能够收回。</w:t>
      </w:r>
    </w:p>
    <w:p>
      <w:pPr>
        <w:pStyle w:val="Style3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 xml:space="preserve">本公司将确认为资产的合同履约成本，初始确认时摊销期限不超过一年或一个正常营业周期的，在资产负债表计入 </w:t>
      </w:r>
      <w:r>
        <w:rPr>
          <w:rFonts w:ascii="Times New Roman" w:eastAsia="Times New Roman" w:hAnsi="Times New Roman" w:cs="Times New Roman"/>
          <w:color w:val="000000"/>
          <w:spacing w:val="0"/>
          <w:w w:val="100"/>
          <w:position w:val="0"/>
        </w:rPr>
        <w:t>“</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项目；初始确认时摊销期限在一年或一个正常营业周期以上的，在资产负债表中计入</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项目。</w:t>
      </w:r>
    </w:p>
    <w:p>
      <w:pPr>
        <w:pStyle w:val="Style3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 xml:space="preserve">本公司将确认为资产的合同取得成本，初始确认时摊销期限不超过一年或一个正常营业周期的，在资产负债表计入 </w:t>
      </w:r>
      <w:r>
        <w:rPr>
          <w:rFonts w:ascii="Times New Roman" w:eastAsia="Times New Roman" w:hAnsi="Times New Roman" w:cs="Times New Roman"/>
          <w:color w:val="000000"/>
          <w:spacing w:val="0"/>
          <w:w w:val="100"/>
          <w:position w:val="0"/>
        </w:rPr>
        <w:t>“</w:t>
      </w:r>
      <w:r>
        <w:rPr>
          <w:color w:val="000000"/>
          <w:spacing w:val="0"/>
          <w:w w:val="100"/>
          <w:position w:val="0"/>
        </w:rPr>
        <w:t>其他流动资产</w:t>
      </w:r>
      <w:r>
        <w:rPr>
          <w:rFonts w:ascii="Times New Roman" w:eastAsia="Times New Roman" w:hAnsi="Times New Roman" w:cs="Times New Roman"/>
          <w:color w:val="000000"/>
          <w:spacing w:val="0"/>
          <w:w w:val="100"/>
          <w:position w:val="0"/>
        </w:rPr>
        <w:t>”</w:t>
      </w:r>
      <w:r>
        <w:rPr>
          <w:color w:val="000000"/>
          <w:spacing w:val="0"/>
          <w:w w:val="100"/>
          <w:position w:val="0"/>
        </w:rPr>
        <w:t>项目；初始确认时摊销期限在一年或一个正常营业周期以上的，在资产负债表中计入</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项 目。</w:t>
      </w:r>
    </w:p>
    <w:p>
      <w:pPr>
        <w:pStyle w:val="Style3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本公司对合同取得成本、合同履约成本确认的资产（以下简称</w:t>
      </w:r>
      <w:r>
        <w:rPr>
          <w:rFonts w:ascii="Times New Roman" w:eastAsia="Times New Roman" w:hAnsi="Times New Roman" w:cs="Times New Roman"/>
          <w:color w:val="000000"/>
          <w:spacing w:val="0"/>
          <w:w w:val="100"/>
          <w:position w:val="0"/>
        </w:rPr>
        <w:t>“</w:t>
      </w:r>
      <w:r>
        <w:rPr>
          <w:color w:val="000000"/>
          <w:spacing w:val="0"/>
          <w:w w:val="100"/>
          <w:position w:val="0"/>
        </w:rPr>
        <w:t>与合同成本有关的资产</w:t>
      </w:r>
      <w:r>
        <w:rPr>
          <w:rFonts w:ascii="Times New Roman" w:eastAsia="Times New Roman" w:hAnsi="Times New Roman" w:cs="Times New Roman"/>
          <w:color w:val="000000"/>
          <w:spacing w:val="0"/>
          <w:w w:val="100"/>
          <w:position w:val="0"/>
        </w:rPr>
        <w:t>”</w:t>
      </w:r>
      <w:r>
        <w:rPr>
          <w:color w:val="000000"/>
          <w:spacing w:val="0"/>
          <w:w w:val="100"/>
          <w:position w:val="0"/>
        </w:rPr>
        <w:t>）采用与该资产相关的商品收 入确认相同的基础进行摊销，计入当期损益。</w:t>
      </w:r>
    </w:p>
    <w:p>
      <w:pPr>
        <w:pStyle w:val="Style33"/>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与合同成本有关的资产的账面价值高于下列两项的差额时，本公司将超出部分计提减值准备并确认为资产减值损失：</w:t>
      </w:r>
    </w:p>
    <w:p>
      <w:pPr>
        <w:pStyle w:val="Style33"/>
        <w:keepNext w:val="0"/>
        <w:keepLines w:val="0"/>
        <w:widowControl w:val="0"/>
        <w:numPr>
          <w:ilvl w:val="0"/>
          <w:numId w:val="39"/>
        </w:numPr>
        <w:shd w:val="clear" w:color="auto" w:fill="auto"/>
        <w:tabs>
          <w:tab w:pos="741" w:val="left"/>
        </w:tabs>
        <w:bidi w:val="0"/>
        <w:spacing w:before="0" w:after="0"/>
        <w:ind w:left="0" w:right="0" w:firstLine="440"/>
        <w:jc w:val="both"/>
      </w:pPr>
      <w:bookmarkStart w:id="855" w:name="bookmark855"/>
      <w:bookmarkEnd w:id="855"/>
      <w:r>
        <w:rPr>
          <w:color w:val="000000"/>
          <w:spacing w:val="0"/>
          <w:w w:val="100"/>
          <w:position w:val="0"/>
        </w:rPr>
        <w:t>因转让与该资产相关的商品预期能够取得的剩余对价；</w:t>
      </w:r>
    </w:p>
    <w:p>
      <w:pPr>
        <w:pStyle w:val="Style33"/>
        <w:keepNext w:val="0"/>
        <w:keepLines w:val="0"/>
        <w:widowControl w:val="0"/>
        <w:numPr>
          <w:ilvl w:val="0"/>
          <w:numId w:val="39"/>
        </w:numPr>
        <w:shd w:val="clear" w:color="auto" w:fill="auto"/>
        <w:tabs>
          <w:tab w:pos="760" w:val="left"/>
        </w:tabs>
        <w:bidi w:val="0"/>
        <w:spacing w:before="0" w:after="0"/>
        <w:ind w:left="0" w:right="0" w:firstLine="440"/>
        <w:jc w:val="both"/>
      </w:pPr>
      <w:bookmarkStart w:id="856" w:name="bookmark856"/>
      <w:bookmarkEnd w:id="856"/>
      <w:r>
        <w:rPr>
          <w:color w:val="000000"/>
          <w:spacing w:val="0"/>
          <w:w w:val="100"/>
          <w:position w:val="0"/>
        </w:rPr>
        <w:t>为转让该相关商品估计将要发生的成本。</w:t>
      </w:r>
    </w:p>
    <w:p>
      <w:pPr>
        <w:pStyle w:val="Style33"/>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以前期间减值的因素之后发生变化，使得前述两项差额高于该资产账面价值的，应当转回原已计提的资产减值准备， 并计入当期损益，但转回后的资产账面价值不超过假定不计提减值准备情况的下该资产在转回日的账面价值。</w:t>
      </w:r>
    </w:p>
    <w:p>
      <w:pPr>
        <w:pStyle w:val="Style37"/>
        <w:keepNext/>
        <w:keepLines/>
        <w:widowControl w:val="0"/>
        <w:shd w:val="clear" w:color="auto" w:fill="auto"/>
        <w:bidi w:val="0"/>
        <w:spacing w:before="0" w:after="280" w:line="240" w:lineRule="auto"/>
        <w:ind w:left="0" w:right="0" w:firstLine="0"/>
        <w:jc w:val="both"/>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1</w:t>
      </w:r>
      <w:bookmarkEnd w:id="859"/>
      <w:r>
        <w:rPr>
          <w:rFonts w:ascii="Times New Roman" w:eastAsia="Times New Roman" w:hAnsi="Times New Roman" w:cs="Times New Roman"/>
          <w:color w:val="000000"/>
          <w:spacing w:val="0"/>
          <w:w w:val="100"/>
          <w:position w:val="0"/>
        </w:rPr>
        <w:t>7</w:t>
      </w:r>
      <w:r>
        <w:rPr>
          <w:color w:val="000000"/>
          <w:spacing w:val="0"/>
          <w:w w:val="100"/>
          <w:position w:val="0"/>
        </w:rPr>
        <w:t>、长期应收款</w:t>
      </w:r>
      <w:bookmarkEnd w:id="857"/>
      <w:bookmarkEnd w:id="858"/>
      <w:bookmarkEnd w:id="860"/>
    </w:p>
    <w:p>
      <w:pPr>
        <w:pStyle w:val="Style33"/>
        <w:keepNext w:val="0"/>
        <w:keepLines w:val="0"/>
        <w:widowControl w:val="0"/>
        <w:shd w:val="clear" w:color="auto" w:fill="auto"/>
        <w:bidi w:val="0"/>
        <w:spacing w:before="0" w:after="680" w:line="313" w:lineRule="exact"/>
        <w:ind w:left="0" w:right="0"/>
        <w:jc w:val="both"/>
      </w:pPr>
      <w:r>
        <w:rPr>
          <w:color w:val="000000"/>
          <w:spacing w:val="0"/>
          <w:w w:val="100"/>
          <w:position w:val="0"/>
        </w:rPr>
        <w:t>长期应收款的预期信用损失的确定方法及会计处理详见附注五、</w:t>
      </w:r>
      <w:r>
        <w:rPr>
          <w:color w:val="000000"/>
          <w:spacing w:val="0"/>
          <w:w w:val="100"/>
          <w:position w:val="0"/>
          <w:sz w:val="22"/>
          <w:szCs w:val="22"/>
        </w:rPr>
        <w:t>10</w:t>
      </w:r>
      <w:r>
        <w:rPr>
          <w:color w:val="000000"/>
          <w:spacing w:val="0"/>
          <w:w w:val="100"/>
          <w:position w:val="0"/>
        </w:rPr>
        <w:t>、金融工具。</w:t>
      </w:r>
    </w:p>
    <w:p>
      <w:pPr>
        <w:pStyle w:val="Style37"/>
        <w:keepNext/>
        <w:keepLines/>
        <w:widowControl w:val="0"/>
        <w:shd w:val="clear" w:color="auto" w:fill="auto"/>
        <w:bidi w:val="0"/>
        <w:spacing w:before="0" w:after="280" w:line="240" w:lineRule="auto"/>
        <w:ind w:left="0" w:right="0" w:firstLine="0"/>
        <w:jc w:val="both"/>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1</w:t>
      </w:r>
      <w:bookmarkEnd w:id="863"/>
      <w:r>
        <w:rPr>
          <w:rFonts w:ascii="Times New Roman" w:eastAsia="Times New Roman" w:hAnsi="Times New Roman" w:cs="Times New Roman"/>
          <w:color w:val="000000"/>
          <w:spacing w:val="0"/>
          <w:w w:val="100"/>
          <w:position w:val="0"/>
        </w:rPr>
        <w:t>8</w:t>
      </w:r>
      <w:r>
        <w:rPr>
          <w:color w:val="000000"/>
          <w:spacing w:val="0"/>
          <w:w w:val="100"/>
          <w:position w:val="0"/>
        </w:rPr>
        <w:t>、长期股权投资</w:t>
      </w:r>
      <w:bookmarkEnd w:id="861"/>
      <w:bookmarkEnd w:id="862"/>
      <w:bookmarkEnd w:id="864"/>
    </w:p>
    <w:p>
      <w:pPr>
        <w:pStyle w:val="Style3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长期股权投资是指公司对被投资单位实施控制、重大影响的权益性投资，以及对其合营企业的投资。</w:t>
      </w:r>
    </w:p>
    <w:p>
      <w:pPr>
        <w:pStyle w:val="Style33"/>
        <w:keepNext w:val="0"/>
        <w:keepLines w:val="0"/>
        <w:widowControl w:val="0"/>
        <w:shd w:val="clear" w:color="auto" w:fill="auto"/>
        <w:tabs>
          <w:tab w:pos="880" w:val="left"/>
        </w:tabs>
        <w:bidi w:val="0"/>
        <w:spacing w:before="0" w:after="0" w:line="314" w:lineRule="exact"/>
        <w:ind w:left="0" w:right="0" w:firstLine="440"/>
        <w:jc w:val="left"/>
      </w:pPr>
      <w:bookmarkStart w:id="865" w:name="bookmark865"/>
      <w:r>
        <w:rPr>
          <w:color w:val="000000"/>
          <w:spacing w:val="0"/>
          <w:w w:val="100"/>
          <w:position w:val="0"/>
        </w:rPr>
        <w:t>（</w:t>
      </w:r>
      <w:bookmarkEnd w:id="865"/>
      <w:r>
        <w:rPr>
          <w:rFonts w:ascii="Times New Roman" w:eastAsia="Times New Roman" w:hAnsi="Times New Roman" w:cs="Times New Roman"/>
          <w:color w:val="000000"/>
          <w:spacing w:val="0"/>
          <w:w w:val="100"/>
          <w:position w:val="0"/>
        </w:rPr>
        <w:t>1</w:t>
      </w:r>
      <w:r>
        <w:rPr>
          <w:color w:val="000000"/>
          <w:spacing w:val="0"/>
          <w:w w:val="100"/>
          <w:position w:val="0"/>
        </w:rPr>
        <w:t>）</w:t>
        <w:tab/>
        <w:t>投资成本确定</w:t>
      </w:r>
    </w:p>
    <w:p>
      <w:pPr>
        <w:pStyle w:val="Style3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除对外合并形成的长期股权投资以外，其他方式取得的长期股权投资，按照下列规定确定其初始投资成本：</w:t>
      </w:r>
    </w:p>
    <w:p>
      <w:pPr>
        <w:pStyle w:val="Style33"/>
        <w:keepNext w:val="0"/>
        <w:keepLines w:val="0"/>
        <w:widowControl w:val="0"/>
        <w:numPr>
          <w:ilvl w:val="0"/>
          <w:numId w:val="41"/>
        </w:numPr>
        <w:shd w:val="clear" w:color="auto" w:fill="auto"/>
        <w:tabs>
          <w:tab w:pos="790" w:val="left"/>
        </w:tabs>
        <w:bidi w:val="0"/>
        <w:spacing w:before="0" w:after="0" w:line="314" w:lineRule="exact"/>
        <w:ind w:left="0" w:right="0" w:firstLine="440"/>
        <w:jc w:val="left"/>
      </w:pPr>
      <w:bookmarkStart w:id="866" w:name="bookmark866"/>
      <w:bookmarkEnd w:id="866"/>
      <w:r>
        <w:rPr>
          <w:color w:val="000000"/>
          <w:spacing w:val="0"/>
          <w:w w:val="100"/>
          <w:position w:val="0"/>
        </w:rPr>
        <w:t>以支付现金取得的长期股权投资，按照实际支付的购买价款作为初始投资成本。初始投资成本包括与取得长期股权 投资直接相关的费用、税金及其他必要支出；</w:t>
      </w:r>
    </w:p>
    <w:p>
      <w:pPr>
        <w:pStyle w:val="Style33"/>
        <w:keepNext w:val="0"/>
        <w:keepLines w:val="0"/>
        <w:widowControl w:val="0"/>
        <w:numPr>
          <w:ilvl w:val="0"/>
          <w:numId w:val="41"/>
        </w:numPr>
        <w:shd w:val="clear" w:color="auto" w:fill="auto"/>
        <w:tabs>
          <w:tab w:pos="813" w:val="left"/>
        </w:tabs>
        <w:bidi w:val="0"/>
        <w:spacing w:before="0" w:after="0" w:line="314" w:lineRule="exact"/>
        <w:ind w:left="0" w:right="0" w:firstLine="440"/>
        <w:jc w:val="left"/>
      </w:pPr>
      <w:bookmarkStart w:id="867" w:name="bookmark867"/>
      <w:bookmarkEnd w:id="867"/>
      <w:r>
        <w:rPr>
          <w:color w:val="000000"/>
          <w:spacing w:val="0"/>
          <w:w w:val="100"/>
          <w:position w:val="0"/>
        </w:rPr>
        <w:t>以发行权益性证券取得的长期股权投资，按照发行权益性证券的公允价值作为初始投资成本；</w:t>
      </w:r>
    </w:p>
    <w:p>
      <w:pPr>
        <w:pStyle w:val="Style33"/>
        <w:keepNext w:val="0"/>
        <w:keepLines w:val="0"/>
        <w:widowControl w:val="0"/>
        <w:numPr>
          <w:ilvl w:val="0"/>
          <w:numId w:val="41"/>
        </w:numPr>
        <w:shd w:val="clear" w:color="auto" w:fill="auto"/>
        <w:tabs>
          <w:tab w:pos="790" w:val="left"/>
        </w:tabs>
        <w:bidi w:val="0"/>
        <w:spacing w:before="0" w:after="0" w:line="314" w:lineRule="exact"/>
        <w:ind w:left="0" w:right="0" w:firstLine="440"/>
        <w:jc w:val="left"/>
      </w:pPr>
      <w:bookmarkStart w:id="868" w:name="bookmark868"/>
      <w:bookmarkEnd w:id="868"/>
      <w:r>
        <w:rPr>
          <w:color w:val="000000"/>
          <w:spacing w:val="0"/>
          <w:w w:val="100"/>
          <w:position w:val="0"/>
        </w:rPr>
        <w:t>通过非货币性资产交换取得的长期股权投资，其初始投资成本应当按照《企业会计准则第</w:t>
      </w:r>
      <w:r>
        <w:rPr>
          <w:rFonts w:ascii="Times New Roman" w:eastAsia="Times New Roman" w:hAnsi="Times New Roman" w:cs="Times New Roman"/>
          <w:color w:val="000000"/>
          <w:spacing w:val="0"/>
          <w:w w:val="100"/>
          <w:position w:val="0"/>
        </w:rPr>
        <w:t>7</w:t>
      </w:r>
      <w:r>
        <w:rPr>
          <w:color w:val="000000"/>
          <w:spacing w:val="0"/>
          <w:w w:val="100"/>
          <w:position w:val="0"/>
        </w:rPr>
        <w:t>号</w:t>
      </w:r>
      <w:r>
        <w:rPr>
          <w:color w:val="000000"/>
          <w:spacing w:val="0"/>
          <w:w w:val="100"/>
          <w:position w:val="0"/>
        </w:rPr>
        <w:t>一</w:t>
      </w:r>
      <w:r>
        <w:rPr>
          <w:color w:val="000000"/>
          <w:spacing w:val="0"/>
          <w:w w:val="100"/>
          <w:position w:val="0"/>
        </w:rPr>
        <w:t>非货币性资产交 换》确定；</w:t>
      </w:r>
    </w:p>
    <w:p>
      <w:pPr>
        <w:pStyle w:val="Style33"/>
        <w:keepNext w:val="0"/>
        <w:keepLines w:val="0"/>
        <w:widowControl w:val="0"/>
        <w:numPr>
          <w:ilvl w:val="0"/>
          <w:numId w:val="41"/>
        </w:numPr>
        <w:shd w:val="clear" w:color="auto" w:fill="auto"/>
        <w:tabs>
          <w:tab w:pos="813" w:val="left"/>
        </w:tabs>
        <w:bidi w:val="0"/>
        <w:spacing w:before="0" w:after="0" w:line="314" w:lineRule="exact"/>
        <w:ind w:left="0" w:right="0" w:firstLine="440"/>
        <w:jc w:val="left"/>
      </w:pPr>
      <w:bookmarkStart w:id="869" w:name="bookmark869"/>
      <w:bookmarkEnd w:id="869"/>
      <w:r>
        <w:rPr>
          <w:color w:val="000000"/>
          <w:spacing w:val="0"/>
          <w:w w:val="100"/>
          <w:position w:val="0"/>
        </w:rPr>
        <w:t>通过债务重组取得的长期股权投资，其初始投资成本应当按照《企业会计准则第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w:t>
      </w:r>
      <w:r>
        <w:rPr>
          <w:color w:val="000000"/>
          <w:spacing w:val="0"/>
          <w:w w:val="100"/>
          <w:position w:val="0"/>
        </w:rPr>
        <w:t>一</w:t>
      </w:r>
      <w:r>
        <w:rPr>
          <w:color w:val="000000"/>
          <w:spacing w:val="0"/>
          <w:w w:val="100"/>
          <w:position w:val="0"/>
        </w:rPr>
        <w:t>债务重组》确定。</w:t>
      </w:r>
    </w:p>
    <w:p>
      <w:pPr>
        <w:pStyle w:val="Style33"/>
        <w:keepNext w:val="0"/>
        <w:keepLines w:val="0"/>
        <w:widowControl w:val="0"/>
        <w:shd w:val="clear" w:color="auto" w:fill="auto"/>
        <w:tabs>
          <w:tab w:pos="880" w:val="left"/>
        </w:tabs>
        <w:bidi w:val="0"/>
        <w:spacing w:before="0" w:after="0" w:line="314" w:lineRule="exact"/>
        <w:ind w:left="0" w:right="0" w:firstLine="440"/>
        <w:jc w:val="left"/>
      </w:pPr>
      <w:bookmarkStart w:id="870" w:name="bookmark870"/>
      <w:r>
        <w:rPr>
          <w:color w:val="000000"/>
          <w:spacing w:val="0"/>
          <w:w w:val="100"/>
          <w:position w:val="0"/>
        </w:rPr>
        <w:t>（</w:t>
      </w:r>
      <w:bookmarkEnd w:id="870"/>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后续计量及损益确认方法</w:t>
      </w:r>
    </w:p>
    <w:p>
      <w:pPr>
        <w:pStyle w:val="Style33"/>
        <w:keepNext w:val="0"/>
        <w:keepLines w:val="0"/>
        <w:widowControl w:val="0"/>
        <w:numPr>
          <w:ilvl w:val="0"/>
          <w:numId w:val="43"/>
        </w:numPr>
        <w:shd w:val="clear" w:color="auto" w:fill="auto"/>
        <w:tabs>
          <w:tab w:pos="813" w:val="left"/>
        </w:tabs>
        <w:bidi w:val="0"/>
        <w:spacing w:before="0" w:after="0" w:line="314" w:lineRule="exact"/>
        <w:ind w:left="0" w:right="0" w:firstLine="440"/>
        <w:jc w:val="left"/>
      </w:pPr>
      <w:bookmarkStart w:id="871" w:name="bookmark871"/>
      <w:bookmarkEnd w:id="871"/>
      <w:r>
        <w:rPr>
          <w:color w:val="000000"/>
          <w:spacing w:val="0"/>
          <w:w w:val="100"/>
          <w:position w:val="0"/>
        </w:rPr>
        <w:t>下列长期股权投资采用成本法核算：</w:t>
      </w:r>
    </w:p>
    <w:p>
      <w:pPr>
        <w:pStyle w:val="Style3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公司能够对被投资单位实施控制的长期股权投资。</w:t>
      </w:r>
    </w:p>
    <w:p>
      <w:pPr>
        <w:pStyle w:val="Style3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采用成本法核算的长期股权投资按照初始投资成本计价。追加或收回投资应当调整长期股权投资的成本。被投资单位 宣告分派的现金股利或利润，确认为当期投资收益。</w:t>
      </w:r>
    </w:p>
    <w:p>
      <w:pPr>
        <w:pStyle w:val="Style33"/>
        <w:keepNext w:val="0"/>
        <w:keepLines w:val="0"/>
        <w:widowControl w:val="0"/>
        <w:numPr>
          <w:ilvl w:val="0"/>
          <w:numId w:val="43"/>
        </w:numPr>
        <w:shd w:val="clear" w:color="auto" w:fill="auto"/>
        <w:tabs>
          <w:tab w:pos="813" w:val="left"/>
        </w:tabs>
        <w:bidi w:val="0"/>
        <w:spacing w:before="0" w:after="0" w:line="314" w:lineRule="exact"/>
        <w:ind w:left="0" w:right="0" w:firstLine="440"/>
        <w:jc w:val="left"/>
      </w:pPr>
      <w:bookmarkStart w:id="872" w:name="bookmark872"/>
      <w:bookmarkEnd w:id="872"/>
      <w:r>
        <w:rPr>
          <w:color w:val="000000"/>
          <w:spacing w:val="0"/>
          <w:w w:val="100"/>
          <w:position w:val="0"/>
        </w:rPr>
        <w:t>对被投资单位具有共同控制</w:t>
      </w:r>
      <w:r>
        <w:rPr>
          <w:rFonts w:ascii="Times New Roman" w:eastAsia="Times New Roman" w:hAnsi="Times New Roman" w:cs="Times New Roman"/>
          <w:color w:val="000000"/>
          <w:spacing w:val="0"/>
          <w:w w:val="100"/>
          <w:position w:val="0"/>
        </w:rPr>
        <w:t>（</w:t>
      </w:r>
      <w:r>
        <w:rPr>
          <w:color w:val="000000"/>
          <w:spacing w:val="0"/>
          <w:w w:val="100"/>
          <w:position w:val="0"/>
        </w:rPr>
        <w:t>指合营企业</w:t>
      </w:r>
      <w:r>
        <w:rPr>
          <w:rFonts w:ascii="Times New Roman" w:eastAsia="Times New Roman" w:hAnsi="Times New Roman" w:cs="Times New Roman"/>
          <w:color w:val="000000"/>
          <w:spacing w:val="0"/>
          <w:w w:val="100"/>
          <w:position w:val="0"/>
        </w:rPr>
        <w:t>）</w:t>
      </w:r>
      <w:r>
        <w:rPr>
          <w:color w:val="000000"/>
          <w:spacing w:val="0"/>
          <w:w w:val="100"/>
          <w:position w:val="0"/>
        </w:rPr>
        <w:t>或重大影响的长期股权投资，按照采用权益法核算。</w:t>
      </w:r>
    </w:p>
    <w:p>
      <w:pPr>
        <w:pStyle w:val="Style3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长期股权投资采用权益法核算时，对长期股权投资的投资成本大于投资时应享有被投资单位可辨认净资产公允价值份 额的，不调整长期股权投资的投资成本；对长期股权投资的投资成本小于投资时应享有被投资单位可辨认净资产公允价值 份额的，对长期股权投资的账面价值进行调整，差额计入投资当期的损益。</w:t>
      </w:r>
    </w:p>
    <w:p>
      <w:pPr>
        <w:pStyle w:val="Style3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在权益法核算时，当取得长期股权投资后，按照应享有或应分担的被投资单位实现的净损益和其他综合收益的份额， 分别确认投资损益和其他综合收益，并调整长期股权投资的账面价值。投资企业按照被投资单位宣告分派的利润或现金股 利计算应分得的部分，相应减少长期股权投资的账面价值。投资方对于被投资单位除净损益、其他综合收益和利润分配以 外所有者权益的其他变动，应当调整长期股权投资的账面价值并计入所有者权益。</w:t>
      </w:r>
    </w:p>
    <w:p>
      <w:pPr>
        <w:pStyle w:val="Style33"/>
        <w:keepNext w:val="0"/>
        <w:keepLines w:val="0"/>
        <w:widowControl w:val="0"/>
        <w:shd w:val="clear" w:color="auto" w:fill="auto"/>
        <w:bidi w:val="0"/>
        <w:spacing w:before="0" w:after="280" w:line="314" w:lineRule="exact"/>
        <w:ind w:left="0" w:right="0" w:firstLine="440"/>
        <w:jc w:val="left"/>
      </w:pPr>
      <w:r>
        <w:rPr>
          <w:color w:val="000000"/>
          <w:spacing w:val="0"/>
          <w:w w:val="100"/>
          <w:position w:val="0"/>
        </w:rPr>
        <w:t>确认被投资单位发生的净亏损，以长期股权投资的账面价值以及其他实质上构成对被投资单位净投资的长期权益减记 至零为限，公司对被投资企业负有承担额外损失义务的除外。被投资单位以后实现净利润的，投资企业在其收益分享额弥 补未确认的亏损分担额后，恢复确认收益分享额。</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对于被投资单位除净损益、其他综合收益和利润分配以外所有者权益的其他变动，调整长期股权投资的账面价值并计 入所有者权益。</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长期股权投资按照权益法核算在确认投资损益时，先对被投资单位的净利润进行取得投资时被投资单位各项可辨认资 产等的公允价值、会计政策和会计期间方面的调整，再按应享有或应分担的被投资单位的净损益份额确认当期投资损益。</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与联营企业及合营企业之间发生的未实现内部交易损益按照持股比例计算归属于本公司的部分，在抵销基础上确认投 资损益。</w:t>
      </w:r>
    </w:p>
    <w:p>
      <w:pPr>
        <w:pStyle w:val="Style33"/>
        <w:keepNext w:val="0"/>
        <w:keepLines w:val="0"/>
        <w:widowControl w:val="0"/>
        <w:shd w:val="clear" w:color="auto" w:fill="auto"/>
        <w:bidi w:val="0"/>
        <w:spacing w:before="0" w:after="0" w:line="313" w:lineRule="exact"/>
        <w:ind w:left="0" w:right="0" w:firstLine="440"/>
        <w:jc w:val="both"/>
      </w:pPr>
      <w:bookmarkStart w:id="873" w:name="bookmark873"/>
      <w:r>
        <w:rPr>
          <w:color w:val="000000"/>
          <w:spacing w:val="0"/>
          <w:w w:val="100"/>
          <w:position w:val="0"/>
        </w:rPr>
        <w:t>（</w:t>
      </w:r>
      <w:bookmarkEnd w:id="873"/>
      <w:r>
        <w:rPr>
          <w:rFonts w:ascii="Times New Roman" w:eastAsia="Times New Roman" w:hAnsi="Times New Roman" w:cs="Times New Roman"/>
          <w:color w:val="000000"/>
          <w:spacing w:val="0"/>
          <w:w w:val="100"/>
          <w:position w:val="0"/>
        </w:rPr>
        <w:t>3</w:t>
      </w:r>
      <w:r>
        <w:rPr>
          <w:color w:val="000000"/>
          <w:spacing w:val="0"/>
          <w:w w:val="100"/>
          <w:position w:val="0"/>
        </w:rPr>
        <w:t>）确定对被投资单位具有共同控制、重大影响的依据</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共同控制，是指按照相关约定对某项安排所共有的控制，并且该安排的相关活动必须经过分享控制权的参与方一致同 意后才能决策。在判断是否存在共同控制时，首先判断所有参与方或参与方组合是否集体控制该安排，如果所有参与方或 一组参与方必须一致行动才能决定某项安排的相关活动，则认为所有参与方或一组参与方集体控制该安排。其次再判断该 安排相关活动的决策是否必须经过这些集体控制该安排的参与方一致同意。如果存在两个或两个以上的参与方组合能够集 体控制某项安排的，不构成共同控制。判断是否存在共同控制时，不考虑享有的保护性权利。</w:t>
      </w:r>
    </w:p>
    <w:p>
      <w:pPr>
        <w:pStyle w:val="Style33"/>
        <w:keepNext w:val="0"/>
        <w:keepLines w:val="0"/>
        <w:widowControl w:val="0"/>
        <w:shd w:val="clear" w:color="auto" w:fill="auto"/>
        <w:bidi w:val="0"/>
        <w:spacing w:before="0" w:after="700" w:line="313" w:lineRule="exact"/>
        <w:ind w:left="0" w:right="0" w:firstLine="0"/>
        <w:jc w:val="both"/>
      </w:pPr>
      <w:r>
        <w:rPr>
          <w:color w:val="000000"/>
          <w:spacing w:val="0"/>
          <w:w w:val="100"/>
          <w:position w:val="0"/>
        </w:rPr>
        <w:t>重大影响，是指对一个企业的财务和经营政策有参与决策的权力，但并不能够控制或者与其他方一起共同控制这些政策的制 定。在确定能否对被投资单位施加重大影响时，考虑投资方直接或间接持有被投资单位的表决权股份以及投资方及其他方持 有的当期可执行潜在表决权在假定转换为对被投资方单位的股权后产生的影响，包括被投资单位发行的当期可转换的认股 权证、股份期权及可转换公司债券等的影响。</w:t>
      </w:r>
    </w:p>
    <w:p>
      <w:pPr>
        <w:pStyle w:val="Style37"/>
        <w:keepNext/>
        <w:keepLines/>
        <w:widowControl w:val="0"/>
        <w:shd w:val="clear" w:color="auto" w:fill="auto"/>
        <w:bidi w:val="0"/>
        <w:spacing w:before="0" w:after="280" w:line="240" w:lineRule="auto"/>
        <w:ind w:left="0" w:right="0" w:firstLine="0"/>
        <w:jc w:val="both"/>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1</w:t>
      </w:r>
      <w:bookmarkEnd w:id="876"/>
      <w:r>
        <w:rPr>
          <w:rFonts w:ascii="Times New Roman" w:eastAsia="Times New Roman" w:hAnsi="Times New Roman" w:cs="Times New Roman"/>
          <w:color w:val="000000"/>
          <w:spacing w:val="0"/>
          <w:w w:val="100"/>
          <w:position w:val="0"/>
        </w:rPr>
        <w:t>9</w:t>
      </w:r>
      <w:r>
        <w:rPr>
          <w:color w:val="000000"/>
          <w:spacing w:val="0"/>
          <w:w w:val="100"/>
          <w:position w:val="0"/>
        </w:rPr>
        <w:t>、投资性房地产</w:t>
      </w:r>
      <w:bookmarkEnd w:id="874"/>
      <w:bookmarkEnd w:id="875"/>
      <w:bookmarkEnd w:id="877"/>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投资性房地产计量模式</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公允价值计量</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选择公允价值计量的依据</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投资性房地产是指为赚取租金或资本增值，或两者兼有而持有的房地产，包括已出租的土地使用权、持有并准备增值 后转让的土地使用权、已出租的建筑物。投资性房地产应当按照成本进行初始计量，公司在资产负债表日采用公允价值模式 进行后续计量。</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本公司采用公允价值模式对投资性房地产进行后续计量，会计政策选择的依据为：</w:t>
      </w:r>
    </w:p>
    <w:p>
      <w:pPr>
        <w:pStyle w:val="Style33"/>
        <w:keepNext w:val="0"/>
        <w:keepLines w:val="0"/>
        <w:widowControl w:val="0"/>
        <w:shd w:val="clear" w:color="auto" w:fill="auto"/>
        <w:tabs>
          <w:tab w:pos="840" w:val="left"/>
        </w:tabs>
        <w:bidi w:val="0"/>
        <w:spacing w:before="0" w:after="0" w:line="312" w:lineRule="exact"/>
        <w:ind w:left="0" w:right="0" w:firstLine="440"/>
        <w:jc w:val="both"/>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rPr>
        <w:t>1</w:t>
      </w:r>
      <w:r>
        <w:rPr>
          <w:color w:val="000000"/>
          <w:spacing w:val="0"/>
          <w:w w:val="100"/>
          <w:position w:val="0"/>
        </w:rPr>
        <w:t>）</w:t>
        <w:tab/>
        <w:t>投资性房地产所在地有活跃的房地产交易市场。</w:t>
      </w:r>
    </w:p>
    <w:p>
      <w:pPr>
        <w:pStyle w:val="Style33"/>
        <w:keepNext w:val="0"/>
        <w:keepLines w:val="0"/>
        <w:widowControl w:val="0"/>
        <w:shd w:val="clear" w:color="auto" w:fill="auto"/>
        <w:bidi w:val="0"/>
        <w:spacing w:before="0" w:after="0" w:line="312" w:lineRule="exact"/>
        <w:ind w:left="0" w:right="0" w:firstLine="440"/>
        <w:jc w:val="both"/>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rPr>
        <w:t>2</w:t>
      </w:r>
      <w:r>
        <w:rPr>
          <w:color w:val="000000"/>
          <w:spacing w:val="0"/>
          <w:w w:val="100"/>
          <w:position w:val="0"/>
        </w:rPr>
        <w:t>） 本公司能够从房地产交易市场上取得同类或类似房地产的市场价格及其他相关信息，从而对投资性房地产的公允 价值作出合理的估计。</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本公司不对投资性房地产计提折旧或进行摊销，以资产负债表日投资性房地产的公允价值为基础调整其账面价值，公 允价值与原账面价值之间的差额计入当期损益。</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确定投资性房地产的公允价值时，参照活跃市场上同类或类似房地产的现行市场价格；无法取得同类或类似房地产的 现行市场价格的，参照活跃市场上同类或类似房地产的最近交易价格，并考虑交易情况、交易日期、所在区域等因素，从而 对投资性房地产的公允价值作出合理的估计；或基于预计未来获得的租金收益和有关现金流量的现值确定其公允价值。</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自用房地产或存货转换为投资性房地产时，按照转换当日的公允价值计价，转换当日的公允价值小于原账面价值的， 其差额计入当期损益；转换当日的公允价值大于原账面价值的，其差额确认为其他综合收益。投资性房地产转换为自用房地 产时，以转换当日的公允价值作为自用房地产的账面价值，公允价值与原账面价值的差额计入当期损益。</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投资性房地产的用途改变为自用时，自改变之日起，将该投资性房地产转换为固定资产或无形资产。自用房地产的用 途改变为赚取租金或资本增值时，自改变之日起，将固定资产或无形资产转换为投资性房地产。发生转换时，以转换日的公 允价值作为转换后的入账价值。</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当投资性房地产被处置、或者永久退出使用且预计不能从其处置中取得经济利益时，终止确认该项投资性房地产。投 资性房地产出售、转让、报废或毁损的处置收入扣除其账面价值和相关税费后计入当期损益。</w:t>
      </w:r>
    </w:p>
    <w:p>
      <w:pPr>
        <w:pStyle w:val="Style37"/>
        <w:keepNext/>
        <w:keepLines/>
        <w:widowControl w:val="0"/>
        <w:shd w:val="clear" w:color="auto" w:fill="auto"/>
        <w:bidi w:val="0"/>
        <w:spacing w:before="0" w:after="380" w:line="240" w:lineRule="auto"/>
        <w:ind w:left="0" w:right="0" w:firstLine="0"/>
        <w:jc w:val="left"/>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2</w:t>
      </w:r>
      <w:bookmarkEnd w:id="882"/>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880"/>
      <w:bookmarkEnd w:id="881"/>
      <w:bookmarkEnd w:id="883"/>
    </w:p>
    <w:p>
      <w:pPr>
        <w:pStyle w:val="Style37"/>
        <w:keepNext/>
        <w:keepLines/>
        <w:widowControl w:val="0"/>
        <w:shd w:val="clear" w:color="auto" w:fill="auto"/>
        <w:bidi w:val="0"/>
        <w:spacing w:before="0" w:after="280" w:line="240" w:lineRule="auto"/>
        <w:ind w:left="0" w:right="0" w:firstLine="0"/>
        <w:jc w:val="left"/>
      </w:pPr>
      <w:bookmarkStart w:id="880" w:name="bookmark880"/>
      <w:bookmarkStart w:id="881" w:name="bookmark881"/>
      <w:bookmarkStart w:id="884" w:name="bookmark884"/>
      <w:bookmarkStart w:id="885" w:name="bookmark885"/>
      <w:r>
        <w:rPr>
          <w:color w:val="000000"/>
          <w:spacing w:val="0"/>
          <w:w w:val="100"/>
          <w:position w:val="0"/>
        </w:rPr>
        <w:t>（</w:t>
      </w:r>
      <w:bookmarkEnd w:id="884"/>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80"/>
      <w:bookmarkEnd w:id="881"/>
      <w:bookmarkEnd w:id="885"/>
    </w:p>
    <w:p>
      <w:pPr>
        <w:pStyle w:val="Style33"/>
        <w:keepNext w:val="0"/>
        <w:keepLines w:val="0"/>
        <w:widowControl w:val="0"/>
        <w:shd w:val="clear" w:color="auto" w:fill="auto"/>
        <w:bidi w:val="0"/>
        <w:spacing w:before="0" w:after="380" w:line="307" w:lineRule="exact"/>
        <w:ind w:left="0" w:right="0"/>
        <w:jc w:val="both"/>
      </w:pPr>
      <w:r>
        <w:rPr>
          <w:color w:val="000000"/>
          <w:spacing w:val="0"/>
          <w:w w:val="100"/>
          <w:position w:val="0"/>
        </w:rPr>
        <w:t>固定资产指为生产商品、提供劳务、出租或经营管理而持有，并且使用寿命超过一个会计年度的有形资产。固定资产 同时满足下列条件的，才能予以确认：①与该固定资产有关的经济利益很可能流入企业；②该固定资产的成本能够可靠 地计量。</w:t>
      </w:r>
    </w:p>
    <w:p>
      <w:pPr>
        <w:pStyle w:val="Style37"/>
        <w:keepNext/>
        <w:keepLines/>
        <w:widowControl w:val="0"/>
        <w:shd w:val="clear" w:color="auto" w:fill="auto"/>
        <w:bidi w:val="0"/>
        <w:spacing w:before="0" w:after="320" w:line="240" w:lineRule="auto"/>
        <w:ind w:left="0" w:right="0" w:firstLine="140"/>
        <w:jc w:val="both"/>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w:t>
      </w:r>
      <w:bookmarkEnd w:id="888"/>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86"/>
      <w:bookmarkEnd w:id="887"/>
      <w:bookmarkEnd w:id="889"/>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r>
              <w:rPr>
                <w:color w:val="000000"/>
                <w:spacing w:val="0"/>
                <w:w w:val="100"/>
                <w:position w:val="0"/>
              </w:rPr>
              <w:t>、</w:t>
            </w: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4.50%</w:t>
            </w:r>
            <w:r>
              <w:rPr>
                <w:color w:val="000000"/>
                <w:spacing w:val="0"/>
                <w:w w:val="100"/>
                <w:position w:val="0"/>
              </w:rPr>
              <w:t>、</w:t>
            </w:r>
            <w:r>
              <w:rPr>
                <w:rFonts w:ascii="Times New Roman" w:eastAsia="Times New Roman" w:hAnsi="Times New Roman" w:cs="Times New Roman"/>
                <w:color w:val="000000"/>
                <w:spacing w:val="0"/>
                <w:w w:val="100"/>
                <w:position w:val="0"/>
              </w:rPr>
              <w:t>4.75%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r>
              <w:rPr>
                <w:color w:val="000000"/>
                <w:spacing w:val="0"/>
                <w:w w:val="100"/>
                <w:position w:val="0"/>
              </w:rPr>
              <w:t>、</w:t>
            </w: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w:t>
            </w:r>
            <w:r>
              <w:rPr>
                <w:color w:val="000000"/>
                <w:spacing w:val="0"/>
                <w:w w:val="100"/>
                <w:position w:val="0"/>
              </w:rPr>
              <w:t>、</w:t>
            </w:r>
            <w:r>
              <w:rPr>
                <w:rFonts w:ascii="Times New Roman" w:eastAsia="Times New Roman" w:hAnsi="Times New Roman" w:cs="Times New Roman"/>
                <w:color w:val="000000"/>
                <w:spacing w:val="0"/>
                <w:w w:val="100"/>
                <w:position w:val="0"/>
              </w:rPr>
              <w:t>19.00%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r>
              <w:rPr>
                <w:color w:val="000000"/>
                <w:spacing w:val="0"/>
                <w:w w:val="100"/>
                <w:position w:val="0"/>
              </w:rPr>
              <w:t>、</w:t>
            </w: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19.00%-31.66%</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bl>
    <w:p>
      <w:pPr>
        <w:pStyle w:val="Style33"/>
        <w:keepNext w:val="0"/>
        <w:keepLines w:val="0"/>
        <w:widowControl w:val="0"/>
        <w:shd w:val="clear" w:color="auto" w:fill="auto"/>
        <w:bidi w:val="0"/>
        <w:spacing w:before="0" w:after="380" w:line="310" w:lineRule="exact"/>
        <w:ind w:left="0" w:right="0"/>
        <w:jc w:val="both"/>
      </w:pPr>
      <w:r>
        <w:rPr>
          <w:color w:val="000000"/>
          <w:spacing w:val="0"/>
          <w:w w:val="100"/>
          <w:position w:val="0"/>
        </w:rPr>
        <w:t>本公司固定资产主要分为：房屋及建筑物、机器设备、运输设备、电子及其他设备、模具等。根据各类固定资产的性 质和使用情况，确定固定资产的使用寿命和预计净残值。并在年度终了，对固定资产的使用寿命、预计净残值和折旧方法 进行复核，如与原先估计数存在差异的，进行相应的调整。除已提足折旧仍继续使用的固定资产和单独计价入账的土地之 外，本公司对所有固定资产计提折旧。</w:t>
      </w:r>
    </w:p>
    <w:p>
      <w:pPr>
        <w:pStyle w:val="Style37"/>
        <w:keepNext/>
        <w:keepLines/>
        <w:widowControl w:val="0"/>
        <w:shd w:val="clear" w:color="auto" w:fill="auto"/>
        <w:bidi w:val="0"/>
        <w:spacing w:before="0" w:after="280" w:line="240" w:lineRule="auto"/>
        <w:ind w:left="0" w:right="0" w:firstLine="0"/>
        <w:jc w:val="left"/>
      </w:pPr>
      <w:bookmarkStart w:id="890" w:name="bookmark890"/>
      <w:bookmarkStart w:id="891" w:name="bookmark891"/>
      <w:bookmarkStart w:id="892" w:name="bookmark892"/>
      <w:bookmarkStart w:id="893" w:name="bookmark893"/>
      <w:r>
        <w:rPr>
          <w:color w:val="000000"/>
          <w:spacing w:val="0"/>
          <w:w w:val="100"/>
          <w:position w:val="0"/>
        </w:rPr>
        <w:t>（</w:t>
      </w:r>
      <w:bookmarkEnd w:id="892"/>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90"/>
      <w:bookmarkEnd w:id="891"/>
      <w:bookmarkEnd w:id="893"/>
    </w:p>
    <w:p>
      <w:pPr>
        <w:pStyle w:val="Style33"/>
        <w:keepNext w:val="0"/>
        <w:keepLines w:val="0"/>
        <w:widowControl w:val="0"/>
        <w:shd w:val="clear" w:color="auto" w:fill="auto"/>
        <w:bidi w:val="0"/>
        <w:spacing w:before="0" w:after="0" w:line="317" w:lineRule="exact"/>
        <w:ind w:left="0" w:right="0"/>
        <w:jc w:val="both"/>
      </w:pPr>
      <w:r>
        <w:rPr>
          <w:color w:val="000000"/>
          <w:spacing w:val="0"/>
          <w:w w:val="100"/>
          <w:position w:val="0"/>
        </w:rPr>
        <w:t>融资租入固定资产的认定依据：实质上转移了与资产所有权有关的全部风险和报酬的租赁。具体认定依据为符合下列 一项或数项条件的：</w:t>
      </w:r>
    </w:p>
    <w:p>
      <w:pPr>
        <w:pStyle w:val="Style33"/>
        <w:keepNext w:val="0"/>
        <w:keepLines w:val="0"/>
        <w:widowControl w:val="0"/>
        <w:numPr>
          <w:ilvl w:val="0"/>
          <w:numId w:val="45"/>
        </w:numPr>
        <w:shd w:val="clear" w:color="auto" w:fill="auto"/>
        <w:tabs>
          <w:tab w:pos="740" w:val="left"/>
        </w:tabs>
        <w:bidi w:val="0"/>
        <w:spacing w:before="0" w:after="0" w:line="312" w:lineRule="exact"/>
        <w:ind w:left="0" w:right="0"/>
        <w:jc w:val="both"/>
      </w:pPr>
      <w:bookmarkStart w:id="894" w:name="bookmark894"/>
      <w:bookmarkEnd w:id="894"/>
      <w:r>
        <w:rPr>
          <w:color w:val="000000"/>
          <w:spacing w:val="0"/>
          <w:w w:val="100"/>
          <w:position w:val="0"/>
        </w:rPr>
        <w:t>在租赁期届满时，租赁资产的所有权转移给承租人；</w:t>
      </w:r>
    </w:p>
    <w:p>
      <w:pPr>
        <w:pStyle w:val="Style33"/>
        <w:keepNext w:val="0"/>
        <w:keepLines w:val="0"/>
        <w:widowControl w:val="0"/>
        <w:numPr>
          <w:ilvl w:val="0"/>
          <w:numId w:val="45"/>
        </w:numPr>
        <w:shd w:val="clear" w:color="auto" w:fill="auto"/>
        <w:tabs>
          <w:tab w:pos="715" w:val="left"/>
        </w:tabs>
        <w:bidi w:val="0"/>
        <w:spacing w:before="0" w:after="0" w:line="312" w:lineRule="exact"/>
        <w:ind w:left="0" w:right="0"/>
        <w:jc w:val="both"/>
      </w:pPr>
      <w:bookmarkStart w:id="895" w:name="bookmark895"/>
      <w:bookmarkEnd w:id="895"/>
      <w:r>
        <w:rPr>
          <w:color w:val="000000"/>
          <w:spacing w:val="0"/>
          <w:w w:val="100"/>
          <w:position w:val="0"/>
        </w:rPr>
        <w:t>承租人有购买租赁资产的选择权，所订立的购买价款预计将远低于行使选择权时租赁资产的公允价值，因而在租赁 开始日就可以合理确定承租人会行使这种选择权；</w:t>
      </w:r>
    </w:p>
    <w:p>
      <w:pPr>
        <w:pStyle w:val="Style33"/>
        <w:keepNext w:val="0"/>
        <w:keepLines w:val="0"/>
        <w:widowControl w:val="0"/>
        <w:numPr>
          <w:ilvl w:val="0"/>
          <w:numId w:val="45"/>
        </w:numPr>
        <w:shd w:val="clear" w:color="auto" w:fill="auto"/>
        <w:tabs>
          <w:tab w:pos="740" w:val="left"/>
        </w:tabs>
        <w:bidi w:val="0"/>
        <w:spacing w:before="0" w:after="0" w:line="312" w:lineRule="exact"/>
        <w:ind w:left="0" w:right="0"/>
        <w:jc w:val="both"/>
      </w:pPr>
      <w:bookmarkStart w:id="896" w:name="bookmark896"/>
      <w:bookmarkEnd w:id="896"/>
      <w:r>
        <w:rPr>
          <w:color w:val="000000"/>
          <w:spacing w:val="0"/>
          <w:w w:val="100"/>
          <w:position w:val="0"/>
        </w:rPr>
        <w:t>即使资产的所有权不转移，但租赁期占租赁资产使用寿命的大部分；</w:t>
      </w:r>
    </w:p>
    <w:p>
      <w:pPr>
        <w:pStyle w:val="Style33"/>
        <w:keepNext w:val="0"/>
        <w:keepLines w:val="0"/>
        <w:widowControl w:val="0"/>
        <w:numPr>
          <w:ilvl w:val="0"/>
          <w:numId w:val="45"/>
        </w:numPr>
        <w:shd w:val="clear" w:color="auto" w:fill="auto"/>
        <w:tabs>
          <w:tab w:pos="740" w:val="left"/>
        </w:tabs>
        <w:bidi w:val="0"/>
        <w:spacing w:before="0" w:after="0" w:line="312" w:lineRule="exact"/>
        <w:ind w:left="0" w:right="0"/>
        <w:jc w:val="both"/>
      </w:pPr>
      <w:bookmarkStart w:id="897" w:name="bookmark897"/>
      <w:bookmarkEnd w:id="897"/>
      <w:r>
        <w:rPr>
          <w:color w:val="000000"/>
          <w:spacing w:val="0"/>
          <w:w w:val="100"/>
          <w:position w:val="0"/>
        </w:rPr>
        <w:t>承租人在租赁开始日的最低租赁付款额现值，几乎相当于租赁开始日租赁资产公允价值；</w:t>
      </w:r>
    </w:p>
    <w:p>
      <w:pPr>
        <w:pStyle w:val="Style33"/>
        <w:keepNext w:val="0"/>
        <w:keepLines w:val="0"/>
        <w:widowControl w:val="0"/>
        <w:numPr>
          <w:ilvl w:val="0"/>
          <w:numId w:val="45"/>
        </w:numPr>
        <w:shd w:val="clear" w:color="auto" w:fill="auto"/>
        <w:tabs>
          <w:tab w:pos="740" w:val="left"/>
        </w:tabs>
        <w:bidi w:val="0"/>
        <w:spacing w:before="0" w:after="0" w:line="312" w:lineRule="exact"/>
        <w:ind w:left="0" w:right="0"/>
        <w:jc w:val="both"/>
      </w:pPr>
      <w:bookmarkStart w:id="898" w:name="bookmark898"/>
      <w:bookmarkEnd w:id="898"/>
      <w:r>
        <w:rPr>
          <w:color w:val="000000"/>
          <w:spacing w:val="0"/>
          <w:w w:val="100"/>
          <w:position w:val="0"/>
        </w:rPr>
        <w:t>租赁资产性质特殊，如不作较大改造只有承租人才能使用。</w:t>
      </w:r>
    </w:p>
    <w:p>
      <w:pPr>
        <w:pStyle w:val="Style33"/>
        <w:keepNext w:val="0"/>
        <w:keepLines w:val="0"/>
        <w:widowControl w:val="0"/>
        <w:shd w:val="clear" w:color="auto" w:fill="auto"/>
        <w:bidi w:val="0"/>
        <w:spacing w:before="0" w:after="380" w:line="313" w:lineRule="exact"/>
        <w:ind w:left="0" w:right="0"/>
        <w:jc w:val="both"/>
      </w:pPr>
      <w:r>
        <w:rPr>
          <w:color w:val="000000"/>
          <w:spacing w:val="0"/>
          <w:w w:val="100"/>
          <w:position w:val="0"/>
        </w:rPr>
        <w:t>融资租入固定资产的计价方法：融资租入固定资产初始计价为租赁期开始日租赁资产公允价值与最低租赁付款额现值 较低者作为入账价值。融资租入固定资产后续计价采用与自有固定资产相一致的折旧政策计提折旧及减值准备融资租入 固定资产为实质上转移了与资产所有权有关的全部风险和报酬的租赁。融资租入固定资产初始计价为租赁期开始日租赁资 产公允价值与最低租赁付款额现值较低者作为入账价值；融资租入固定资产后续计价采用与自有固定资产相一致的折旧政 策计提折旧及减值准备。</w:t>
      </w:r>
    </w:p>
    <w:p>
      <w:pPr>
        <w:pStyle w:val="Style37"/>
        <w:keepNext/>
        <w:keepLines/>
        <w:widowControl w:val="0"/>
        <w:shd w:val="clear" w:color="auto" w:fill="auto"/>
        <w:bidi w:val="0"/>
        <w:spacing w:before="0" w:after="280" w:line="240"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2</w:t>
      </w:r>
      <w:bookmarkEnd w:id="901"/>
      <w:r>
        <w:rPr>
          <w:rFonts w:ascii="Times New Roman" w:eastAsia="Times New Roman" w:hAnsi="Times New Roman" w:cs="Times New Roman"/>
          <w:color w:val="000000"/>
          <w:spacing w:val="0"/>
          <w:w w:val="100"/>
          <w:position w:val="0"/>
        </w:rPr>
        <w:t>1</w:t>
      </w:r>
      <w:r>
        <w:rPr>
          <w:color w:val="000000"/>
          <w:spacing w:val="0"/>
          <w:w w:val="100"/>
          <w:position w:val="0"/>
        </w:rPr>
        <w:t>、在建工程</w:t>
      </w:r>
      <w:bookmarkEnd w:id="899"/>
      <w:bookmarkEnd w:id="900"/>
      <w:bookmarkEnd w:id="902"/>
    </w:p>
    <w:p>
      <w:pPr>
        <w:pStyle w:val="Style33"/>
        <w:keepNext w:val="0"/>
        <w:keepLines w:val="0"/>
        <w:widowControl w:val="0"/>
        <w:shd w:val="clear" w:color="auto" w:fill="auto"/>
        <w:bidi w:val="0"/>
        <w:spacing w:before="0" w:after="700" w:line="312" w:lineRule="exact"/>
        <w:ind w:left="0" w:right="0" w:firstLine="440"/>
        <w:jc w:val="both"/>
      </w:pPr>
      <w:r>
        <w:rPr>
          <w:color w:val="000000"/>
          <w:spacing w:val="0"/>
          <w:w w:val="100"/>
          <w:position w:val="0"/>
        </w:rPr>
        <w:t xml:space="preserve">在建工程项目按建造该项资产达到预定可使用状态前所发生的必要支出，作为固定资产的入账价值。所建造的固定资 产在建工程已达到预定可使用状态，但尚未办理竣工决算的，自达到预定可使用状态之日起，根据工程预算、造价或者工程 实际成本等，按估计的价值转入固定资产，并按本公司固定资产折旧政策计提固定资产的折旧，待办理竣工决算后，再按实 </w:t>
      </w:r>
      <w:r>
        <w:rPr>
          <w:color w:val="000000"/>
          <w:spacing w:val="0"/>
          <w:w w:val="100"/>
          <w:position w:val="0"/>
        </w:rPr>
        <w:t>际成本调整原来的暂估价值，但不调整原已计提的折旧额。</w:t>
      </w:r>
    </w:p>
    <w:p>
      <w:pPr>
        <w:pStyle w:val="Style37"/>
        <w:keepNext/>
        <w:keepLines/>
        <w:widowControl w:val="0"/>
        <w:shd w:val="clear" w:color="auto" w:fill="auto"/>
        <w:bidi w:val="0"/>
        <w:spacing w:before="0" w:after="280" w:line="240" w:lineRule="auto"/>
        <w:ind w:left="0" w:right="0" w:firstLine="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2</w:t>
      </w:r>
      <w:bookmarkEnd w:id="905"/>
      <w:r>
        <w:rPr>
          <w:rFonts w:ascii="Times New Roman" w:eastAsia="Times New Roman" w:hAnsi="Times New Roman" w:cs="Times New Roman"/>
          <w:color w:val="000000"/>
          <w:spacing w:val="0"/>
          <w:w w:val="100"/>
          <w:position w:val="0"/>
        </w:rPr>
        <w:t>2</w:t>
      </w:r>
      <w:r>
        <w:rPr>
          <w:color w:val="000000"/>
          <w:spacing w:val="0"/>
          <w:w w:val="100"/>
          <w:position w:val="0"/>
        </w:rPr>
        <w:t>、借款费用</w:t>
      </w:r>
      <w:bookmarkEnd w:id="903"/>
      <w:bookmarkEnd w:id="904"/>
      <w:bookmarkEnd w:id="906"/>
    </w:p>
    <w:p>
      <w:pPr>
        <w:pStyle w:val="Style33"/>
        <w:keepNext w:val="0"/>
        <w:keepLines w:val="0"/>
        <w:widowControl w:val="0"/>
        <w:shd w:val="clear" w:color="auto" w:fill="auto"/>
        <w:tabs>
          <w:tab w:pos="819" w:val="left"/>
        </w:tabs>
        <w:bidi w:val="0"/>
        <w:spacing w:before="0" w:after="0" w:line="314" w:lineRule="exact"/>
        <w:ind w:left="0" w:right="0" w:firstLine="440"/>
        <w:jc w:val="left"/>
      </w:pPr>
      <w:bookmarkStart w:id="907" w:name="bookmark907"/>
      <w:r>
        <w:rPr>
          <w:rFonts w:ascii="Times New Roman" w:eastAsia="Times New Roman" w:hAnsi="Times New Roman" w:cs="Times New Roman"/>
          <w:color w:val="000000"/>
          <w:spacing w:val="0"/>
          <w:w w:val="100"/>
          <w:position w:val="0"/>
        </w:rPr>
        <w:t>（</w:t>
      </w:r>
      <w:bookmarkEnd w:id="907"/>
      <w:r>
        <w:rPr>
          <w:rFonts w:ascii="Times New Roman" w:eastAsia="Times New Roman" w:hAnsi="Times New Roman" w:cs="Times New Roman"/>
          <w:color w:val="000000"/>
          <w:spacing w:val="0"/>
          <w:w w:val="100"/>
          <w:position w:val="0"/>
        </w:rPr>
        <w:t>1）</w:t>
        <w:tab/>
      </w:r>
      <w:r>
        <w:rPr>
          <w:color w:val="000000"/>
          <w:spacing w:val="0"/>
          <w:w w:val="100"/>
          <w:position w:val="0"/>
        </w:rPr>
        <w:t>公司发生的借款费用，可直接归属于符合资本化条件的资产的购建或者生产的，予以资本化，计入相关资产成本。 符合资本化条件的资产，是指需要经过相当长的时间的</w:t>
      </w:r>
      <w:r>
        <w:rPr>
          <w:rFonts w:ascii="Times New Roman" w:eastAsia="Times New Roman" w:hAnsi="Times New Roman" w:cs="Times New Roman"/>
          <w:color w:val="000000"/>
          <w:spacing w:val="0"/>
          <w:w w:val="100"/>
          <w:position w:val="0"/>
        </w:rPr>
        <w:t>（</w:t>
      </w:r>
      <w:r>
        <w:rPr>
          <w:color w:val="000000"/>
          <w:spacing w:val="0"/>
          <w:w w:val="100"/>
          <w:position w:val="0"/>
        </w:rPr>
        <w:t>通常是指</w:t>
      </w:r>
      <w:r>
        <w:rPr>
          <w:rFonts w:ascii="Times New Roman" w:eastAsia="Times New Roman" w:hAnsi="Times New Roman" w:cs="Times New Roman"/>
          <w:color w:val="000000"/>
          <w:spacing w:val="0"/>
          <w:w w:val="100"/>
          <w:position w:val="0"/>
        </w:rPr>
        <w:t>1</w:t>
      </w:r>
      <w:r>
        <w:rPr>
          <w:color w:val="000000"/>
          <w:spacing w:val="0"/>
          <w:w w:val="100"/>
          <w:position w:val="0"/>
        </w:rPr>
        <w:t>年及</w:t>
      </w:r>
      <w:r>
        <w:rPr>
          <w:rFonts w:ascii="Times New Roman" w:eastAsia="Times New Roman" w:hAnsi="Times New Roman" w:cs="Times New Roman"/>
          <w:color w:val="000000"/>
          <w:spacing w:val="0"/>
          <w:w w:val="100"/>
          <w:position w:val="0"/>
        </w:rPr>
        <w:t>1</w:t>
      </w:r>
      <w:r>
        <w:rPr>
          <w:color w:val="000000"/>
          <w:spacing w:val="0"/>
          <w:w w:val="100"/>
          <w:position w:val="0"/>
        </w:rPr>
        <w:t>年以上</w:t>
      </w:r>
      <w:r>
        <w:rPr>
          <w:rFonts w:ascii="Times New Roman" w:eastAsia="Times New Roman" w:hAnsi="Times New Roman" w:cs="Times New Roman"/>
          <w:color w:val="000000"/>
          <w:spacing w:val="0"/>
          <w:w w:val="100"/>
          <w:position w:val="0"/>
        </w:rPr>
        <w:t>）</w:t>
      </w:r>
      <w:r>
        <w:rPr>
          <w:color w:val="000000"/>
          <w:spacing w:val="0"/>
          <w:w w:val="100"/>
          <w:position w:val="0"/>
        </w:rPr>
        <w:t>购建或者生产活动才能达到预定可使用可 销售状态的固定资产、投资性房地产和存货等资产。其他借款费用，应当在发生时根据其发生额确认为费用，计入当期损 益。借款费用包括借款利息、折价或者溢价的摊销、辅助费用以及因外币借款而发生的汇兑差额等。</w:t>
      </w:r>
    </w:p>
    <w:p>
      <w:pPr>
        <w:pStyle w:val="Style33"/>
        <w:keepNext w:val="0"/>
        <w:keepLines w:val="0"/>
        <w:widowControl w:val="0"/>
        <w:shd w:val="clear" w:color="auto" w:fill="auto"/>
        <w:tabs>
          <w:tab w:pos="842" w:val="left"/>
        </w:tabs>
        <w:bidi w:val="0"/>
        <w:spacing w:before="0" w:after="0" w:line="314" w:lineRule="exact"/>
        <w:ind w:left="0" w:right="0" w:firstLine="440"/>
        <w:jc w:val="left"/>
      </w:pPr>
      <w:bookmarkStart w:id="908" w:name="bookmark908"/>
      <w:r>
        <w:rPr>
          <w:rFonts w:ascii="Times New Roman" w:eastAsia="Times New Roman" w:hAnsi="Times New Roman" w:cs="Times New Roman"/>
          <w:color w:val="000000"/>
          <w:spacing w:val="0"/>
          <w:w w:val="100"/>
          <w:position w:val="0"/>
        </w:rPr>
        <w:t>（</w:t>
      </w:r>
      <w:bookmarkEnd w:id="908"/>
      <w:r>
        <w:rPr>
          <w:rFonts w:ascii="Times New Roman" w:eastAsia="Times New Roman" w:hAnsi="Times New Roman" w:cs="Times New Roman"/>
          <w:color w:val="000000"/>
          <w:spacing w:val="0"/>
          <w:w w:val="100"/>
          <w:position w:val="0"/>
        </w:rPr>
        <w:t>2）</w:t>
        <w:tab/>
      </w:r>
      <w:r>
        <w:rPr>
          <w:color w:val="000000"/>
          <w:spacing w:val="0"/>
          <w:w w:val="100"/>
          <w:position w:val="0"/>
        </w:rPr>
        <w:t>借款费用同时满足下列条件的，开始资本化：</w:t>
      </w:r>
    </w:p>
    <w:p>
      <w:pPr>
        <w:pStyle w:val="Style33"/>
        <w:keepNext w:val="0"/>
        <w:keepLines w:val="0"/>
        <w:widowControl w:val="0"/>
        <w:numPr>
          <w:ilvl w:val="0"/>
          <w:numId w:val="47"/>
        </w:numPr>
        <w:shd w:val="clear" w:color="auto" w:fill="auto"/>
        <w:tabs>
          <w:tab w:pos="786" w:val="left"/>
        </w:tabs>
        <w:bidi w:val="0"/>
        <w:spacing w:before="0" w:after="0" w:line="314" w:lineRule="exact"/>
        <w:ind w:left="0" w:right="0" w:firstLine="440"/>
        <w:jc w:val="both"/>
      </w:pPr>
      <w:bookmarkStart w:id="909" w:name="bookmark909"/>
      <w:bookmarkEnd w:id="909"/>
      <w:r>
        <w:rPr>
          <w:color w:val="000000"/>
          <w:spacing w:val="0"/>
          <w:w w:val="100"/>
          <w:position w:val="0"/>
        </w:rPr>
        <w:t>资产支出已发生，资产支出包括为购建或者生产符合资本化条件的资产而支付的现金、转移非现金资产或者承担带 息债务形式发生的支出；</w:t>
      </w:r>
    </w:p>
    <w:p>
      <w:pPr>
        <w:pStyle w:val="Style33"/>
        <w:keepNext w:val="0"/>
        <w:keepLines w:val="0"/>
        <w:widowControl w:val="0"/>
        <w:numPr>
          <w:ilvl w:val="0"/>
          <w:numId w:val="47"/>
        </w:numPr>
        <w:shd w:val="clear" w:color="auto" w:fill="auto"/>
        <w:tabs>
          <w:tab w:pos="813" w:val="left"/>
        </w:tabs>
        <w:bidi w:val="0"/>
        <w:spacing w:before="0" w:after="0" w:line="314" w:lineRule="exact"/>
        <w:ind w:left="0" w:right="0" w:firstLine="440"/>
        <w:jc w:val="left"/>
      </w:pPr>
      <w:bookmarkStart w:id="910" w:name="bookmark910"/>
      <w:bookmarkEnd w:id="910"/>
      <w:r>
        <w:rPr>
          <w:color w:val="000000"/>
          <w:spacing w:val="0"/>
          <w:w w:val="100"/>
          <w:position w:val="0"/>
        </w:rPr>
        <w:t>借款费用已经发生；</w:t>
      </w:r>
    </w:p>
    <w:p>
      <w:pPr>
        <w:pStyle w:val="Style33"/>
        <w:keepNext w:val="0"/>
        <w:keepLines w:val="0"/>
        <w:widowControl w:val="0"/>
        <w:numPr>
          <w:ilvl w:val="0"/>
          <w:numId w:val="47"/>
        </w:numPr>
        <w:shd w:val="clear" w:color="auto" w:fill="auto"/>
        <w:tabs>
          <w:tab w:pos="813" w:val="left"/>
        </w:tabs>
        <w:bidi w:val="0"/>
        <w:spacing w:before="0" w:after="0" w:line="314" w:lineRule="exact"/>
        <w:ind w:left="0" w:right="0" w:firstLine="440"/>
        <w:jc w:val="left"/>
      </w:pPr>
      <w:bookmarkStart w:id="911" w:name="bookmark911"/>
      <w:bookmarkEnd w:id="911"/>
      <w:r>
        <w:rPr>
          <w:color w:val="000000"/>
          <w:spacing w:val="0"/>
          <w:w w:val="100"/>
          <w:position w:val="0"/>
        </w:rPr>
        <w:t>为使资产达到预定可使用或者可销售状态所必要的购建或者生产活动已经开始。</w:t>
      </w:r>
    </w:p>
    <w:p>
      <w:pPr>
        <w:pStyle w:val="Style3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购建或者生产符合资本化条件的资产达到预定可使用或者可销售状态时，借款费用停止资本化。</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个月的，暂停借款费用的资本 化。在中断期间发生的借款费用确认为费用，计入当期损益，直至资产的购建或者生产活动重新开始。如果中断是所购建 或者生产的符合资本化条件的资产达到预定可使用或可销售状态必要的程序，借款费用的资本化则继续进行。</w:t>
      </w:r>
    </w:p>
    <w:p>
      <w:pPr>
        <w:pStyle w:val="Style33"/>
        <w:keepNext w:val="0"/>
        <w:keepLines w:val="0"/>
        <w:widowControl w:val="0"/>
        <w:shd w:val="clear" w:color="auto" w:fill="auto"/>
        <w:tabs>
          <w:tab w:pos="862" w:val="left"/>
        </w:tabs>
        <w:bidi w:val="0"/>
        <w:spacing w:before="0" w:after="0" w:line="314" w:lineRule="exact"/>
        <w:ind w:left="0" w:right="0" w:firstLine="440"/>
        <w:jc w:val="left"/>
      </w:pPr>
      <w:bookmarkStart w:id="912" w:name="bookmark912"/>
      <w:r>
        <w:rPr>
          <w:rFonts w:ascii="Times New Roman" w:eastAsia="Times New Roman" w:hAnsi="Times New Roman" w:cs="Times New Roman"/>
          <w:color w:val="000000"/>
          <w:spacing w:val="0"/>
          <w:w w:val="100"/>
          <w:position w:val="0"/>
        </w:rPr>
        <w:t>（</w:t>
      </w:r>
      <w:bookmarkEnd w:id="912"/>
      <w:r>
        <w:rPr>
          <w:rFonts w:ascii="Times New Roman" w:eastAsia="Times New Roman" w:hAnsi="Times New Roman" w:cs="Times New Roman"/>
          <w:color w:val="000000"/>
          <w:spacing w:val="0"/>
          <w:w w:val="100"/>
          <w:position w:val="0"/>
        </w:rPr>
        <w:t>3）</w:t>
        <w:tab/>
      </w:r>
      <w:r>
        <w:rPr>
          <w:color w:val="000000"/>
          <w:spacing w:val="0"/>
          <w:w w:val="100"/>
          <w:position w:val="0"/>
        </w:rPr>
        <w:t>在资本化期间内，每一会计期间的利息</w:t>
      </w:r>
      <w:r>
        <w:rPr>
          <w:rFonts w:ascii="Times New Roman" w:eastAsia="Times New Roman" w:hAnsi="Times New Roman" w:cs="Times New Roman"/>
          <w:color w:val="000000"/>
          <w:spacing w:val="0"/>
          <w:w w:val="100"/>
          <w:position w:val="0"/>
        </w:rPr>
        <w:t>（</w:t>
      </w:r>
      <w:r>
        <w:rPr>
          <w:color w:val="000000"/>
          <w:spacing w:val="0"/>
          <w:w w:val="100"/>
          <w:position w:val="0"/>
        </w:rPr>
        <w:t>包括折价或溢价的摊销</w:t>
      </w:r>
      <w:r>
        <w:rPr>
          <w:rFonts w:ascii="Times New Roman" w:eastAsia="Times New Roman" w:hAnsi="Times New Roman" w:cs="Times New Roman"/>
          <w:color w:val="000000"/>
          <w:spacing w:val="0"/>
          <w:w w:val="100"/>
          <w:position w:val="0"/>
        </w:rPr>
        <w:t>）</w:t>
      </w:r>
      <w:r>
        <w:rPr>
          <w:color w:val="000000"/>
          <w:spacing w:val="0"/>
          <w:w w:val="100"/>
          <w:position w:val="0"/>
        </w:rPr>
        <w:t>资本化金额，按照下列规定确定：</w:t>
      </w:r>
    </w:p>
    <w:p>
      <w:pPr>
        <w:pStyle w:val="Style33"/>
        <w:keepNext w:val="0"/>
        <w:keepLines w:val="0"/>
        <w:widowControl w:val="0"/>
        <w:numPr>
          <w:ilvl w:val="0"/>
          <w:numId w:val="49"/>
        </w:numPr>
        <w:shd w:val="clear" w:color="auto" w:fill="auto"/>
        <w:tabs>
          <w:tab w:pos="790" w:val="left"/>
        </w:tabs>
        <w:bidi w:val="0"/>
        <w:spacing w:before="0" w:after="0" w:line="314" w:lineRule="exact"/>
        <w:ind w:left="0" w:right="0" w:firstLine="440"/>
        <w:jc w:val="left"/>
      </w:pPr>
      <w:bookmarkStart w:id="913" w:name="bookmark913"/>
      <w:bookmarkEnd w:id="913"/>
      <w:r>
        <w:rPr>
          <w:color w:val="000000"/>
          <w:spacing w:val="0"/>
          <w:w w:val="100"/>
          <w:position w:val="0"/>
        </w:rPr>
        <w:t>为购建或者生产符合资本化条件的资产而借入专门借款的，以专门借款当期实际发生的利息费用，减去尚未动用的 借款资金存入银行取得的利息收入或进行暂时性投资取得的投资收益后的金额确定。</w:t>
      </w:r>
    </w:p>
    <w:p>
      <w:pPr>
        <w:pStyle w:val="Style33"/>
        <w:keepNext w:val="0"/>
        <w:keepLines w:val="0"/>
        <w:widowControl w:val="0"/>
        <w:numPr>
          <w:ilvl w:val="0"/>
          <w:numId w:val="49"/>
        </w:numPr>
        <w:shd w:val="clear" w:color="auto" w:fill="auto"/>
        <w:tabs>
          <w:tab w:pos="790" w:val="left"/>
        </w:tabs>
        <w:bidi w:val="0"/>
        <w:spacing w:before="0" w:after="0" w:line="314" w:lineRule="exact"/>
        <w:ind w:left="0" w:right="0" w:firstLine="440"/>
        <w:jc w:val="left"/>
      </w:pPr>
      <w:bookmarkStart w:id="914" w:name="bookmark914"/>
      <w:bookmarkEnd w:id="914"/>
      <w:r>
        <w:rPr>
          <w:color w:val="000000"/>
          <w:spacing w:val="0"/>
          <w:w w:val="100"/>
          <w:position w:val="0"/>
        </w:rPr>
        <w:t>为购建或者生产符合资本化条件的资产而占用了一般借款的，根据累计资产支出超过专门借款部分的资产支出加权 平均数乘以所占用的一般借款的资本化率，计算确定一般借款应予资本化的利息金额。资本化率根据一般借款加权平均利 率确定。</w:t>
      </w:r>
    </w:p>
    <w:p>
      <w:pPr>
        <w:pStyle w:val="Style3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借款存在折价或溢价的，按照实际利率法确定每一会计期间相应摊销的折价或者溢价的金额，调整每期利息金额。在 资本化期间内，每一会计期间的利息资本化金额，不超过当期相关借款实际发生的利息金额。</w:t>
      </w:r>
    </w:p>
    <w:p>
      <w:pPr>
        <w:pStyle w:val="Style33"/>
        <w:keepNext w:val="0"/>
        <w:keepLines w:val="0"/>
        <w:widowControl w:val="0"/>
        <w:shd w:val="clear" w:color="auto" w:fill="auto"/>
        <w:tabs>
          <w:tab w:pos="819" w:val="left"/>
        </w:tabs>
        <w:bidi w:val="0"/>
        <w:spacing w:before="0" w:after="700" w:line="314" w:lineRule="exact"/>
        <w:ind w:left="0" w:right="0" w:firstLine="440"/>
        <w:jc w:val="left"/>
      </w:pPr>
      <w:bookmarkStart w:id="915" w:name="bookmark915"/>
      <w:r>
        <w:rPr>
          <w:rFonts w:ascii="Times New Roman" w:eastAsia="Times New Roman" w:hAnsi="Times New Roman" w:cs="Times New Roman"/>
          <w:color w:val="000000"/>
          <w:spacing w:val="0"/>
          <w:w w:val="100"/>
          <w:position w:val="0"/>
        </w:rPr>
        <w:t>（</w:t>
      </w:r>
      <w:bookmarkEnd w:id="915"/>
      <w:r>
        <w:rPr>
          <w:rFonts w:ascii="Times New Roman" w:eastAsia="Times New Roman" w:hAnsi="Times New Roman" w:cs="Times New Roman"/>
          <w:color w:val="000000"/>
          <w:spacing w:val="0"/>
          <w:w w:val="100"/>
          <w:position w:val="0"/>
        </w:rPr>
        <w:t>4）</w:t>
        <w:tab/>
      </w:r>
      <w:r>
        <w:rPr>
          <w:color w:val="000000"/>
          <w:spacing w:val="0"/>
          <w:w w:val="100"/>
          <w:position w:val="0"/>
        </w:rPr>
        <w:t>专门借款发生的辅助费用，在所购建或者生产的符合资本化条件的资产达到预定可使用或者可销售状态之前发生 的，在发生时根据其发生额予以资本化，计入符合资本化条件的资产的成本；在所购建或者生产的符合资本化条件的资产 达到预定可使用或者可销售状态之后发生的，在发生时根据其发生额确认为费用，计入当期损益。一般借款发生的辅助费 用，在发生时根据其发生额确认为费用，计入当期损益。</w:t>
      </w:r>
    </w:p>
    <w:p>
      <w:pPr>
        <w:pStyle w:val="Style37"/>
        <w:keepNext/>
        <w:keepLines/>
        <w:widowControl w:val="0"/>
        <w:shd w:val="clear" w:color="auto" w:fill="auto"/>
        <w:bidi w:val="0"/>
        <w:spacing w:before="0" w:after="380" w:line="240" w:lineRule="auto"/>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2</w:t>
      </w:r>
      <w:bookmarkEnd w:id="918"/>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916"/>
      <w:bookmarkEnd w:id="917"/>
      <w:bookmarkEnd w:id="919"/>
    </w:p>
    <w:p>
      <w:pPr>
        <w:pStyle w:val="Style37"/>
        <w:keepNext/>
        <w:keepLines/>
        <w:widowControl w:val="0"/>
        <w:shd w:val="clear" w:color="auto" w:fill="auto"/>
        <w:bidi w:val="0"/>
        <w:spacing w:before="0" w:after="280" w:line="240" w:lineRule="auto"/>
        <w:ind w:left="0" w:right="0" w:firstLine="0"/>
        <w:jc w:val="left"/>
      </w:pPr>
      <w:bookmarkStart w:id="916" w:name="bookmark916"/>
      <w:bookmarkStart w:id="917" w:name="bookmark917"/>
      <w:bookmarkStart w:id="920" w:name="bookmark920"/>
      <w:bookmarkStart w:id="921" w:name="bookmark921"/>
      <w:r>
        <w:rPr>
          <w:color w:val="000000"/>
          <w:spacing w:val="0"/>
          <w:w w:val="100"/>
          <w:position w:val="0"/>
        </w:rPr>
        <w:t>（</w:t>
      </w:r>
      <w:bookmarkEnd w:id="920"/>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16"/>
      <w:bookmarkEnd w:id="917"/>
      <w:bookmarkEnd w:id="921"/>
    </w:p>
    <w:p>
      <w:pPr>
        <w:pStyle w:val="Style33"/>
        <w:keepNext w:val="0"/>
        <w:keepLines w:val="0"/>
        <w:widowControl w:val="0"/>
        <w:numPr>
          <w:ilvl w:val="0"/>
          <w:numId w:val="51"/>
        </w:numPr>
        <w:shd w:val="clear" w:color="auto" w:fill="auto"/>
        <w:tabs>
          <w:tab w:pos="790" w:val="left"/>
        </w:tabs>
        <w:bidi w:val="0"/>
        <w:spacing w:before="0" w:after="0" w:line="312" w:lineRule="exact"/>
        <w:ind w:left="0" w:right="0" w:firstLine="440"/>
        <w:jc w:val="both"/>
      </w:pPr>
      <w:bookmarkStart w:id="922" w:name="bookmark922"/>
      <w:bookmarkEnd w:id="922"/>
      <w:r>
        <w:rPr>
          <w:color w:val="000000"/>
          <w:spacing w:val="0"/>
          <w:w w:val="100"/>
          <w:position w:val="0"/>
        </w:rPr>
        <w:t>无形资产，是指企业拥有或者控制的没有实物形态的可辨认非货币性资产。无形资产按照成本进行初始计量。于取 得无形资产时分析判断其使用寿命。</w:t>
      </w:r>
    </w:p>
    <w:p>
      <w:pPr>
        <w:pStyle w:val="Style33"/>
        <w:keepNext w:val="0"/>
        <w:keepLines w:val="0"/>
        <w:widowControl w:val="0"/>
        <w:numPr>
          <w:ilvl w:val="0"/>
          <w:numId w:val="51"/>
        </w:numPr>
        <w:shd w:val="clear" w:color="auto" w:fill="auto"/>
        <w:tabs>
          <w:tab w:pos="813" w:val="left"/>
        </w:tabs>
        <w:bidi w:val="0"/>
        <w:spacing w:before="0" w:after="0" w:line="312" w:lineRule="exact"/>
        <w:ind w:left="0" w:right="0" w:firstLine="440"/>
        <w:jc w:val="both"/>
      </w:pPr>
      <w:bookmarkStart w:id="923" w:name="bookmark923"/>
      <w:bookmarkEnd w:id="923"/>
      <w:r>
        <w:rPr>
          <w:color w:val="000000"/>
          <w:spacing w:val="0"/>
          <w:w w:val="100"/>
          <w:position w:val="0"/>
        </w:rPr>
        <w:t>公司确定无形资产使用寿命通常考虑的因素：</w:t>
      </w:r>
    </w:p>
    <w:p>
      <w:pPr>
        <w:pStyle w:val="Style33"/>
        <w:keepNext w:val="0"/>
        <w:keepLines w:val="0"/>
        <w:widowControl w:val="0"/>
        <w:shd w:val="clear" w:color="auto" w:fill="auto"/>
        <w:tabs>
          <w:tab w:pos="789" w:val="left"/>
        </w:tabs>
        <w:bidi w:val="0"/>
        <w:spacing w:before="0" w:after="0" w:line="312" w:lineRule="exact"/>
        <w:ind w:left="0" w:right="0" w:firstLine="440"/>
        <w:jc w:val="left"/>
      </w:pPr>
      <w:bookmarkStart w:id="924" w:name="bookmark924"/>
      <w:r>
        <w:rPr>
          <w:rFonts w:ascii="Times New Roman" w:eastAsia="Times New Roman" w:hAnsi="Times New Roman" w:cs="Times New Roman"/>
          <w:color w:val="000000"/>
          <w:spacing w:val="0"/>
          <w:w w:val="100"/>
          <w:position w:val="0"/>
        </w:rPr>
        <w:t>1</w:t>
      </w:r>
      <w:bookmarkEnd w:id="924"/>
      <w:r>
        <w:rPr>
          <w:color w:val="000000"/>
          <w:spacing w:val="0"/>
          <w:w w:val="100"/>
          <w:position w:val="0"/>
        </w:rPr>
        <w:t>）</w:t>
        <w:tab/>
        <w:t>运用该资产生产的产品通常的寿命周期、可获得的类似资产使用寿命的信息；</w:t>
      </w:r>
    </w:p>
    <w:p>
      <w:pPr>
        <w:pStyle w:val="Style33"/>
        <w:keepNext w:val="0"/>
        <w:keepLines w:val="0"/>
        <w:widowControl w:val="0"/>
        <w:shd w:val="clear" w:color="auto" w:fill="auto"/>
        <w:tabs>
          <w:tab w:pos="808" w:val="left"/>
        </w:tabs>
        <w:bidi w:val="0"/>
        <w:spacing w:before="0" w:after="0" w:line="312" w:lineRule="exact"/>
        <w:ind w:left="0" w:right="0" w:firstLine="440"/>
        <w:jc w:val="left"/>
      </w:pPr>
      <w:bookmarkStart w:id="925" w:name="bookmark925"/>
      <w:r>
        <w:rPr>
          <w:rFonts w:ascii="Times New Roman" w:eastAsia="Times New Roman" w:hAnsi="Times New Roman" w:cs="Times New Roman"/>
          <w:color w:val="000000"/>
          <w:spacing w:val="0"/>
          <w:w w:val="100"/>
          <w:position w:val="0"/>
        </w:rPr>
        <w:t>2</w:t>
      </w:r>
      <w:bookmarkEnd w:id="925"/>
      <w:r>
        <w:rPr>
          <w:color w:val="000000"/>
          <w:spacing w:val="0"/>
          <w:w w:val="100"/>
          <w:position w:val="0"/>
        </w:rPr>
        <w:t>）</w:t>
        <w:tab/>
        <w:t>技术、工艺等方面的现阶段情况及对未来发展趋势的估计；</w:t>
      </w:r>
    </w:p>
    <w:p>
      <w:pPr>
        <w:pStyle w:val="Style33"/>
        <w:keepNext w:val="0"/>
        <w:keepLines w:val="0"/>
        <w:widowControl w:val="0"/>
        <w:shd w:val="clear" w:color="auto" w:fill="auto"/>
        <w:tabs>
          <w:tab w:pos="798" w:val="left"/>
        </w:tabs>
        <w:bidi w:val="0"/>
        <w:spacing w:before="0" w:after="0" w:line="312" w:lineRule="exact"/>
        <w:ind w:left="0" w:right="0" w:firstLine="440"/>
        <w:jc w:val="left"/>
      </w:pPr>
      <w:bookmarkStart w:id="926" w:name="bookmark926"/>
      <w:r>
        <w:rPr>
          <w:rFonts w:ascii="Times New Roman" w:eastAsia="Times New Roman" w:hAnsi="Times New Roman" w:cs="Times New Roman"/>
          <w:color w:val="000000"/>
          <w:spacing w:val="0"/>
          <w:w w:val="100"/>
          <w:position w:val="0"/>
        </w:rPr>
        <w:t>3</w:t>
      </w:r>
      <w:bookmarkEnd w:id="926"/>
      <w:r>
        <w:rPr>
          <w:color w:val="000000"/>
          <w:spacing w:val="0"/>
          <w:w w:val="100"/>
          <w:position w:val="0"/>
        </w:rPr>
        <w:t>）</w:t>
        <w:tab/>
        <w:t>以该资产生产的产品或提供服务的市场需求情况；</w:t>
      </w:r>
    </w:p>
    <w:p>
      <w:pPr>
        <w:pStyle w:val="Style33"/>
        <w:keepNext w:val="0"/>
        <w:keepLines w:val="0"/>
        <w:widowControl w:val="0"/>
        <w:shd w:val="clear" w:color="auto" w:fill="auto"/>
        <w:tabs>
          <w:tab w:pos="808" w:val="left"/>
        </w:tabs>
        <w:bidi w:val="0"/>
        <w:spacing w:before="0" w:after="0" w:line="312" w:lineRule="exact"/>
        <w:ind w:left="0" w:right="0" w:firstLine="440"/>
        <w:jc w:val="left"/>
      </w:pPr>
      <w:bookmarkStart w:id="927" w:name="bookmark927"/>
      <w:r>
        <w:rPr>
          <w:rFonts w:ascii="Times New Roman" w:eastAsia="Times New Roman" w:hAnsi="Times New Roman" w:cs="Times New Roman"/>
          <w:color w:val="000000"/>
          <w:spacing w:val="0"/>
          <w:w w:val="100"/>
          <w:position w:val="0"/>
        </w:rPr>
        <w:t>4</w:t>
      </w:r>
      <w:bookmarkEnd w:id="927"/>
      <w:r>
        <w:rPr>
          <w:color w:val="000000"/>
          <w:spacing w:val="0"/>
          <w:w w:val="100"/>
          <w:position w:val="0"/>
        </w:rPr>
        <w:t>）</w:t>
        <w:tab/>
        <w:t>现在或潜在的竞争者预期采取的行动；</w:t>
      </w:r>
    </w:p>
    <w:p>
      <w:pPr>
        <w:pStyle w:val="Style33"/>
        <w:keepNext w:val="0"/>
        <w:keepLines w:val="0"/>
        <w:widowControl w:val="0"/>
        <w:shd w:val="clear" w:color="auto" w:fill="auto"/>
        <w:tabs>
          <w:tab w:pos="808" w:val="left"/>
        </w:tabs>
        <w:bidi w:val="0"/>
        <w:spacing w:before="0" w:after="0" w:line="312" w:lineRule="exact"/>
        <w:ind w:left="0" w:right="0" w:firstLine="440"/>
        <w:jc w:val="left"/>
      </w:pPr>
      <w:bookmarkStart w:id="928" w:name="bookmark928"/>
      <w:r>
        <w:rPr>
          <w:rFonts w:ascii="Times New Roman" w:eastAsia="Times New Roman" w:hAnsi="Times New Roman" w:cs="Times New Roman"/>
          <w:color w:val="000000"/>
          <w:spacing w:val="0"/>
          <w:w w:val="100"/>
          <w:position w:val="0"/>
        </w:rPr>
        <w:t>5</w:t>
      </w:r>
      <w:bookmarkEnd w:id="928"/>
      <w:r>
        <w:rPr>
          <w:color w:val="000000"/>
          <w:spacing w:val="0"/>
          <w:w w:val="100"/>
          <w:position w:val="0"/>
        </w:rPr>
        <w:t>）</w:t>
        <w:tab/>
        <w:t>为维持该资产带来经济利益能力的预期维护支出，以及公司预计支付有关支出的能力；</w:t>
      </w:r>
    </w:p>
    <w:p>
      <w:pPr>
        <w:pStyle w:val="Style33"/>
        <w:keepNext w:val="0"/>
        <w:keepLines w:val="0"/>
        <w:widowControl w:val="0"/>
        <w:shd w:val="clear" w:color="auto" w:fill="auto"/>
        <w:tabs>
          <w:tab w:pos="808" w:val="left"/>
        </w:tabs>
        <w:bidi w:val="0"/>
        <w:spacing w:before="0" w:after="280" w:line="312" w:lineRule="exact"/>
        <w:ind w:left="0" w:right="0" w:firstLine="440"/>
        <w:jc w:val="left"/>
      </w:pPr>
      <w:bookmarkStart w:id="929" w:name="bookmark929"/>
      <w:r>
        <w:rPr>
          <w:rFonts w:ascii="Times New Roman" w:eastAsia="Times New Roman" w:hAnsi="Times New Roman" w:cs="Times New Roman"/>
          <w:color w:val="000000"/>
          <w:spacing w:val="0"/>
          <w:w w:val="100"/>
          <w:position w:val="0"/>
        </w:rPr>
        <w:t>6</w:t>
      </w:r>
      <w:bookmarkEnd w:id="929"/>
      <w:r>
        <w:rPr>
          <w:color w:val="000000"/>
          <w:spacing w:val="0"/>
          <w:w w:val="100"/>
          <w:position w:val="0"/>
        </w:rPr>
        <w:t>）</w:t>
        <w:tab/>
        <w:t>对该资产控制期限的相关法律规定或类似限制，如特许使用期、租赁期等；</w:t>
      </w:r>
    </w:p>
    <w:p>
      <w:pPr>
        <w:pStyle w:val="Style33"/>
        <w:keepNext w:val="0"/>
        <w:keepLines w:val="0"/>
        <w:widowControl w:val="0"/>
        <w:shd w:val="clear" w:color="auto" w:fill="auto"/>
        <w:bidi w:val="0"/>
        <w:spacing w:before="0" w:after="0" w:line="314" w:lineRule="exact"/>
        <w:ind w:left="0" w:right="0" w:firstLine="440"/>
        <w:jc w:val="left"/>
      </w:pPr>
      <w:bookmarkStart w:id="930" w:name="bookmark930"/>
      <w:r>
        <w:rPr>
          <w:rFonts w:ascii="Times New Roman" w:eastAsia="Times New Roman" w:hAnsi="Times New Roman" w:cs="Times New Roman"/>
          <w:color w:val="000000"/>
          <w:spacing w:val="0"/>
          <w:w w:val="100"/>
          <w:position w:val="0"/>
        </w:rPr>
        <w:t>7</w:t>
      </w:r>
      <w:bookmarkEnd w:id="930"/>
      <w:r>
        <w:rPr>
          <w:color w:val="000000"/>
          <w:spacing w:val="0"/>
          <w:w w:val="100"/>
          <w:position w:val="0"/>
        </w:rPr>
        <w:t>）与企业持有其他资产使用寿命的关联性等。</w:t>
      </w:r>
    </w:p>
    <w:p>
      <w:pPr>
        <w:pStyle w:val="Style3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无法预见无形资产为公司带来经济利益期限的，视为使用寿命不确定的无形资产。</w:t>
      </w:r>
    </w:p>
    <w:p>
      <w:pPr>
        <w:pStyle w:val="Style33"/>
        <w:keepNext w:val="0"/>
        <w:keepLines w:val="0"/>
        <w:widowControl w:val="0"/>
        <w:numPr>
          <w:ilvl w:val="0"/>
          <w:numId w:val="51"/>
        </w:numPr>
        <w:shd w:val="clear" w:color="auto" w:fill="auto"/>
        <w:bidi w:val="0"/>
        <w:spacing w:before="0" w:after="80" w:line="314" w:lineRule="exact"/>
        <w:ind w:left="0" w:right="0" w:firstLine="440"/>
        <w:jc w:val="both"/>
      </w:pPr>
      <w:bookmarkStart w:id="931" w:name="bookmark931"/>
      <w:bookmarkEnd w:id="931"/>
      <w:r>
        <w:rPr>
          <w:color w:val="000000"/>
          <w:spacing w:val="0"/>
          <w:w w:val="100"/>
          <w:position w:val="0"/>
        </w:rPr>
        <w:t>对于使用寿命有限的无形资产，在使用寿命内系统合理</w:t>
      </w:r>
      <w:r>
        <w:rPr>
          <w:rFonts w:ascii="Times New Roman" w:eastAsia="Times New Roman" w:hAnsi="Times New Roman" w:cs="Times New Roman"/>
          <w:color w:val="000000"/>
          <w:spacing w:val="0"/>
          <w:w w:val="100"/>
          <w:position w:val="0"/>
        </w:rPr>
        <w:t>（</w:t>
      </w:r>
      <w:r>
        <w:rPr>
          <w:color w:val="000000"/>
          <w:spacing w:val="0"/>
          <w:w w:val="100"/>
          <w:position w:val="0"/>
        </w:rPr>
        <w:t>或者直线法</w:t>
      </w:r>
      <w:r>
        <w:rPr>
          <w:rFonts w:ascii="Times New Roman" w:eastAsia="Times New Roman" w:hAnsi="Times New Roman" w:cs="Times New Roman"/>
          <w:color w:val="000000"/>
          <w:spacing w:val="0"/>
          <w:w w:val="100"/>
          <w:position w:val="0"/>
        </w:rPr>
        <w:t>）</w:t>
      </w:r>
      <w:r>
        <w:rPr>
          <w:color w:val="000000"/>
          <w:spacing w:val="0"/>
          <w:w w:val="100"/>
          <w:position w:val="0"/>
        </w:rPr>
        <w:t>摊销。公司于每年年度终了，对使用寿命有限 的无形资产的使用寿命及摊销方法进行复核。无形资产的使用寿命及摊销方法与以前估计不同的，将改变摊销期限和摊销 方法。</w:t>
      </w:r>
    </w:p>
    <w:p>
      <w:pPr>
        <w:pStyle w:val="Style31"/>
        <w:keepNext w:val="0"/>
        <w:keepLines w:val="0"/>
        <w:widowControl w:val="0"/>
        <w:shd w:val="clear" w:color="auto" w:fill="auto"/>
        <w:bidi w:val="0"/>
        <w:spacing w:before="0" w:after="0" w:line="240" w:lineRule="auto"/>
        <w:ind w:left="403" w:right="0" w:firstLine="0"/>
        <w:jc w:val="left"/>
      </w:pPr>
      <w:r>
        <w:rPr>
          <w:color w:val="000000"/>
          <w:spacing w:val="0"/>
          <w:w w:val="100"/>
          <w:position w:val="0"/>
        </w:rPr>
        <w:t>对于使用寿命有限的无形资产，在采用直线法计算摊销额时，各项无形资产的使用寿命、预计净残值率如下</w:t>
      </w:r>
    </w:p>
    <w:tbl>
      <w:tblPr>
        <w:tblOverlap w:val="never"/>
        <w:jc w:val="center"/>
        <w:tblLayout w:type="fixed"/>
      </w:tblPr>
      <w:tblGrid>
        <w:gridCol w:w="3288"/>
        <w:gridCol w:w="3264"/>
        <w:gridCol w:w="3096"/>
      </w:tblGrid>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资产类别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使用寿命（年）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预计净残值率</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专利权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专有技术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土地使用权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r>
      <w:tr>
        <w:trPr>
          <w:trHeight w:val="35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软件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5-10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r>
    </w:tbl>
    <w:p>
      <w:pPr>
        <w:widowControl w:val="0"/>
        <w:spacing w:after="319" w:line="1" w:lineRule="exact"/>
      </w:pPr>
    </w:p>
    <w:p>
      <w:pPr>
        <w:pStyle w:val="Style37"/>
        <w:keepNext/>
        <w:keepLines/>
        <w:widowControl w:val="0"/>
        <w:shd w:val="clear" w:color="auto" w:fill="auto"/>
        <w:bidi w:val="0"/>
        <w:spacing w:before="0" w:after="260" w:line="240" w:lineRule="auto"/>
        <w:ind w:left="0" w:right="0" w:firstLine="0"/>
        <w:jc w:val="left"/>
      </w:pPr>
      <w:bookmarkStart w:id="932" w:name="bookmark932"/>
      <w:bookmarkStart w:id="933" w:name="bookmark933"/>
      <w:bookmarkStart w:id="934" w:name="bookmark934"/>
      <w:bookmarkStart w:id="935" w:name="bookmark935"/>
      <w:r>
        <w:rPr>
          <w:color w:val="000000"/>
          <w:spacing w:val="0"/>
          <w:w w:val="100"/>
          <w:position w:val="0"/>
        </w:rPr>
        <w:t>（</w:t>
      </w:r>
      <w:bookmarkEnd w:id="934"/>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32"/>
      <w:bookmarkEnd w:id="933"/>
      <w:bookmarkEnd w:id="935"/>
    </w:p>
    <w:p>
      <w:pPr>
        <w:pStyle w:val="Style33"/>
        <w:keepNext w:val="0"/>
        <w:keepLines w:val="0"/>
        <w:widowControl w:val="0"/>
        <w:numPr>
          <w:ilvl w:val="0"/>
          <w:numId w:val="53"/>
        </w:numPr>
        <w:shd w:val="clear" w:color="auto" w:fill="auto"/>
        <w:tabs>
          <w:tab w:pos="813" w:val="left"/>
        </w:tabs>
        <w:bidi w:val="0"/>
        <w:spacing w:before="0" w:after="0" w:line="317" w:lineRule="exact"/>
        <w:ind w:left="0" w:right="0" w:firstLine="440"/>
        <w:jc w:val="left"/>
      </w:pPr>
      <w:bookmarkStart w:id="936" w:name="bookmark936"/>
      <w:bookmarkEnd w:id="936"/>
      <w:r>
        <w:rPr>
          <w:color w:val="000000"/>
          <w:spacing w:val="0"/>
          <w:w w:val="100"/>
          <w:position w:val="0"/>
        </w:rPr>
        <w:t>内部研究开发项目的支出，包括研究阶段支出与开发阶段支出，其中：</w:t>
      </w:r>
    </w:p>
    <w:p>
      <w:pPr>
        <w:pStyle w:val="Style33"/>
        <w:keepNext w:val="0"/>
        <w:keepLines w:val="0"/>
        <w:widowControl w:val="0"/>
        <w:shd w:val="clear" w:color="auto" w:fill="auto"/>
        <w:tabs>
          <w:tab w:pos="789" w:val="left"/>
        </w:tabs>
        <w:bidi w:val="0"/>
        <w:spacing w:before="0" w:after="0" w:line="317" w:lineRule="exact"/>
        <w:ind w:left="0" w:right="0" w:firstLine="440"/>
        <w:jc w:val="left"/>
      </w:pPr>
      <w:bookmarkStart w:id="937" w:name="bookmark937"/>
      <w:r>
        <w:rPr>
          <w:rFonts w:ascii="Times New Roman" w:eastAsia="Times New Roman" w:hAnsi="Times New Roman" w:cs="Times New Roman"/>
          <w:color w:val="000000"/>
          <w:spacing w:val="0"/>
          <w:w w:val="100"/>
          <w:position w:val="0"/>
        </w:rPr>
        <w:t>1</w:t>
      </w:r>
      <w:bookmarkEnd w:id="937"/>
      <w:r>
        <w:rPr>
          <w:color w:val="000000"/>
          <w:spacing w:val="0"/>
          <w:w w:val="100"/>
          <w:position w:val="0"/>
        </w:rPr>
        <w:t>）</w:t>
        <w:tab/>
        <w:t>研究是指为获取并理解新的科学或技术知识而进行的独创性的有计划调查。</w:t>
      </w:r>
    </w:p>
    <w:p>
      <w:pPr>
        <w:pStyle w:val="Style33"/>
        <w:keepNext w:val="0"/>
        <w:keepLines w:val="0"/>
        <w:widowControl w:val="0"/>
        <w:shd w:val="clear" w:color="auto" w:fill="auto"/>
        <w:tabs>
          <w:tab w:pos="781" w:val="left"/>
        </w:tabs>
        <w:bidi w:val="0"/>
        <w:spacing w:before="0" w:after="0" w:line="317" w:lineRule="exact"/>
        <w:ind w:left="0" w:right="0" w:firstLine="440"/>
        <w:jc w:val="left"/>
      </w:pPr>
      <w:bookmarkStart w:id="938" w:name="bookmark938"/>
      <w:r>
        <w:rPr>
          <w:rFonts w:ascii="Times New Roman" w:eastAsia="Times New Roman" w:hAnsi="Times New Roman" w:cs="Times New Roman"/>
          <w:color w:val="000000"/>
          <w:spacing w:val="0"/>
          <w:w w:val="100"/>
          <w:position w:val="0"/>
        </w:rPr>
        <w:t>2</w:t>
      </w:r>
      <w:bookmarkEnd w:id="938"/>
      <w:r>
        <w:rPr>
          <w:color w:val="000000"/>
          <w:spacing w:val="0"/>
          <w:w w:val="100"/>
          <w:position w:val="0"/>
        </w:rPr>
        <w:t>）</w:t>
        <w:tab/>
        <w:t>开发是指在进行商业性生产或使用前，将研究成果或其他知识应用于某项计划或设计，以生产出新的或具有实质 性改进的材料、装置、产品等。</w:t>
      </w:r>
    </w:p>
    <w:p>
      <w:pPr>
        <w:pStyle w:val="Style33"/>
        <w:keepNext w:val="0"/>
        <w:keepLines w:val="0"/>
        <w:widowControl w:val="0"/>
        <w:numPr>
          <w:ilvl w:val="0"/>
          <w:numId w:val="53"/>
        </w:numPr>
        <w:shd w:val="clear" w:color="auto" w:fill="auto"/>
        <w:tabs>
          <w:tab w:pos="786" w:val="left"/>
        </w:tabs>
        <w:bidi w:val="0"/>
        <w:spacing w:before="0" w:after="0" w:line="317" w:lineRule="exact"/>
        <w:ind w:left="0" w:right="0" w:firstLine="440"/>
        <w:jc w:val="left"/>
      </w:pPr>
      <w:bookmarkStart w:id="939" w:name="bookmark939"/>
      <w:bookmarkEnd w:id="939"/>
      <w:r>
        <w:rPr>
          <w:color w:val="000000"/>
          <w:spacing w:val="0"/>
          <w:w w:val="100"/>
          <w:position w:val="0"/>
        </w:rPr>
        <w:t>内部研究开发项目在研究阶段的支出于发生时计入当期损益；开发阶段的支出，同时满足下列条件的，确认为无形 资产：</w:t>
      </w:r>
    </w:p>
    <w:p>
      <w:pPr>
        <w:pStyle w:val="Style33"/>
        <w:keepNext w:val="0"/>
        <w:keepLines w:val="0"/>
        <w:widowControl w:val="0"/>
        <w:shd w:val="clear" w:color="auto" w:fill="auto"/>
        <w:tabs>
          <w:tab w:pos="781" w:val="left"/>
        </w:tabs>
        <w:bidi w:val="0"/>
        <w:spacing w:before="0" w:after="0" w:line="317" w:lineRule="exact"/>
        <w:ind w:left="0" w:right="0" w:firstLine="440"/>
        <w:jc w:val="left"/>
      </w:pPr>
      <w:bookmarkStart w:id="940" w:name="bookmark940"/>
      <w:r>
        <w:rPr>
          <w:rFonts w:ascii="Times New Roman" w:eastAsia="Times New Roman" w:hAnsi="Times New Roman" w:cs="Times New Roman"/>
          <w:color w:val="000000"/>
          <w:spacing w:val="0"/>
          <w:w w:val="100"/>
          <w:position w:val="0"/>
        </w:rPr>
        <w:t>1</w:t>
      </w:r>
      <w:bookmarkEnd w:id="940"/>
      <w:r>
        <w:rPr>
          <w:color w:val="000000"/>
          <w:spacing w:val="0"/>
          <w:w w:val="100"/>
          <w:position w:val="0"/>
        </w:rPr>
        <w:t>）</w:t>
        <w:tab/>
        <w:t>公司对该项目方案所采用技术的分析，从技术的角度讲是完全能够生产出产品的，且公司已经对该项目方案所需 采用的技术进行了充分的分析论证和测试，即该项目从技术的角度来讲完全是可行的；</w:t>
      </w:r>
    </w:p>
    <w:p>
      <w:pPr>
        <w:pStyle w:val="Style33"/>
        <w:keepNext w:val="0"/>
        <w:keepLines w:val="0"/>
        <w:widowControl w:val="0"/>
        <w:shd w:val="clear" w:color="auto" w:fill="auto"/>
        <w:tabs>
          <w:tab w:pos="781" w:val="left"/>
        </w:tabs>
        <w:bidi w:val="0"/>
        <w:spacing w:before="0" w:after="0" w:line="317" w:lineRule="exact"/>
        <w:ind w:left="0" w:right="0" w:firstLine="440"/>
        <w:jc w:val="left"/>
      </w:pPr>
      <w:bookmarkStart w:id="941" w:name="bookmark941"/>
      <w:r>
        <w:rPr>
          <w:rFonts w:ascii="Times New Roman" w:eastAsia="Times New Roman" w:hAnsi="Times New Roman" w:cs="Times New Roman"/>
          <w:color w:val="000000"/>
          <w:spacing w:val="0"/>
          <w:w w:val="100"/>
          <w:position w:val="0"/>
        </w:rPr>
        <w:t>2</w:t>
      </w:r>
      <w:bookmarkEnd w:id="941"/>
      <w:r>
        <w:rPr>
          <w:color w:val="000000"/>
          <w:spacing w:val="0"/>
          <w:w w:val="100"/>
          <w:position w:val="0"/>
        </w:rPr>
        <w:t>）</w:t>
        <w:tab/>
        <w:t>公司在完成项目方案的开发，取得技术成功并形成样品后交由部分下游客户试用，能够带来稳定的经济效益。对 于经济效益的评价，公司在确认直接经济效益达到或超过项目投入（包括项目研发阶段和项目市场化开发阶段）的所有成 本时，认为该项目的市场化开发达到预定的经济效益；</w:t>
      </w:r>
    </w:p>
    <w:p>
      <w:pPr>
        <w:pStyle w:val="Style33"/>
        <w:keepNext w:val="0"/>
        <w:keepLines w:val="0"/>
        <w:widowControl w:val="0"/>
        <w:shd w:val="clear" w:color="auto" w:fill="auto"/>
        <w:tabs>
          <w:tab w:pos="790" w:val="left"/>
        </w:tabs>
        <w:bidi w:val="0"/>
        <w:spacing w:before="0" w:after="0" w:line="317" w:lineRule="exact"/>
        <w:ind w:left="0" w:right="0" w:firstLine="440"/>
        <w:jc w:val="left"/>
      </w:pPr>
      <w:bookmarkStart w:id="942" w:name="bookmark942"/>
      <w:r>
        <w:rPr>
          <w:rFonts w:ascii="Times New Roman" w:eastAsia="Times New Roman" w:hAnsi="Times New Roman" w:cs="Times New Roman"/>
          <w:color w:val="000000"/>
          <w:spacing w:val="0"/>
          <w:w w:val="100"/>
          <w:position w:val="0"/>
        </w:rPr>
        <w:t>3</w:t>
      </w:r>
      <w:bookmarkEnd w:id="942"/>
      <w:r>
        <w:rPr>
          <w:color w:val="000000"/>
          <w:spacing w:val="0"/>
          <w:w w:val="100"/>
          <w:position w:val="0"/>
        </w:rPr>
        <w:t>）</w:t>
        <w:tab/>
        <w:t>本公司市场部通过市场调研，确认该项目方案进入市场化开发阶段后三年内，能够持续为本公司带来稳定的收 益；</w:t>
      </w:r>
    </w:p>
    <w:p>
      <w:pPr>
        <w:pStyle w:val="Style33"/>
        <w:keepNext w:val="0"/>
        <w:keepLines w:val="0"/>
        <w:widowControl w:val="0"/>
        <w:shd w:val="clear" w:color="auto" w:fill="auto"/>
        <w:tabs>
          <w:tab w:pos="781" w:val="left"/>
        </w:tabs>
        <w:bidi w:val="0"/>
        <w:spacing w:before="0" w:after="0" w:line="317" w:lineRule="exact"/>
        <w:ind w:left="0" w:right="0" w:firstLine="440"/>
        <w:jc w:val="left"/>
      </w:pPr>
      <w:bookmarkStart w:id="943" w:name="bookmark943"/>
      <w:r>
        <w:rPr>
          <w:rFonts w:ascii="Times New Roman" w:eastAsia="Times New Roman" w:hAnsi="Times New Roman" w:cs="Times New Roman"/>
          <w:color w:val="000000"/>
          <w:spacing w:val="0"/>
          <w:w w:val="100"/>
          <w:position w:val="0"/>
        </w:rPr>
        <w:t>4</w:t>
      </w:r>
      <w:bookmarkEnd w:id="943"/>
      <w:r>
        <w:rPr>
          <w:color w:val="000000"/>
          <w:spacing w:val="0"/>
          <w:w w:val="100"/>
          <w:position w:val="0"/>
        </w:rPr>
        <w:t>）</w:t>
        <w:tab/>
        <w:t>本公司研发中心、市场部配备专业人员来完成开发和推广，同时本公司财务部门在年度的预算中也为项目技术方 案开发及市场化开发阶段提供了资金预算，从人、财、物上保证项目的顺利开发；</w:t>
      </w:r>
    </w:p>
    <w:p>
      <w:pPr>
        <w:pStyle w:val="Style33"/>
        <w:keepNext w:val="0"/>
        <w:keepLines w:val="0"/>
        <w:widowControl w:val="0"/>
        <w:shd w:val="clear" w:color="auto" w:fill="auto"/>
        <w:bidi w:val="0"/>
        <w:spacing w:before="0" w:after="0" w:line="317" w:lineRule="exact"/>
        <w:ind w:left="0" w:right="0" w:firstLine="440"/>
        <w:jc w:val="left"/>
      </w:pPr>
      <w:bookmarkStart w:id="944" w:name="bookmark944"/>
      <w:r>
        <w:rPr>
          <w:rFonts w:ascii="Times New Roman" w:eastAsia="Times New Roman" w:hAnsi="Times New Roman" w:cs="Times New Roman"/>
          <w:color w:val="000000"/>
          <w:spacing w:val="0"/>
          <w:w w:val="100"/>
          <w:position w:val="0"/>
        </w:rPr>
        <w:t>5</w:t>
      </w:r>
      <w:bookmarkEnd w:id="944"/>
      <w:r>
        <w:rPr>
          <w:color w:val="000000"/>
          <w:spacing w:val="0"/>
          <w:w w:val="100"/>
          <w:position w:val="0"/>
        </w:rPr>
        <w:t>） 本公司对各个研发项目方案，已经按照直接人工、直接材料投入、设计费、试制费、折旧摊销、调试费等费用明 细进行归集，在核算过程中，如果发生的某笔费用系为多个项目而发生，能够按照一定比例分摊的，分摊后归集到该项目 中，不能够按照一定比例分摊的，则直接计入当期管理费用。</w:t>
      </w:r>
    </w:p>
    <w:p>
      <w:pPr>
        <w:pStyle w:val="Style33"/>
        <w:keepNext w:val="0"/>
        <w:keepLines w:val="0"/>
        <w:widowControl w:val="0"/>
        <w:shd w:val="clear" w:color="auto" w:fill="auto"/>
        <w:bidi w:val="0"/>
        <w:spacing w:before="0" w:after="680" w:line="317" w:lineRule="exact"/>
        <w:ind w:left="0" w:right="0" w:firstLine="0"/>
        <w:jc w:val="left"/>
      </w:pPr>
      <w:r>
        <w:rPr>
          <w:color w:val="000000"/>
          <w:spacing w:val="0"/>
          <w:w w:val="100"/>
          <w:position w:val="0"/>
        </w:rPr>
        <w:t>只有同时符合以上五个条件，公司才将开发阶段的支出资本化，不满足上述条件的开发支出，计入当期损益。</w:t>
      </w:r>
    </w:p>
    <w:p>
      <w:pPr>
        <w:pStyle w:val="Style37"/>
        <w:keepNext/>
        <w:keepLines/>
        <w:widowControl w:val="0"/>
        <w:shd w:val="clear" w:color="auto" w:fill="auto"/>
        <w:bidi w:val="0"/>
        <w:spacing w:before="0" w:after="260" w:line="240" w:lineRule="auto"/>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2</w:t>
      </w:r>
      <w:bookmarkEnd w:id="947"/>
      <w:r>
        <w:rPr>
          <w:rFonts w:ascii="Times New Roman" w:eastAsia="Times New Roman" w:hAnsi="Times New Roman" w:cs="Times New Roman"/>
          <w:color w:val="000000"/>
          <w:spacing w:val="0"/>
          <w:w w:val="100"/>
          <w:position w:val="0"/>
        </w:rPr>
        <w:t>4</w:t>
      </w:r>
      <w:r>
        <w:rPr>
          <w:color w:val="000000"/>
          <w:spacing w:val="0"/>
          <w:w w:val="100"/>
          <w:position w:val="0"/>
        </w:rPr>
        <w:t>、商誉</w:t>
      </w:r>
      <w:bookmarkEnd w:id="945"/>
      <w:bookmarkEnd w:id="946"/>
      <w:bookmarkEnd w:id="948"/>
    </w:p>
    <w:p>
      <w:pPr>
        <w:pStyle w:val="Style33"/>
        <w:keepNext w:val="0"/>
        <w:keepLines w:val="0"/>
        <w:widowControl w:val="0"/>
        <w:shd w:val="clear" w:color="auto" w:fill="auto"/>
        <w:bidi w:val="0"/>
        <w:spacing w:before="0" w:after="680" w:line="312" w:lineRule="exact"/>
        <w:ind w:left="0" w:right="0" w:firstLine="440"/>
        <w:jc w:val="left"/>
      </w:pPr>
      <w:r>
        <w:rPr>
          <w:color w:val="000000"/>
          <w:spacing w:val="0"/>
          <w:w w:val="100"/>
          <w:position w:val="0"/>
        </w:rPr>
        <w:t>商誉为非同一控制下企业合并其初始合并成本大于合并中取得的被购买方可辨认净资产公允价值份额的差额。公司对 商誉不摊销，以成本减累计减值准备后的金额计量，在合并资产负债表上单独列示。</w:t>
      </w:r>
    </w:p>
    <w:p>
      <w:pPr>
        <w:pStyle w:val="Style37"/>
        <w:keepNext/>
        <w:keepLines/>
        <w:widowControl w:val="0"/>
        <w:shd w:val="clear" w:color="auto" w:fill="auto"/>
        <w:bidi w:val="0"/>
        <w:spacing w:before="0" w:after="380" w:line="240" w:lineRule="auto"/>
        <w:ind w:left="0" w:right="0" w:firstLine="0"/>
        <w:jc w:val="left"/>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2</w:t>
      </w:r>
      <w:bookmarkEnd w:id="951"/>
      <w:r>
        <w:rPr>
          <w:rFonts w:ascii="Times New Roman" w:eastAsia="Times New Roman" w:hAnsi="Times New Roman" w:cs="Times New Roman"/>
          <w:color w:val="000000"/>
          <w:spacing w:val="0"/>
          <w:w w:val="100"/>
          <w:position w:val="0"/>
        </w:rPr>
        <w:t>5</w:t>
      </w:r>
      <w:r>
        <w:rPr>
          <w:color w:val="000000"/>
          <w:spacing w:val="0"/>
          <w:w w:val="100"/>
          <w:position w:val="0"/>
        </w:rPr>
        <w:t>、长期资产减值</w:t>
      </w:r>
      <w:bookmarkEnd w:id="949"/>
      <w:bookmarkEnd w:id="950"/>
      <w:bookmarkEnd w:id="952"/>
    </w:p>
    <w:p>
      <w:pPr>
        <w:pStyle w:val="Style33"/>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对于固定资产、在建工程、使用寿命有限的无形资产、以成本模式计量的投资性房地产及对子公司、合营企业、联营 </w:t>
      </w:r>
      <w:r>
        <w:rPr>
          <w:color w:val="000000"/>
          <w:spacing w:val="0"/>
          <w:w w:val="100"/>
          <w:position w:val="0"/>
        </w:rPr>
        <w:t>企业的长期股权投资等非流动非金融资产，公司于资产负债表日判断是否存在减值迹象。如存在减值迹象的，则估计其可收 回金额，进行减值测试。商誉、使用寿命不确定的无形资产和尚未达到可使用状态的无形资产，无论是否存在减值迹象，每 年均进行减值测试。</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减值测试结果表明资产的可收回金额低于其账面价值的，按其差额计提减值准备并计入减值损失。可收回金额为资产 的公允价值减去处置费用后的净额与资产预计未来现金流量的现值两者之间的较高者。资产的公允价值根据公平交易中销 售协议价格确定；不存在销售协议但存在资产活跃市场的，公允价值按照该资产的买方出价确定；不存在销售协议和资产活 跃市场的，则以可获取的最佳信息为基础估计资产的公允价值。处置费用包括与资产处置有关的法律费用、相关税费、搬运 费以及为使资产达到可销售状态所发生的直接费用。资产预计未来现金流量的现值，按照资产在持续使用过程中和最终处置 时所产生的预计未来现金流量，选择恰当的折现率对其进行折现后的金额加以确定。资产减值准备按单项资产为基础计算并 确认，如果难以对单项资产的可收回金额进行估计的，以该资产所属的资产组确定资产组的可收回金额。资产组是能够独立 产生现金流入的最小资产组合。</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就商誉的减值测试而言，对于因企业合并形成的商誉的账面价值，自购买日起按照合理的方法分摊至相关的资产组； 难以分摊至相关的资产组的，将其分摊至相关的资产组组合。相关的资产组或资产组组合，是能够从企业合并的协同效应中 受益的资产组或者资产组组合，且不大于本集团确定的报告分部。</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对包含商誉的相关资产组或者资产组组合进行减值测试时，如与商誉相关的资产组或者资产组组合存在减值迹象的， 首先对不包含商誉的资产组或者资产组组合进行减值测试，计算可收回金额，确认相应的减值损失。然后对包含商誉的资产 组或者资产组组合进行减值测试，比较其账面价值与可收回金额，如可收回金额低于账面价值的，减值损失金额首先抵减分 摊至资产组或资产组组合中商誉的账面价值，再根据资产组或资产组组合中除商誉之外的其他各项资产的账面价值所占比 重，按比例抵减其他各项资产的账面价值，但抵减后的各资产的账面价值不得低于该资产的公允价值减去处置费用后的净 额（如可确定的）和该资产预计未来现金流量的现值（如可确定的）两者之间较高者，同时也不低于零。</w:t>
      </w:r>
    </w:p>
    <w:p>
      <w:pPr>
        <w:pStyle w:val="Style33"/>
        <w:keepNext w:val="0"/>
        <w:keepLines w:val="0"/>
        <w:widowControl w:val="0"/>
        <w:shd w:val="clear" w:color="auto" w:fill="auto"/>
        <w:bidi w:val="0"/>
        <w:spacing w:before="0" w:after="680" w:line="312" w:lineRule="exact"/>
        <w:ind w:left="0" w:right="0"/>
        <w:jc w:val="left"/>
      </w:pPr>
      <w:r>
        <w:rPr>
          <w:color w:val="000000"/>
          <w:spacing w:val="0"/>
          <w:w w:val="100"/>
          <w:position w:val="0"/>
        </w:rPr>
        <w:t>上述资产减值损失一经确认，以后期间不予转回价值得以恢复的部分。</w:t>
      </w:r>
    </w:p>
    <w:p>
      <w:pPr>
        <w:pStyle w:val="Style37"/>
        <w:keepNext/>
        <w:keepLines/>
        <w:widowControl w:val="0"/>
        <w:shd w:val="clear" w:color="auto" w:fill="auto"/>
        <w:bidi w:val="0"/>
        <w:spacing w:before="0" w:after="280" w:line="24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2</w:t>
      </w:r>
      <w:bookmarkEnd w:id="955"/>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953"/>
      <w:bookmarkEnd w:id="954"/>
      <w:bookmarkEnd w:id="956"/>
    </w:p>
    <w:p>
      <w:pPr>
        <w:pStyle w:val="Style33"/>
        <w:keepNext w:val="0"/>
        <w:keepLines w:val="0"/>
        <w:widowControl w:val="0"/>
        <w:shd w:val="clear" w:color="auto" w:fill="auto"/>
        <w:bidi w:val="0"/>
        <w:spacing w:before="0" w:after="680" w:line="312" w:lineRule="exact"/>
        <w:ind w:left="0" w:right="0" w:firstLine="440"/>
        <w:jc w:val="both"/>
      </w:pPr>
      <w:r>
        <w:rPr>
          <w:color w:val="000000"/>
          <w:spacing w:val="0"/>
          <w:w w:val="100"/>
          <w:position w:val="0"/>
        </w:rPr>
        <w:t>长期待摊费用是公司已经发生但应由本期和以后各期负担的分摊期限在</w:t>
      </w:r>
      <w:r>
        <w:rPr>
          <w:rFonts w:ascii="Times New Roman" w:eastAsia="Times New Roman" w:hAnsi="Times New Roman" w:cs="Times New Roman"/>
          <w:color w:val="000000"/>
          <w:spacing w:val="0"/>
          <w:w w:val="100"/>
          <w:position w:val="0"/>
        </w:rPr>
        <w:t>1</w:t>
      </w:r>
      <w:r>
        <w:rPr>
          <w:color w:val="000000"/>
          <w:spacing w:val="0"/>
          <w:w w:val="100"/>
          <w:position w:val="0"/>
        </w:rPr>
        <w:t>年以上</w:t>
      </w:r>
      <w:r>
        <w:rPr>
          <w:rFonts w:ascii="Times New Roman" w:eastAsia="Times New Roman" w:hAnsi="Times New Roman" w:cs="Times New Roman"/>
          <w:color w:val="000000"/>
          <w:spacing w:val="0"/>
          <w:w w:val="100"/>
          <w:position w:val="0"/>
        </w:rPr>
        <w:t>（</w:t>
      </w:r>
      <w:r>
        <w:rPr>
          <w:color w:val="000000"/>
          <w:spacing w:val="0"/>
          <w:w w:val="100"/>
          <w:position w:val="0"/>
        </w:rPr>
        <w:t>不含</w:t>
      </w:r>
      <w:r>
        <w:rPr>
          <w:rFonts w:ascii="Times New Roman" w:eastAsia="Times New Roman" w:hAnsi="Times New Roman" w:cs="Times New Roman"/>
          <w:color w:val="000000"/>
          <w:spacing w:val="0"/>
          <w:w w:val="100"/>
          <w:position w:val="0"/>
        </w:rPr>
        <w:t>1</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的各项费用。长期待摊费用 在受益期内平均摊销，如果长期待摊费用项目不能使以后会计期间受益的，则将其尚未摊销的摊余价值全部转入当期损益。</w:t>
      </w:r>
    </w:p>
    <w:p>
      <w:pPr>
        <w:pStyle w:val="Style37"/>
        <w:keepNext/>
        <w:keepLines/>
        <w:widowControl w:val="0"/>
        <w:shd w:val="clear" w:color="auto" w:fill="auto"/>
        <w:bidi w:val="0"/>
        <w:spacing w:before="0" w:after="280" w:line="240" w:lineRule="auto"/>
        <w:ind w:left="0" w:right="0" w:firstLine="0"/>
        <w:jc w:val="left"/>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2</w:t>
      </w:r>
      <w:bookmarkEnd w:id="959"/>
      <w:r>
        <w:rPr>
          <w:rFonts w:ascii="Times New Roman" w:eastAsia="Times New Roman" w:hAnsi="Times New Roman" w:cs="Times New Roman"/>
          <w:color w:val="000000"/>
          <w:spacing w:val="0"/>
          <w:w w:val="100"/>
          <w:position w:val="0"/>
        </w:rPr>
        <w:t>7</w:t>
      </w:r>
      <w:r>
        <w:rPr>
          <w:color w:val="000000"/>
          <w:spacing w:val="0"/>
          <w:w w:val="100"/>
          <w:position w:val="0"/>
        </w:rPr>
        <w:t>、合同负债</w:t>
      </w:r>
      <w:bookmarkEnd w:id="957"/>
      <w:bookmarkEnd w:id="958"/>
      <w:bookmarkEnd w:id="960"/>
    </w:p>
    <w:p>
      <w:pPr>
        <w:pStyle w:val="Style3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公司已收或应收客户对价而应向客户转让商品或服务的义务作为合同负债。</w:t>
      </w:r>
    </w:p>
    <w:p>
      <w:pPr>
        <w:pStyle w:val="Style33"/>
        <w:keepNext w:val="0"/>
        <w:keepLines w:val="0"/>
        <w:widowControl w:val="0"/>
        <w:shd w:val="clear" w:color="auto" w:fill="auto"/>
        <w:bidi w:val="0"/>
        <w:spacing w:before="0" w:after="680" w:line="312" w:lineRule="exact"/>
        <w:ind w:left="0" w:right="0" w:firstLine="0"/>
        <w:jc w:val="both"/>
      </w:pPr>
      <w:r>
        <w:rPr>
          <w:color w:val="000000"/>
          <w:spacing w:val="0"/>
          <w:w w:val="100"/>
          <w:position w:val="0"/>
        </w:rPr>
        <w:t>同一合同下的合同资产和合同负债以净额列示，净额为借方余额的，根据其流动性在</w:t>
      </w:r>
      <w:r>
        <w:rPr>
          <w:rFonts w:ascii="Times New Roman" w:eastAsia="Times New Roman" w:hAnsi="Times New Roman" w:cs="Times New Roman"/>
          <w:color w:val="000000"/>
          <w:spacing w:val="0"/>
          <w:w w:val="100"/>
          <w:position w:val="0"/>
        </w:rPr>
        <w:t>“</w:t>
      </w:r>
      <w:r>
        <w:rPr>
          <w:color w:val="000000"/>
          <w:spacing w:val="0"/>
          <w:w w:val="100"/>
          <w:position w:val="0"/>
        </w:rPr>
        <w:t>合同资产</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项目 中列示；净额为贷方余额的，根据其流动性在</w:t>
      </w:r>
      <w:r>
        <w:rPr>
          <w:rFonts w:ascii="Times New Roman" w:eastAsia="Times New Roman" w:hAnsi="Times New Roman" w:cs="Times New Roman"/>
          <w:color w:val="000000"/>
          <w:spacing w:val="0"/>
          <w:w w:val="100"/>
          <w:position w:val="0"/>
        </w:rPr>
        <w:t>“</w:t>
      </w:r>
      <w:r>
        <w:rPr>
          <w:color w:val="000000"/>
          <w:spacing w:val="0"/>
          <w:w w:val="100"/>
          <w:position w:val="0"/>
        </w:rPr>
        <w:t>合同负债</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其他非流动负债</w:t>
      </w:r>
      <w:r>
        <w:rPr>
          <w:rFonts w:ascii="Times New Roman" w:eastAsia="Times New Roman" w:hAnsi="Times New Roman" w:cs="Times New Roman"/>
          <w:color w:val="000000"/>
          <w:spacing w:val="0"/>
          <w:w w:val="100"/>
          <w:position w:val="0"/>
        </w:rPr>
        <w:t>”</w:t>
      </w:r>
      <w:r>
        <w:rPr>
          <w:color w:val="000000"/>
          <w:spacing w:val="0"/>
          <w:w w:val="100"/>
          <w:position w:val="0"/>
        </w:rPr>
        <w:t>项目中列示。</w:t>
      </w:r>
    </w:p>
    <w:p>
      <w:pPr>
        <w:pStyle w:val="Style37"/>
        <w:keepNext/>
        <w:keepLines/>
        <w:widowControl w:val="0"/>
        <w:shd w:val="clear" w:color="auto" w:fill="auto"/>
        <w:bidi w:val="0"/>
        <w:spacing w:before="0" w:after="280" w:line="240" w:lineRule="auto"/>
        <w:ind w:left="0" w:right="0" w:firstLine="0"/>
        <w:jc w:val="both"/>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2</w:t>
      </w:r>
      <w:bookmarkEnd w:id="963"/>
      <w:r>
        <w:rPr>
          <w:rFonts w:ascii="Times New Roman" w:eastAsia="Times New Roman" w:hAnsi="Times New Roman" w:cs="Times New Roman"/>
          <w:color w:val="000000"/>
          <w:spacing w:val="0"/>
          <w:w w:val="100"/>
          <w:position w:val="0"/>
        </w:rPr>
        <w:t>8</w:t>
      </w:r>
      <w:r>
        <w:rPr>
          <w:color w:val="000000"/>
          <w:spacing w:val="0"/>
          <w:w w:val="100"/>
          <w:position w:val="0"/>
        </w:rPr>
        <w:t>、职工薪酬</w:t>
      </w:r>
      <w:bookmarkEnd w:id="961"/>
      <w:bookmarkEnd w:id="962"/>
      <w:bookmarkEnd w:id="964"/>
    </w:p>
    <w:p>
      <w:pPr>
        <w:pStyle w:val="Style33"/>
        <w:keepNext w:val="0"/>
        <w:keepLines w:val="0"/>
        <w:widowControl w:val="0"/>
        <w:shd w:val="clear" w:color="auto" w:fill="auto"/>
        <w:bidi w:val="0"/>
        <w:spacing w:before="0" w:after="280" w:line="312" w:lineRule="exact"/>
        <w:ind w:left="0" w:right="0" w:firstLine="0"/>
        <w:jc w:val="both"/>
      </w:pPr>
      <w:bookmarkStart w:id="965" w:name="bookmark965"/>
      <w:r>
        <w:rPr>
          <w:b/>
          <w:bCs/>
          <w:color w:val="000000"/>
          <w:spacing w:val="0"/>
          <w:w w:val="100"/>
          <w:position w:val="0"/>
        </w:rPr>
        <w:t>（</w:t>
      </w:r>
      <w:bookmarkEnd w:id="965"/>
      <w:r>
        <w:rPr>
          <w:rFonts w:ascii="Times New Roman" w:eastAsia="Times New Roman" w:hAnsi="Times New Roman" w:cs="Times New Roman"/>
          <w:b/>
          <w:bCs/>
          <w:color w:val="000000"/>
          <w:spacing w:val="0"/>
          <w:w w:val="100"/>
          <w:position w:val="0"/>
        </w:rPr>
        <w:t>1</w:t>
      </w:r>
      <w:r>
        <w:rPr>
          <w:b/>
          <w:bCs/>
          <w:color w:val="000000"/>
          <w:spacing w:val="0"/>
          <w:w w:val="100"/>
          <w:position w:val="0"/>
        </w:rPr>
        <w:t>）短期薪酬的会计处理方法</w:t>
      </w:r>
    </w:p>
    <w:p>
      <w:pPr>
        <w:pStyle w:val="Style3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短期薪酬是指公司在职工提供相关服务的年度报告期间结束后十二个月内需要全部予以支付的职工薪酬。</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短期薪酬包括职工工资、奖金、津贴和补贴，职工福利费、医疗保险费、工伤保险费和生育保险费等社会保险费，住房 公积金、工会经费和职工教育经费，短期带薪缺勤、短期利润分享计划，非货币性福利以及其他短期薪酬。</w:t>
      </w:r>
    </w:p>
    <w:p>
      <w:pPr>
        <w:pStyle w:val="Style33"/>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短期薪酬在职工为公司提供服务的会计期间，将实际发生的短期薪酬确认为负债，并计入当期损益或相关资产成本。</w:t>
      </w:r>
    </w:p>
    <w:p>
      <w:pPr>
        <w:pStyle w:val="Style33"/>
        <w:keepNext w:val="0"/>
        <w:keepLines w:val="0"/>
        <w:widowControl w:val="0"/>
        <w:numPr>
          <w:ilvl w:val="0"/>
          <w:numId w:val="55"/>
        </w:numPr>
        <w:shd w:val="clear" w:color="auto" w:fill="auto"/>
        <w:bidi w:val="0"/>
        <w:spacing w:before="0" w:after="280" w:line="314" w:lineRule="exact"/>
        <w:ind w:left="0" w:right="0" w:firstLine="0"/>
        <w:jc w:val="left"/>
      </w:pPr>
      <w:bookmarkStart w:id="966" w:name="bookmark966"/>
      <w:bookmarkEnd w:id="966"/>
      <w:r>
        <w:rPr>
          <w:b/>
          <w:bCs/>
          <w:color w:val="000000"/>
          <w:spacing w:val="0"/>
          <w:w w:val="100"/>
          <w:position w:val="0"/>
        </w:rPr>
        <w:t>离职后福利的会计处理方法</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离职后福利是指公司为获得员工提供的服务而在职工退休或与公司解除劳动关系后，提供的各种形式的报酬和福利， 短期薪酬和辞退福利除外。</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离职后福利计划包括设定提存计划和设定受益计划。其中，设定提存计划，是指向独立的基金缴存固定费用后，公司 不再承担进一步支付义务的离职后福利计划；设定受益计划，是指除设定提存计划以外的离职后福利计划。</w:t>
      </w:r>
    </w:p>
    <w:p>
      <w:pPr>
        <w:pStyle w:val="Style33"/>
        <w:keepNext w:val="0"/>
        <w:keepLines w:val="0"/>
        <w:widowControl w:val="0"/>
        <w:shd w:val="clear" w:color="auto" w:fill="auto"/>
        <w:bidi w:val="0"/>
        <w:spacing w:before="0" w:after="600" w:line="314" w:lineRule="exact"/>
        <w:ind w:left="0" w:right="0" w:firstLine="440"/>
        <w:jc w:val="both"/>
      </w:pPr>
      <w:r>
        <w:rPr>
          <w:color w:val="000000"/>
          <w:spacing w:val="0"/>
          <w:w w:val="100"/>
          <w:position w:val="0"/>
        </w:rPr>
        <w:t>设定提存计划包括基本养老保险、失业保险等。在职工提供服务的会计期间，根据设定提存计划计算的应缴存金额确 认为负债，并计入当期损益或相关资产成本。</w:t>
      </w:r>
    </w:p>
    <w:p>
      <w:pPr>
        <w:pStyle w:val="Style33"/>
        <w:keepNext w:val="0"/>
        <w:keepLines w:val="0"/>
        <w:widowControl w:val="0"/>
        <w:numPr>
          <w:ilvl w:val="0"/>
          <w:numId w:val="55"/>
        </w:numPr>
        <w:shd w:val="clear" w:color="auto" w:fill="auto"/>
        <w:tabs>
          <w:tab w:pos="450" w:val="left"/>
        </w:tabs>
        <w:bidi w:val="0"/>
        <w:spacing w:before="0" w:after="280" w:line="312" w:lineRule="exact"/>
        <w:ind w:left="0" w:right="0" w:firstLine="0"/>
        <w:jc w:val="left"/>
      </w:pPr>
      <w:bookmarkStart w:id="967" w:name="bookmark967"/>
      <w:bookmarkEnd w:id="967"/>
      <w:r>
        <w:rPr>
          <w:b/>
          <w:bCs/>
          <w:color w:val="000000"/>
          <w:spacing w:val="0"/>
          <w:w w:val="100"/>
          <w:position w:val="0"/>
        </w:rPr>
        <w:t>辞退福利的会计处理方法</w:t>
      </w:r>
    </w:p>
    <w:p>
      <w:pPr>
        <w:pStyle w:val="Style33"/>
        <w:keepNext w:val="0"/>
        <w:keepLines w:val="0"/>
        <w:widowControl w:val="0"/>
        <w:shd w:val="clear" w:color="auto" w:fill="auto"/>
        <w:bidi w:val="0"/>
        <w:spacing w:before="0" w:after="280" w:line="312" w:lineRule="exact"/>
        <w:ind w:left="0" w:right="0"/>
        <w:jc w:val="left"/>
      </w:pPr>
      <w:r>
        <w:rPr>
          <w:color w:val="000000"/>
          <w:spacing w:val="0"/>
          <w:w w:val="100"/>
          <w:position w:val="0"/>
        </w:rPr>
        <w:t>辞退福利是指公司在职工劳动合同到期之前解除与职工的劳动关系，或者为鼓励职工自愿接受裁减而给予职工的补偿。 公司向职工提供辞退福利的，在下列两者孰早日确认辞退福利产生的职工薪酬负债，并计入当期损益：公司不能单方面撤回 因解除劳动关系计划或裁减建议所提供的辞退福利时；公司确认与涉及支付辞退福利的重组相关的成本或费用时。</w:t>
      </w:r>
    </w:p>
    <w:p>
      <w:pPr>
        <w:pStyle w:val="Style33"/>
        <w:keepNext w:val="0"/>
        <w:keepLines w:val="0"/>
        <w:widowControl w:val="0"/>
        <w:numPr>
          <w:ilvl w:val="0"/>
          <w:numId w:val="55"/>
        </w:numPr>
        <w:shd w:val="clear" w:color="auto" w:fill="auto"/>
        <w:tabs>
          <w:tab w:pos="450" w:val="left"/>
        </w:tabs>
        <w:bidi w:val="0"/>
        <w:spacing w:before="0" w:after="280" w:line="312" w:lineRule="exact"/>
        <w:ind w:left="0" w:right="0" w:firstLine="0"/>
        <w:jc w:val="left"/>
      </w:pPr>
      <w:bookmarkStart w:id="968" w:name="bookmark968"/>
      <w:bookmarkEnd w:id="968"/>
      <w:r>
        <w:rPr>
          <w:b/>
          <w:bCs/>
          <w:color w:val="000000"/>
          <w:spacing w:val="0"/>
          <w:w w:val="100"/>
          <w:position w:val="0"/>
        </w:rPr>
        <w:t>其他长期职工福利的会计处理方法</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其他长期职工福利是指除短期薪酬、离职后福利、辞退福利之外所有的职工薪酬，包括长期带薪缺勤、长期残疾福利、 长期利润分享计划等。</w:t>
      </w:r>
    </w:p>
    <w:p>
      <w:pPr>
        <w:pStyle w:val="Style33"/>
        <w:keepNext w:val="0"/>
        <w:keepLines w:val="0"/>
        <w:widowControl w:val="0"/>
        <w:shd w:val="clear" w:color="auto" w:fill="auto"/>
        <w:bidi w:val="0"/>
        <w:spacing w:before="0" w:after="700" w:line="312" w:lineRule="exact"/>
        <w:ind w:left="0" w:right="0" w:firstLine="440"/>
        <w:jc w:val="both"/>
      </w:pPr>
      <w:r>
        <w:rPr>
          <w:color w:val="000000"/>
          <w:spacing w:val="0"/>
          <w:w w:val="100"/>
          <w:position w:val="0"/>
        </w:rPr>
        <w:t>企业向职工提供的其他长期职工福利，符合设定提存计划条件的，适用于上述设定提存计划的有关规定进行处理。</w:t>
      </w:r>
    </w:p>
    <w:p>
      <w:pPr>
        <w:pStyle w:val="Style37"/>
        <w:keepNext/>
        <w:keepLines/>
        <w:widowControl w:val="0"/>
        <w:shd w:val="clear" w:color="auto" w:fill="auto"/>
        <w:bidi w:val="0"/>
        <w:spacing w:before="0" w:after="280" w:line="240" w:lineRule="auto"/>
        <w:ind w:left="0" w:right="0" w:firstLine="0"/>
        <w:jc w:val="left"/>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2</w:t>
      </w:r>
      <w:bookmarkEnd w:id="971"/>
      <w:r>
        <w:rPr>
          <w:rFonts w:ascii="Times New Roman" w:eastAsia="Times New Roman" w:hAnsi="Times New Roman" w:cs="Times New Roman"/>
          <w:color w:val="000000"/>
          <w:spacing w:val="0"/>
          <w:w w:val="100"/>
          <w:position w:val="0"/>
        </w:rPr>
        <w:t>9</w:t>
      </w:r>
      <w:r>
        <w:rPr>
          <w:color w:val="000000"/>
          <w:spacing w:val="0"/>
          <w:w w:val="100"/>
          <w:position w:val="0"/>
        </w:rPr>
        <w:t>、预计负债</w:t>
      </w:r>
      <w:bookmarkEnd w:id="969"/>
      <w:bookmarkEnd w:id="970"/>
      <w:bookmarkEnd w:id="972"/>
    </w:p>
    <w:p>
      <w:pPr>
        <w:pStyle w:val="Style33"/>
        <w:keepNext w:val="0"/>
        <w:keepLines w:val="0"/>
        <w:widowControl w:val="0"/>
        <w:shd w:val="clear" w:color="auto" w:fill="auto"/>
        <w:bidi w:val="0"/>
        <w:spacing w:before="0" w:after="0" w:line="307" w:lineRule="exact"/>
        <w:ind w:left="0" w:right="0" w:firstLine="440"/>
        <w:jc w:val="both"/>
      </w:pPr>
      <w:r>
        <w:rPr>
          <w:color w:val="000000"/>
          <w:spacing w:val="0"/>
          <w:w w:val="100"/>
          <w:position w:val="0"/>
        </w:rPr>
        <w:t>与或有事项相关的义务同时满足下列条件的，确认为预计负债：</w:t>
      </w:r>
    </w:p>
    <w:p>
      <w:pPr>
        <w:pStyle w:val="Style33"/>
        <w:keepNext w:val="0"/>
        <w:keepLines w:val="0"/>
        <w:widowControl w:val="0"/>
        <w:numPr>
          <w:ilvl w:val="0"/>
          <w:numId w:val="57"/>
        </w:numPr>
        <w:shd w:val="clear" w:color="auto" w:fill="auto"/>
        <w:tabs>
          <w:tab w:pos="880" w:val="left"/>
        </w:tabs>
        <w:bidi w:val="0"/>
        <w:spacing w:before="0" w:after="0" w:line="307" w:lineRule="exact"/>
        <w:ind w:left="0" w:right="0" w:firstLine="440"/>
        <w:jc w:val="both"/>
      </w:pPr>
      <w:bookmarkStart w:id="973" w:name="bookmark973"/>
      <w:bookmarkEnd w:id="973"/>
      <w:r>
        <w:rPr>
          <w:color w:val="000000"/>
          <w:spacing w:val="0"/>
          <w:w w:val="100"/>
          <w:position w:val="0"/>
        </w:rPr>
        <w:t>该义务是企业承担的现时义务；</w:t>
      </w:r>
    </w:p>
    <w:p>
      <w:pPr>
        <w:pStyle w:val="Style33"/>
        <w:keepNext w:val="0"/>
        <w:keepLines w:val="0"/>
        <w:widowControl w:val="0"/>
        <w:numPr>
          <w:ilvl w:val="0"/>
          <w:numId w:val="57"/>
        </w:numPr>
        <w:shd w:val="clear" w:color="auto" w:fill="auto"/>
        <w:tabs>
          <w:tab w:pos="880" w:val="left"/>
        </w:tabs>
        <w:bidi w:val="0"/>
        <w:spacing w:before="0" w:after="0" w:line="307" w:lineRule="exact"/>
        <w:ind w:left="0" w:right="0" w:firstLine="440"/>
        <w:jc w:val="both"/>
      </w:pPr>
      <w:bookmarkStart w:id="974" w:name="bookmark974"/>
      <w:bookmarkEnd w:id="974"/>
      <w:r>
        <w:rPr>
          <w:color w:val="000000"/>
          <w:spacing w:val="0"/>
          <w:w w:val="100"/>
          <w:position w:val="0"/>
        </w:rPr>
        <w:t>履行该义务很可能导致经济利益流出企业；</w:t>
      </w:r>
    </w:p>
    <w:p>
      <w:pPr>
        <w:pStyle w:val="Style33"/>
        <w:keepNext w:val="0"/>
        <w:keepLines w:val="0"/>
        <w:widowControl w:val="0"/>
        <w:numPr>
          <w:ilvl w:val="0"/>
          <w:numId w:val="57"/>
        </w:numPr>
        <w:shd w:val="clear" w:color="auto" w:fill="auto"/>
        <w:tabs>
          <w:tab w:pos="880" w:val="left"/>
        </w:tabs>
        <w:bidi w:val="0"/>
        <w:spacing w:before="0" w:after="0" w:line="307" w:lineRule="exact"/>
        <w:ind w:left="0" w:right="0" w:firstLine="440"/>
        <w:jc w:val="both"/>
      </w:pPr>
      <w:bookmarkStart w:id="975" w:name="bookmark975"/>
      <w:bookmarkEnd w:id="975"/>
      <w:r>
        <w:rPr>
          <w:color w:val="000000"/>
          <w:spacing w:val="0"/>
          <w:w w:val="100"/>
          <w:position w:val="0"/>
        </w:rPr>
        <w:t>该义务的金额能够可靠地计量。</w:t>
      </w:r>
    </w:p>
    <w:p>
      <w:pPr>
        <w:pStyle w:val="Style33"/>
        <w:keepNext w:val="0"/>
        <w:keepLines w:val="0"/>
        <w:widowControl w:val="0"/>
        <w:shd w:val="clear" w:color="auto" w:fill="auto"/>
        <w:bidi w:val="0"/>
        <w:spacing w:before="0" w:after="0" w:line="307" w:lineRule="exact"/>
        <w:ind w:left="0" w:right="0" w:firstLine="440"/>
        <w:jc w:val="both"/>
      </w:pPr>
      <w:r>
        <w:rPr>
          <w:color w:val="000000"/>
          <w:spacing w:val="0"/>
          <w:w w:val="100"/>
          <w:position w:val="0"/>
        </w:rPr>
        <w:t>预计负债应当按照履行相关现时义务所需支出的最佳估计数进行初始计量。</w:t>
      </w:r>
    </w:p>
    <w:p>
      <w:pPr>
        <w:pStyle w:val="Style33"/>
        <w:keepNext w:val="0"/>
        <w:keepLines w:val="0"/>
        <w:widowControl w:val="0"/>
        <w:shd w:val="clear" w:color="auto" w:fill="auto"/>
        <w:bidi w:val="0"/>
        <w:spacing w:before="0" w:after="700" w:line="307" w:lineRule="exact"/>
        <w:ind w:left="0" w:right="0"/>
        <w:jc w:val="both"/>
      </w:pPr>
      <w:r>
        <w:rPr>
          <w:color w:val="000000"/>
          <w:spacing w:val="0"/>
          <w:w w:val="100"/>
          <w:position w:val="0"/>
        </w:rPr>
        <w:t>本公司在确定最佳估计数时，综合考虑与或有事项有关的风险、不确定性和货币时间价值等因素对于货币时间价值影响 重大的，通过对相关未来现金流出进行折现后确定最佳估计数。</w:t>
      </w:r>
    </w:p>
    <w:p>
      <w:pPr>
        <w:pStyle w:val="Style37"/>
        <w:keepNext/>
        <w:keepLines/>
        <w:widowControl w:val="0"/>
        <w:shd w:val="clear" w:color="auto" w:fill="auto"/>
        <w:bidi w:val="0"/>
        <w:spacing w:before="0" w:after="280" w:line="240" w:lineRule="auto"/>
        <w:ind w:left="0" w:right="0" w:firstLine="0"/>
        <w:jc w:val="left"/>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3</w:t>
      </w:r>
      <w:bookmarkEnd w:id="978"/>
      <w:r>
        <w:rPr>
          <w:rFonts w:ascii="Times New Roman" w:eastAsia="Times New Roman" w:hAnsi="Times New Roman" w:cs="Times New Roman"/>
          <w:color w:val="000000"/>
          <w:spacing w:val="0"/>
          <w:w w:val="100"/>
          <w:position w:val="0"/>
        </w:rPr>
        <w:t>0</w:t>
      </w:r>
      <w:r>
        <w:rPr>
          <w:color w:val="000000"/>
          <w:spacing w:val="0"/>
          <w:w w:val="100"/>
          <w:position w:val="0"/>
        </w:rPr>
        <w:t>、股份支付</w:t>
      </w:r>
      <w:bookmarkEnd w:id="976"/>
      <w:bookmarkEnd w:id="977"/>
      <w:bookmarkEnd w:id="979"/>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本公司的股份支付是为了获取职工提供服务而授予权益工具或者承担以权益工具为基础确定的负债的交易。本公司的 股份支付为以权益结算的股份支付。</w:t>
      </w:r>
    </w:p>
    <w:p>
      <w:pPr>
        <w:pStyle w:val="Style33"/>
        <w:keepNext w:val="0"/>
        <w:keepLines w:val="0"/>
        <w:widowControl w:val="0"/>
        <w:numPr>
          <w:ilvl w:val="0"/>
          <w:numId w:val="59"/>
        </w:numPr>
        <w:shd w:val="clear" w:color="auto" w:fill="auto"/>
        <w:tabs>
          <w:tab w:pos="880" w:val="left"/>
        </w:tabs>
        <w:bidi w:val="0"/>
        <w:spacing w:before="0" w:after="0" w:line="313" w:lineRule="exact"/>
        <w:ind w:left="0" w:right="0" w:firstLine="440"/>
        <w:jc w:val="both"/>
      </w:pPr>
      <w:bookmarkStart w:id="980" w:name="bookmark980"/>
      <w:bookmarkEnd w:id="980"/>
      <w:r>
        <w:rPr>
          <w:color w:val="000000"/>
          <w:spacing w:val="0"/>
          <w:w w:val="100"/>
          <w:position w:val="0"/>
        </w:rPr>
        <w:t>权益工具公允价值的确定方法</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以权益结算的股份支付换取职工提供服务的，以授予职工权益工具的公允价值计量。授予后立即可行权的，在授予日 按照公允价值计入相关成本或费用，相应增加资本公积；完成等待期内的服务或达到规定业绩条件才可行权的，在等待期内 每个资产负债表日，本公司根据最新取得的可行权职工人数变动、是否达到规定业绩条件等后续信息对可行权权益工具数量 作出最佳估计，以此为基础，按照授予日的公允价值，将当期取得的服务计入相关成本或费用，相应计入资本公积。权益工 具的公允价值采用</w:t>
      </w:r>
      <w:r>
        <w:rPr>
          <w:rFonts w:ascii="Times New Roman" w:eastAsia="Times New Roman" w:hAnsi="Times New Roman" w:cs="Times New Roman"/>
          <w:color w:val="000000"/>
          <w:spacing w:val="0"/>
          <w:w w:val="100"/>
          <w:position w:val="0"/>
        </w:rPr>
        <w:t>Black-Scholes</w:t>
      </w:r>
      <w:r>
        <w:rPr>
          <w:color w:val="000000"/>
          <w:spacing w:val="0"/>
          <w:w w:val="100"/>
          <w:position w:val="0"/>
        </w:rPr>
        <w:t>模型确定。</w:t>
      </w:r>
    </w:p>
    <w:p>
      <w:pPr>
        <w:pStyle w:val="Style33"/>
        <w:keepNext w:val="0"/>
        <w:keepLines w:val="0"/>
        <w:widowControl w:val="0"/>
        <w:numPr>
          <w:ilvl w:val="0"/>
          <w:numId w:val="59"/>
        </w:numPr>
        <w:shd w:val="clear" w:color="auto" w:fill="auto"/>
        <w:tabs>
          <w:tab w:pos="880" w:val="left"/>
        </w:tabs>
        <w:bidi w:val="0"/>
        <w:spacing w:before="0" w:after="280" w:line="313" w:lineRule="exact"/>
        <w:ind w:left="0" w:right="0" w:firstLine="440"/>
        <w:jc w:val="both"/>
      </w:pPr>
      <w:bookmarkStart w:id="981" w:name="bookmark981"/>
      <w:bookmarkEnd w:id="981"/>
      <w:r>
        <w:rPr>
          <w:color w:val="000000"/>
          <w:spacing w:val="0"/>
          <w:w w:val="100"/>
          <w:position w:val="0"/>
        </w:rPr>
        <w:t>确认可行权权益工具最佳估计的依据</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在满足业绩条件或服务期限条件的期间，应确认以权益结算的股份支付的成本或费用，并相应增加资本公积。可行权 日之前，于每个资产负债表日为以权益结算的股份支付确认的累计金额反映了等待期已届满的部分以及本公司对最终可行 权的权益工具数量的最佳估计。</w:t>
      </w:r>
    </w:p>
    <w:p>
      <w:pPr>
        <w:pStyle w:val="Style33"/>
        <w:keepNext w:val="0"/>
        <w:keepLines w:val="0"/>
        <w:widowControl w:val="0"/>
        <w:shd w:val="clear" w:color="auto" w:fill="auto"/>
        <w:bidi w:val="0"/>
        <w:spacing w:before="0" w:after="0" w:line="313" w:lineRule="exact"/>
        <w:ind w:left="0" w:right="0" w:firstLine="440"/>
        <w:jc w:val="both"/>
      </w:pPr>
      <w:bookmarkStart w:id="982" w:name="bookmark982"/>
      <w:r>
        <w:rPr>
          <w:color w:val="000000"/>
          <w:spacing w:val="0"/>
          <w:w w:val="100"/>
          <w:position w:val="0"/>
        </w:rPr>
        <w:t>（</w:t>
      </w:r>
      <w:bookmarkEnd w:id="982"/>
      <w:r>
        <w:rPr>
          <w:rFonts w:ascii="Times New Roman" w:eastAsia="Times New Roman" w:hAnsi="Times New Roman" w:cs="Times New Roman"/>
          <w:color w:val="000000"/>
          <w:spacing w:val="0"/>
          <w:w w:val="100"/>
          <w:position w:val="0"/>
        </w:rPr>
        <w:t>3</w:t>
      </w:r>
      <w:r>
        <w:rPr>
          <w:color w:val="000000"/>
          <w:spacing w:val="0"/>
          <w:w w:val="100"/>
          <w:position w:val="0"/>
        </w:rPr>
        <w:t>）实施、修改、终止股份支付计划的相关会计处理</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对于最终未能行权的股份支付，不确认成本或费用，除非行权条件是市场条件或非可行权条件，此时无论是否满足市 场条件或非可行权条件，只要满足所有可行权条件中的非市场条件，即视为可行权。</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如果修改了以权益结算的股份支付的条款，至少按照未修改条款的情况确认取得的服务。此外，任何增加所授予权益 工具公允价值的修改，或在修改日对职工有利的变更，均确认取得服务的增加。</w:t>
      </w:r>
    </w:p>
    <w:p>
      <w:pPr>
        <w:pStyle w:val="Style33"/>
        <w:keepNext w:val="0"/>
        <w:keepLines w:val="0"/>
        <w:widowControl w:val="0"/>
        <w:shd w:val="clear" w:color="auto" w:fill="auto"/>
        <w:bidi w:val="0"/>
        <w:spacing w:before="0" w:after="400" w:line="313" w:lineRule="exact"/>
        <w:ind w:left="0" w:right="0" w:firstLine="440"/>
        <w:jc w:val="both"/>
      </w:pPr>
      <w:r>
        <w:rPr>
          <w:color w:val="000000"/>
          <w:spacing w:val="0"/>
          <w:w w:val="100"/>
          <w:position w:val="0"/>
        </w:rPr>
        <w:t>如果取消了以权益结算的股份支付，则于取消日作为加速行权处理，立即确认尚未确认的金额。职工或其他方能够选 择满足非可行权条件但在等待期内未满足的，作为取消以权益结算的股份支付处理。但是，如果授予新的权益工具，并在新 权益工具授予日认定所授予的新权益工具是用于替代被取消的权益工具的，则以与处理原权益工具条款和条件修改相同的 方式，对所授予的替代权益工具进行处理。</w:t>
      </w:r>
    </w:p>
    <w:p>
      <w:pPr>
        <w:pStyle w:val="Style37"/>
        <w:keepNext/>
        <w:keepLines/>
        <w:widowControl w:val="0"/>
        <w:shd w:val="clear" w:color="auto" w:fill="auto"/>
        <w:bidi w:val="0"/>
        <w:spacing w:before="0" w:after="260" w:line="240" w:lineRule="auto"/>
        <w:ind w:left="0" w:right="0" w:firstLine="0"/>
        <w:jc w:val="left"/>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3</w:t>
      </w:r>
      <w:bookmarkEnd w:id="985"/>
      <w:r>
        <w:rPr>
          <w:rFonts w:ascii="Times New Roman" w:eastAsia="Times New Roman" w:hAnsi="Times New Roman" w:cs="Times New Roman"/>
          <w:color w:val="000000"/>
          <w:spacing w:val="0"/>
          <w:w w:val="100"/>
          <w:position w:val="0"/>
        </w:rPr>
        <w:t>1</w:t>
      </w:r>
      <w:r>
        <w:rPr>
          <w:color w:val="000000"/>
          <w:spacing w:val="0"/>
          <w:w w:val="100"/>
          <w:position w:val="0"/>
        </w:rPr>
        <w:t>、收入</w:t>
      </w:r>
      <w:bookmarkEnd w:id="983"/>
      <w:bookmarkEnd w:id="984"/>
      <w:bookmarkEnd w:id="986"/>
    </w:p>
    <w:p>
      <w:pPr>
        <w:pStyle w:val="Style33"/>
        <w:keepNext w:val="0"/>
        <w:keepLines w:val="0"/>
        <w:widowControl w:val="0"/>
        <w:shd w:val="clear" w:color="auto" w:fill="auto"/>
        <w:bidi w:val="0"/>
        <w:spacing w:before="0" w:after="160" w:line="311"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3"/>
        <w:keepNext w:val="0"/>
        <w:keepLines w:val="0"/>
        <w:widowControl w:val="0"/>
        <w:shd w:val="clear" w:color="auto" w:fill="auto"/>
        <w:tabs>
          <w:tab w:pos="774" w:val="left"/>
        </w:tabs>
        <w:bidi w:val="0"/>
        <w:spacing w:before="0" w:after="0"/>
        <w:ind w:left="0" w:right="0" w:firstLine="440"/>
        <w:jc w:val="both"/>
      </w:pPr>
      <w:bookmarkStart w:id="987" w:name="bookmark987"/>
      <w:r>
        <w:rPr>
          <w:rFonts w:ascii="Times New Roman" w:eastAsia="Times New Roman" w:hAnsi="Times New Roman" w:cs="Times New Roman"/>
          <w:color w:val="000000"/>
          <w:spacing w:val="0"/>
          <w:w w:val="100"/>
          <w:position w:val="0"/>
        </w:rPr>
        <w:t>1</w:t>
      </w:r>
      <w:bookmarkEnd w:id="987"/>
      <w:r>
        <w:rPr>
          <w:color w:val="000000"/>
          <w:spacing w:val="0"/>
          <w:w w:val="100"/>
          <w:position w:val="0"/>
        </w:rPr>
        <w:t>、</w:t>
        <w:tab/>
        <w:t>一般原则</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本公司在履行了合同中的履约义务，即在客户取得相关商品或服务控制权时，按照分摊至该项履约义务的交易价格确 认收入。取得相关商品控制权，是指能够主导该商品的使用并从中获得几乎全部的经济利益。履约义务是指合同中本公司 向客户转让可明确区分商品的承诺。交易价格是指本公司因向客户转让商品而预期有权收取的对价金额，不包括代第三方 收取的款项以及本公司预期将退还给客户的款项。</w:t>
      </w:r>
    </w:p>
    <w:p>
      <w:pPr>
        <w:pStyle w:val="Style33"/>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履约义务是在某一时段内履行、还是在某一时点履行，取决于合同条款及相关法律规定。满足下列条件之一时，本公 司属于在某一时段内履行履约义务；否则，属于在某一时点履行履约义务：</w:t>
      </w:r>
    </w:p>
    <w:p>
      <w:pPr>
        <w:pStyle w:val="Style33"/>
        <w:keepNext w:val="0"/>
        <w:keepLines w:val="0"/>
        <w:widowControl w:val="0"/>
        <w:numPr>
          <w:ilvl w:val="0"/>
          <w:numId w:val="61"/>
        </w:numPr>
        <w:shd w:val="clear" w:color="auto" w:fill="auto"/>
        <w:tabs>
          <w:tab w:pos="813" w:val="left"/>
        </w:tabs>
        <w:bidi w:val="0"/>
        <w:spacing w:before="0" w:after="0" w:line="240" w:lineRule="auto"/>
        <w:ind w:left="0" w:right="0" w:firstLine="440"/>
        <w:jc w:val="both"/>
      </w:pPr>
      <w:bookmarkStart w:id="988" w:name="bookmark988"/>
      <w:bookmarkEnd w:id="988"/>
      <w:r>
        <w:rPr>
          <w:color w:val="000000"/>
          <w:spacing w:val="0"/>
          <w:w w:val="100"/>
          <w:position w:val="0"/>
        </w:rPr>
        <w:t>客户在本公司履约的同时即取得并消耗本公司履约所带来的经济利益。</w:t>
      </w:r>
    </w:p>
    <w:p>
      <w:pPr>
        <w:pStyle w:val="Style33"/>
        <w:keepNext w:val="0"/>
        <w:keepLines w:val="0"/>
        <w:widowControl w:val="0"/>
        <w:numPr>
          <w:ilvl w:val="0"/>
          <w:numId w:val="61"/>
        </w:numPr>
        <w:shd w:val="clear" w:color="auto" w:fill="auto"/>
        <w:tabs>
          <w:tab w:pos="813" w:val="left"/>
        </w:tabs>
        <w:bidi w:val="0"/>
        <w:spacing w:before="0" w:after="0" w:line="311" w:lineRule="exact"/>
        <w:ind w:left="0" w:right="0" w:firstLine="440"/>
        <w:jc w:val="both"/>
      </w:pPr>
      <w:bookmarkStart w:id="989" w:name="bookmark989"/>
      <w:bookmarkEnd w:id="989"/>
      <w:r>
        <w:rPr>
          <w:color w:val="000000"/>
          <w:spacing w:val="0"/>
          <w:w w:val="100"/>
          <w:position w:val="0"/>
        </w:rPr>
        <w:t>客户能够控制本公司履约过程中在建的商品。</w:t>
      </w:r>
    </w:p>
    <w:p>
      <w:pPr>
        <w:pStyle w:val="Style33"/>
        <w:keepNext w:val="0"/>
        <w:keepLines w:val="0"/>
        <w:widowControl w:val="0"/>
        <w:numPr>
          <w:ilvl w:val="0"/>
          <w:numId w:val="61"/>
        </w:numPr>
        <w:shd w:val="clear" w:color="auto" w:fill="auto"/>
        <w:tabs>
          <w:tab w:pos="786" w:val="left"/>
        </w:tabs>
        <w:bidi w:val="0"/>
        <w:spacing w:before="0" w:after="0" w:line="311" w:lineRule="exact"/>
        <w:ind w:left="0" w:right="0" w:firstLine="440"/>
        <w:jc w:val="both"/>
      </w:pPr>
      <w:bookmarkStart w:id="990" w:name="bookmark990"/>
      <w:bookmarkEnd w:id="990"/>
      <w:r>
        <w:rPr>
          <w:color w:val="000000"/>
          <w:spacing w:val="0"/>
          <w:w w:val="100"/>
          <w:position w:val="0"/>
        </w:rPr>
        <w:t>本公司履约过程中所产出的商品具有不可替代用途，且本公司在整个合同期间内有权就累计至今已完成的履约部分 收取款项。</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对于在某一时段内履行的履约义务，本公司在该段时间内按照履约进度确认收入。履约进度不能合理确定时，本公司 已经发生的成本预计能够得到补偿的，按照已经发生的成本金额确认收入，直到履约进度能够合理确定为止。</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对于在某一时点履行的履约义务，本公司在客户取得相关商品或服务控制权时点确认收入。在判断客户是否已取得商 品或服务控制权时，本公司会考虑下列迹象：</w:t>
      </w:r>
    </w:p>
    <w:p>
      <w:pPr>
        <w:pStyle w:val="Style33"/>
        <w:keepNext w:val="0"/>
        <w:keepLines w:val="0"/>
        <w:widowControl w:val="0"/>
        <w:numPr>
          <w:ilvl w:val="0"/>
          <w:numId w:val="63"/>
        </w:numPr>
        <w:shd w:val="clear" w:color="auto" w:fill="auto"/>
        <w:tabs>
          <w:tab w:pos="813" w:val="left"/>
        </w:tabs>
        <w:bidi w:val="0"/>
        <w:spacing w:before="0" w:after="0" w:line="311" w:lineRule="exact"/>
        <w:ind w:left="0" w:right="0" w:firstLine="440"/>
        <w:jc w:val="both"/>
      </w:pPr>
      <w:bookmarkStart w:id="991" w:name="bookmark991"/>
      <w:bookmarkEnd w:id="991"/>
      <w:r>
        <w:rPr>
          <w:color w:val="000000"/>
          <w:spacing w:val="0"/>
          <w:w w:val="100"/>
          <w:position w:val="0"/>
        </w:rPr>
        <w:t>本公司就该商品或服务享有现时收款权利，即客户就该商品负有现时付款义务。</w:t>
      </w:r>
    </w:p>
    <w:p>
      <w:pPr>
        <w:pStyle w:val="Style33"/>
        <w:keepNext w:val="0"/>
        <w:keepLines w:val="0"/>
        <w:widowControl w:val="0"/>
        <w:numPr>
          <w:ilvl w:val="0"/>
          <w:numId w:val="63"/>
        </w:numPr>
        <w:shd w:val="clear" w:color="auto" w:fill="auto"/>
        <w:tabs>
          <w:tab w:pos="813" w:val="left"/>
        </w:tabs>
        <w:bidi w:val="0"/>
        <w:spacing w:before="0" w:after="0" w:line="311" w:lineRule="exact"/>
        <w:ind w:left="0" w:right="0" w:firstLine="440"/>
        <w:jc w:val="both"/>
      </w:pPr>
      <w:bookmarkStart w:id="992" w:name="bookmark992"/>
      <w:bookmarkEnd w:id="992"/>
      <w:r>
        <w:rPr>
          <w:color w:val="000000"/>
          <w:spacing w:val="0"/>
          <w:w w:val="100"/>
          <w:position w:val="0"/>
        </w:rPr>
        <w:t>本公司已将该商品的法定所有权转移给客户，即客户已拥有该商品的法定所有权。</w:t>
      </w:r>
    </w:p>
    <w:p>
      <w:pPr>
        <w:pStyle w:val="Style33"/>
        <w:keepNext w:val="0"/>
        <w:keepLines w:val="0"/>
        <w:widowControl w:val="0"/>
        <w:numPr>
          <w:ilvl w:val="0"/>
          <w:numId w:val="63"/>
        </w:numPr>
        <w:shd w:val="clear" w:color="auto" w:fill="auto"/>
        <w:tabs>
          <w:tab w:pos="813" w:val="left"/>
        </w:tabs>
        <w:bidi w:val="0"/>
        <w:spacing w:before="0" w:after="0" w:line="311" w:lineRule="exact"/>
        <w:ind w:left="0" w:right="0" w:firstLine="440"/>
        <w:jc w:val="both"/>
      </w:pPr>
      <w:bookmarkStart w:id="993" w:name="bookmark993"/>
      <w:bookmarkEnd w:id="993"/>
      <w:r>
        <w:rPr>
          <w:color w:val="000000"/>
          <w:spacing w:val="0"/>
          <w:w w:val="100"/>
          <w:position w:val="0"/>
        </w:rPr>
        <w:t>本公司已将该商品的实物转移给客户，即客户已实物占有该商品。</w:t>
      </w:r>
    </w:p>
    <w:p>
      <w:pPr>
        <w:pStyle w:val="Style33"/>
        <w:keepNext w:val="0"/>
        <w:keepLines w:val="0"/>
        <w:widowControl w:val="0"/>
        <w:numPr>
          <w:ilvl w:val="0"/>
          <w:numId w:val="63"/>
        </w:numPr>
        <w:shd w:val="clear" w:color="auto" w:fill="auto"/>
        <w:tabs>
          <w:tab w:pos="813" w:val="left"/>
        </w:tabs>
        <w:bidi w:val="0"/>
        <w:spacing w:before="0" w:after="0" w:line="311" w:lineRule="exact"/>
        <w:ind w:left="0" w:right="0" w:firstLine="440"/>
        <w:jc w:val="both"/>
      </w:pPr>
      <w:bookmarkStart w:id="994" w:name="bookmark994"/>
      <w:bookmarkEnd w:id="994"/>
      <w:r>
        <w:rPr>
          <w:color w:val="000000"/>
          <w:spacing w:val="0"/>
          <w:w w:val="100"/>
          <w:position w:val="0"/>
        </w:rPr>
        <w:t>本公司已将该商品所有权上的主要风险和报酬转移给客户，即客户已取得该商品所有权上的主要风险和报酬。</w:t>
      </w:r>
    </w:p>
    <w:p>
      <w:pPr>
        <w:pStyle w:val="Style33"/>
        <w:keepNext w:val="0"/>
        <w:keepLines w:val="0"/>
        <w:widowControl w:val="0"/>
        <w:numPr>
          <w:ilvl w:val="0"/>
          <w:numId w:val="63"/>
        </w:numPr>
        <w:shd w:val="clear" w:color="auto" w:fill="auto"/>
        <w:tabs>
          <w:tab w:pos="813" w:val="left"/>
        </w:tabs>
        <w:bidi w:val="0"/>
        <w:spacing w:before="0" w:after="0" w:line="311" w:lineRule="exact"/>
        <w:ind w:left="0" w:right="0" w:firstLine="440"/>
        <w:jc w:val="both"/>
      </w:pPr>
      <w:bookmarkStart w:id="995" w:name="bookmark995"/>
      <w:bookmarkEnd w:id="995"/>
      <w:r>
        <w:rPr>
          <w:color w:val="000000"/>
          <w:spacing w:val="0"/>
          <w:w w:val="100"/>
          <w:position w:val="0"/>
        </w:rPr>
        <w:t>客户已接受该商品或服务。</w:t>
      </w:r>
    </w:p>
    <w:p>
      <w:pPr>
        <w:pStyle w:val="Style33"/>
        <w:keepNext w:val="0"/>
        <w:keepLines w:val="0"/>
        <w:widowControl w:val="0"/>
        <w:numPr>
          <w:ilvl w:val="0"/>
          <w:numId w:val="63"/>
        </w:numPr>
        <w:shd w:val="clear" w:color="auto" w:fill="auto"/>
        <w:tabs>
          <w:tab w:pos="813" w:val="left"/>
        </w:tabs>
        <w:bidi w:val="0"/>
        <w:spacing w:before="0" w:after="80" w:line="311" w:lineRule="exact"/>
        <w:ind w:left="0" w:right="0" w:firstLine="440"/>
        <w:jc w:val="both"/>
      </w:pPr>
      <w:bookmarkStart w:id="996" w:name="bookmark996"/>
      <w:bookmarkEnd w:id="996"/>
      <w:r>
        <w:rPr>
          <w:color w:val="000000"/>
          <w:spacing w:val="0"/>
          <w:w w:val="100"/>
          <w:position w:val="0"/>
        </w:rPr>
        <w:t>其他表明客户已取得商品控制权的迹象。</w:t>
      </w:r>
    </w:p>
    <w:p>
      <w:pPr>
        <w:pStyle w:val="Style33"/>
        <w:keepNext w:val="0"/>
        <w:keepLines w:val="0"/>
        <w:widowControl w:val="0"/>
        <w:shd w:val="clear" w:color="auto" w:fill="auto"/>
        <w:tabs>
          <w:tab w:pos="794" w:val="left"/>
        </w:tabs>
        <w:bidi w:val="0"/>
        <w:spacing w:before="0" w:after="0"/>
        <w:ind w:left="0" w:right="0" w:firstLine="440"/>
        <w:jc w:val="both"/>
      </w:pPr>
      <w:bookmarkStart w:id="997" w:name="bookmark997"/>
      <w:r>
        <w:rPr>
          <w:rFonts w:ascii="Times New Roman" w:eastAsia="Times New Roman" w:hAnsi="Times New Roman" w:cs="Times New Roman"/>
          <w:color w:val="000000"/>
          <w:spacing w:val="0"/>
          <w:w w:val="100"/>
          <w:position w:val="0"/>
        </w:rPr>
        <w:t>2</w:t>
      </w:r>
      <w:bookmarkEnd w:id="997"/>
      <w:r>
        <w:rPr>
          <w:color w:val="000000"/>
          <w:spacing w:val="0"/>
          <w:w w:val="100"/>
          <w:position w:val="0"/>
        </w:rPr>
        <w:t>、</w:t>
        <w:tab/>
        <w:t>公司的收入类型及具体收入确认方法</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本公司销售商品收入包括电力行业产品（电力设备类）销售和游戏行业销售</w:t>
      </w:r>
    </w:p>
    <w:p>
      <w:pPr>
        <w:pStyle w:val="Style33"/>
        <w:keepNext w:val="0"/>
        <w:keepLines w:val="0"/>
        <w:widowControl w:val="0"/>
        <w:shd w:val="clear" w:color="auto" w:fill="auto"/>
        <w:bidi w:val="0"/>
        <w:spacing w:before="0" w:after="0" w:line="311" w:lineRule="exact"/>
        <w:ind w:left="0" w:right="0" w:firstLine="440"/>
        <w:jc w:val="both"/>
      </w:pPr>
      <w:bookmarkStart w:id="998" w:name="bookmark998"/>
      <w:r>
        <w:rPr>
          <w:color w:val="000000"/>
          <w:spacing w:val="0"/>
          <w:w w:val="100"/>
          <w:position w:val="0"/>
        </w:rPr>
        <w:t>（</w:t>
      </w:r>
      <w:bookmarkEnd w:id="998"/>
      <w:r>
        <w:rPr>
          <w:rFonts w:ascii="Times New Roman" w:eastAsia="Times New Roman" w:hAnsi="Times New Roman" w:cs="Times New Roman"/>
          <w:color w:val="000000"/>
          <w:spacing w:val="0"/>
          <w:w w:val="100"/>
          <w:position w:val="0"/>
        </w:rPr>
        <w:t>1</w:t>
      </w:r>
      <w:r>
        <w:rPr>
          <w:color w:val="000000"/>
          <w:spacing w:val="0"/>
          <w:w w:val="100"/>
          <w:position w:val="0"/>
        </w:rPr>
        <w:t>）电力行业产品（电力设备类）销售确认方式</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①国内销售：</w:t>
      </w:r>
    </w:p>
    <w:p>
      <w:pPr>
        <w:pStyle w:val="Style33"/>
        <w:keepNext w:val="0"/>
        <w:keepLines w:val="0"/>
        <w:widowControl w:val="0"/>
        <w:shd w:val="clear" w:color="auto" w:fill="auto"/>
        <w:tabs>
          <w:tab w:pos="781" w:val="left"/>
        </w:tabs>
        <w:bidi w:val="0"/>
        <w:spacing w:before="0" w:after="80" w:line="311" w:lineRule="exact"/>
        <w:ind w:left="0" w:right="0" w:firstLine="440"/>
        <w:jc w:val="both"/>
      </w:pPr>
      <w:bookmarkStart w:id="999" w:name="bookmark999"/>
      <w:r>
        <w:rPr>
          <w:rFonts w:ascii="Times New Roman" w:eastAsia="Times New Roman" w:hAnsi="Times New Roman" w:cs="Times New Roman"/>
          <w:color w:val="000000"/>
          <w:spacing w:val="0"/>
          <w:w w:val="100"/>
          <w:position w:val="0"/>
        </w:rPr>
        <w:t>1</w:t>
      </w:r>
      <w:bookmarkEnd w:id="999"/>
      <w:r>
        <w:rPr>
          <w:color w:val="000000"/>
          <w:spacing w:val="0"/>
          <w:w w:val="100"/>
          <w:position w:val="0"/>
        </w:rPr>
        <w:t>）</w:t>
        <w:tab/>
        <w:t>非工程项目类：合同商品已移交给客户，客户验收合格后，与本公司确认商品数量及结算金额，本公司获得收取 货款权利后确认收入实现。</w:t>
      </w:r>
    </w:p>
    <w:p>
      <w:pPr>
        <w:pStyle w:val="Style33"/>
        <w:keepNext w:val="0"/>
        <w:keepLines w:val="0"/>
        <w:widowControl w:val="0"/>
        <w:shd w:val="clear" w:color="auto" w:fill="auto"/>
        <w:tabs>
          <w:tab w:pos="368" w:val="left"/>
        </w:tabs>
        <w:bidi w:val="0"/>
        <w:spacing w:before="0" w:after="0"/>
        <w:ind w:left="0" w:right="0" w:firstLine="440"/>
        <w:jc w:val="both"/>
      </w:pPr>
      <w:bookmarkStart w:id="1000" w:name="bookmark1000"/>
      <w:r>
        <w:rPr>
          <w:rFonts w:ascii="Times New Roman" w:eastAsia="Times New Roman" w:hAnsi="Times New Roman" w:cs="Times New Roman"/>
          <w:color w:val="000000"/>
          <w:spacing w:val="0"/>
          <w:w w:val="100"/>
          <w:position w:val="0"/>
        </w:rPr>
        <w:t>2</w:t>
      </w:r>
      <w:bookmarkEnd w:id="1000"/>
      <w:r>
        <w:rPr>
          <w:color w:val="000000"/>
          <w:spacing w:val="0"/>
          <w:w w:val="100"/>
          <w:position w:val="0"/>
        </w:rPr>
        <w:t>）</w:t>
        <w:tab/>
        <w:t xml:space="preserve">工程项目类：合同商品已移交给购买方施工单位并进行安装调试后，与本公司确认商品数量及结算金额，本公司 </w:t>
      </w:r>
      <w:r>
        <w:rPr>
          <w:color w:val="000000"/>
          <w:spacing w:val="0"/>
          <w:w w:val="100"/>
          <w:position w:val="0"/>
        </w:rPr>
        <w:t>获得收取货款权利后确认收入实现。</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②国外销售：以出口报关时间为销售收入的确认时间。</w:t>
      </w:r>
    </w:p>
    <w:p>
      <w:pPr>
        <w:pStyle w:val="Style33"/>
        <w:keepNext w:val="0"/>
        <w:keepLines w:val="0"/>
        <w:widowControl w:val="0"/>
        <w:shd w:val="clear" w:color="auto" w:fill="auto"/>
        <w:bidi w:val="0"/>
        <w:spacing w:before="0" w:after="0" w:line="312" w:lineRule="exact"/>
        <w:ind w:left="0" w:right="0" w:firstLine="440"/>
        <w:jc w:val="both"/>
      </w:pPr>
      <w:bookmarkStart w:id="1001" w:name="bookmark1001"/>
      <w:r>
        <w:rPr>
          <w:color w:val="000000"/>
          <w:spacing w:val="0"/>
          <w:w w:val="100"/>
          <w:position w:val="0"/>
        </w:rPr>
        <w:t>（</w:t>
      </w:r>
      <w:bookmarkEnd w:id="1001"/>
      <w:r>
        <w:rPr>
          <w:rFonts w:ascii="Times New Roman" w:eastAsia="Times New Roman" w:hAnsi="Times New Roman" w:cs="Times New Roman"/>
          <w:color w:val="000000"/>
          <w:spacing w:val="0"/>
          <w:w w:val="100"/>
          <w:position w:val="0"/>
        </w:rPr>
        <w:t>2</w:t>
      </w:r>
      <w:r>
        <w:rPr>
          <w:color w:val="000000"/>
          <w:spacing w:val="0"/>
          <w:w w:val="100"/>
          <w:position w:val="0"/>
        </w:rPr>
        <w:t>）游戏行业销售确认方式</w:t>
      </w:r>
    </w:p>
    <w:p>
      <w:pPr>
        <w:pStyle w:val="Style33"/>
        <w:keepNext w:val="0"/>
        <w:keepLines w:val="0"/>
        <w:widowControl w:val="0"/>
        <w:numPr>
          <w:ilvl w:val="0"/>
          <w:numId w:val="65"/>
        </w:numPr>
        <w:shd w:val="clear" w:color="auto" w:fill="auto"/>
        <w:tabs>
          <w:tab w:pos="751" w:val="left"/>
        </w:tabs>
        <w:bidi w:val="0"/>
        <w:spacing w:before="0" w:after="0" w:line="312" w:lineRule="exact"/>
        <w:ind w:left="0" w:right="0" w:firstLine="440"/>
        <w:jc w:val="both"/>
      </w:pPr>
      <w:bookmarkStart w:id="1002" w:name="bookmark1002"/>
      <w:bookmarkEnd w:id="1002"/>
      <w:r>
        <w:rPr>
          <w:color w:val="000000"/>
          <w:spacing w:val="0"/>
          <w:w w:val="100"/>
          <w:position w:val="0"/>
        </w:rPr>
        <w:t>自主运营模式下，针对公司的自研游戏产品，玩家通过第三方支付渠道进行充值获得游戏虚拟货币，并在游戏过程 中使用游戏币购买虚拟道具；公司在玩家实际充值并使用游戏货币购买游戏虚拟道具消费时确认营业收入；</w:t>
      </w:r>
    </w:p>
    <w:p>
      <w:pPr>
        <w:pStyle w:val="Style33"/>
        <w:keepNext w:val="0"/>
        <w:keepLines w:val="0"/>
        <w:widowControl w:val="0"/>
        <w:numPr>
          <w:ilvl w:val="0"/>
          <w:numId w:val="65"/>
        </w:numPr>
        <w:shd w:val="clear" w:color="auto" w:fill="auto"/>
        <w:tabs>
          <w:tab w:pos="765" w:val="left"/>
        </w:tabs>
        <w:bidi w:val="0"/>
        <w:spacing w:before="0" w:after="0" w:line="312" w:lineRule="exact"/>
        <w:ind w:left="0" w:right="0" w:firstLine="440"/>
        <w:jc w:val="both"/>
      </w:pPr>
      <w:bookmarkStart w:id="1003" w:name="bookmark1003"/>
      <w:bookmarkEnd w:id="1003"/>
      <w:r>
        <w:rPr>
          <w:color w:val="000000"/>
          <w:spacing w:val="0"/>
          <w:w w:val="100"/>
          <w:position w:val="0"/>
        </w:rPr>
        <w:t>联合运营模式下，针对公司的自研游戏产品，游戏玩家通过平台商支付系统进行充值获得游戏虚拟货币，并在游戏 过程中使用游戏币购买虚拟道具；公司定期与合作平台对账确认玩家充值金额并按约定分成比例从合作平台商处获得游戏 分成；公司根据在与合作平台对账后确认营业收入。</w:t>
      </w:r>
    </w:p>
    <w:p>
      <w:pPr>
        <w:pStyle w:val="Style33"/>
        <w:keepNext w:val="0"/>
        <w:keepLines w:val="0"/>
        <w:widowControl w:val="0"/>
        <w:numPr>
          <w:ilvl w:val="0"/>
          <w:numId w:val="65"/>
        </w:numPr>
        <w:shd w:val="clear" w:color="auto" w:fill="auto"/>
        <w:tabs>
          <w:tab w:pos="770" w:val="left"/>
        </w:tabs>
        <w:bidi w:val="0"/>
        <w:spacing w:before="0" w:after="0" w:line="312" w:lineRule="exact"/>
        <w:ind w:left="0" w:right="0" w:firstLine="440"/>
        <w:jc w:val="both"/>
      </w:pPr>
      <w:bookmarkStart w:id="1004" w:name="bookmark1004"/>
      <w:bookmarkEnd w:id="1004"/>
      <w:r>
        <w:rPr>
          <w:color w:val="000000"/>
          <w:spacing w:val="0"/>
          <w:w w:val="100"/>
          <w:position w:val="0"/>
        </w:rPr>
        <w:t>授权运营模式下，公司将拥有的游戏产品交由运营商进行运营，游戏玩家通过运营商平台注册、充值、消费活动， 游戏玩家在运营商游戏版本中获取并使用游戏虚拟货币，公司定期与合作平台对账确认玩家充值金额并按约定分成比例从 运营商处获得游戏分成。该模式下，公司收入通常由版权金收入及游戏分成收入两部分构成，游戏分成在与游戏运营商核 对确认游戏分成款后确认；版权金在授权期限内分摊确认收入。</w:t>
      </w:r>
    </w:p>
    <w:p>
      <w:pPr>
        <w:pStyle w:val="Style33"/>
        <w:keepNext w:val="0"/>
        <w:keepLines w:val="0"/>
        <w:widowControl w:val="0"/>
        <w:numPr>
          <w:ilvl w:val="0"/>
          <w:numId w:val="65"/>
        </w:numPr>
        <w:shd w:val="clear" w:color="auto" w:fill="auto"/>
        <w:tabs>
          <w:tab w:pos="765" w:val="left"/>
        </w:tabs>
        <w:bidi w:val="0"/>
        <w:spacing w:before="0" w:after="0" w:line="312" w:lineRule="exact"/>
        <w:ind w:left="0" w:right="0" w:firstLine="440"/>
        <w:jc w:val="both"/>
      </w:pPr>
      <w:bookmarkStart w:id="1005" w:name="bookmark1005"/>
      <w:bookmarkEnd w:id="1005"/>
      <w:r>
        <w:rPr>
          <w:color w:val="000000"/>
          <w:spacing w:val="0"/>
          <w:w w:val="100"/>
          <w:position w:val="0"/>
        </w:rPr>
        <w:t>代理运营模式，公司代理运营其他游戏开发商提供的游戏，玩家在公司平台进行注册并通过公司的支付系统进行充 值，并在游戏开发商提供给公司游戏版本中获取并使用游戏虚拟货币，公司定期与游戏开发商对账确认玩家充值金额并按 约定分成比例向游戏开发商支付游戏分成；公司与游戏开发商确定充值金额后，将充值款确认为收入，将对游戏开发商的 分成款确认为成本。（公司作为独家代理时，还可将独家代理的游戏授权给平台商和运营商联合运营，游戏玩家通过平台 商系统或运营商平台进行充值获得游戏虚拟货币，并在游戏过程中使用游戏币购买虚拟道具；公司与游戏开发商确定充值 金额后，根据该金额与合作平台对账确认并按约定分成比例从合作平台商处获得游戏收入分成款并确认收入，根据玩家充 值金额按约定分成比例向游戏开发商支付游戏分成并确认为成本。）</w:t>
      </w:r>
    </w:p>
    <w:p>
      <w:pPr>
        <w:pStyle w:val="Style33"/>
        <w:keepNext w:val="0"/>
        <w:keepLines w:val="0"/>
        <w:widowControl w:val="0"/>
        <w:numPr>
          <w:ilvl w:val="0"/>
          <w:numId w:val="65"/>
        </w:numPr>
        <w:shd w:val="clear" w:color="auto" w:fill="auto"/>
        <w:tabs>
          <w:tab w:pos="788" w:val="left"/>
        </w:tabs>
        <w:bidi w:val="0"/>
        <w:spacing w:before="0" w:after="400" w:line="312" w:lineRule="exact"/>
        <w:ind w:left="0" w:right="0" w:firstLine="440"/>
        <w:jc w:val="both"/>
      </w:pPr>
      <w:bookmarkStart w:id="1006" w:name="bookmark1006"/>
      <w:bookmarkEnd w:id="1006"/>
      <w:r>
        <w:rPr>
          <w:color w:val="000000"/>
          <w:spacing w:val="0"/>
          <w:w w:val="100"/>
          <w:position w:val="0"/>
        </w:rPr>
        <w:t>游戏软件著作权的转让收入：公司按照合同条款将游戏产品交付对方后，于对方验收合格后收取转让费用。</w:t>
      </w:r>
    </w:p>
    <w:p>
      <w:pPr>
        <w:pStyle w:val="Style37"/>
        <w:keepNext/>
        <w:keepLines/>
        <w:widowControl w:val="0"/>
        <w:shd w:val="clear" w:color="auto" w:fill="auto"/>
        <w:bidi w:val="0"/>
        <w:spacing w:before="0" w:after="400" w:line="240" w:lineRule="auto"/>
        <w:ind w:left="0" w:right="0" w:firstLine="0"/>
        <w:jc w:val="left"/>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3</w:t>
      </w:r>
      <w:bookmarkEnd w:id="1009"/>
      <w:r>
        <w:rPr>
          <w:rFonts w:ascii="Times New Roman" w:eastAsia="Times New Roman" w:hAnsi="Times New Roman" w:cs="Times New Roman"/>
          <w:color w:val="000000"/>
          <w:spacing w:val="0"/>
          <w:w w:val="100"/>
          <w:position w:val="0"/>
        </w:rPr>
        <w:t>2</w:t>
      </w:r>
      <w:r>
        <w:rPr>
          <w:color w:val="000000"/>
          <w:spacing w:val="0"/>
          <w:w w:val="100"/>
          <w:position w:val="0"/>
        </w:rPr>
        <w:t>、政府补助</w:t>
      </w:r>
      <w:bookmarkEnd w:id="1007"/>
      <w:bookmarkEnd w:id="1008"/>
      <w:bookmarkEnd w:id="1010"/>
    </w:p>
    <w:p>
      <w:pPr>
        <w:pStyle w:val="Style33"/>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政府补助的类型及会计处理</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政府补助，是公司从政府无偿取得的货币性资产与非货币性资产。分为与资产相关的政府补助和与收益相关的政府补 助。</w:t>
      </w:r>
    </w:p>
    <w:p>
      <w:pPr>
        <w:pStyle w:val="Style33"/>
        <w:keepNext w:val="0"/>
        <w:keepLines w:val="0"/>
        <w:widowControl w:val="0"/>
        <w:shd w:val="clear" w:color="auto" w:fill="auto"/>
        <w:tabs>
          <w:tab w:pos="855" w:val="left"/>
        </w:tabs>
        <w:bidi w:val="0"/>
        <w:spacing w:before="0" w:after="0" w:line="311" w:lineRule="exact"/>
        <w:ind w:left="0" w:right="0" w:firstLine="440"/>
        <w:jc w:val="both"/>
      </w:pPr>
      <w:bookmarkStart w:id="1011" w:name="bookmark1011"/>
      <w:r>
        <w:rPr>
          <w:color w:val="000000"/>
          <w:spacing w:val="0"/>
          <w:w w:val="100"/>
          <w:position w:val="0"/>
        </w:rPr>
        <w:t>（</w:t>
      </w:r>
      <w:bookmarkEnd w:id="1011"/>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与资产相关的政府补助，是指企业取得的、用于购建或以其他方式形成长期资产的政府补助。</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与资产相关的政府补助，公司确认为递延收益，在相关资产使用寿命内按照合理、系统的方法分期计入损益。按照名 义金额计量的政府补助，直接计入当期损益。</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相关资产在使用寿命结束前被出售、转让、报废或发生毁损的，将尚未分配的相关递延收益余额转入资产处置当期的 损益。</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与公司日常活动相关的政府补助，应当按照经济业务实质，计入其他收益。与公司日常活动无关的政府补助，计入营 业外收支。</w:t>
      </w:r>
    </w:p>
    <w:p>
      <w:pPr>
        <w:pStyle w:val="Style33"/>
        <w:keepNext w:val="0"/>
        <w:keepLines w:val="0"/>
        <w:widowControl w:val="0"/>
        <w:shd w:val="clear" w:color="auto" w:fill="auto"/>
        <w:tabs>
          <w:tab w:pos="855" w:val="left"/>
        </w:tabs>
        <w:bidi w:val="0"/>
        <w:spacing w:before="0" w:after="0" w:line="311" w:lineRule="exact"/>
        <w:ind w:left="0" w:right="0" w:firstLine="440"/>
        <w:jc w:val="both"/>
      </w:pPr>
      <w:bookmarkStart w:id="1012" w:name="bookmark1012"/>
      <w:r>
        <w:rPr>
          <w:color w:val="000000"/>
          <w:spacing w:val="0"/>
          <w:w w:val="100"/>
          <w:position w:val="0"/>
        </w:rPr>
        <w:t>（</w:t>
      </w:r>
      <w:bookmarkEnd w:id="1012"/>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与收益相关的政府补助，是指除与资产相关的政府补助之外的政府补助。</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公司对于综合性项目的政府补助，需要将其分解为与资产相关的部分和与收益相关的部分，分别进行会计处理；难以 区分的，应当整体归类为与收益相关的政府补助。</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与收益相关的政府补助，用于补偿公司以后期间的相关费用或损失的，取得时确认为递延收益，并在确认相关成本费 用或损失的期间，计入当期损益；用于补偿公司已发生的相关费用或损失的，直接计入当期损益。</w:t>
      </w:r>
    </w:p>
    <w:p>
      <w:pPr>
        <w:pStyle w:val="Style33"/>
        <w:keepNext w:val="0"/>
        <w:keepLines w:val="0"/>
        <w:widowControl w:val="0"/>
        <w:shd w:val="clear" w:color="auto" w:fill="auto"/>
        <w:tabs>
          <w:tab w:pos="855" w:val="left"/>
        </w:tabs>
        <w:bidi w:val="0"/>
        <w:spacing w:before="0" w:after="0" w:line="311" w:lineRule="exact"/>
        <w:ind w:left="0" w:right="0" w:firstLine="440"/>
        <w:jc w:val="both"/>
      </w:pPr>
      <w:bookmarkStart w:id="1013" w:name="bookmark1013"/>
      <w:r>
        <w:rPr>
          <w:color w:val="000000"/>
          <w:spacing w:val="0"/>
          <w:w w:val="100"/>
          <w:position w:val="0"/>
        </w:rPr>
        <w:t>（</w:t>
      </w:r>
      <w:bookmarkEnd w:id="1013"/>
      <w:r>
        <w:rPr>
          <w:rFonts w:ascii="Times New Roman" w:eastAsia="Times New Roman" w:hAnsi="Times New Roman" w:cs="Times New Roman"/>
          <w:color w:val="000000"/>
          <w:spacing w:val="0"/>
          <w:w w:val="100"/>
          <w:position w:val="0"/>
        </w:rPr>
        <w:t>3</w:t>
      </w:r>
      <w:r>
        <w:rPr>
          <w:color w:val="000000"/>
          <w:spacing w:val="0"/>
          <w:w w:val="100"/>
          <w:position w:val="0"/>
        </w:rPr>
        <w:t>）</w:t>
        <w:tab/>
        <w:t>政府补助的确认时点</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 xml:space="preserve">政府补助为货币性资产的，应当按照收到或应收的金额计量。按照应收金额计量的政府补助，在期末有确凿证据表明 能够符合财政扶持政策规定的相关条件且预计能够收到财政扶持资金时予以确认；政府补助为非货币性资产的，应当按照 取得非货币性资产所有权风险和报酬转移时确认政府补助实现。其中非货币性资产按公允价值计量；公允价值不能可靠取 </w:t>
      </w:r>
      <w:r>
        <w:rPr>
          <w:color w:val="000000"/>
          <w:spacing w:val="0"/>
          <w:w w:val="100"/>
          <w:position w:val="0"/>
        </w:rPr>
        <w:t>得的，按照名义金额计量。</w:t>
      </w:r>
    </w:p>
    <w:p>
      <w:pPr>
        <w:pStyle w:val="Style33"/>
        <w:keepNext w:val="0"/>
        <w:keepLines w:val="0"/>
        <w:widowControl w:val="0"/>
        <w:shd w:val="clear" w:color="auto" w:fill="auto"/>
        <w:bidi w:val="0"/>
        <w:spacing w:before="0" w:after="680" w:line="312" w:lineRule="exact"/>
        <w:ind w:left="0" w:right="0" w:firstLine="440"/>
        <w:jc w:val="both"/>
      </w:pPr>
      <w:r>
        <w:rPr>
          <w:color w:val="000000"/>
          <w:spacing w:val="0"/>
          <w:w w:val="100"/>
          <w:position w:val="0"/>
        </w:rPr>
        <w:t>已确认的政府补助需要返还时，存在相关递延收益余额的，冲减相关递延收益账面余额，超出部分计入当期损益；不 存在相关递延收益的，直接计入当期损益。</w:t>
      </w:r>
    </w:p>
    <w:p>
      <w:pPr>
        <w:pStyle w:val="Style37"/>
        <w:keepNext/>
        <w:keepLines/>
        <w:widowControl w:val="0"/>
        <w:shd w:val="clear" w:color="auto" w:fill="auto"/>
        <w:bidi w:val="0"/>
        <w:spacing w:before="0" w:after="280" w:line="240" w:lineRule="auto"/>
        <w:ind w:left="0" w:right="0" w:firstLine="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3</w:t>
      </w:r>
      <w:bookmarkEnd w:id="1016"/>
      <w:r>
        <w:rPr>
          <w:rFonts w:ascii="Times New Roman" w:eastAsia="Times New Roman" w:hAnsi="Times New Roman" w:cs="Times New Roman"/>
          <w:color w:val="000000"/>
          <w:spacing w:val="0"/>
          <w:w w:val="100"/>
          <w:position w:val="0"/>
        </w:rPr>
        <w:t>3</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14"/>
      <w:bookmarkEnd w:id="1015"/>
      <w:bookmarkEnd w:id="1017"/>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所得税采用资产负债表债务法进行核算。于资产负债表日，分析比较资产、负债的账面价值与其计税基础，两者之间 存在差异的，确认递延所得税资产、递延所得税负债及相应的递延所得税费用</w:t>
      </w:r>
      <w:r>
        <w:rPr>
          <w:rFonts w:ascii="Times New Roman" w:eastAsia="Times New Roman" w:hAnsi="Times New Roman" w:cs="Times New Roman"/>
          <w:color w:val="000000"/>
          <w:spacing w:val="0"/>
          <w:w w:val="100"/>
          <w:position w:val="0"/>
        </w:rPr>
        <w:t>（</w:t>
      </w:r>
      <w:r>
        <w:rPr>
          <w:color w:val="000000"/>
          <w:spacing w:val="0"/>
          <w:w w:val="100"/>
          <w:position w:val="0"/>
        </w:rPr>
        <w:t>或收益</w:t>
      </w:r>
      <w:r>
        <w:rPr>
          <w:rFonts w:ascii="Times New Roman" w:eastAsia="Times New Roman" w:hAnsi="Times New Roman" w:cs="Times New Roman"/>
          <w:color w:val="000000"/>
          <w:spacing w:val="0"/>
          <w:w w:val="100"/>
          <w:position w:val="0"/>
        </w:rPr>
        <w:t>）</w:t>
      </w:r>
      <w:r>
        <w:rPr>
          <w:color w:val="000000"/>
          <w:spacing w:val="0"/>
          <w:w w:val="100"/>
          <w:position w:val="0"/>
        </w:rPr>
        <w:t>。在计算确定当期所得税</w:t>
      </w:r>
      <w:r>
        <w:rPr>
          <w:rFonts w:ascii="Times New Roman" w:eastAsia="Times New Roman" w:hAnsi="Times New Roman" w:cs="Times New Roman"/>
          <w:color w:val="000000"/>
          <w:spacing w:val="0"/>
          <w:w w:val="100"/>
          <w:position w:val="0"/>
        </w:rPr>
        <w:t>（</w:t>
      </w:r>
      <w:r>
        <w:rPr>
          <w:color w:val="000000"/>
          <w:spacing w:val="0"/>
          <w:w w:val="100"/>
          <w:position w:val="0"/>
        </w:rPr>
        <w:t>即当期应交 所得税</w:t>
      </w:r>
      <w:r>
        <w:rPr>
          <w:rFonts w:ascii="Times New Roman" w:eastAsia="Times New Roman" w:hAnsi="Times New Roman" w:cs="Times New Roman"/>
          <w:color w:val="000000"/>
          <w:spacing w:val="0"/>
          <w:w w:val="100"/>
          <w:position w:val="0"/>
        </w:rPr>
        <w:t>）</w:t>
      </w:r>
      <w:r>
        <w:rPr>
          <w:color w:val="000000"/>
          <w:spacing w:val="0"/>
          <w:w w:val="100"/>
          <w:position w:val="0"/>
        </w:rPr>
        <w:t>以及递延所得税费用</w:t>
      </w:r>
      <w:r>
        <w:rPr>
          <w:rFonts w:ascii="Times New Roman" w:eastAsia="Times New Roman" w:hAnsi="Times New Roman" w:cs="Times New Roman"/>
          <w:color w:val="000000"/>
          <w:spacing w:val="0"/>
          <w:w w:val="100"/>
          <w:position w:val="0"/>
        </w:rPr>
        <w:t>（</w:t>
      </w:r>
      <w:r>
        <w:rPr>
          <w:color w:val="000000"/>
          <w:spacing w:val="0"/>
          <w:w w:val="100"/>
          <w:position w:val="0"/>
        </w:rPr>
        <w:t>或收益</w:t>
      </w:r>
      <w:r>
        <w:rPr>
          <w:rFonts w:ascii="Times New Roman" w:eastAsia="Times New Roman" w:hAnsi="Times New Roman" w:cs="Times New Roman"/>
          <w:color w:val="000000"/>
          <w:spacing w:val="0"/>
          <w:w w:val="100"/>
          <w:position w:val="0"/>
        </w:rPr>
        <w:t>）</w:t>
      </w:r>
      <w:r>
        <w:rPr>
          <w:color w:val="000000"/>
          <w:spacing w:val="0"/>
          <w:w w:val="100"/>
          <w:position w:val="0"/>
        </w:rPr>
        <w:t>的基础上，将两者之和确认为利润表中的所得税费用</w:t>
      </w:r>
      <w:r>
        <w:rPr>
          <w:rFonts w:ascii="Times New Roman" w:eastAsia="Times New Roman" w:hAnsi="Times New Roman" w:cs="Times New Roman"/>
          <w:color w:val="000000"/>
          <w:spacing w:val="0"/>
          <w:w w:val="100"/>
          <w:position w:val="0"/>
        </w:rPr>
        <w:t>（</w:t>
      </w:r>
      <w:r>
        <w:rPr>
          <w:color w:val="000000"/>
          <w:spacing w:val="0"/>
          <w:w w:val="100"/>
          <w:position w:val="0"/>
        </w:rPr>
        <w:t>或收益</w:t>
      </w:r>
      <w:r>
        <w:rPr>
          <w:rFonts w:ascii="Times New Roman" w:eastAsia="Times New Roman" w:hAnsi="Times New Roman" w:cs="Times New Roman"/>
          <w:color w:val="000000"/>
          <w:spacing w:val="0"/>
          <w:w w:val="100"/>
          <w:position w:val="0"/>
        </w:rPr>
        <w:t>）</w:t>
      </w:r>
      <w:r>
        <w:rPr>
          <w:color w:val="000000"/>
          <w:spacing w:val="0"/>
          <w:w w:val="100"/>
          <w:position w:val="0"/>
        </w:rPr>
        <w:t>，但不包括直接计入所有 者权益的交易或事项的所得税影响。</w:t>
      </w:r>
    </w:p>
    <w:p>
      <w:pPr>
        <w:pStyle w:val="Style33"/>
        <w:keepNext w:val="0"/>
        <w:keepLines w:val="0"/>
        <w:widowControl w:val="0"/>
        <w:shd w:val="clear" w:color="auto" w:fill="auto"/>
        <w:bidi w:val="0"/>
        <w:spacing w:before="0" w:after="680" w:line="312" w:lineRule="exact"/>
        <w:ind w:left="0" w:right="0" w:firstLine="440"/>
        <w:jc w:val="both"/>
      </w:pPr>
      <w:r>
        <w:rPr>
          <w:color w:val="000000"/>
          <w:spacing w:val="0"/>
          <w:w w:val="100"/>
          <w:position w:val="0"/>
        </w:rPr>
        <w:t>资产负债表日，对递延所得税资产的账面价值进行复核。如果未来期间很可能无法获得足够的应纳税所得额用以抵扣 递延所得税资产的利益，应当减记递延所得税资产的账面价值。</w:t>
      </w:r>
    </w:p>
    <w:p>
      <w:pPr>
        <w:pStyle w:val="Style37"/>
        <w:keepNext/>
        <w:keepLines/>
        <w:widowControl w:val="0"/>
        <w:shd w:val="clear" w:color="auto" w:fill="auto"/>
        <w:bidi w:val="0"/>
        <w:spacing w:before="0" w:after="280" w:line="240" w:lineRule="auto"/>
        <w:ind w:left="0" w:right="0" w:firstLine="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3</w:t>
      </w:r>
      <w:bookmarkEnd w:id="1020"/>
      <w:r>
        <w:rPr>
          <w:rFonts w:ascii="Times New Roman" w:eastAsia="Times New Roman" w:hAnsi="Times New Roman" w:cs="Times New Roman"/>
          <w:color w:val="000000"/>
          <w:spacing w:val="0"/>
          <w:w w:val="100"/>
          <w:position w:val="0"/>
        </w:rPr>
        <w:t>4</w:t>
      </w:r>
      <w:r>
        <w:rPr>
          <w:color w:val="000000"/>
          <w:spacing w:val="0"/>
          <w:w w:val="100"/>
          <w:position w:val="0"/>
        </w:rPr>
        <w:t>、租赁</w:t>
      </w:r>
      <w:bookmarkEnd w:id="1018"/>
      <w:bookmarkEnd w:id="1019"/>
      <w:bookmarkEnd w:id="1021"/>
    </w:p>
    <w:p>
      <w:pPr>
        <w:pStyle w:val="Style33"/>
        <w:keepNext w:val="0"/>
        <w:keepLines w:val="0"/>
        <w:widowControl w:val="0"/>
        <w:shd w:val="clear" w:color="auto" w:fill="auto"/>
        <w:bidi w:val="0"/>
        <w:spacing w:before="0" w:after="280" w:line="312" w:lineRule="exact"/>
        <w:ind w:left="0" w:right="0" w:firstLine="0"/>
        <w:jc w:val="left"/>
      </w:pPr>
      <w:bookmarkStart w:id="1022" w:name="bookmark1022"/>
      <w:r>
        <w:rPr>
          <w:b/>
          <w:bCs/>
          <w:color w:val="000000"/>
          <w:spacing w:val="0"/>
          <w:w w:val="100"/>
          <w:position w:val="0"/>
        </w:rPr>
        <w:t>（</w:t>
      </w:r>
      <w:bookmarkEnd w:id="1022"/>
      <w:r>
        <w:rPr>
          <w:rFonts w:ascii="Times New Roman" w:eastAsia="Times New Roman" w:hAnsi="Times New Roman" w:cs="Times New Roman"/>
          <w:b/>
          <w:bCs/>
          <w:color w:val="000000"/>
          <w:spacing w:val="0"/>
          <w:w w:val="100"/>
          <w:position w:val="0"/>
        </w:rPr>
        <w:t>1</w:t>
      </w:r>
      <w:r>
        <w:rPr>
          <w:b/>
          <w:bCs/>
          <w:color w:val="000000"/>
          <w:spacing w:val="0"/>
          <w:w w:val="100"/>
          <w:position w:val="0"/>
        </w:rPr>
        <w:t>）经营租赁的会计处理方法</w:t>
      </w:r>
    </w:p>
    <w:p>
      <w:pPr>
        <w:pStyle w:val="Style33"/>
        <w:keepNext w:val="0"/>
        <w:keepLines w:val="0"/>
        <w:widowControl w:val="0"/>
        <w:shd w:val="clear" w:color="auto" w:fill="auto"/>
        <w:tabs>
          <w:tab w:pos="880" w:val="left"/>
        </w:tabs>
        <w:bidi w:val="0"/>
        <w:spacing w:before="0" w:after="0" w:line="312" w:lineRule="exact"/>
        <w:ind w:left="0" w:right="0" w:firstLine="440"/>
        <w:jc w:val="both"/>
      </w:pPr>
      <w:bookmarkStart w:id="1023" w:name="bookmark1023"/>
      <w:r>
        <w:rPr>
          <w:color w:val="000000"/>
          <w:spacing w:val="0"/>
          <w:w w:val="100"/>
          <w:position w:val="0"/>
        </w:rPr>
        <w:t>（</w:t>
      </w:r>
      <w:bookmarkEnd w:id="1023"/>
      <w:r>
        <w:rPr>
          <w:rFonts w:ascii="Times New Roman" w:eastAsia="Times New Roman" w:hAnsi="Times New Roman" w:cs="Times New Roman"/>
          <w:color w:val="000000"/>
          <w:spacing w:val="0"/>
          <w:w w:val="100"/>
          <w:position w:val="0"/>
        </w:rPr>
        <w:t>1</w:t>
      </w:r>
      <w:r>
        <w:rPr>
          <w:color w:val="000000"/>
          <w:spacing w:val="0"/>
          <w:w w:val="100"/>
          <w:position w:val="0"/>
        </w:rPr>
        <w:t>）</w:t>
        <w:tab/>
        <w:t>公司作为承租人对经营租赁的处理</w:t>
      </w:r>
    </w:p>
    <w:p>
      <w:pPr>
        <w:pStyle w:val="Style33"/>
        <w:keepNext w:val="0"/>
        <w:keepLines w:val="0"/>
        <w:widowControl w:val="0"/>
        <w:numPr>
          <w:ilvl w:val="0"/>
          <w:numId w:val="67"/>
        </w:numPr>
        <w:shd w:val="clear" w:color="auto" w:fill="auto"/>
        <w:tabs>
          <w:tab w:pos="813" w:val="left"/>
        </w:tabs>
        <w:bidi w:val="0"/>
        <w:spacing w:before="0" w:after="0" w:line="312" w:lineRule="exact"/>
        <w:ind w:left="0" w:right="0" w:firstLine="440"/>
        <w:jc w:val="both"/>
      </w:pPr>
      <w:bookmarkStart w:id="1024" w:name="bookmark1024"/>
      <w:bookmarkEnd w:id="1024"/>
      <w:r>
        <w:rPr>
          <w:color w:val="000000"/>
          <w:spacing w:val="0"/>
          <w:w w:val="100"/>
          <w:position w:val="0"/>
        </w:rPr>
        <w:t>租金的处理</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在经营租赁下需将支付或应付的租金计入相关资产成本或当期损益。</w:t>
      </w:r>
    </w:p>
    <w:p>
      <w:pPr>
        <w:pStyle w:val="Style33"/>
        <w:keepNext w:val="0"/>
        <w:keepLines w:val="0"/>
        <w:widowControl w:val="0"/>
        <w:numPr>
          <w:ilvl w:val="0"/>
          <w:numId w:val="67"/>
        </w:numPr>
        <w:shd w:val="clear" w:color="auto" w:fill="auto"/>
        <w:tabs>
          <w:tab w:pos="813" w:val="left"/>
        </w:tabs>
        <w:bidi w:val="0"/>
        <w:spacing w:before="0" w:after="0" w:line="312" w:lineRule="exact"/>
        <w:ind w:left="0" w:right="0" w:firstLine="440"/>
        <w:jc w:val="both"/>
      </w:pPr>
      <w:bookmarkStart w:id="1025" w:name="bookmark1025"/>
      <w:bookmarkEnd w:id="1025"/>
      <w:r>
        <w:rPr>
          <w:color w:val="000000"/>
          <w:spacing w:val="0"/>
          <w:w w:val="100"/>
          <w:position w:val="0"/>
        </w:rPr>
        <w:t>初始直接费用的处理</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对于承租人在经营租赁中发生的初始直接费用，计入当期损益。</w:t>
      </w:r>
    </w:p>
    <w:p>
      <w:pPr>
        <w:pStyle w:val="Style33"/>
        <w:keepNext w:val="0"/>
        <w:keepLines w:val="0"/>
        <w:widowControl w:val="0"/>
        <w:numPr>
          <w:ilvl w:val="0"/>
          <w:numId w:val="67"/>
        </w:numPr>
        <w:shd w:val="clear" w:color="auto" w:fill="auto"/>
        <w:tabs>
          <w:tab w:pos="813" w:val="left"/>
        </w:tabs>
        <w:bidi w:val="0"/>
        <w:spacing w:before="0" w:after="0" w:line="312" w:lineRule="exact"/>
        <w:ind w:left="0" w:right="0" w:firstLine="440"/>
        <w:jc w:val="both"/>
      </w:pPr>
      <w:bookmarkStart w:id="1026" w:name="bookmark1026"/>
      <w:bookmarkEnd w:id="1026"/>
      <w:r>
        <w:rPr>
          <w:color w:val="000000"/>
          <w:spacing w:val="0"/>
          <w:w w:val="100"/>
          <w:position w:val="0"/>
        </w:rPr>
        <w:t>或有租金的处理</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在经营租赁下，承租人对或有租金在实际发生时计入当期损益。</w:t>
      </w:r>
    </w:p>
    <w:p>
      <w:pPr>
        <w:pStyle w:val="Style33"/>
        <w:keepNext w:val="0"/>
        <w:keepLines w:val="0"/>
        <w:widowControl w:val="0"/>
        <w:numPr>
          <w:ilvl w:val="0"/>
          <w:numId w:val="67"/>
        </w:numPr>
        <w:shd w:val="clear" w:color="auto" w:fill="auto"/>
        <w:tabs>
          <w:tab w:pos="813" w:val="left"/>
        </w:tabs>
        <w:bidi w:val="0"/>
        <w:spacing w:before="0" w:after="0" w:line="312" w:lineRule="exact"/>
        <w:ind w:left="0" w:right="0" w:firstLine="440"/>
        <w:jc w:val="both"/>
      </w:pPr>
      <w:bookmarkStart w:id="1027" w:name="bookmark1027"/>
      <w:bookmarkEnd w:id="1027"/>
      <w:r>
        <w:rPr>
          <w:color w:val="000000"/>
          <w:spacing w:val="0"/>
          <w:w w:val="100"/>
          <w:position w:val="0"/>
        </w:rPr>
        <w:t>出租人提供激励措施的处理</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出租人提供免租期的，承租人应将租金总额在不扣除免租期的整个租赁期内，按直线法或其他合理的方法进行分摊， 免租期内应当确认租金费用及相应的负债。出租人承担了承租人某些费用的，承租人将该费用从租金费用总额中扣除，按扣 除后的租金费用余额在租赁期内进行分摊。</w:t>
      </w:r>
    </w:p>
    <w:p>
      <w:pPr>
        <w:pStyle w:val="Style33"/>
        <w:keepNext w:val="0"/>
        <w:keepLines w:val="0"/>
        <w:widowControl w:val="0"/>
        <w:shd w:val="clear" w:color="auto" w:fill="auto"/>
        <w:tabs>
          <w:tab w:pos="880" w:val="left"/>
        </w:tabs>
        <w:bidi w:val="0"/>
        <w:spacing w:before="0" w:after="0" w:line="312" w:lineRule="exact"/>
        <w:ind w:left="0" w:right="0" w:firstLine="440"/>
        <w:jc w:val="both"/>
      </w:pPr>
      <w:bookmarkStart w:id="1028" w:name="bookmark1028"/>
      <w:r>
        <w:rPr>
          <w:color w:val="000000"/>
          <w:spacing w:val="0"/>
          <w:w w:val="100"/>
          <w:position w:val="0"/>
        </w:rPr>
        <w:t>（</w:t>
      </w:r>
      <w:bookmarkEnd w:id="1028"/>
      <w:r>
        <w:rPr>
          <w:rFonts w:ascii="Times New Roman" w:eastAsia="Times New Roman" w:hAnsi="Times New Roman" w:cs="Times New Roman"/>
          <w:color w:val="000000"/>
          <w:spacing w:val="0"/>
          <w:w w:val="100"/>
          <w:position w:val="0"/>
        </w:rPr>
        <w:t>2</w:t>
      </w:r>
      <w:r>
        <w:rPr>
          <w:color w:val="000000"/>
          <w:spacing w:val="0"/>
          <w:w w:val="100"/>
          <w:position w:val="0"/>
        </w:rPr>
        <w:t>）</w:t>
        <w:tab/>
        <w:t>公司作为出租人对经营租赁的处理</w:t>
      </w:r>
    </w:p>
    <w:p>
      <w:pPr>
        <w:pStyle w:val="Style33"/>
        <w:keepNext w:val="0"/>
        <w:keepLines w:val="0"/>
        <w:widowControl w:val="0"/>
        <w:numPr>
          <w:ilvl w:val="0"/>
          <w:numId w:val="69"/>
        </w:numPr>
        <w:shd w:val="clear" w:color="auto" w:fill="auto"/>
        <w:tabs>
          <w:tab w:pos="813" w:val="left"/>
        </w:tabs>
        <w:bidi w:val="0"/>
        <w:spacing w:before="0" w:after="0" w:line="312" w:lineRule="exact"/>
        <w:ind w:left="0" w:right="0" w:firstLine="440"/>
        <w:jc w:val="both"/>
      </w:pPr>
      <w:bookmarkStart w:id="1029" w:name="bookmark1029"/>
      <w:bookmarkEnd w:id="1029"/>
      <w:r>
        <w:rPr>
          <w:color w:val="000000"/>
          <w:spacing w:val="0"/>
          <w:w w:val="100"/>
          <w:position w:val="0"/>
        </w:rPr>
        <w:t>租金的处理</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出租人应采用直线法将收到的租金在租赁期内确认为收益。</w:t>
      </w:r>
    </w:p>
    <w:p>
      <w:pPr>
        <w:pStyle w:val="Style33"/>
        <w:keepNext w:val="0"/>
        <w:keepLines w:val="0"/>
        <w:widowControl w:val="0"/>
        <w:numPr>
          <w:ilvl w:val="0"/>
          <w:numId w:val="69"/>
        </w:numPr>
        <w:shd w:val="clear" w:color="auto" w:fill="auto"/>
        <w:tabs>
          <w:tab w:pos="813" w:val="left"/>
        </w:tabs>
        <w:bidi w:val="0"/>
        <w:spacing w:before="0" w:after="0" w:line="312" w:lineRule="exact"/>
        <w:ind w:left="0" w:right="0" w:firstLine="440"/>
        <w:jc w:val="both"/>
      </w:pPr>
      <w:bookmarkStart w:id="1030" w:name="bookmark1030"/>
      <w:bookmarkEnd w:id="1030"/>
      <w:r>
        <w:rPr>
          <w:color w:val="000000"/>
          <w:spacing w:val="0"/>
          <w:w w:val="100"/>
          <w:position w:val="0"/>
        </w:rPr>
        <w:t>初始直接费用的处理</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经营租赁中出租人发生的初始直接费用，是指在租赁谈判和签订租赁合同的过程中发生的可归属于租赁项目的手续费、 律师费、差旅费、印花税等，计入当期损益。金额较大的应当资本化，在整个经营租赁期内按照与确认租金收入相同的基础 分期计入当期损益。</w:t>
      </w:r>
    </w:p>
    <w:p>
      <w:pPr>
        <w:pStyle w:val="Style33"/>
        <w:keepNext w:val="0"/>
        <w:keepLines w:val="0"/>
        <w:widowControl w:val="0"/>
        <w:numPr>
          <w:ilvl w:val="0"/>
          <w:numId w:val="69"/>
        </w:numPr>
        <w:shd w:val="clear" w:color="auto" w:fill="auto"/>
        <w:tabs>
          <w:tab w:pos="813" w:val="left"/>
        </w:tabs>
        <w:bidi w:val="0"/>
        <w:spacing w:before="0" w:after="0" w:line="312" w:lineRule="exact"/>
        <w:ind w:left="0" w:right="0" w:firstLine="440"/>
        <w:jc w:val="left"/>
      </w:pPr>
      <w:bookmarkStart w:id="1031" w:name="bookmark1031"/>
      <w:bookmarkEnd w:id="1031"/>
      <w:r>
        <w:rPr>
          <w:color w:val="000000"/>
          <w:spacing w:val="0"/>
          <w:w w:val="100"/>
          <w:position w:val="0"/>
        </w:rPr>
        <w:t>租赁资产折旧的计提</w:t>
      </w:r>
    </w:p>
    <w:p>
      <w:pPr>
        <w:pStyle w:val="Style3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对于经营租赁资产中的固定资产，采用出租人对类似应折旧资产通常所采用的折旧政策计提折旧。</w:t>
      </w:r>
    </w:p>
    <w:p>
      <w:pPr>
        <w:pStyle w:val="Style33"/>
        <w:keepNext w:val="0"/>
        <w:keepLines w:val="0"/>
        <w:widowControl w:val="0"/>
        <w:numPr>
          <w:ilvl w:val="0"/>
          <w:numId w:val="69"/>
        </w:numPr>
        <w:shd w:val="clear" w:color="auto" w:fill="auto"/>
        <w:tabs>
          <w:tab w:pos="813" w:val="left"/>
        </w:tabs>
        <w:bidi w:val="0"/>
        <w:spacing w:before="0" w:after="0" w:line="312" w:lineRule="exact"/>
        <w:ind w:left="0" w:right="0" w:firstLine="440"/>
        <w:jc w:val="left"/>
      </w:pPr>
      <w:bookmarkStart w:id="1032" w:name="bookmark1032"/>
      <w:bookmarkEnd w:id="1032"/>
      <w:r>
        <w:rPr>
          <w:color w:val="000000"/>
          <w:spacing w:val="0"/>
          <w:w w:val="100"/>
          <w:position w:val="0"/>
        </w:rPr>
        <w:t>或有租金的处理</w:t>
      </w:r>
    </w:p>
    <w:p>
      <w:pPr>
        <w:pStyle w:val="Style3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在实际发生时计入当期收益。</w:t>
      </w:r>
    </w:p>
    <w:p>
      <w:pPr>
        <w:pStyle w:val="Style33"/>
        <w:keepNext w:val="0"/>
        <w:keepLines w:val="0"/>
        <w:widowControl w:val="0"/>
        <w:numPr>
          <w:ilvl w:val="0"/>
          <w:numId w:val="69"/>
        </w:numPr>
        <w:shd w:val="clear" w:color="auto" w:fill="auto"/>
        <w:tabs>
          <w:tab w:pos="813" w:val="left"/>
        </w:tabs>
        <w:bidi w:val="0"/>
        <w:spacing w:before="0" w:after="0" w:line="312" w:lineRule="exact"/>
        <w:ind w:left="0" w:right="0" w:firstLine="440"/>
        <w:jc w:val="left"/>
      </w:pPr>
      <w:bookmarkStart w:id="1033" w:name="bookmark1033"/>
      <w:bookmarkEnd w:id="1033"/>
      <w:r>
        <w:rPr>
          <w:color w:val="000000"/>
          <w:spacing w:val="0"/>
          <w:w w:val="100"/>
          <w:position w:val="0"/>
        </w:rPr>
        <w:t>出租人对经营租赁提供激励措施的处理</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出租人提供免租期的，出租人将租金总额在不扣除免租期的整个租赁期内，按直线法或其他合理的方法进行分配，免 租期内出租人确认租金收入。出租人承担了承租人某些费用的，出租人将该费用自租金收入总额中扣除，按扣除后的租金收 入余额在租赁期内进行分配。</w:t>
      </w:r>
    </w:p>
    <w:p>
      <w:pPr>
        <w:pStyle w:val="Style33"/>
        <w:keepNext w:val="0"/>
        <w:keepLines w:val="0"/>
        <w:widowControl w:val="0"/>
        <w:numPr>
          <w:ilvl w:val="0"/>
          <w:numId w:val="69"/>
        </w:numPr>
        <w:shd w:val="clear" w:color="auto" w:fill="auto"/>
        <w:bidi w:val="0"/>
        <w:spacing w:before="0" w:after="0" w:line="314" w:lineRule="exact"/>
        <w:ind w:left="0" w:right="0" w:firstLine="440"/>
        <w:jc w:val="both"/>
      </w:pPr>
      <w:bookmarkStart w:id="1034" w:name="bookmark1034"/>
      <w:bookmarkEnd w:id="1034"/>
      <w:r>
        <w:rPr>
          <w:color w:val="000000"/>
          <w:spacing w:val="0"/>
          <w:w w:val="100"/>
          <w:position w:val="0"/>
        </w:rPr>
        <w:t>经营租赁资产在财务报表中的处理</w:t>
      </w:r>
    </w:p>
    <w:p>
      <w:pPr>
        <w:pStyle w:val="Style33"/>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在经营租赁下，与资产所有权有关的主要风险和报酬仍然留在出租人一方，因此出租人将出租资产作为自身拥有的资 产在资产负债表中列示，如果出租资产属于固定资产，则列在资产负债表固定资产项下，如果出租资产属于流动资产，则列 在资产负债表有关流动资产项下。</w:t>
      </w:r>
    </w:p>
    <w:p>
      <w:pPr>
        <w:pStyle w:val="Style33"/>
        <w:keepNext w:val="0"/>
        <w:keepLines w:val="0"/>
        <w:widowControl w:val="0"/>
        <w:shd w:val="clear" w:color="auto" w:fill="auto"/>
        <w:bidi w:val="0"/>
        <w:spacing w:before="0" w:after="280" w:line="311" w:lineRule="exact"/>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)融资租赁的会计处理方法</w:t>
      </w:r>
    </w:p>
    <w:p>
      <w:pPr>
        <w:pStyle w:val="Style33"/>
        <w:keepNext w:val="0"/>
        <w:keepLines w:val="0"/>
        <w:widowControl w:val="0"/>
        <w:shd w:val="clear" w:color="auto" w:fill="auto"/>
        <w:bidi w:val="0"/>
        <w:spacing w:before="0" w:after="0" w:line="307" w:lineRule="exact"/>
        <w:ind w:left="0" w:right="0" w:firstLine="440"/>
        <w:jc w:val="both"/>
      </w:pPr>
      <w:r>
        <w:rPr>
          <w:color w:val="000000"/>
          <w:spacing w:val="0"/>
          <w:w w:val="100"/>
          <w:position w:val="0"/>
        </w:rPr>
        <w:t>售后回租构成的融资租赁</w:t>
      </w:r>
    </w:p>
    <w:p>
      <w:pPr>
        <w:pStyle w:val="Style33"/>
        <w:keepNext w:val="0"/>
        <w:keepLines w:val="0"/>
        <w:widowControl w:val="0"/>
        <w:shd w:val="clear" w:color="auto" w:fill="auto"/>
        <w:bidi w:val="0"/>
        <w:spacing w:before="0" w:after="680" w:line="307" w:lineRule="exact"/>
        <w:ind w:left="0" w:right="0" w:firstLine="440"/>
        <w:jc w:val="both"/>
      </w:pPr>
      <w:r>
        <w:rPr>
          <w:color w:val="000000"/>
          <w:spacing w:val="0"/>
          <w:w w:val="100"/>
          <w:position w:val="0"/>
        </w:rPr>
        <w:t>基于交易实质是公司作为卖方兼承租人以标的资产为抵押从买方兼出租人处取得融资的行为。根据对售后回租构成融 资租赁的交易经济实质的上述分析，公司对售后回租构成融资租赁的交易，作为担保借款在长期应付款科目中列报，未来支 付的租金和留购价款视作还本付息，按照实际利率法以摊余成本对该长期应付款进行后续计量，确认利息支出。</w:t>
      </w:r>
    </w:p>
    <w:p>
      <w:pPr>
        <w:pStyle w:val="Style37"/>
        <w:keepNext/>
        <w:keepLines/>
        <w:widowControl w:val="0"/>
        <w:shd w:val="clear" w:color="auto" w:fill="auto"/>
        <w:bidi w:val="0"/>
        <w:spacing w:before="0" w:after="280" w:line="240" w:lineRule="auto"/>
        <w:ind w:left="0" w:right="0" w:firstLine="0"/>
        <w:jc w:val="left"/>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3</w:t>
      </w:r>
      <w:bookmarkEnd w:id="1037"/>
      <w:r>
        <w:rPr>
          <w:rFonts w:ascii="Times New Roman" w:eastAsia="Times New Roman" w:hAnsi="Times New Roman" w:cs="Times New Roman"/>
          <w:color w:val="000000"/>
          <w:spacing w:val="0"/>
          <w:w w:val="100"/>
          <w:position w:val="0"/>
        </w:rPr>
        <w:t>5</w:t>
      </w:r>
      <w:r>
        <w:rPr>
          <w:color w:val="000000"/>
          <w:spacing w:val="0"/>
          <w:w w:val="100"/>
          <w:position w:val="0"/>
        </w:rPr>
        <w:t>、其他重要的会计政策和会计估计</w:t>
      </w:r>
      <w:bookmarkEnd w:id="1035"/>
      <w:bookmarkEnd w:id="1036"/>
      <w:bookmarkEnd w:id="1038"/>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分部报告</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公司以内部组织结构、管理要求、内部报告制度为依据确定经营分部，以经营分部为基础确定报告分部。并在财务报 表附注中披露各报告分部的财务信息，包括主营业务收入，主营业务成本，资产总额，负债总额等。公司不能披露各报告分 部的资产总额和负债总额的，应说明原因。</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经营分部，是指公司内同时满足下列条件的组成部分：</w:t>
      </w:r>
    </w:p>
    <w:p>
      <w:pPr>
        <w:pStyle w:val="Style33"/>
        <w:keepNext w:val="0"/>
        <w:keepLines w:val="0"/>
        <w:widowControl w:val="0"/>
        <w:numPr>
          <w:ilvl w:val="0"/>
          <w:numId w:val="71"/>
        </w:numPr>
        <w:shd w:val="clear" w:color="auto" w:fill="auto"/>
        <w:tabs>
          <w:tab w:pos="842" w:val="left"/>
        </w:tabs>
        <w:bidi w:val="0"/>
        <w:spacing w:before="0" w:after="0" w:line="314" w:lineRule="exact"/>
        <w:ind w:left="0" w:right="0" w:firstLine="440"/>
        <w:jc w:val="both"/>
      </w:pPr>
      <w:bookmarkStart w:id="1039" w:name="bookmark1039"/>
      <w:bookmarkEnd w:id="1039"/>
      <w:r>
        <w:rPr>
          <w:color w:val="000000"/>
          <w:spacing w:val="0"/>
          <w:w w:val="100"/>
          <w:position w:val="0"/>
        </w:rPr>
        <w:t>该组成部分能够在日常活动中产生收入、发生费用；</w:t>
      </w:r>
    </w:p>
    <w:p>
      <w:pPr>
        <w:pStyle w:val="Style33"/>
        <w:keepNext w:val="0"/>
        <w:keepLines w:val="0"/>
        <w:widowControl w:val="0"/>
        <w:numPr>
          <w:ilvl w:val="0"/>
          <w:numId w:val="71"/>
        </w:numPr>
        <w:shd w:val="clear" w:color="auto" w:fill="auto"/>
        <w:tabs>
          <w:tab w:pos="842" w:val="left"/>
        </w:tabs>
        <w:bidi w:val="0"/>
        <w:spacing w:before="0" w:after="0" w:line="314" w:lineRule="exact"/>
        <w:ind w:left="0" w:right="0" w:firstLine="440"/>
        <w:jc w:val="both"/>
      </w:pPr>
      <w:bookmarkStart w:id="1040" w:name="bookmark1040"/>
      <w:bookmarkEnd w:id="1040"/>
      <w:r>
        <w:rPr>
          <w:color w:val="000000"/>
          <w:spacing w:val="0"/>
          <w:w w:val="100"/>
          <w:position w:val="0"/>
        </w:rPr>
        <w:t>企业管理层能够定期评价该组成部分的经营成果，以决定向其配置资源、评价其业绩；</w:t>
      </w:r>
    </w:p>
    <w:p>
      <w:pPr>
        <w:pStyle w:val="Style33"/>
        <w:keepNext w:val="0"/>
        <w:keepLines w:val="0"/>
        <w:widowControl w:val="0"/>
        <w:numPr>
          <w:ilvl w:val="0"/>
          <w:numId w:val="71"/>
        </w:numPr>
        <w:shd w:val="clear" w:color="auto" w:fill="auto"/>
        <w:tabs>
          <w:tab w:pos="842" w:val="left"/>
        </w:tabs>
        <w:bidi w:val="0"/>
        <w:spacing w:before="0" w:after="680" w:line="314" w:lineRule="exact"/>
        <w:ind w:left="0" w:right="0" w:firstLine="440"/>
        <w:jc w:val="both"/>
      </w:pPr>
      <w:bookmarkStart w:id="1041" w:name="bookmark1041"/>
      <w:bookmarkEnd w:id="1041"/>
      <w:r>
        <w:rPr>
          <w:color w:val="000000"/>
          <w:spacing w:val="0"/>
          <w:w w:val="100"/>
          <w:position w:val="0"/>
        </w:rPr>
        <w:t>企业能够取得该组成部分的财务状况、经营成果和现金流量等有关会计信息。</w:t>
      </w:r>
    </w:p>
    <w:p>
      <w:pPr>
        <w:pStyle w:val="Style37"/>
        <w:keepNext/>
        <w:keepLines/>
        <w:widowControl w:val="0"/>
        <w:shd w:val="clear" w:color="auto" w:fill="auto"/>
        <w:bidi w:val="0"/>
        <w:spacing w:before="0" w:line="240" w:lineRule="auto"/>
        <w:ind w:left="0" w:right="0" w:firstLine="0"/>
        <w:jc w:val="both"/>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3</w:t>
      </w:r>
      <w:bookmarkEnd w:id="1044"/>
      <w:r>
        <w:rPr>
          <w:rFonts w:ascii="Times New Roman" w:eastAsia="Times New Roman" w:hAnsi="Times New Roman" w:cs="Times New Roman"/>
          <w:color w:val="000000"/>
          <w:spacing w:val="0"/>
          <w:w w:val="100"/>
          <w:position w:val="0"/>
        </w:rPr>
        <w:t>6</w:t>
      </w:r>
      <w:r>
        <w:rPr>
          <w:color w:val="000000"/>
          <w:spacing w:val="0"/>
          <w:w w:val="100"/>
          <w:position w:val="0"/>
        </w:rPr>
        <w:t>、重要会计政策和会计估计变更</w:t>
      </w:r>
      <w:bookmarkEnd w:id="1042"/>
      <w:bookmarkEnd w:id="1043"/>
      <w:bookmarkEnd w:id="1045"/>
    </w:p>
    <w:p>
      <w:pPr>
        <w:pStyle w:val="Style37"/>
        <w:keepNext/>
        <w:keepLines/>
        <w:widowControl w:val="0"/>
        <w:numPr>
          <w:ilvl w:val="0"/>
          <w:numId w:val="73"/>
        </w:numPr>
        <w:shd w:val="clear" w:color="auto" w:fill="auto"/>
        <w:bidi w:val="0"/>
        <w:spacing w:before="0" w:line="240" w:lineRule="auto"/>
        <w:ind w:left="0" w:right="0" w:firstLine="0"/>
        <w:jc w:val="both"/>
      </w:pPr>
      <w:bookmarkStart w:id="1042" w:name="bookmark1042"/>
      <w:bookmarkStart w:id="1043" w:name="bookmark1043"/>
      <w:bookmarkStart w:id="1046" w:name="bookmark1046"/>
      <w:bookmarkStart w:id="1047" w:name="bookmark1047"/>
      <w:bookmarkEnd w:id="1046"/>
      <w:r>
        <w:rPr>
          <w:color w:val="000000"/>
          <w:spacing w:val="0"/>
          <w:w w:val="100"/>
          <w:position w:val="0"/>
        </w:rPr>
        <w:t>重要会计政策变更</w:t>
      </w:r>
      <w:bookmarkEnd w:id="1042"/>
      <w:bookmarkEnd w:id="1043"/>
      <w:bookmarkEnd w:id="1047"/>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5506"/>
        <w:gridCol w:w="2549"/>
        <w:gridCol w:w="1531"/>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96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根据财政部于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日印发的《企业会计准则第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 入》(财会【</w:t>
            </w:r>
            <w:r>
              <w:rPr>
                <w:rFonts w:ascii="Times New Roman" w:eastAsia="Times New Roman" w:hAnsi="Times New Roman" w:cs="Times New Roman"/>
                <w:color w:val="000000"/>
                <w:spacing w:val="0"/>
                <w:w w:val="100"/>
                <w:position w:val="0"/>
              </w:rPr>
              <w:t>2017</w:t>
            </w:r>
            <w:r>
              <w:rPr>
                <w:color w:val="000000"/>
                <w:spacing w:val="0"/>
                <w:w w:val="100"/>
                <w:position w:val="0"/>
              </w:rPr>
              <w:t>】</w:t>
            </w:r>
            <w:r>
              <w:rPr>
                <w:rFonts w:ascii="Times New Roman" w:eastAsia="Times New Roman" w:hAnsi="Times New Roman" w:cs="Times New Roman"/>
                <w:color w:val="000000"/>
                <w:spacing w:val="0"/>
                <w:w w:val="100"/>
                <w:position w:val="0"/>
              </w:rPr>
              <w:t>22</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新收入准则</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r>
              <w:rPr>
                <w:color w:val="000000"/>
                <w:spacing w:val="0"/>
                <w:w w:val="100"/>
                <w:position w:val="0"/>
              </w:rPr>
              <w:t>日印发的《关于修订印发合并财务报表格式(</w:t>
            </w:r>
            <w:r>
              <w:rPr>
                <w:rFonts w:ascii="Times New Roman" w:eastAsia="Times New Roman" w:hAnsi="Times New Roman" w:cs="Times New Roman"/>
                <w:color w:val="000000"/>
                <w:spacing w:val="0"/>
                <w:w w:val="100"/>
                <w:position w:val="0"/>
              </w:rPr>
              <w:t>2019</w:t>
            </w:r>
            <w:r>
              <w:rPr>
                <w:color w:val="000000"/>
                <w:spacing w:val="0"/>
                <w:w w:val="100"/>
                <w:position w:val="0"/>
              </w:rPr>
              <w:t>版)的通知》</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(财会【</w:t>
            </w:r>
            <w:r>
              <w:rPr>
                <w:rFonts w:ascii="Times New Roman" w:eastAsia="Times New Roman" w:hAnsi="Times New Roman" w:cs="Times New Roman"/>
                <w:color w:val="000000"/>
                <w:spacing w:val="0"/>
                <w:w w:val="100"/>
                <w:position w:val="0"/>
              </w:rPr>
              <w:t>2019</w:t>
            </w:r>
            <w:r>
              <w:rPr>
                <w:color w:val="000000"/>
                <w:spacing w:val="0"/>
                <w:w w:val="100"/>
                <w:position w:val="0"/>
              </w:rPr>
              <w:t>】</w:t>
            </w:r>
            <w:r>
              <w:rPr>
                <w:rFonts w:ascii="Times New Roman" w:eastAsia="Times New Roman" w:hAnsi="Times New Roman" w:cs="Times New Roman"/>
                <w:color w:val="000000"/>
                <w:spacing w:val="0"/>
                <w:w w:val="100"/>
                <w:position w:val="0"/>
              </w:rPr>
              <w:t>16</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《修订通知》</w:t>
            </w:r>
            <w:r>
              <w:rPr>
                <w:rFonts w:ascii="Times New Roman" w:eastAsia="Times New Roman" w:hAnsi="Times New Roman" w:cs="Times New Roman"/>
                <w:color w:val="000000"/>
                <w:spacing w:val="0"/>
                <w:w w:val="100"/>
                <w:position w:val="0"/>
              </w:rPr>
              <w:t>”</w:t>
            </w:r>
            <w:r>
              <w:rPr>
                <w:color w:val="000000"/>
                <w:spacing w:val="0"/>
                <w:w w:val="100"/>
                <w:position w:val="0"/>
              </w:rPr>
              <w:t>)，公司自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日起执行该准则，对会计政策相关内容进行了调整。</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本次会计政策变更后，公司将按照新收入准则的规定确认收入以及</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《修订通知》的要求编制合并财务报表。其余未变更部分仍执行财政 部前期颁布的《企业会计准则</w:t>
            </w:r>
            <w:r>
              <w:rPr>
                <w:color w:val="000000"/>
                <w:spacing w:val="0"/>
                <w:w w:val="100"/>
                <w:position w:val="0"/>
              </w:rPr>
              <w:t>一</w:t>
            </w:r>
            <w:r>
              <w:rPr>
                <w:color w:val="000000"/>
                <w:spacing w:val="0"/>
                <w:w w:val="100"/>
                <w:position w:val="0"/>
              </w:rPr>
              <w:t>基本准则》和各项具体会计准则、 企业会计准则应用指南、企业会计准则解释公告以及其他相关规定。</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日公司第六届 董事会第四十一次会议、第六 届监事会第十九次会议审议批 准</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详见本财务报表附 注五、</w:t>
            </w:r>
            <w:r>
              <w:rPr>
                <w:rFonts w:ascii="Times New Roman" w:eastAsia="Times New Roman" w:hAnsi="Times New Roman" w:cs="Times New Roman"/>
                <w:color w:val="000000"/>
                <w:spacing w:val="0"/>
                <w:w w:val="100"/>
                <w:position w:val="0"/>
              </w:rPr>
              <w:t>36</w:t>
            </w:r>
            <w:r>
              <w:rPr>
                <w:color w:val="000000"/>
                <w:spacing w:val="0"/>
                <w:w w:val="100"/>
                <w:position w:val="0"/>
              </w:rPr>
              <w:t>、</w:t>
            </w:r>
            <w:r>
              <w:rPr>
                <w:rFonts w:ascii="Times New Roman" w:eastAsia="Times New Roman" w:hAnsi="Times New Roman" w:cs="Times New Roman"/>
                <w:color w:val="000000"/>
                <w:spacing w:val="0"/>
                <w:w w:val="100"/>
                <w:position w:val="0"/>
              </w:rPr>
              <w:t>(3)(4)</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677"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pStyle w:val="Style31"/>
        <w:keepNext w:val="0"/>
        <w:keepLines w:val="0"/>
        <w:widowControl w:val="0"/>
        <w:shd w:val="clear" w:color="auto" w:fill="auto"/>
        <w:bidi w:val="0"/>
        <w:spacing w:before="0" w:after="0" w:line="240" w:lineRule="auto"/>
        <w:ind w:left="259" w:right="0" w:firstLine="0"/>
        <w:jc w:val="left"/>
      </w:pPr>
      <w:r>
        <w:rPr>
          <w:color w:val="000000"/>
          <w:spacing w:val="0"/>
          <w:w w:val="100"/>
          <w:position w:val="0"/>
        </w:rPr>
        <w:t>本公司依据新收入准则有关特定事项或交易的具体规定调整了相关会计政策。依据新收入准则的规定，根据履行履约义</w:t>
      </w:r>
    </w:p>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务与客户付款之间的关系在资产负债表中列示合同资产或合同负债。</w:t>
      </w:r>
    </w:p>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本公司对收入来源及客户合约流程进行复核以评估新收入准则对财务报表的影响。本公司的收入主要为销售电力设备与 </w:t>
      </w:r>
      <w:r>
        <w:rPr>
          <w:color w:val="000000"/>
          <w:spacing w:val="0"/>
          <w:w w:val="100"/>
          <w:position w:val="0"/>
        </w:rPr>
        <w:t>运营游戏取得的收入，收入来源于与客户签订的核定价格的商品销售合同，收入仍于向客户交付并经客户验收时点确认。采 用新收入准则对本公司除财务报表列报以外无重大影响。</w:t>
      </w:r>
    </w:p>
    <w:p>
      <w:pPr>
        <w:pStyle w:val="Style33"/>
        <w:keepNext w:val="0"/>
        <w:keepLines w:val="0"/>
        <w:widowControl w:val="0"/>
        <w:shd w:val="clear" w:color="auto" w:fill="auto"/>
        <w:bidi w:val="0"/>
        <w:spacing w:before="0" w:after="380" w:line="317" w:lineRule="exact"/>
        <w:ind w:left="0" w:right="0" w:firstLine="320"/>
        <w:jc w:val="left"/>
      </w:pPr>
      <w:r>
        <w:rPr>
          <w:color w:val="000000"/>
          <w:spacing w:val="0"/>
          <w:w w:val="100"/>
          <w:position w:val="0"/>
        </w:rPr>
        <w:t>本公司根据首次执行新收入准则的累计影响数，调整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日的留存收益及财务报表相关项目金额，对可比期间信 息不予调整，本公司仅对在首次执行日尚未完成的合同的累计影响数进行调整。</w:t>
      </w:r>
    </w:p>
    <w:p>
      <w:pPr>
        <w:pStyle w:val="Style37"/>
        <w:keepNext/>
        <w:keepLines/>
        <w:widowControl w:val="0"/>
        <w:numPr>
          <w:ilvl w:val="0"/>
          <w:numId w:val="73"/>
        </w:numPr>
        <w:shd w:val="clear" w:color="auto" w:fill="auto"/>
        <w:tabs>
          <w:tab w:pos="493" w:val="left"/>
        </w:tabs>
        <w:bidi w:val="0"/>
        <w:spacing w:before="0" w:after="380" w:line="240" w:lineRule="auto"/>
        <w:ind w:left="0" w:right="0" w:firstLine="0"/>
        <w:jc w:val="both"/>
      </w:pPr>
      <w:bookmarkStart w:id="1048" w:name="bookmark1048"/>
      <w:bookmarkStart w:id="1049" w:name="bookmark1049"/>
      <w:bookmarkStart w:id="1050" w:name="bookmark1050"/>
      <w:bookmarkStart w:id="1051" w:name="bookmark1051"/>
      <w:bookmarkEnd w:id="1050"/>
      <w:r>
        <w:rPr>
          <w:color w:val="000000"/>
          <w:spacing w:val="0"/>
          <w:w w:val="100"/>
          <w:position w:val="0"/>
        </w:rPr>
        <w:t>重要会计估计变更</w:t>
      </w:r>
      <w:bookmarkEnd w:id="1048"/>
      <w:bookmarkEnd w:id="1049"/>
      <w:bookmarkEnd w:id="1051"/>
    </w:p>
    <w:p>
      <w:pPr>
        <w:pStyle w:val="Style33"/>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numPr>
          <w:ilvl w:val="0"/>
          <w:numId w:val="73"/>
        </w:numPr>
        <w:shd w:val="clear" w:color="auto" w:fill="auto"/>
        <w:tabs>
          <w:tab w:pos="493" w:val="left"/>
        </w:tabs>
        <w:bidi w:val="0"/>
        <w:spacing w:before="0" w:after="260" w:line="240" w:lineRule="auto"/>
        <w:ind w:left="0" w:right="0" w:firstLine="0"/>
        <w:jc w:val="both"/>
      </w:pPr>
      <w:bookmarkStart w:id="1052" w:name="bookmark1052"/>
      <w:bookmarkStart w:id="1053" w:name="bookmark1053"/>
      <w:bookmarkStart w:id="1054" w:name="bookmark1054"/>
      <w:bookmarkStart w:id="1055" w:name="bookmark1055"/>
      <w:bookmarkEnd w:id="1054"/>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052"/>
      <w:bookmarkEnd w:id="1053"/>
      <w:bookmarkEnd w:id="1055"/>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适用</w:t>
      </w:r>
    </w:p>
    <w:p>
      <w:pPr>
        <w:pStyle w:val="Style33"/>
        <w:keepNext w:val="0"/>
        <w:keepLines w:val="0"/>
        <w:widowControl w:val="0"/>
        <w:shd w:val="clear" w:color="auto" w:fill="auto"/>
        <w:bidi w:val="0"/>
        <w:spacing w:before="0" w:after="120" w:line="317" w:lineRule="exact"/>
        <w:ind w:left="0" w:right="0" w:firstLine="0"/>
        <w:jc w:val="both"/>
      </w:pPr>
      <w:r>
        <w:rPr>
          <w:color w:val="000000"/>
          <w:spacing w:val="0"/>
          <w:w w:val="100"/>
          <w:position w:val="0"/>
        </w:rPr>
        <w:t>是否需要调整年初资产负债表科目</w:t>
      </w:r>
    </w:p>
    <w:p>
      <w:pPr>
        <w:pStyle w:val="Style3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3"/>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合并资产负债表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46"/>
        <w:gridCol w:w="2410"/>
        <w:gridCol w:w="1699"/>
        <w:gridCol w:w="1531"/>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250,595,780.44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250,595,780.44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259,381,030.19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259,381,030.19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36,697,738.15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36,697,738.15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321,432,727.36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321,432,727.36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394,655,355.78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394,655,355.78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318,342,177.74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318,342,177.74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47,638.36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47,638.36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48,643,871.33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48,643,871.33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46"/>
        <w:gridCol w:w="2410"/>
        <w:gridCol w:w="1699"/>
        <w:gridCol w:w="1531"/>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8,089,879.48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8,089,879.48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19,784,917.45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19,784,917.45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1,657,623,477.92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1,657,623,477.92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4,445,682.26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4,445,682.26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170,580,295.60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170,580,295.60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111,498,291.68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111,498,291.68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252,679,600.00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252,679,600.00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84,788,453.31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84,788,453.31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14,424,575.46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14,424,575.46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593,601.49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593,601.49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1,220,600,461.98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1,220,600,461.98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98,594,526.22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98,594,526.22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32,043,929.80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32,043,929.80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13,747,495.36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13,747,495.36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2,003,996,913.16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2,003,996,913.16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3,661,620,391.08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3,661,620,391.08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357,000,000.00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357,000,000.00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38,928,316.63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38,928,316.63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337,825,358.23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337,825,358.23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3,223,315.51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-3,223,315.51</w:t>
            </w:r>
          </w:p>
        </w:tc>
      </w:tr>
    </w:tbl>
    <w:p>
      <w:pPr>
        <w:spacing w:lineRule="exact" w:line="1"/>
        <w:rPr>
          <w:sz w:val="2"/>
          <w:szCs w:val="2"/>
        </w:rPr>
      </w:pPr>
      <w:r>
        <w:br w:type="page"/>
      </w:r>
    </w:p>
    <w:tbl>
      <w:tblPr>
        <w:tblOverlap w:val="never"/>
        <w:jc w:val="center"/>
        <w:tblLayout w:type="fixed"/>
      </w:tblPr>
      <w:tblGrid>
        <w:gridCol w:w="3946"/>
        <w:gridCol w:w="2410"/>
        <w:gridCol w:w="1699"/>
        <w:gridCol w:w="1531"/>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3,530,350.46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3,530,350.46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16,568,464.03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16,568,464.03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15,537,280.81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15,537,280.81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68,334,737.52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68,334,737.52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15,252,374.80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15,252,374.80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174,864,050.46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174,864,050.46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397,759.17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397,759.17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1,012,281,523.19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1,012,986,317.31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558,850,000.00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558,850,000.00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2,555,323.65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1,850,529.53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-704,794.12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10,392,514.68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10,392,514.68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571,797,838.33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571,093,044.21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1,584,079,361.52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1,584,079,361.52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801,929,568.00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801,929,568.00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46"/>
        <w:gridCol w:w="2410"/>
        <w:gridCol w:w="1699"/>
        <w:gridCol w:w="1531"/>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368,203,739.75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368,203,739.75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147,613,580.50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147,613,580.50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32,959,910.92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32,959,910.92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94,448,815.32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94,448,815.32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773,501,086.50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773,501,086.50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1,923,429,539.99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1,923,429,539.99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154,111,489.57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154,111,489.57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2,077,541,029.56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2,077,541,029.56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3,661,620,391.08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3,661,620,391.08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调整情况说明</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年起首次执行新收入准则，首次执行当年将期初预收款项重分类至合同负债。</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母公司资产负债表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46"/>
        <w:gridCol w:w="2126"/>
        <w:gridCol w:w="1982"/>
        <w:gridCol w:w="1531"/>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88,869,680.06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88,869,680.06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247,020,013.70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247,020,013.70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36,697,738.15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36,697,738.15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107,783,591.76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107,783,591.76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2,978,864.82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2,978,864.82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594,663,966.69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594,663,966.69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47,638.36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47,638.36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48,643,871.33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48,643,871.33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8,089,879.48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8,089,879.48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656,421.93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656,421.93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1,135,404,027.92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1,135,404,027.92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46"/>
        <w:gridCol w:w="2126"/>
        <w:gridCol w:w="1982"/>
        <w:gridCol w:w="1531"/>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4,445,682.26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4,445,682.26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1,652,289,248.71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1,652,289,248.71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42,529,800.00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42,529,800.00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76,358,302.07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76,358,302.07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14,028,723.44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14,028,723.44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593,601.49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593,601.49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60,342,446.23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60,342,446.23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22,507,469.48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22,507,469.48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3,006,150.83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3,006,150.83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1,885,101,424.51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1,885,101,424.51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3,020,505,452.43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3,020,505,452.43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38,928,316.63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38,928,316.63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57,825,893.10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57,825,893.10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3,001,572.88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-3,001,572.88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2,656,259.19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2,656,259.19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6,280,882.71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6,280,882.71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1,211,267.97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1,211,267.97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152,368,715.06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152,368,715.06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24,647,166.46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24,647,166.46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46"/>
        <w:gridCol w:w="2126"/>
        <w:gridCol w:w="1982"/>
        <w:gridCol w:w="1531"/>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174,864,050.46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174,864,050.46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115,000,000.00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115,345,313.69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345,313.69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906,480,698.81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906,480,698.81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558,850,000.00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558,850,000.00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1,308,415.27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1,308,415.27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5,241,508.90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5,241,508.90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565,399,924.17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565,399,924.17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1,471,880,622.98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1,471,880,622.98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801,929,568.00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801,929,568.00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368,318,682.72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368,318,682.72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147,613,580.50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147,613,580.50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6,126,291.57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6,126,291.57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94,448,815.32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94,448,815.32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425,415,052.34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425,415,052.34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1,548,624,829.45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1,548,624,829.45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3,020,505,452.43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3,020,505,452.43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调整情况说明</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年起首次执行新收入准则，首次执行当年将期初预收款项重分类至合同负债。</w:t>
      </w:r>
    </w:p>
    <w:p>
      <w:pPr>
        <w:pStyle w:val="Style37"/>
        <w:keepNext/>
        <w:keepLines/>
        <w:widowControl w:val="0"/>
        <w:shd w:val="clear" w:color="auto" w:fill="auto"/>
        <w:tabs>
          <w:tab w:pos="473" w:val="left"/>
        </w:tabs>
        <w:bidi w:val="0"/>
        <w:spacing w:before="0" w:line="240" w:lineRule="auto"/>
        <w:ind w:left="0" w:right="0" w:firstLine="0"/>
        <w:jc w:val="left"/>
      </w:pPr>
      <w:bookmarkStart w:id="1056" w:name="bookmark1056"/>
      <w:bookmarkStart w:id="1057" w:name="bookmark1057"/>
      <w:bookmarkStart w:id="1058" w:name="bookmark1058"/>
      <w:bookmarkStart w:id="1059" w:name="bookmark1059"/>
      <w:r>
        <w:rPr>
          <w:color w:val="000000"/>
          <w:spacing w:val="0"/>
          <w:w w:val="100"/>
          <w:position w:val="0"/>
          <w:shd w:val="clear" w:color="auto" w:fill="FFFFFF"/>
        </w:rPr>
        <w:t>（</w:t>
      </w:r>
      <w:bookmarkEnd w:id="1058"/>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56"/>
      <w:bookmarkEnd w:id="1057"/>
      <w:bookmarkEnd w:id="1059"/>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日合并资产负债表及母公司资产负债表各项目的影响汇总如下:</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62"/>
        <w:gridCol w:w="3269"/>
        <w:gridCol w:w="1440"/>
        <w:gridCol w:w="3077"/>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合并资产负债表项目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会计政策变更前</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新收入准则影响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会计政策变更后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3,223,315.51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-3,223,315.51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3,530,350.46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3,530,350.46</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397,759.17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397,759.17</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2,555,323.65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-704,794.12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1,850,529.53</w:t>
            </w:r>
          </w:p>
        </w:tc>
      </w:tr>
    </w:tbl>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21"/>
        <w:gridCol w:w="3202"/>
        <w:gridCol w:w="1416"/>
        <w:gridCol w:w="3010"/>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母公司资产负债表项目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会计政策变更前</w:t>
            </w:r>
            <w:r>
              <w:rPr>
                <w:rFonts w:ascii="Times New Roman" w:eastAsia="Times New Roman" w:hAnsi="Times New Roman" w:cs="Times New Roman"/>
                <w:color w:val="000000"/>
                <w:spacing w:val="0"/>
                <w:w w:val="100"/>
                <w:position w:val="0"/>
              </w:rPr>
              <w:t>2 019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新收入准则影响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会计政策变更后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3,001,572.88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-3,001,572.88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2,656,259.19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2,656,259.19</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345,313.69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115,345,313.69</w:t>
            </w:r>
          </w:p>
        </w:tc>
      </w:tr>
    </w:tbl>
    <w:p>
      <w:pPr>
        <w:widowControl w:val="0"/>
        <w:spacing w:after="639" w:line="1" w:lineRule="exact"/>
      </w:pPr>
    </w:p>
    <w:p>
      <w:pPr>
        <w:pStyle w:val="Style37"/>
        <w:keepNext/>
        <w:keepLines/>
        <w:widowControl w:val="0"/>
        <w:shd w:val="clear" w:color="auto" w:fill="auto"/>
        <w:bidi w:val="0"/>
        <w:spacing w:before="0" w:after="280" w:line="240" w:lineRule="auto"/>
        <w:ind w:left="0" w:right="0" w:firstLine="0"/>
        <w:jc w:val="left"/>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3</w:t>
      </w:r>
      <w:bookmarkEnd w:id="1062"/>
      <w:r>
        <w:rPr>
          <w:rFonts w:ascii="Times New Roman" w:eastAsia="Times New Roman" w:hAnsi="Times New Roman" w:cs="Times New Roman"/>
          <w:color w:val="000000"/>
          <w:spacing w:val="0"/>
          <w:w w:val="100"/>
          <w:position w:val="0"/>
        </w:rPr>
        <w:t>7</w:t>
      </w:r>
      <w:r>
        <w:rPr>
          <w:color w:val="000000"/>
          <w:spacing w:val="0"/>
          <w:w w:val="100"/>
          <w:position w:val="0"/>
        </w:rPr>
        <w:t>、其他</w:t>
      </w:r>
      <w:bookmarkEnd w:id="1060"/>
      <w:bookmarkEnd w:id="1061"/>
      <w:bookmarkEnd w:id="1063"/>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公司在运用会计政策过程中，由于经营活动内在的不确定性，公司需要对无法准确计量的报表项目的账面价值进行判 断、估计和假设。这些判断、估计和假设是基于公司管理层过去的历史经验，并在考虑其他相关因素的基础上做出的。这 些判断、估计和假设会影响收入、费用、资产和负债的报告金额以及资产负债表日或有负债的披露。然而，这些估计的不 确定性所导致的实际结果可能与公司管理层当前的估计存在差异，进而造成对未来受影响的资产或负债的账面金额进行重 大调整。</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公司对前述判断、估计和假设在持续经营的基础上进行定期复核，会计估计的变更仅影响变更当期的，其影响数在变 更当期予以确认；既影响变更当期又影响未来期间的，其影响数在变更当期和未来期间予以确认。</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于资产负债表日，公司需对财务报表项目金额进行判断、估计和假设的重要领域如下：</w:t>
      </w:r>
    </w:p>
    <w:p>
      <w:pPr>
        <w:pStyle w:val="Style33"/>
        <w:keepNext w:val="0"/>
        <w:keepLines w:val="0"/>
        <w:widowControl w:val="0"/>
        <w:shd w:val="clear" w:color="auto" w:fill="auto"/>
        <w:bidi w:val="0"/>
        <w:spacing w:before="0" w:after="0" w:line="312" w:lineRule="exact"/>
        <w:ind w:left="0" w:right="0"/>
        <w:jc w:val="both"/>
      </w:pPr>
      <w:bookmarkStart w:id="1064" w:name="bookmark1064"/>
      <w:r>
        <w:rPr>
          <w:rFonts w:ascii="Times New Roman" w:eastAsia="Times New Roman" w:hAnsi="Times New Roman" w:cs="Times New Roman"/>
          <w:color w:val="000000"/>
          <w:spacing w:val="0"/>
          <w:w w:val="100"/>
          <w:position w:val="0"/>
        </w:rPr>
        <w:t>（</w:t>
      </w:r>
      <w:bookmarkEnd w:id="1064"/>
      <w:r>
        <w:rPr>
          <w:rFonts w:ascii="Times New Roman" w:eastAsia="Times New Roman" w:hAnsi="Times New Roman" w:cs="Times New Roman"/>
          <w:color w:val="000000"/>
          <w:spacing w:val="0"/>
          <w:w w:val="100"/>
          <w:position w:val="0"/>
        </w:rPr>
        <w:t>1）</w:t>
      </w:r>
      <w:r>
        <w:rPr>
          <w:color w:val="000000"/>
          <w:spacing w:val="0"/>
          <w:w w:val="100"/>
          <w:position w:val="0"/>
        </w:rPr>
        <w:t>金融工具减值</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公司采用预期信用损失模型对金融工具的减值进行评估，应用预期信用损失模型需要做出重大判断和估计，需考虑所 有合理且有依据的信息，包括前瞻性信息。在做出该等判断和估计时，公司根据历史还款数据结合经济政策、宏观经济指 标、行业风险等因素推断债务人信用风险的预期变动。</w:t>
      </w:r>
    </w:p>
    <w:p>
      <w:pPr>
        <w:pStyle w:val="Style33"/>
        <w:keepNext w:val="0"/>
        <w:keepLines w:val="0"/>
        <w:widowControl w:val="0"/>
        <w:shd w:val="clear" w:color="auto" w:fill="auto"/>
        <w:tabs>
          <w:tab w:pos="800" w:val="left"/>
        </w:tabs>
        <w:bidi w:val="0"/>
        <w:spacing w:before="0" w:after="0" w:line="312" w:lineRule="exact"/>
        <w:ind w:left="0" w:right="0"/>
        <w:jc w:val="both"/>
      </w:pPr>
      <w:bookmarkStart w:id="1065" w:name="bookmark1065"/>
      <w:r>
        <w:rPr>
          <w:color w:val="000000"/>
          <w:spacing w:val="0"/>
          <w:w w:val="100"/>
          <w:position w:val="0"/>
        </w:rPr>
        <w:t>（</w:t>
      </w:r>
      <w:bookmarkEnd w:id="1065"/>
      <w:r>
        <w:rPr>
          <w:rFonts w:ascii="Times New Roman" w:eastAsia="Times New Roman" w:hAnsi="Times New Roman" w:cs="Times New Roman"/>
          <w:color w:val="000000"/>
          <w:spacing w:val="0"/>
          <w:w w:val="100"/>
          <w:position w:val="0"/>
        </w:rPr>
        <w:t>2</w:t>
      </w:r>
      <w:r>
        <w:rPr>
          <w:color w:val="000000"/>
          <w:spacing w:val="0"/>
          <w:w w:val="100"/>
          <w:position w:val="0"/>
        </w:rPr>
        <w:t>）</w:t>
        <w:tab/>
        <w:t>存货跌价准备</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公司根据存货会计政策，按照成本与可变现净值孰低计量，对成本高于可变现净值及陈旧和滞销的存货，计提存货跌 价准备。存货减值至可变现净值是基于评估存货的可售性及其可变现净值。鉴定存货减值要求管理层在取得确凿证据，并 且考虑持有存货的目的、资产负债表日后事项的影响等因素的基础上作出判断和估计。实际的结果与原先估计的差异将在 估计被改变的期间影响存货的账面价值及存货跌价准备的计提或转回。</w:t>
      </w:r>
    </w:p>
    <w:p>
      <w:pPr>
        <w:pStyle w:val="Style33"/>
        <w:keepNext w:val="0"/>
        <w:keepLines w:val="0"/>
        <w:widowControl w:val="0"/>
        <w:shd w:val="clear" w:color="auto" w:fill="auto"/>
        <w:tabs>
          <w:tab w:pos="800" w:val="left"/>
        </w:tabs>
        <w:bidi w:val="0"/>
        <w:spacing w:before="0" w:after="0" w:line="312" w:lineRule="exact"/>
        <w:ind w:left="0" w:right="0"/>
        <w:jc w:val="both"/>
      </w:pPr>
      <w:bookmarkStart w:id="1066" w:name="bookmark1066"/>
      <w:r>
        <w:rPr>
          <w:color w:val="000000"/>
          <w:spacing w:val="0"/>
          <w:w w:val="100"/>
          <w:position w:val="0"/>
        </w:rPr>
        <w:t>（</w:t>
      </w:r>
      <w:bookmarkEnd w:id="1066"/>
      <w:r>
        <w:rPr>
          <w:rFonts w:ascii="Times New Roman" w:eastAsia="Times New Roman" w:hAnsi="Times New Roman" w:cs="Times New Roman"/>
          <w:color w:val="000000"/>
          <w:spacing w:val="0"/>
          <w:w w:val="100"/>
          <w:position w:val="0"/>
        </w:rPr>
        <w:t>3</w:t>
      </w:r>
      <w:r>
        <w:rPr>
          <w:color w:val="000000"/>
          <w:spacing w:val="0"/>
          <w:w w:val="100"/>
          <w:position w:val="0"/>
        </w:rPr>
        <w:t>）</w:t>
        <w:tab/>
        <w:t>金融工具公允价值</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对不存在活跃交易市场的金融工具，公司通过各种估值方法确定其公允价值。这些估值方法包括贴现现金流模型分析 等。估值时公司需对未来现金流量、信用风险、市场波动率和相关性等方面进行估计，并选择适当的折现率。这些相关假 设具有不确定性，其变化会对金融工具的公允价值产生影响。</w:t>
      </w:r>
    </w:p>
    <w:p>
      <w:pPr>
        <w:pStyle w:val="Style33"/>
        <w:keepNext w:val="0"/>
        <w:keepLines w:val="0"/>
        <w:widowControl w:val="0"/>
        <w:shd w:val="clear" w:color="auto" w:fill="auto"/>
        <w:tabs>
          <w:tab w:pos="800" w:val="left"/>
        </w:tabs>
        <w:bidi w:val="0"/>
        <w:spacing w:before="0" w:after="60" w:line="312" w:lineRule="exact"/>
        <w:ind w:left="0" w:right="0"/>
        <w:jc w:val="both"/>
      </w:pPr>
      <w:bookmarkStart w:id="1067" w:name="bookmark1067"/>
      <w:r>
        <w:rPr>
          <w:color w:val="000000"/>
          <w:spacing w:val="0"/>
          <w:w w:val="100"/>
          <w:position w:val="0"/>
        </w:rPr>
        <w:t>（</w:t>
      </w:r>
      <w:bookmarkEnd w:id="1067"/>
      <w:r>
        <w:rPr>
          <w:rFonts w:ascii="Times New Roman" w:eastAsia="Times New Roman" w:hAnsi="Times New Roman" w:cs="Times New Roman"/>
          <w:color w:val="000000"/>
          <w:spacing w:val="0"/>
          <w:w w:val="100"/>
          <w:position w:val="0"/>
        </w:rPr>
        <w:t>4</w:t>
      </w:r>
      <w:r>
        <w:rPr>
          <w:color w:val="000000"/>
          <w:spacing w:val="0"/>
          <w:w w:val="100"/>
          <w:position w:val="0"/>
        </w:rPr>
        <w:t>）</w:t>
        <w:tab/>
        <w:t>长期资产减值准备</w:t>
      </w:r>
    </w:p>
    <w:p>
      <w:pPr>
        <w:pStyle w:val="Style33"/>
        <w:keepNext w:val="0"/>
        <w:keepLines w:val="0"/>
        <w:widowControl w:val="0"/>
        <w:shd w:val="clear" w:color="auto" w:fill="auto"/>
        <w:bidi w:val="0"/>
        <w:spacing w:before="0" w:after="0" w:line="310" w:lineRule="exact"/>
        <w:ind w:left="0" w:right="0"/>
        <w:jc w:val="both"/>
      </w:pPr>
      <w:r>
        <w:rPr>
          <w:color w:val="000000"/>
          <w:spacing w:val="0"/>
          <w:w w:val="100"/>
          <w:position w:val="0"/>
        </w:rPr>
        <w:t>公司于资产负债表日对除金融资产之外的非流动资产判断是否存在可能发生减值的迹象。对使用寿命不确定的无形资 产，除每年进行的减值测试外，当其存在减值迹象时，也进行减值测试。其他除金融资产之外的非流动资产，当存在迹象 表明其账面金额不可收回时，进行减值测试。</w:t>
      </w:r>
    </w:p>
    <w:p>
      <w:pPr>
        <w:pStyle w:val="Style33"/>
        <w:keepNext w:val="0"/>
        <w:keepLines w:val="0"/>
        <w:widowControl w:val="0"/>
        <w:shd w:val="clear" w:color="auto" w:fill="auto"/>
        <w:bidi w:val="0"/>
        <w:spacing w:before="0" w:after="0" w:line="310" w:lineRule="exact"/>
        <w:ind w:left="0" w:right="0"/>
        <w:jc w:val="both"/>
      </w:pPr>
      <w:r>
        <w:rPr>
          <w:color w:val="000000"/>
          <w:spacing w:val="0"/>
          <w:w w:val="100"/>
          <w:position w:val="0"/>
        </w:rPr>
        <w:t>当资产或资产组的账面价值高于可收回金额，即公允价值减去处置费用后的净额和预计未来现金流量的现值中的较高 者，表明发生了减值。</w:t>
      </w:r>
    </w:p>
    <w:p>
      <w:pPr>
        <w:pStyle w:val="Style33"/>
        <w:keepNext w:val="0"/>
        <w:keepLines w:val="0"/>
        <w:widowControl w:val="0"/>
        <w:shd w:val="clear" w:color="auto" w:fill="auto"/>
        <w:bidi w:val="0"/>
        <w:spacing w:before="0" w:after="0" w:line="310" w:lineRule="exact"/>
        <w:ind w:left="0" w:right="0"/>
        <w:jc w:val="both"/>
      </w:pPr>
      <w:r>
        <w:rPr>
          <w:color w:val="000000"/>
          <w:spacing w:val="0"/>
          <w:w w:val="100"/>
          <w:position w:val="0"/>
        </w:rPr>
        <w:t>公允价值减去处置费用后的净额，参考公平交易中类似资产的销售协议价格或可观察到的市场价格，减去可直接归属 于该资产处置的增量成本确定。</w:t>
      </w:r>
    </w:p>
    <w:p>
      <w:pPr>
        <w:pStyle w:val="Style33"/>
        <w:keepNext w:val="0"/>
        <w:keepLines w:val="0"/>
        <w:widowControl w:val="0"/>
        <w:shd w:val="clear" w:color="auto" w:fill="auto"/>
        <w:bidi w:val="0"/>
        <w:spacing w:before="0" w:after="0" w:line="310" w:lineRule="exact"/>
        <w:ind w:left="0" w:right="0"/>
        <w:jc w:val="both"/>
      </w:pPr>
      <w:r>
        <w:rPr>
          <w:color w:val="000000"/>
          <w:spacing w:val="0"/>
          <w:w w:val="100"/>
          <w:position w:val="0"/>
        </w:rPr>
        <w:t>在预计未来现金流量现值时，需要对该资产（或资产组）的产量、售价、相关经营成本以及计算现值时使用的折现率 等作出重大判断。公司在估计可收回金额时会采用所有能够获得的相关资料，包括根据合理和可支持的假设所作出有关产 量、售价和相关经营成本的预测。</w:t>
      </w:r>
    </w:p>
    <w:p>
      <w:pPr>
        <w:pStyle w:val="Style33"/>
        <w:keepNext w:val="0"/>
        <w:keepLines w:val="0"/>
        <w:widowControl w:val="0"/>
        <w:shd w:val="clear" w:color="auto" w:fill="auto"/>
        <w:tabs>
          <w:tab w:pos="772" w:val="left"/>
        </w:tabs>
        <w:bidi w:val="0"/>
        <w:spacing w:before="0" w:after="0" w:line="310" w:lineRule="exact"/>
        <w:ind w:left="0" w:right="0"/>
        <w:jc w:val="both"/>
      </w:pPr>
      <w:bookmarkStart w:id="1068" w:name="bookmark1068"/>
      <w:r>
        <w:rPr>
          <w:color w:val="000000"/>
          <w:spacing w:val="0"/>
          <w:w w:val="100"/>
          <w:position w:val="0"/>
        </w:rPr>
        <w:t>（</w:t>
      </w:r>
      <w:bookmarkEnd w:id="1068"/>
      <w:r>
        <w:rPr>
          <w:rFonts w:ascii="Times New Roman" w:eastAsia="Times New Roman" w:hAnsi="Times New Roman" w:cs="Times New Roman"/>
          <w:color w:val="000000"/>
          <w:spacing w:val="0"/>
          <w:w w:val="100"/>
          <w:position w:val="0"/>
        </w:rPr>
        <w:t>5</w:t>
      </w:r>
      <w:r>
        <w:rPr>
          <w:color w:val="000000"/>
          <w:spacing w:val="0"/>
          <w:w w:val="100"/>
          <w:position w:val="0"/>
        </w:rPr>
        <w:t>）</w:t>
        <w:tab/>
        <w:t>商誉减值准备</w:t>
      </w:r>
    </w:p>
    <w:p>
      <w:pPr>
        <w:pStyle w:val="Style33"/>
        <w:keepNext w:val="0"/>
        <w:keepLines w:val="0"/>
        <w:widowControl w:val="0"/>
        <w:shd w:val="clear" w:color="auto" w:fill="auto"/>
        <w:bidi w:val="0"/>
        <w:spacing w:before="0" w:after="0" w:line="310" w:lineRule="exact"/>
        <w:ind w:left="0" w:right="0"/>
        <w:jc w:val="both"/>
      </w:pPr>
      <w:r>
        <w:rPr>
          <w:color w:val="000000"/>
          <w:spacing w:val="0"/>
          <w:w w:val="100"/>
          <w:position w:val="0"/>
        </w:rPr>
        <w:t>在对商誉进行减值测试时，需计算包含商誉的相关资产组或者资产组组合的预计未来现金流量现值，并需要对该资产 组或资产组组合的未来现金流量进行预计，同时确定一个适当地反映当前市场货币时间价值和资产特定风险的税前利率。</w:t>
      </w:r>
    </w:p>
    <w:p>
      <w:pPr>
        <w:pStyle w:val="Style33"/>
        <w:keepNext w:val="0"/>
        <w:keepLines w:val="0"/>
        <w:widowControl w:val="0"/>
        <w:shd w:val="clear" w:color="auto" w:fill="auto"/>
        <w:tabs>
          <w:tab w:pos="772" w:val="left"/>
        </w:tabs>
        <w:bidi w:val="0"/>
        <w:spacing w:before="0" w:after="0" w:line="310" w:lineRule="exact"/>
        <w:ind w:left="0" w:right="0"/>
        <w:jc w:val="both"/>
      </w:pPr>
      <w:bookmarkStart w:id="1069" w:name="bookmark1069"/>
      <w:r>
        <w:rPr>
          <w:color w:val="000000"/>
          <w:spacing w:val="0"/>
          <w:w w:val="100"/>
          <w:position w:val="0"/>
        </w:rPr>
        <w:t>（</w:t>
      </w:r>
      <w:bookmarkEnd w:id="1069"/>
      <w:r>
        <w:rPr>
          <w:rFonts w:ascii="Times New Roman" w:eastAsia="Times New Roman" w:hAnsi="Times New Roman" w:cs="Times New Roman"/>
          <w:color w:val="000000"/>
          <w:spacing w:val="0"/>
          <w:w w:val="100"/>
          <w:position w:val="0"/>
        </w:rPr>
        <w:t>6</w:t>
      </w:r>
      <w:r>
        <w:rPr>
          <w:color w:val="000000"/>
          <w:spacing w:val="0"/>
          <w:w w:val="100"/>
          <w:position w:val="0"/>
        </w:rPr>
        <w:t>）</w:t>
        <w:tab/>
        <w:t>折旧和摊销</w:t>
      </w:r>
    </w:p>
    <w:p>
      <w:pPr>
        <w:pStyle w:val="Style33"/>
        <w:keepNext w:val="0"/>
        <w:keepLines w:val="0"/>
        <w:widowControl w:val="0"/>
        <w:shd w:val="clear" w:color="auto" w:fill="auto"/>
        <w:bidi w:val="0"/>
        <w:spacing w:before="0" w:after="0" w:line="310" w:lineRule="exact"/>
        <w:ind w:left="0" w:right="0"/>
        <w:jc w:val="both"/>
      </w:pPr>
      <w:r>
        <w:rPr>
          <w:color w:val="000000"/>
          <w:spacing w:val="0"/>
          <w:w w:val="100"/>
          <w:position w:val="0"/>
        </w:rPr>
        <w:t>公司对投资性房地产、固定资产和无形资产在考虑其残值后，在使用寿命内按直线法计提折旧和摊销。公司定期复核 使用寿命，以决定将计入每个报告期的折旧和摊销费用数额。使用寿命是公司根据对同类资产的以往经验并结合预期的技 术更新而确定的。如果以前的估计发生重大变化，则会在未来期间对折旧和摊销费用进行调整。</w:t>
      </w:r>
    </w:p>
    <w:p>
      <w:pPr>
        <w:pStyle w:val="Style33"/>
        <w:keepNext w:val="0"/>
        <w:keepLines w:val="0"/>
        <w:widowControl w:val="0"/>
        <w:shd w:val="clear" w:color="auto" w:fill="auto"/>
        <w:tabs>
          <w:tab w:pos="772" w:val="left"/>
        </w:tabs>
        <w:bidi w:val="0"/>
        <w:spacing w:before="0" w:after="0" w:line="310" w:lineRule="exact"/>
        <w:ind w:left="0" w:right="0"/>
        <w:jc w:val="both"/>
      </w:pPr>
      <w:bookmarkStart w:id="1070" w:name="bookmark1070"/>
      <w:r>
        <w:rPr>
          <w:color w:val="000000"/>
          <w:spacing w:val="0"/>
          <w:w w:val="100"/>
          <w:position w:val="0"/>
        </w:rPr>
        <w:t>（</w:t>
      </w:r>
      <w:bookmarkEnd w:id="1070"/>
      <w:r>
        <w:rPr>
          <w:rFonts w:ascii="Times New Roman" w:eastAsia="Times New Roman" w:hAnsi="Times New Roman" w:cs="Times New Roman"/>
          <w:color w:val="000000"/>
          <w:spacing w:val="0"/>
          <w:w w:val="100"/>
          <w:position w:val="0"/>
        </w:rPr>
        <w:t>7</w:t>
      </w:r>
      <w:r>
        <w:rPr>
          <w:color w:val="000000"/>
          <w:spacing w:val="0"/>
          <w:w w:val="100"/>
          <w:position w:val="0"/>
        </w:rPr>
        <w:t>）</w:t>
        <w:tab/>
        <w:t>开发支出</w:t>
      </w:r>
    </w:p>
    <w:p>
      <w:pPr>
        <w:pStyle w:val="Style33"/>
        <w:keepNext w:val="0"/>
        <w:keepLines w:val="0"/>
        <w:widowControl w:val="0"/>
        <w:shd w:val="clear" w:color="auto" w:fill="auto"/>
        <w:bidi w:val="0"/>
        <w:spacing w:before="0" w:after="0" w:line="310" w:lineRule="exact"/>
        <w:ind w:left="0" w:right="0"/>
        <w:jc w:val="both"/>
      </w:pPr>
      <w:r>
        <w:rPr>
          <w:color w:val="000000"/>
          <w:spacing w:val="0"/>
          <w:w w:val="100"/>
          <w:position w:val="0"/>
        </w:rPr>
        <w:t>确定资本化的金额时，公司管理层需要作出有关资产的预计未来现金流量、适用的折现率以及预计受益期间的假设。</w:t>
      </w:r>
    </w:p>
    <w:p>
      <w:pPr>
        <w:pStyle w:val="Style33"/>
        <w:keepNext w:val="0"/>
        <w:keepLines w:val="0"/>
        <w:widowControl w:val="0"/>
        <w:shd w:val="clear" w:color="auto" w:fill="auto"/>
        <w:bidi w:val="0"/>
        <w:spacing w:before="0" w:after="0" w:line="310" w:lineRule="exact"/>
        <w:ind w:left="0" w:right="0"/>
        <w:jc w:val="both"/>
      </w:pPr>
      <w:r>
        <w:rPr>
          <w:color w:val="000000"/>
          <w:spacing w:val="0"/>
          <w:w w:val="100"/>
          <w:position w:val="0"/>
        </w:rPr>
        <w:t>公司管理层认为相关业务的前景和目前的发展良好，市场对以相关无形资产生产的产品的反应也证实了管理层之前对 这些项目预期收入的估计。但是日益增加的竞争也使得管理层重新考虑对市场份额和有关产品的预计毛利等方面的假设。 经过全面的检视后，公司管理层认为即使在产品回报率出现下调的情况下，仍可以全额收回无形资产账面价值。公司将继 续密切检视有关情况，一旦有迹象表明需要调整相关会计估计的假设，公司将在有关迹象发生的期间作出调整。</w:t>
      </w:r>
    </w:p>
    <w:p>
      <w:pPr>
        <w:pStyle w:val="Style33"/>
        <w:keepNext w:val="0"/>
        <w:keepLines w:val="0"/>
        <w:widowControl w:val="0"/>
        <w:shd w:val="clear" w:color="auto" w:fill="auto"/>
        <w:tabs>
          <w:tab w:pos="772" w:val="left"/>
        </w:tabs>
        <w:bidi w:val="0"/>
        <w:spacing w:before="0" w:after="0" w:line="310" w:lineRule="exact"/>
        <w:ind w:left="0" w:right="0"/>
        <w:jc w:val="both"/>
      </w:pPr>
      <w:bookmarkStart w:id="1071" w:name="bookmark1071"/>
      <w:r>
        <w:rPr>
          <w:color w:val="000000"/>
          <w:spacing w:val="0"/>
          <w:w w:val="100"/>
          <w:position w:val="0"/>
        </w:rPr>
        <w:t>（</w:t>
      </w:r>
      <w:bookmarkEnd w:id="1071"/>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w:t>
      </w:r>
    </w:p>
    <w:p>
      <w:pPr>
        <w:pStyle w:val="Style33"/>
        <w:keepNext w:val="0"/>
        <w:keepLines w:val="0"/>
        <w:widowControl w:val="0"/>
        <w:shd w:val="clear" w:color="auto" w:fill="auto"/>
        <w:bidi w:val="0"/>
        <w:spacing w:before="0" w:after="0" w:line="310" w:lineRule="exact"/>
        <w:ind w:left="0" w:right="0"/>
        <w:jc w:val="both"/>
      </w:pPr>
      <w:r>
        <w:rPr>
          <w:color w:val="000000"/>
          <w:spacing w:val="0"/>
          <w:w w:val="100"/>
          <w:position w:val="0"/>
        </w:rPr>
        <w:t>在很有可能有足够的应纳税利润来抵扣亏损的限度内，公司就所有未利用的税务亏损确认递延所得税资产。这需要公 司管理层运用大量的判断来估计未来应纳税利润发生的时间和金额，结合纳税筹划策略，以决定应确认的递延所得税资产 的金额。</w:t>
      </w:r>
    </w:p>
    <w:p>
      <w:pPr>
        <w:pStyle w:val="Style33"/>
        <w:keepNext w:val="0"/>
        <w:keepLines w:val="0"/>
        <w:widowControl w:val="0"/>
        <w:shd w:val="clear" w:color="auto" w:fill="auto"/>
        <w:tabs>
          <w:tab w:pos="772" w:val="left"/>
        </w:tabs>
        <w:bidi w:val="0"/>
        <w:spacing w:before="0" w:after="0" w:line="310" w:lineRule="exact"/>
        <w:ind w:left="0" w:right="0"/>
        <w:jc w:val="both"/>
      </w:pPr>
      <w:bookmarkStart w:id="1072" w:name="bookmark1072"/>
      <w:r>
        <w:rPr>
          <w:color w:val="000000"/>
          <w:spacing w:val="0"/>
          <w:w w:val="100"/>
          <w:position w:val="0"/>
        </w:rPr>
        <w:t>（</w:t>
      </w:r>
      <w:bookmarkEnd w:id="1072"/>
      <w:r>
        <w:rPr>
          <w:rFonts w:ascii="Times New Roman" w:eastAsia="Times New Roman" w:hAnsi="Times New Roman" w:cs="Times New Roman"/>
          <w:color w:val="000000"/>
          <w:spacing w:val="0"/>
          <w:w w:val="100"/>
          <w:position w:val="0"/>
        </w:rPr>
        <w:t>9</w:t>
      </w:r>
      <w:r>
        <w:rPr>
          <w:color w:val="000000"/>
          <w:spacing w:val="0"/>
          <w:w w:val="100"/>
          <w:position w:val="0"/>
        </w:rPr>
        <w:t>）</w:t>
        <w:tab/>
        <w:t>所得税</w:t>
      </w:r>
    </w:p>
    <w:p>
      <w:pPr>
        <w:pStyle w:val="Style33"/>
        <w:keepNext w:val="0"/>
        <w:keepLines w:val="0"/>
        <w:widowControl w:val="0"/>
        <w:shd w:val="clear" w:color="auto" w:fill="auto"/>
        <w:bidi w:val="0"/>
        <w:spacing w:before="0" w:after="0" w:line="310" w:lineRule="exact"/>
        <w:ind w:left="0" w:right="0"/>
        <w:jc w:val="both"/>
      </w:pPr>
      <w:r>
        <w:rPr>
          <w:color w:val="000000"/>
          <w:spacing w:val="0"/>
          <w:w w:val="100"/>
          <w:position w:val="0"/>
        </w:rPr>
        <w:t>公司在正常的经营活动中，有部分交易其最终的税务处理和计算存在一定的不确定性。部分项目是否能够在税前列支 需要税收主管机关的审批。如果这些税务事项的最终认定结果同最初估计的金额存在差异，则该差异将对其最终认定期间 的当期所得税和递延所得税产生影响。</w:t>
      </w:r>
    </w:p>
    <w:p>
      <w:pPr>
        <w:pStyle w:val="Style33"/>
        <w:keepNext w:val="0"/>
        <w:keepLines w:val="0"/>
        <w:widowControl w:val="0"/>
        <w:shd w:val="clear" w:color="auto" w:fill="auto"/>
        <w:tabs>
          <w:tab w:pos="863" w:val="left"/>
        </w:tabs>
        <w:bidi w:val="0"/>
        <w:spacing w:before="0" w:after="0" w:line="310" w:lineRule="exact"/>
        <w:ind w:left="0" w:right="0"/>
        <w:jc w:val="both"/>
      </w:pPr>
      <w:bookmarkStart w:id="1073" w:name="bookmark1073"/>
      <w:r>
        <w:rPr>
          <w:color w:val="000000"/>
          <w:spacing w:val="0"/>
          <w:w w:val="100"/>
          <w:position w:val="0"/>
        </w:rPr>
        <w:t>（</w:t>
      </w:r>
      <w:bookmarkEnd w:id="1073"/>
      <w:r>
        <w:rPr>
          <w:rFonts w:ascii="Times New Roman" w:eastAsia="Times New Roman" w:hAnsi="Times New Roman" w:cs="Times New Roman"/>
          <w:color w:val="000000"/>
          <w:spacing w:val="0"/>
          <w:w w:val="100"/>
          <w:position w:val="0"/>
        </w:rPr>
        <w:t>10</w:t>
      </w:r>
      <w:r>
        <w:rPr>
          <w:color w:val="000000"/>
          <w:spacing w:val="0"/>
          <w:w w:val="100"/>
          <w:position w:val="0"/>
        </w:rPr>
        <w:t>）</w:t>
        <w:tab/>
        <w:t>预计负债</w:t>
      </w:r>
    </w:p>
    <w:p>
      <w:pPr>
        <w:pStyle w:val="Style33"/>
        <w:keepNext w:val="0"/>
        <w:keepLines w:val="0"/>
        <w:widowControl w:val="0"/>
        <w:shd w:val="clear" w:color="auto" w:fill="auto"/>
        <w:bidi w:val="0"/>
        <w:spacing w:before="0" w:after="0" w:line="310" w:lineRule="exact"/>
        <w:ind w:left="0" w:right="0"/>
        <w:jc w:val="both"/>
      </w:pPr>
      <w:r>
        <w:rPr>
          <w:color w:val="000000"/>
          <w:spacing w:val="0"/>
          <w:w w:val="100"/>
          <w:position w:val="0"/>
        </w:rPr>
        <w:t>公司根据合约条款、现有知识及历史经验，对产品质量保证、预计合同亏损、延迟交货违约金等估计并计提相应准 备。在该等或有事项已经形成一项现时义务，且履行该等现时义务很可能导致经济利益流出公司的情况下，公司对或有事 项按履行相关现时义务所需支出的最佳估计数确认为预计负债。预计负债的确认和计量在很大程度上依赖于管理层的判 断。在进行判断过程中公司需评估该等或有事项相关的风险、不确定性及货币时间价值等因素。</w:t>
      </w:r>
    </w:p>
    <w:p>
      <w:pPr>
        <w:pStyle w:val="Style33"/>
        <w:keepNext w:val="0"/>
        <w:keepLines w:val="0"/>
        <w:widowControl w:val="0"/>
        <w:shd w:val="clear" w:color="auto" w:fill="auto"/>
        <w:bidi w:val="0"/>
        <w:spacing w:before="0" w:after="0" w:line="310" w:lineRule="exact"/>
        <w:ind w:left="0" w:right="0"/>
        <w:jc w:val="both"/>
      </w:pPr>
      <w:r>
        <w:rPr>
          <w:color w:val="000000"/>
          <w:spacing w:val="0"/>
          <w:w w:val="100"/>
          <w:position w:val="0"/>
        </w:rPr>
        <w:t>其中，公司会就出售、维修及改造所售商品向客户提供的售后质量维修承诺预计负债。预计负债时已考虑公司近期的 维修经验数据，但近期的维修经验可能无法反映将来的维修情况。这项准备的任何增加或减少，均可能影响未来年度的损 益。</w:t>
      </w:r>
    </w:p>
    <w:p>
      <w:pPr>
        <w:pStyle w:val="Style33"/>
        <w:keepNext w:val="0"/>
        <w:keepLines w:val="0"/>
        <w:widowControl w:val="0"/>
        <w:shd w:val="clear" w:color="auto" w:fill="auto"/>
        <w:tabs>
          <w:tab w:pos="863" w:val="left"/>
        </w:tabs>
        <w:bidi w:val="0"/>
        <w:spacing w:before="0" w:after="40" w:line="310" w:lineRule="exact"/>
        <w:ind w:left="0" w:right="0"/>
        <w:jc w:val="both"/>
      </w:pPr>
      <w:bookmarkStart w:id="1074" w:name="bookmark1074"/>
      <w:r>
        <w:rPr>
          <w:color w:val="000000"/>
          <w:spacing w:val="0"/>
          <w:w w:val="100"/>
          <w:position w:val="0"/>
        </w:rPr>
        <w:t>（</w:t>
      </w:r>
      <w:bookmarkEnd w:id="1074"/>
      <w:r>
        <w:rPr>
          <w:rFonts w:ascii="Times New Roman" w:eastAsia="Times New Roman" w:hAnsi="Times New Roman" w:cs="Times New Roman"/>
          <w:color w:val="000000"/>
          <w:spacing w:val="0"/>
          <w:w w:val="100"/>
          <w:position w:val="0"/>
        </w:rPr>
        <w:t>11</w:t>
      </w:r>
      <w:r>
        <w:rPr>
          <w:color w:val="000000"/>
          <w:spacing w:val="0"/>
          <w:w w:val="100"/>
          <w:position w:val="0"/>
        </w:rPr>
        <w:t>）</w:t>
        <w:tab/>
        <w:t>公允价值计量</w:t>
      </w:r>
    </w:p>
    <w:p>
      <w:pPr>
        <w:pStyle w:val="Style33"/>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公司的某些资产和负债在财务报表中按公允价值计量。在对某项资产或负债的公允价值作出估计时，公司采用可获得的 可观察市场数据。如果无法获得第一层次输入值，公司会聘用第三方有资质的评估师来执行估价。在确定各类资产和负债的 公允价值的过程中所采用的估值技术和输入值的相关信息在附注十一中披露。</w:t>
      </w:r>
      <w:r>
        <w:br w:type="page"/>
      </w:r>
    </w:p>
    <w:p>
      <w:pPr>
        <w:pStyle w:val="Style29"/>
        <w:keepNext/>
        <w:keepLines/>
        <w:widowControl w:val="0"/>
        <w:shd w:val="clear" w:color="auto" w:fill="auto"/>
        <w:bidi w:val="0"/>
        <w:spacing w:before="0" w:after="360" w:line="240" w:lineRule="auto"/>
        <w:ind w:left="0" w:right="0" w:firstLine="0"/>
        <w:jc w:val="left"/>
      </w:pPr>
      <w:bookmarkStart w:id="1075" w:name="bookmark1075"/>
      <w:bookmarkStart w:id="1076" w:name="bookmark1076"/>
      <w:bookmarkStart w:id="1077" w:name="bookmark1077"/>
      <w:bookmarkStart w:id="1078" w:name="bookmark1078"/>
      <w:r>
        <w:rPr>
          <w:color w:val="000000"/>
          <w:spacing w:val="0"/>
          <w:w w:val="100"/>
          <w:position w:val="0"/>
          <w:sz w:val="24"/>
          <w:szCs w:val="24"/>
        </w:rPr>
        <w:t>六</w:t>
      </w:r>
      <w:bookmarkEnd w:id="1077"/>
      <w:r>
        <w:rPr>
          <w:color w:val="000000"/>
          <w:spacing w:val="0"/>
          <w:w w:val="100"/>
          <w:position w:val="0"/>
          <w:sz w:val="24"/>
          <w:szCs w:val="24"/>
        </w:rPr>
        <w:t>、税项</w:t>
      </w:r>
      <w:bookmarkEnd w:id="1075"/>
      <w:bookmarkEnd w:id="1076"/>
      <w:bookmarkEnd w:id="1078"/>
    </w:p>
    <w:p>
      <w:pPr>
        <w:pStyle w:val="Style37"/>
        <w:keepNext/>
        <w:keepLines/>
        <w:widowControl w:val="0"/>
        <w:shd w:val="clear" w:color="auto" w:fill="auto"/>
        <w:bidi w:val="0"/>
        <w:spacing w:before="0" w:after="300" w:line="240" w:lineRule="auto"/>
        <w:ind w:left="0" w:right="0" w:firstLine="0"/>
        <w:jc w:val="left"/>
      </w:pPr>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79"/>
      <w:bookmarkEnd w:id="1080"/>
      <w:bookmarkEnd w:id="108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见下表</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喀什中汇联银</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惠程智能</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香港惠程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翔瑞科技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北京中汇联银</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中汇联鑫</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中行置盛</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中融建银</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豪琛投资</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鹏胤投资</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中汇同盈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哆可梦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吉乾科技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旭梅网络</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华向文化</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游湛网络</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上海季娱</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珂星网络</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铁匣电力</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一零电力</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零玖电力</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缘中缘网络</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致合世纪</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高奇网络</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多趣网络</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链接世界</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29.74%</w:t>
            </w:r>
          </w:p>
        </w:tc>
      </w:tr>
    </w:tbl>
    <w:p>
      <w:pPr>
        <w:widowControl w:val="0"/>
        <w:spacing w:after="319" w:line="1" w:lineRule="exact"/>
      </w:pPr>
    </w:p>
    <w:p>
      <w:pPr>
        <w:pStyle w:val="Style37"/>
        <w:keepNext/>
        <w:keepLines/>
        <w:widowControl w:val="0"/>
        <w:shd w:val="clear" w:color="auto" w:fill="auto"/>
        <w:bidi w:val="0"/>
        <w:spacing w:before="0" w:after="260" w:line="240" w:lineRule="auto"/>
        <w:ind w:left="0" w:right="0" w:firstLine="0"/>
        <w:jc w:val="left"/>
      </w:pPr>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82"/>
      <w:bookmarkEnd w:id="1083"/>
      <w:bookmarkEnd w:id="1084"/>
    </w:p>
    <w:p>
      <w:pPr>
        <w:pStyle w:val="Style33"/>
        <w:keepNext w:val="0"/>
        <w:keepLines w:val="0"/>
        <w:widowControl w:val="0"/>
        <w:numPr>
          <w:ilvl w:val="0"/>
          <w:numId w:val="75"/>
        </w:numPr>
        <w:shd w:val="clear" w:color="auto" w:fill="auto"/>
        <w:tabs>
          <w:tab w:pos="841" w:val="left"/>
        </w:tabs>
        <w:bidi w:val="0"/>
        <w:spacing w:before="0" w:after="0" w:line="312" w:lineRule="exact"/>
        <w:ind w:left="0" w:right="0"/>
        <w:jc w:val="both"/>
      </w:pPr>
      <w:bookmarkStart w:id="1085" w:name="bookmark1085"/>
      <w:bookmarkEnd w:id="1085"/>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日通过审核取得深圳市科技创新委员会、深圳市财政局、国家税务总局深圳市税务局联合 颁发的《高新技术企业证书》，证书编号：</w:t>
      </w:r>
      <w:r>
        <w:rPr>
          <w:rFonts w:ascii="Times New Roman" w:eastAsia="Times New Roman" w:hAnsi="Times New Roman" w:cs="Times New Roman"/>
          <w:color w:val="000000"/>
          <w:spacing w:val="0"/>
          <w:w w:val="100"/>
          <w:position w:val="0"/>
        </w:rPr>
        <w:t>GR202044204473</w:t>
      </w:r>
      <w:r>
        <w:rPr>
          <w:color w:val="000000"/>
          <w:spacing w:val="0"/>
          <w:w w:val="100"/>
          <w:position w:val="0"/>
        </w:rPr>
        <w:t>；</w:t>
      </w:r>
      <w:r>
        <w:rPr>
          <w:color w:val="000000"/>
          <w:spacing w:val="0"/>
          <w:w w:val="100"/>
          <w:position w:val="0"/>
        </w:rPr>
        <w:t>根据高新技术企业所得税优惠政策，本公司</w:t>
      </w:r>
      <w:r>
        <w:rPr>
          <w:rFonts w:ascii="Times New Roman" w:eastAsia="Times New Roman" w:hAnsi="Times New Roman" w:cs="Times New Roman"/>
          <w:color w:val="000000"/>
          <w:spacing w:val="0"/>
          <w:w w:val="100"/>
          <w:position w:val="0"/>
        </w:rPr>
        <w:t>2020</w:t>
      </w:r>
      <w:r>
        <w:rPr>
          <w:color w:val="000000"/>
          <w:spacing w:val="0"/>
          <w:w w:val="100"/>
          <w:position w:val="0"/>
        </w:rPr>
        <w:t>至</w:t>
      </w:r>
      <w:r>
        <w:rPr>
          <w:rFonts w:ascii="Times New Roman" w:eastAsia="Times New Roman" w:hAnsi="Times New Roman" w:cs="Times New Roman"/>
          <w:color w:val="000000"/>
          <w:spacing w:val="0"/>
          <w:w w:val="100"/>
          <w:position w:val="0"/>
        </w:rPr>
        <w:t>2022</w:t>
      </w:r>
      <w:r>
        <w:rPr>
          <w:color w:val="000000"/>
          <w:spacing w:val="0"/>
          <w:w w:val="100"/>
          <w:position w:val="0"/>
        </w:rPr>
        <w:t>年执 行企业所得税率减按</w:t>
      </w:r>
      <w:r>
        <w:rPr>
          <w:rFonts w:ascii="Times New Roman" w:eastAsia="Times New Roman" w:hAnsi="Times New Roman" w:cs="Times New Roman"/>
          <w:color w:val="000000"/>
          <w:spacing w:val="0"/>
          <w:w w:val="100"/>
          <w:position w:val="0"/>
        </w:rPr>
        <w:t>15%</w:t>
      </w:r>
      <w:r>
        <w:rPr>
          <w:color w:val="000000"/>
          <w:spacing w:val="0"/>
          <w:w w:val="100"/>
          <w:position w:val="0"/>
        </w:rPr>
        <w:t>缴纳。</w:t>
      </w:r>
    </w:p>
    <w:p>
      <w:pPr>
        <w:pStyle w:val="Style33"/>
        <w:keepNext w:val="0"/>
        <w:keepLines w:val="0"/>
        <w:widowControl w:val="0"/>
        <w:numPr>
          <w:ilvl w:val="0"/>
          <w:numId w:val="75"/>
        </w:numPr>
        <w:shd w:val="clear" w:color="auto" w:fill="auto"/>
        <w:tabs>
          <w:tab w:pos="836" w:val="left"/>
        </w:tabs>
        <w:bidi w:val="0"/>
        <w:spacing w:before="0" w:after="0" w:line="312" w:lineRule="exact"/>
        <w:ind w:left="0" w:right="0"/>
        <w:jc w:val="both"/>
      </w:pPr>
      <w:bookmarkStart w:id="1086" w:name="bookmark1086"/>
      <w:bookmarkEnd w:id="1086"/>
      <w:r>
        <w:rPr>
          <w:color w:val="000000"/>
          <w:spacing w:val="0"/>
          <w:w w:val="100"/>
          <w:position w:val="0"/>
        </w:rPr>
        <w:t>喀什中汇联银依据《关于新疆喀什霍尔果斯两个特殊经济开发区企业所得税优惠政策的通知》(财税【</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 xml:space="preserve">112 </w:t>
      </w:r>
      <w:r>
        <w:rPr>
          <w:color w:val="000000"/>
          <w:spacing w:val="0"/>
          <w:w w:val="100"/>
          <w:position w:val="0"/>
        </w:rPr>
        <w:t>号)和《关于公布新疆困难地区重点鼓励发展产业企业所得税优惠目录(试行)的通知》(财税【</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60</w:t>
      </w:r>
      <w:r>
        <w:rPr>
          <w:color w:val="000000"/>
          <w:spacing w:val="0"/>
          <w:w w:val="100"/>
          <w:position w:val="0"/>
        </w:rPr>
        <w:t>号)文件的规定，</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《目录》范围内的企业，自取得第一笔生产经营收入所属纳税年度起，第一年至第五年免征企业所得税，免税期满后，再免 征企业五年所得税地方分享部分。</w:t>
      </w:r>
      <w:r>
        <w:rPr>
          <w:rFonts w:ascii="Times New Roman" w:eastAsia="Times New Roman" w:hAnsi="Times New Roman" w:cs="Times New Roman"/>
          <w:color w:val="000000"/>
          <w:spacing w:val="0"/>
          <w:w w:val="100"/>
          <w:position w:val="0"/>
        </w:rPr>
        <w:t>2020</w:t>
      </w:r>
      <w:r>
        <w:rPr>
          <w:color w:val="000000"/>
          <w:spacing w:val="0"/>
          <w:w w:val="100"/>
          <w:position w:val="0"/>
        </w:rPr>
        <w:t>年度为第五年享受该项优惠政策。</w:t>
      </w:r>
    </w:p>
    <w:p>
      <w:pPr>
        <w:pStyle w:val="Style33"/>
        <w:keepNext w:val="0"/>
        <w:keepLines w:val="0"/>
        <w:widowControl w:val="0"/>
        <w:numPr>
          <w:ilvl w:val="0"/>
          <w:numId w:val="75"/>
        </w:numPr>
        <w:shd w:val="clear" w:color="auto" w:fill="auto"/>
        <w:bidi w:val="0"/>
        <w:spacing w:before="0" w:after="0" w:line="312" w:lineRule="exact"/>
        <w:ind w:left="0" w:right="0"/>
        <w:jc w:val="both"/>
      </w:pPr>
      <w:bookmarkStart w:id="1087" w:name="bookmark1087"/>
      <w:bookmarkEnd w:id="1087"/>
      <w:r>
        <w:rPr>
          <w:color w:val="000000"/>
          <w:spacing w:val="0"/>
          <w:w w:val="100"/>
          <w:position w:val="0"/>
        </w:rPr>
        <w:t xml:space="preserve"> 哆可梦</w:t>
      </w:r>
      <w:r>
        <w:rPr>
          <w:rFonts w:ascii="Times New Roman" w:eastAsia="Times New Roman" w:hAnsi="Times New Roman" w:cs="Times New Roman"/>
          <w:color w:val="000000"/>
          <w:spacing w:val="0"/>
          <w:w w:val="100"/>
          <w:position w:val="0"/>
        </w:rPr>
        <w:t>2010</w:t>
      </w:r>
      <w:r>
        <w:rPr>
          <w:color w:val="000000"/>
          <w:spacing w:val="0"/>
          <w:w w:val="100"/>
          <w:position w:val="0"/>
        </w:rPr>
        <w:t>年通过四川省经济和信息化委员会的评审，符合《进一步鼓励软件产业和集成电路产业发展的若干政 策》和《软件企业认定管理办法》的有关规定，认定为软件企业，并于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日取得四川省经济和信息化委员会颁发 </w:t>
      </w:r>
      <w:r>
        <w:rPr>
          <w:rFonts w:ascii="Times New Roman" w:eastAsia="Times New Roman" w:hAnsi="Times New Roman" w:cs="Times New Roman"/>
          <w:color w:val="000000"/>
          <w:spacing w:val="0"/>
          <w:w w:val="100"/>
          <w:position w:val="0"/>
        </w:rPr>
        <w:t>“</w:t>
      </w:r>
      <w:r>
        <w:rPr>
          <w:color w:val="000000"/>
          <w:spacing w:val="0"/>
          <w:w w:val="100"/>
          <w:position w:val="0"/>
        </w:rPr>
        <w:t>证书编号：川</w:t>
      </w:r>
      <w:r>
        <w:rPr>
          <w:rFonts w:ascii="Times New Roman" w:eastAsia="Times New Roman" w:hAnsi="Times New Roman" w:cs="Times New Roman"/>
          <w:color w:val="000000"/>
          <w:spacing w:val="0"/>
          <w:w w:val="100"/>
          <w:position w:val="0"/>
        </w:rPr>
        <w:t>R-2010-0062”</w:t>
      </w:r>
      <w:r>
        <w:rPr>
          <w:color w:val="000000"/>
          <w:spacing w:val="0"/>
          <w:w w:val="100"/>
          <w:position w:val="0"/>
        </w:rPr>
        <w:t>的软件企业认定证书。哆可梦于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日取得由四川省科学技术厅、四川省财政局、四川省 国家税务局和四川省地方税务局批准颁发的高新技术企业证书，证书编号：</w:t>
      </w:r>
      <w:r>
        <w:rPr>
          <w:rFonts w:ascii="Times New Roman" w:eastAsia="Times New Roman" w:hAnsi="Times New Roman" w:cs="Times New Roman"/>
          <w:color w:val="000000"/>
          <w:spacing w:val="0"/>
          <w:w w:val="100"/>
          <w:position w:val="0"/>
        </w:rPr>
        <w:t>GF201551000053</w:t>
      </w:r>
      <w:r>
        <w:rPr>
          <w:color w:val="000000"/>
          <w:spacing w:val="0"/>
          <w:w w:val="100"/>
          <w:position w:val="0"/>
        </w:rPr>
        <w:t>,</w:t>
      </w:r>
      <w:r>
        <w:rPr>
          <w:color w:val="000000"/>
          <w:spacing w:val="0"/>
          <w:w w:val="100"/>
          <w:position w:val="0"/>
        </w:rPr>
        <w:t>认定为高新技术企业。哆可梦 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日再次取得由四川省科学技术厅、四川省财政局、四川省国家税务局和四川省地方税务局批准颁发的高新技 术企业证书，证书编号：</w:t>
      </w:r>
      <w:r>
        <w:rPr>
          <w:rFonts w:ascii="Times New Roman" w:eastAsia="Times New Roman" w:hAnsi="Times New Roman" w:cs="Times New Roman"/>
          <w:color w:val="000000"/>
          <w:spacing w:val="0"/>
          <w:w w:val="100"/>
          <w:position w:val="0"/>
        </w:rPr>
        <w:t>GR201851001239</w:t>
      </w:r>
      <w:r>
        <w:rPr>
          <w:color w:val="000000"/>
          <w:spacing w:val="0"/>
          <w:w w:val="100"/>
          <w:position w:val="0"/>
        </w:rPr>
        <w:t>，认定为高新技术企业。根据《中华人民共和国企业所得税法》以及国家对高新 技术企业的相关税收规定，经有关部门认定为高新技术企业的，可连续三年减按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%的税率征收所得税。哆可梦</w:t>
      </w:r>
      <w:r>
        <w:rPr>
          <w:rFonts w:ascii="Times New Roman" w:eastAsia="Times New Roman" w:hAnsi="Times New Roman" w:cs="Times New Roman"/>
          <w:color w:val="000000"/>
          <w:spacing w:val="0"/>
          <w:w w:val="100"/>
          <w:position w:val="0"/>
        </w:rPr>
        <w:t>2020</w:t>
      </w:r>
      <w:r>
        <w:rPr>
          <w:color w:val="000000"/>
          <w:spacing w:val="0"/>
          <w:w w:val="100"/>
          <w:position w:val="0"/>
        </w:rPr>
        <w:t>年度实 际按</w:t>
      </w:r>
      <w:r>
        <w:rPr>
          <w:rFonts w:ascii="Times New Roman" w:eastAsia="Times New Roman" w:hAnsi="Times New Roman" w:cs="Times New Roman"/>
          <w:color w:val="000000"/>
          <w:spacing w:val="0"/>
          <w:w w:val="100"/>
          <w:position w:val="0"/>
        </w:rPr>
        <w:t>15%</w:t>
      </w:r>
      <w:r>
        <w:rPr>
          <w:color w:val="000000"/>
          <w:spacing w:val="0"/>
          <w:w w:val="100"/>
          <w:position w:val="0"/>
        </w:rPr>
        <w:t>的税率缴纳企业所得税。</w:t>
      </w:r>
    </w:p>
    <w:p>
      <w:pPr>
        <w:pStyle w:val="Style33"/>
        <w:keepNext w:val="0"/>
        <w:keepLines w:val="0"/>
        <w:widowControl w:val="0"/>
        <w:numPr>
          <w:ilvl w:val="0"/>
          <w:numId w:val="75"/>
        </w:numPr>
        <w:shd w:val="clear" w:color="auto" w:fill="auto"/>
        <w:tabs>
          <w:tab w:pos="846" w:val="left"/>
        </w:tabs>
        <w:bidi w:val="0"/>
        <w:spacing w:before="0" w:after="0" w:line="312" w:lineRule="exact"/>
        <w:ind w:left="0" w:right="0"/>
        <w:jc w:val="both"/>
      </w:pPr>
      <w:bookmarkStart w:id="1088" w:name="bookmark1088"/>
      <w:bookmarkEnd w:id="1088"/>
      <w:r>
        <w:rPr>
          <w:color w:val="000000"/>
          <w:spacing w:val="0"/>
          <w:w w:val="100"/>
          <w:position w:val="0"/>
        </w:rPr>
        <w:t>旭梅网络成立时间为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月，主要经营范围为软件开发，通过上海市软件行业协会的评审，认定为软件企业， 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日取得上海市软件行业协会颁发</w:t>
      </w:r>
      <w:r>
        <w:rPr>
          <w:rFonts w:ascii="Times New Roman" w:eastAsia="Times New Roman" w:hAnsi="Times New Roman" w:cs="Times New Roman"/>
          <w:color w:val="000000"/>
          <w:spacing w:val="0"/>
          <w:w w:val="100"/>
          <w:position w:val="0"/>
        </w:rPr>
        <w:t>“</w:t>
      </w:r>
      <w:r>
        <w:rPr>
          <w:color w:val="000000"/>
          <w:spacing w:val="0"/>
          <w:w w:val="100"/>
          <w:position w:val="0"/>
        </w:rPr>
        <w:t>证书编号：沪</w:t>
      </w:r>
      <w:r>
        <w:rPr>
          <w:rFonts w:ascii="Times New Roman" w:eastAsia="Times New Roman" w:hAnsi="Times New Roman" w:cs="Times New Roman"/>
          <w:color w:val="000000"/>
          <w:spacing w:val="0"/>
          <w:w w:val="100"/>
          <w:position w:val="0"/>
        </w:rPr>
        <w:t>RQ-2016-0017”</w:t>
      </w:r>
      <w:r>
        <w:rPr>
          <w:color w:val="000000"/>
          <w:spacing w:val="0"/>
          <w:w w:val="100"/>
          <w:position w:val="0"/>
        </w:rPr>
        <w:t>的软件企业认定证书。根据财税</w:t>
      </w:r>
      <w:r>
        <w:rPr>
          <w:rFonts w:ascii="Times New Roman" w:eastAsia="Times New Roman" w:hAnsi="Times New Roman" w:cs="Times New Roman"/>
          <w:color w:val="000000"/>
          <w:spacing w:val="0"/>
          <w:w w:val="100"/>
          <w:position w:val="0"/>
        </w:rPr>
        <w:t>［2012］</w:t>
      </w:r>
      <w:r>
        <w:rPr>
          <w:color w:val="000000"/>
          <w:spacing w:val="0"/>
          <w:w w:val="100"/>
          <w:position w:val="0"/>
        </w:rPr>
        <w:t>第</w:t>
      </w:r>
      <w:r>
        <w:rPr>
          <w:rFonts w:ascii="Times New Roman" w:eastAsia="Times New Roman" w:hAnsi="Times New Roman" w:cs="Times New Roman"/>
          <w:color w:val="000000"/>
          <w:spacing w:val="0"/>
          <w:w w:val="100"/>
          <w:position w:val="0"/>
        </w:rPr>
        <w:t>27</w:t>
      </w:r>
      <w:r>
        <w:rPr>
          <w:color w:val="000000"/>
          <w:spacing w:val="0"/>
          <w:w w:val="100"/>
          <w:position w:val="0"/>
        </w:rPr>
        <w:t>号 文件第三条：我国境内新办的集成电路设计企业和符合条件的软件企业，经认定后，在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22"/>
          <w:szCs w:val="22"/>
        </w:rPr>
        <w:t>0</w:t>
      </w:r>
      <w:r>
        <w:rPr>
          <w:color w:val="000000"/>
          <w:spacing w:val="0"/>
          <w:w w:val="100"/>
          <w:position w:val="0"/>
        </w:rPr>
        <w:t>前自获利年度起计算 优惠期，第一年至第二年免征企业所得税，第三年至第五年按照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的法定税率减半征收企业所得税，并享受至期满为止。 旭梅网络</w:t>
      </w:r>
      <w:r>
        <w:rPr>
          <w:rFonts w:ascii="Times New Roman" w:eastAsia="Times New Roman" w:hAnsi="Times New Roman" w:cs="Times New Roman"/>
          <w:color w:val="000000"/>
          <w:spacing w:val="0"/>
          <w:w w:val="100"/>
          <w:position w:val="0"/>
        </w:rPr>
        <w:t>2015</w:t>
      </w:r>
      <w:r>
        <w:rPr>
          <w:color w:val="000000"/>
          <w:spacing w:val="0"/>
          <w:w w:val="100"/>
          <w:position w:val="0"/>
        </w:rPr>
        <w:t>年处于亏损期，无需缴纳所得税；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2017</w:t>
      </w:r>
      <w:r>
        <w:rPr>
          <w:color w:val="000000"/>
          <w:spacing w:val="0"/>
          <w:w w:val="100"/>
          <w:position w:val="0"/>
        </w:rPr>
        <w:t>年度免征企业所得税。</w:t>
      </w:r>
      <w:r>
        <w:rPr>
          <w:rFonts w:ascii="Times New Roman" w:eastAsia="Times New Roman" w:hAnsi="Times New Roman" w:cs="Times New Roman"/>
          <w:color w:val="000000"/>
          <w:spacing w:val="0"/>
          <w:w w:val="100"/>
          <w:position w:val="0"/>
        </w:rPr>
        <w:t>2018</w:t>
      </w:r>
      <w:r>
        <w:rPr>
          <w:color w:val="000000"/>
          <w:spacing w:val="0"/>
          <w:w w:val="100"/>
          <w:position w:val="0"/>
        </w:rPr>
        <w:t>年度至</w:t>
      </w:r>
      <w:r>
        <w:rPr>
          <w:rFonts w:ascii="Times New Roman" w:eastAsia="Times New Roman" w:hAnsi="Times New Roman" w:cs="Times New Roman"/>
          <w:color w:val="000000"/>
          <w:spacing w:val="0"/>
          <w:w w:val="100"/>
          <w:position w:val="0"/>
        </w:rPr>
        <w:t>2020</w:t>
      </w:r>
      <w:r>
        <w:rPr>
          <w:color w:val="000000"/>
          <w:spacing w:val="0"/>
          <w:w w:val="100"/>
          <w:position w:val="0"/>
        </w:rPr>
        <w:t>年度减半按</w:t>
      </w:r>
      <w:r>
        <w:rPr>
          <w:rFonts w:ascii="Times New Roman" w:eastAsia="Times New Roman" w:hAnsi="Times New Roman" w:cs="Times New Roman"/>
          <w:color w:val="000000"/>
          <w:spacing w:val="0"/>
          <w:w w:val="100"/>
          <w:position w:val="0"/>
        </w:rPr>
        <w:t>12.5%</w:t>
      </w:r>
      <w:r>
        <w:rPr>
          <w:color w:val="000000"/>
          <w:spacing w:val="0"/>
          <w:w w:val="100"/>
          <w:position w:val="0"/>
        </w:rPr>
        <w:t>征收 企业所得税。</w:t>
      </w:r>
    </w:p>
    <w:p>
      <w:pPr>
        <w:pStyle w:val="Style33"/>
        <w:keepNext w:val="0"/>
        <w:keepLines w:val="0"/>
        <w:widowControl w:val="0"/>
        <w:numPr>
          <w:ilvl w:val="0"/>
          <w:numId w:val="75"/>
        </w:numPr>
        <w:shd w:val="clear" w:color="auto" w:fill="auto"/>
        <w:bidi w:val="0"/>
        <w:spacing w:before="0" w:after="0" w:line="312" w:lineRule="exact"/>
        <w:ind w:left="0" w:right="0"/>
        <w:jc w:val="both"/>
      </w:pPr>
      <w:bookmarkStart w:id="1089" w:name="bookmark1089"/>
      <w:bookmarkEnd w:id="1089"/>
      <w:r>
        <w:rPr>
          <w:color w:val="000000"/>
          <w:spacing w:val="0"/>
          <w:w w:val="100"/>
          <w:position w:val="0"/>
        </w:rPr>
        <w:t xml:space="preserve"> 吉乾科技成立时间为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月，主要经营范围为软件开发，通过四川省经济和信息化委员会的评审，符合《进一 步鼓励软件产业和集成电路产业发展的若干政策》和《软件企业认定管理办法》的有关规定，认定为软件企业。根据财税 </w:t>
      </w:r>
      <w:r>
        <w:rPr>
          <w:rFonts w:ascii="Times New Roman" w:eastAsia="Times New Roman" w:hAnsi="Times New Roman" w:cs="Times New Roman"/>
          <w:color w:val="000000"/>
          <w:spacing w:val="0"/>
          <w:w w:val="100"/>
          <w:position w:val="0"/>
        </w:rPr>
        <w:t>［2012］</w:t>
      </w:r>
      <w:r>
        <w:rPr>
          <w:color w:val="000000"/>
          <w:spacing w:val="0"/>
          <w:w w:val="100"/>
          <w:position w:val="0"/>
        </w:rPr>
        <w:t>第</w:t>
      </w:r>
      <w:r>
        <w:rPr>
          <w:rFonts w:ascii="Times New Roman" w:eastAsia="Times New Roman" w:hAnsi="Times New Roman" w:cs="Times New Roman"/>
          <w:color w:val="000000"/>
          <w:spacing w:val="0"/>
          <w:w w:val="100"/>
          <w:position w:val="0"/>
        </w:rPr>
        <w:t>27</w:t>
      </w:r>
      <w:r>
        <w:rPr>
          <w:color w:val="000000"/>
          <w:spacing w:val="0"/>
          <w:w w:val="100"/>
          <w:position w:val="0"/>
        </w:rPr>
        <w:t>号第三条：我国境内新办的集成电路设计企业和符合条件的软件企业，经认定后，在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日前自获利年 度起计算优惠期，第一年至第二年免征企业所得税，第三年至第五年按照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的法定税率减半征收企业所得税，并享受至期 满为止。吉乾科技于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日取得由四川省科学技术厅、四川省财政局、四川省国家税务局和四川省地方税务局批准 颁发的高新技术企业证书，证书编号：</w:t>
      </w:r>
      <w:r>
        <w:rPr>
          <w:rFonts w:ascii="Times New Roman" w:eastAsia="Times New Roman" w:hAnsi="Times New Roman" w:cs="Times New Roman"/>
          <w:color w:val="000000"/>
          <w:spacing w:val="0"/>
          <w:w w:val="100"/>
          <w:position w:val="0"/>
        </w:rPr>
        <w:t>GF201651000123</w:t>
      </w:r>
      <w:r>
        <w:rPr>
          <w:color w:val="000000"/>
          <w:spacing w:val="0"/>
          <w:w w:val="100"/>
          <w:position w:val="0"/>
        </w:rPr>
        <w:t>,</w:t>
      </w:r>
      <w:r>
        <w:rPr>
          <w:color w:val="000000"/>
          <w:spacing w:val="0"/>
          <w:w w:val="100"/>
          <w:position w:val="0"/>
        </w:rPr>
        <w:t>认定为高新技术企业。根据《中华人民共和国企业所得税法》以及 国家对高新技术企业的相关税收规定，经有关部门认定为高新技术企业的，可连续三年减按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%的税率征收所得税。吉乾科 技</w:t>
      </w:r>
      <w:r>
        <w:rPr>
          <w:rFonts w:ascii="Times New Roman" w:eastAsia="Times New Roman" w:hAnsi="Times New Roman" w:cs="Times New Roman"/>
          <w:color w:val="000000"/>
          <w:spacing w:val="0"/>
          <w:w w:val="100"/>
          <w:position w:val="0"/>
        </w:rPr>
        <w:t>2015</w:t>
      </w:r>
      <w:r>
        <w:rPr>
          <w:color w:val="000000"/>
          <w:spacing w:val="0"/>
          <w:w w:val="100"/>
          <w:position w:val="0"/>
        </w:rPr>
        <w:t>年亏损，</w:t>
      </w:r>
      <w:r>
        <w:rPr>
          <w:rFonts w:ascii="Times New Roman" w:eastAsia="Times New Roman" w:hAnsi="Times New Roman" w:cs="Times New Roman"/>
          <w:color w:val="000000"/>
          <w:spacing w:val="0"/>
          <w:w w:val="100"/>
          <w:position w:val="0"/>
        </w:rPr>
        <w:t>2016</w:t>
      </w:r>
      <w:r>
        <w:rPr>
          <w:color w:val="000000"/>
          <w:spacing w:val="0"/>
          <w:w w:val="100"/>
          <w:position w:val="0"/>
        </w:rPr>
        <w:t>年开始盈利，即从</w:t>
      </w:r>
      <w:r>
        <w:rPr>
          <w:rFonts w:ascii="Times New Roman" w:eastAsia="Times New Roman" w:hAnsi="Times New Roman" w:cs="Times New Roman"/>
          <w:color w:val="000000"/>
          <w:spacing w:val="0"/>
          <w:w w:val="100"/>
          <w:position w:val="0"/>
        </w:rPr>
        <w:t>2016</w:t>
      </w:r>
      <w:r>
        <w:rPr>
          <w:color w:val="000000"/>
          <w:spacing w:val="0"/>
          <w:w w:val="100"/>
          <w:position w:val="0"/>
        </w:rPr>
        <w:t>年度和</w:t>
      </w:r>
      <w:r>
        <w:rPr>
          <w:rFonts w:ascii="Times New Roman" w:eastAsia="Times New Roman" w:hAnsi="Times New Roman" w:cs="Times New Roman"/>
          <w:color w:val="000000"/>
          <w:spacing w:val="0"/>
          <w:w w:val="100"/>
          <w:position w:val="0"/>
        </w:rPr>
        <w:t>2017</w:t>
      </w:r>
      <w:r>
        <w:rPr>
          <w:color w:val="000000"/>
          <w:spacing w:val="0"/>
          <w:w w:val="100"/>
          <w:position w:val="0"/>
        </w:rPr>
        <w:t>年度享受软件企业免征企业所得税的优惠。</w:t>
      </w:r>
      <w:r>
        <w:rPr>
          <w:rFonts w:ascii="Times New Roman" w:eastAsia="Times New Roman" w:hAnsi="Times New Roman" w:cs="Times New Roman"/>
          <w:color w:val="000000"/>
          <w:spacing w:val="0"/>
          <w:w w:val="100"/>
          <w:position w:val="0"/>
        </w:rPr>
        <w:t>2018</w:t>
      </w:r>
      <w:r>
        <w:rPr>
          <w:color w:val="000000"/>
          <w:spacing w:val="0"/>
          <w:w w:val="100"/>
          <w:position w:val="0"/>
        </w:rPr>
        <w:t>年度至</w:t>
      </w:r>
      <w:r>
        <w:rPr>
          <w:rFonts w:ascii="Times New Roman" w:eastAsia="Times New Roman" w:hAnsi="Times New Roman" w:cs="Times New Roman"/>
          <w:color w:val="000000"/>
          <w:spacing w:val="0"/>
          <w:w w:val="100"/>
          <w:position w:val="0"/>
        </w:rPr>
        <w:t>2020</w:t>
      </w:r>
      <w:r>
        <w:rPr>
          <w:color w:val="000000"/>
          <w:spacing w:val="0"/>
          <w:w w:val="100"/>
          <w:position w:val="0"/>
        </w:rPr>
        <w:t>年度减半 按</w:t>
      </w:r>
      <w:r>
        <w:rPr>
          <w:rFonts w:ascii="Times New Roman" w:eastAsia="Times New Roman" w:hAnsi="Times New Roman" w:cs="Times New Roman"/>
          <w:color w:val="000000"/>
          <w:spacing w:val="0"/>
          <w:w w:val="100"/>
          <w:position w:val="0"/>
        </w:rPr>
        <w:t>12.5%</w:t>
      </w:r>
      <w:r>
        <w:rPr>
          <w:color w:val="000000"/>
          <w:spacing w:val="0"/>
          <w:w w:val="100"/>
          <w:position w:val="0"/>
        </w:rPr>
        <w:t>征收企业所得税。</w:t>
      </w:r>
    </w:p>
    <w:p>
      <w:pPr>
        <w:pStyle w:val="Style33"/>
        <w:keepNext w:val="0"/>
        <w:keepLines w:val="0"/>
        <w:widowControl w:val="0"/>
        <w:numPr>
          <w:ilvl w:val="0"/>
          <w:numId w:val="75"/>
        </w:numPr>
        <w:shd w:val="clear" w:color="auto" w:fill="auto"/>
        <w:bidi w:val="0"/>
        <w:spacing w:before="0" w:after="0" w:line="312" w:lineRule="exact"/>
        <w:ind w:left="0" w:right="0"/>
        <w:jc w:val="both"/>
      </w:pPr>
      <w:bookmarkStart w:id="1090" w:name="bookmark1090"/>
      <w:bookmarkEnd w:id="1090"/>
      <w:r>
        <w:rPr>
          <w:color w:val="000000"/>
          <w:spacing w:val="0"/>
          <w:w w:val="100"/>
          <w:position w:val="0"/>
        </w:rPr>
        <w:t xml:space="preserve"> 华向文化成立时间为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月，根据财税</w:t>
      </w:r>
      <w:r>
        <w:rPr>
          <w:rFonts w:ascii="Times New Roman" w:eastAsia="Times New Roman" w:hAnsi="Times New Roman" w:cs="Times New Roman"/>
          <w:color w:val="000000"/>
          <w:spacing w:val="0"/>
          <w:w w:val="100"/>
          <w:position w:val="0"/>
        </w:rPr>
        <w:t>［2012］</w:t>
      </w:r>
      <w:r>
        <w:rPr>
          <w:color w:val="000000"/>
          <w:spacing w:val="0"/>
          <w:w w:val="100"/>
          <w:position w:val="0"/>
        </w:rPr>
        <w:t>第</w:t>
      </w:r>
      <w:r>
        <w:rPr>
          <w:rFonts w:ascii="Times New Roman" w:eastAsia="Times New Roman" w:hAnsi="Times New Roman" w:cs="Times New Roman"/>
          <w:color w:val="000000"/>
          <w:spacing w:val="0"/>
          <w:w w:val="100"/>
          <w:position w:val="0"/>
        </w:rPr>
        <w:t>27</w:t>
      </w:r>
      <w:r>
        <w:rPr>
          <w:color w:val="000000"/>
          <w:spacing w:val="0"/>
          <w:w w:val="100"/>
          <w:position w:val="0"/>
        </w:rPr>
        <w:t>号第三条，</w:t>
      </w:r>
      <w:r>
        <w:rPr>
          <w:rFonts w:ascii="Times New Roman" w:eastAsia="Times New Roman" w:hAnsi="Times New Roman" w:cs="Times New Roman"/>
          <w:color w:val="000000"/>
          <w:spacing w:val="0"/>
          <w:w w:val="100"/>
          <w:position w:val="0"/>
        </w:rPr>
        <w:t>［2019］</w:t>
      </w:r>
      <w:r>
        <w:rPr>
          <w:color w:val="000000"/>
          <w:spacing w:val="0"/>
          <w:w w:val="100"/>
          <w:position w:val="0"/>
        </w:rPr>
        <w:t>第</w:t>
      </w:r>
      <w:r>
        <w:rPr>
          <w:rFonts w:ascii="Times New Roman" w:eastAsia="Times New Roman" w:hAnsi="Times New Roman" w:cs="Times New Roman"/>
          <w:color w:val="000000"/>
          <w:spacing w:val="0"/>
          <w:w w:val="100"/>
          <w:position w:val="0"/>
        </w:rPr>
        <w:t>68</w:t>
      </w:r>
      <w:r>
        <w:rPr>
          <w:color w:val="000000"/>
          <w:spacing w:val="0"/>
          <w:w w:val="100"/>
          <w:position w:val="0"/>
        </w:rPr>
        <w:t>号文件：我国境内新办的集成电路设 计企业和符合条件的软件企业，经认定后，在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sz w:val="22"/>
          <w:szCs w:val="22"/>
        </w:rPr>
        <w:t>0</w:t>
      </w:r>
      <w:r>
        <w:rPr>
          <w:color w:val="000000"/>
          <w:spacing w:val="0"/>
          <w:w w:val="100"/>
          <w:position w:val="0"/>
        </w:rPr>
        <w:t>前自获利年度起计算优惠期，第一年至第二年免征企业所得税， 第三年至第五年按照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的法定税率减半征收企业所得税，并享受至期满为止。华向文化</w:t>
      </w:r>
      <w:r>
        <w:rPr>
          <w:rFonts w:ascii="Times New Roman" w:eastAsia="Times New Roman" w:hAnsi="Times New Roman" w:cs="Times New Roman"/>
          <w:color w:val="000000"/>
          <w:spacing w:val="0"/>
          <w:w w:val="100"/>
          <w:position w:val="0"/>
        </w:rPr>
        <w:t>2018</w:t>
      </w:r>
      <w:r>
        <w:rPr>
          <w:color w:val="000000"/>
          <w:spacing w:val="0"/>
          <w:w w:val="100"/>
          <w:position w:val="0"/>
        </w:rPr>
        <w:t>年开始盈利，</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2019</w:t>
      </w:r>
      <w:r>
        <w:rPr>
          <w:color w:val="000000"/>
          <w:spacing w:val="0"/>
          <w:w w:val="100"/>
          <w:position w:val="0"/>
        </w:rPr>
        <w:t>年 享受软件企业免征企业所得税的优惠</w:t>
      </w:r>
      <w:r>
        <w:rPr>
          <w:rFonts w:ascii="Times New Roman" w:eastAsia="Times New Roman" w:hAnsi="Times New Roman" w:cs="Times New Roman"/>
          <w:color w:val="000000"/>
          <w:spacing w:val="0"/>
          <w:w w:val="100"/>
          <w:position w:val="0"/>
        </w:rPr>
        <w:t>,2020</w:t>
      </w:r>
      <w:r>
        <w:rPr>
          <w:color w:val="000000"/>
          <w:spacing w:val="0"/>
          <w:w w:val="100"/>
          <w:position w:val="0"/>
        </w:rPr>
        <w:t>年度减半按</w:t>
      </w:r>
      <w:r>
        <w:rPr>
          <w:rFonts w:ascii="Times New Roman" w:eastAsia="Times New Roman" w:hAnsi="Times New Roman" w:cs="Times New Roman"/>
          <w:color w:val="000000"/>
          <w:spacing w:val="0"/>
          <w:w w:val="100"/>
          <w:position w:val="0"/>
        </w:rPr>
        <w:t>12.5%</w:t>
      </w:r>
      <w:r>
        <w:rPr>
          <w:color w:val="000000"/>
          <w:spacing w:val="0"/>
          <w:w w:val="100"/>
          <w:position w:val="0"/>
        </w:rPr>
        <w:t>征收企业所得税；</w:t>
      </w:r>
    </w:p>
    <w:p>
      <w:pPr>
        <w:pStyle w:val="Style33"/>
        <w:keepNext w:val="0"/>
        <w:keepLines w:val="0"/>
        <w:widowControl w:val="0"/>
        <w:numPr>
          <w:ilvl w:val="0"/>
          <w:numId w:val="75"/>
        </w:numPr>
        <w:shd w:val="clear" w:color="auto" w:fill="auto"/>
        <w:bidi w:val="0"/>
        <w:spacing w:before="0" w:after="0" w:line="312" w:lineRule="exact"/>
        <w:ind w:left="0" w:right="0"/>
        <w:jc w:val="both"/>
      </w:pPr>
      <w:bookmarkStart w:id="1091" w:name="bookmark1091"/>
      <w:bookmarkEnd w:id="1091"/>
      <w:r>
        <w:rPr>
          <w:color w:val="000000"/>
          <w:spacing w:val="0"/>
          <w:w w:val="100"/>
          <w:position w:val="0"/>
        </w:rPr>
        <w:t xml:space="preserve"> 游湛网络成立时间为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月，根据财税</w:t>
      </w:r>
      <w:r>
        <w:rPr>
          <w:rFonts w:ascii="Times New Roman" w:eastAsia="Times New Roman" w:hAnsi="Times New Roman" w:cs="Times New Roman"/>
          <w:color w:val="000000"/>
          <w:spacing w:val="0"/>
          <w:w w:val="100"/>
          <w:position w:val="0"/>
        </w:rPr>
        <w:t>［2012］</w:t>
      </w:r>
      <w:r>
        <w:rPr>
          <w:color w:val="000000"/>
          <w:spacing w:val="0"/>
          <w:w w:val="100"/>
          <w:position w:val="0"/>
        </w:rPr>
        <w:t>第</w:t>
      </w:r>
      <w:r>
        <w:rPr>
          <w:rFonts w:ascii="Times New Roman" w:eastAsia="Times New Roman" w:hAnsi="Times New Roman" w:cs="Times New Roman"/>
          <w:color w:val="000000"/>
          <w:spacing w:val="0"/>
          <w:w w:val="100"/>
          <w:position w:val="0"/>
        </w:rPr>
        <w:t>27</w:t>
      </w:r>
      <w:r>
        <w:rPr>
          <w:color w:val="000000"/>
          <w:spacing w:val="0"/>
          <w:w w:val="100"/>
          <w:position w:val="0"/>
        </w:rPr>
        <w:t>号第三条，</w:t>
      </w:r>
      <w:r>
        <w:rPr>
          <w:rFonts w:ascii="Times New Roman" w:eastAsia="Times New Roman" w:hAnsi="Times New Roman" w:cs="Times New Roman"/>
          <w:color w:val="000000"/>
          <w:spacing w:val="0"/>
          <w:w w:val="100"/>
          <w:position w:val="0"/>
        </w:rPr>
        <w:t>［2019］</w:t>
      </w:r>
      <w:r>
        <w:rPr>
          <w:color w:val="000000"/>
          <w:spacing w:val="0"/>
          <w:w w:val="100"/>
          <w:position w:val="0"/>
        </w:rPr>
        <w:t>第</w:t>
      </w:r>
      <w:r>
        <w:rPr>
          <w:rFonts w:ascii="Times New Roman" w:eastAsia="Times New Roman" w:hAnsi="Times New Roman" w:cs="Times New Roman"/>
          <w:color w:val="000000"/>
          <w:spacing w:val="0"/>
          <w:w w:val="100"/>
          <w:position w:val="0"/>
        </w:rPr>
        <w:t>68</w:t>
      </w:r>
      <w:r>
        <w:rPr>
          <w:color w:val="000000"/>
          <w:spacing w:val="0"/>
          <w:w w:val="100"/>
          <w:position w:val="0"/>
        </w:rPr>
        <w:t xml:space="preserve">号文件：我国境内新办的集成电路设 </w:t>
      </w:r>
      <w:r>
        <w:rPr>
          <w:color w:val="000000"/>
          <w:spacing w:val="0"/>
          <w:w w:val="100"/>
          <w:position w:val="0"/>
        </w:rPr>
        <w:t>计企业和符合条件的软件企业，经认定后，在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日前自获利年度起计算优惠期，第一年至第二年免征企业所得税， 第三年至第五年按照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的法定税率减半征收企业所得税，并享受至期满为止。游湛网络</w:t>
      </w:r>
      <w:r>
        <w:rPr>
          <w:rFonts w:ascii="Times New Roman" w:eastAsia="Times New Roman" w:hAnsi="Times New Roman" w:cs="Times New Roman"/>
          <w:color w:val="000000"/>
          <w:spacing w:val="0"/>
          <w:w w:val="100"/>
          <w:position w:val="0"/>
        </w:rPr>
        <w:t>2018</w:t>
      </w:r>
      <w:r>
        <w:rPr>
          <w:color w:val="000000"/>
          <w:spacing w:val="0"/>
          <w:w w:val="100"/>
          <w:position w:val="0"/>
        </w:rPr>
        <w:t>年开始盈利，</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2019</w:t>
      </w:r>
      <w:r>
        <w:rPr>
          <w:color w:val="000000"/>
          <w:spacing w:val="0"/>
          <w:w w:val="100"/>
          <w:position w:val="0"/>
        </w:rPr>
        <w:t>年 享受软件企业免征企业所得税的优惠</w:t>
      </w:r>
      <w:r>
        <w:rPr>
          <w:rFonts w:ascii="Times New Roman" w:eastAsia="Times New Roman" w:hAnsi="Times New Roman" w:cs="Times New Roman"/>
          <w:color w:val="000000"/>
          <w:spacing w:val="0"/>
          <w:w w:val="100"/>
          <w:position w:val="0"/>
        </w:rPr>
        <w:t>,2020</w:t>
      </w:r>
      <w:r>
        <w:rPr>
          <w:color w:val="000000"/>
          <w:spacing w:val="0"/>
          <w:w w:val="100"/>
          <w:position w:val="0"/>
        </w:rPr>
        <w:t>年度减半按</w:t>
      </w:r>
      <w:r>
        <w:rPr>
          <w:rFonts w:ascii="Times New Roman" w:eastAsia="Times New Roman" w:hAnsi="Times New Roman" w:cs="Times New Roman"/>
          <w:color w:val="000000"/>
          <w:spacing w:val="0"/>
          <w:w w:val="100"/>
          <w:position w:val="0"/>
        </w:rPr>
        <w:t>12.5%</w:t>
      </w:r>
      <w:r>
        <w:rPr>
          <w:color w:val="000000"/>
          <w:spacing w:val="0"/>
          <w:w w:val="100"/>
          <w:position w:val="0"/>
        </w:rPr>
        <w:t>征收企业所得税；</w:t>
      </w:r>
    </w:p>
    <w:p>
      <w:pPr>
        <w:pStyle w:val="Style33"/>
        <w:keepNext w:val="0"/>
        <w:keepLines w:val="0"/>
        <w:widowControl w:val="0"/>
        <w:numPr>
          <w:ilvl w:val="0"/>
          <w:numId w:val="75"/>
        </w:numPr>
        <w:shd w:val="clear" w:color="auto" w:fill="auto"/>
        <w:tabs>
          <w:tab w:pos="901" w:val="left"/>
        </w:tabs>
        <w:bidi w:val="0"/>
        <w:spacing w:before="0" w:after="0" w:line="314" w:lineRule="exact"/>
        <w:ind w:left="0" w:right="0"/>
        <w:jc w:val="both"/>
      </w:pPr>
      <w:bookmarkStart w:id="1092" w:name="bookmark1092"/>
      <w:bookmarkEnd w:id="1092"/>
      <w:r>
        <w:rPr>
          <w:color w:val="000000"/>
          <w:spacing w:val="0"/>
          <w:w w:val="100"/>
          <w:position w:val="0"/>
        </w:rPr>
        <w:t>一零电力、零玖电力、铁匣电力、高奇网络、缘中缘网络、致合世纪、多趣网络符合小型微利企业标准，企业所 得减按</w:t>
      </w:r>
      <w:r>
        <w:rPr>
          <w:rFonts w:ascii="Times New Roman" w:eastAsia="Times New Roman" w:hAnsi="Times New Roman" w:cs="Times New Roman"/>
          <w:color w:val="000000"/>
          <w:spacing w:val="0"/>
          <w:w w:val="100"/>
          <w:position w:val="0"/>
        </w:rPr>
        <w:t>25%</w:t>
      </w:r>
      <w:r>
        <w:rPr>
          <w:color w:val="000000"/>
          <w:spacing w:val="0"/>
          <w:w w:val="100"/>
          <w:position w:val="0"/>
        </w:rPr>
        <w:t>或</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33"/>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7"/>
        <w:keepNext/>
        <w:keepLines/>
        <w:widowControl w:val="0"/>
        <w:shd w:val="clear" w:color="auto" w:fill="auto"/>
        <w:bidi w:val="0"/>
        <w:spacing w:before="0" w:line="240" w:lineRule="auto"/>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3</w:t>
      </w:r>
      <w:bookmarkEnd w:id="1095"/>
      <w:r>
        <w:rPr>
          <w:color w:val="000000"/>
          <w:spacing w:val="0"/>
          <w:w w:val="100"/>
          <w:position w:val="0"/>
        </w:rPr>
        <w:t>、其他</w:t>
      </w:r>
      <w:bookmarkEnd w:id="1093"/>
      <w:bookmarkEnd w:id="1094"/>
      <w:bookmarkEnd w:id="1096"/>
    </w:p>
    <w:p>
      <w:pPr>
        <w:pStyle w:val="Style29"/>
        <w:keepNext/>
        <w:keepLines/>
        <w:widowControl w:val="0"/>
        <w:shd w:val="clear" w:color="auto" w:fill="auto"/>
        <w:bidi w:val="0"/>
        <w:spacing w:before="0" w:after="360" w:line="240" w:lineRule="auto"/>
        <w:ind w:left="0" w:right="0" w:firstLine="0"/>
        <w:jc w:val="left"/>
      </w:pPr>
      <w:bookmarkStart w:id="1097" w:name="bookmark1097"/>
      <w:bookmarkStart w:id="1098" w:name="bookmark1098"/>
      <w:bookmarkStart w:id="1099" w:name="bookmark1099"/>
      <w:bookmarkStart w:id="1100" w:name="bookmark1100"/>
      <w:r>
        <w:rPr>
          <w:color w:val="000000"/>
          <w:spacing w:val="0"/>
          <w:w w:val="100"/>
          <w:position w:val="0"/>
          <w:sz w:val="24"/>
          <w:szCs w:val="24"/>
        </w:rPr>
        <w:t>七</w:t>
      </w:r>
      <w:bookmarkEnd w:id="1099"/>
      <w:r>
        <w:rPr>
          <w:color w:val="000000"/>
          <w:spacing w:val="0"/>
          <w:w w:val="100"/>
          <w:position w:val="0"/>
          <w:sz w:val="24"/>
          <w:szCs w:val="24"/>
        </w:rPr>
        <w:t>、合并财务报表项目注释</w:t>
      </w:r>
      <w:bookmarkEnd w:id="1097"/>
      <w:bookmarkEnd w:id="1098"/>
      <w:bookmarkEnd w:id="1100"/>
    </w:p>
    <w:p>
      <w:pPr>
        <w:pStyle w:val="Style37"/>
        <w:keepNext/>
        <w:keepLines/>
        <w:widowControl w:val="0"/>
        <w:shd w:val="clear" w:color="auto" w:fill="auto"/>
        <w:bidi w:val="0"/>
        <w:spacing w:before="0" w:line="240" w:lineRule="auto"/>
        <w:ind w:left="0" w:right="0" w:firstLine="0"/>
        <w:jc w:val="left"/>
      </w:pPr>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01"/>
      <w:bookmarkEnd w:id="1102"/>
      <w:bookmarkEnd w:id="110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27,384.03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66,274,611.33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200,623,398.47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48,795,688.05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49,944,997.94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115,070,299.38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250,595,780.44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15,318,388.32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15,443,210.97</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因抵押、质押或冻结等对使用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61,606,498.44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35,805,047.15</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bl>
      <w:tblPr>
        <w:tblOverlap w:val="never"/>
        <w:jc w:val="center"/>
        <w:tblLayout w:type="fixed"/>
      </w:tblPr>
      <w:tblGrid>
        <w:gridCol w:w="3221"/>
        <w:gridCol w:w="3206"/>
        <w:gridCol w:w="3221"/>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34,086,236.70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31,147,790.95</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1,886,421.16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4,657,256.20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司法冻结资金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21,133,840.58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61,606,498.44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35,805,047.15</w:t>
            </w:r>
          </w:p>
        </w:tc>
      </w:tr>
    </w:tbl>
    <w:p>
      <w:pPr>
        <w:pStyle w:val="Style33"/>
        <w:keepNext w:val="0"/>
        <w:keepLines w:val="0"/>
        <w:widowControl w:val="0"/>
        <w:shd w:val="clear" w:color="auto" w:fill="auto"/>
        <w:bidi w:val="0"/>
        <w:spacing w:before="0" w:after="360" w:line="322"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日，其他货币资金中人民币</w:t>
      </w:r>
      <w:r>
        <w:rPr>
          <w:rFonts w:ascii="Times New Roman" w:eastAsia="Times New Roman" w:hAnsi="Times New Roman" w:cs="Times New Roman"/>
          <w:color w:val="000000"/>
          <w:spacing w:val="0"/>
          <w:w w:val="100"/>
          <w:position w:val="0"/>
        </w:rPr>
        <w:t>1,886,421.16</w:t>
      </w:r>
      <w:r>
        <w:rPr>
          <w:color w:val="000000"/>
          <w:spacing w:val="0"/>
          <w:w w:val="100"/>
          <w:position w:val="0"/>
        </w:rPr>
        <w:t>元为本公司向银行申请开具无条件、不可撤销的担保函所存 入的保证金存款。</w:t>
      </w:r>
    </w:p>
    <w:p>
      <w:pPr>
        <w:pStyle w:val="Style37"/>
        <w:keepNext/>
        <w:keepLines/>
        <w:widowControl w:val="0"/>
        <w:shd w:val="clear" w:color="auto" w:fill="auto"/>
        <w:bidi w:val="0"/>
        <w:spacing w:before="0" w:line="240" w:lineRule="auto"/>
        <w:ind w:left="0" w:right="0" w:firstLine="0"/>
        <w:jc w:val="left"/>
      </w:pPr>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104"/>
      <w:bookmarkEnd w:id="1105"/>
      <w:bookmarkEnd w:id="110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5"/>
        <w:gridCol w:w="2837"/>
        <w:gridCol w:w="266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259,381,030.19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247,020,013.70</w:t>
            </w:r>
          </w:p>
        </w:tc>
      </w:tr>
    </w:tbl>
    <w:p>
      <w:pPr>
        <w:spacing w:lineRule="exact" w:line="1"/>
        <w:rPr>
          <w:sz w:val="2"/>
          <w:szCs w:val="2"/>
        </w:rPr>
      </w:pPr>
      <w:r>
        <w:br w:type="page"/>
      </w:r>
    </w:p>
    <w:tbl>
      <w:tblPr>
        <w:tblOverlap w:val="never"/>
        <w:jc w:val="center"/>
        <w:tblLayout w:type="fixed"/>
      </w:tblPr>
      <w:tblGrid>
        <w:gridCol w:w="4085"/>
        <w:gridCol w:w="2837"/>
        <w:gridCol w:w="2664"/>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12,361,016.49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259,381,030.19</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3</w:t>
      </w:r>
      <w:bookmarkEnd w:id="1109"/>
      <w:r>
        <w:rPr>
          <w:color w:val="000000"/>
          <w:spacing w:val="0"/>
          <w:w w:val="100"/>
          <w:position w:val="0"/>
        </w:rPr>
        <w:t>、应收票据</w:t>
      </w:r>
      <w:bookmarkEnd w:id="1107"/>
      <w:bookmarkEnd w:id="1108"/>
      <w:bookmarkEnd w:id="1110"/>
    </w:p>
    <w:p>
      <w:pPr>
        <w:pStyle w:val="Style37"/>
        <w:keepNext/>
        <w:keepLines/>
        <w:widowControl w:val="0"/>
        <w:numPr>
          <w:ilvl w:val="0"/>
          <w:numId w:val="77"/>
        </w:numPr>
        <w:shd w:val="clear" w:color="auto" w:fill="auto"/>
        <w:bidi w:val="0"/>
        <w:spacing w:before="0" w:line="240" w:lineRule="auto"/>
        <w:ind w:left="0" w:right="0" w:firstLine="0"/>
        <w:jc w:val="left"/>
      </w:pPr>
      <w:bookmarkStart w:id="1107" w:name="bookmark1107"/>
      <w:bookmarkStart w:id="1108" w:name="bookmark1108"/>
      <w:bookmarkStart w:id="1111" w:name="bookmark1111"/>
      <w:bookmarkStart w:id="1112" w:name="bookmark1112"/>
      <w:bookmarkEnd w:id="1111"/>
      <w:r>
        <w:rPr>
          <w:color w:val="000000"/>
          <w:spacing w:val="0"/>
          <w:w w:val="100"/>
          <w:position w:val="0"/>
        </w:rPr>
        <w:t>应收票据分类列示</w:t>
      </w:r>
      <w:bookmarkEnd w:id="1107"/>
      <w:bookmarkEnd w:id="1108"/>
      <w:bookmarkEnd w:id="111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18,336,625.57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22,544,788.62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1,446,655.54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14,152,949.53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19,783,281.11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36,697,738.15</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70"/>
        <w:gridCol w:w="1133"/>
        <w:gridCol w:w="706"/>
        <w:gridCol w:w="571"/>
        <w:gridCol w:w="706"/>
        <w:gridCol w:w="1133"/>
        <w:gridCol w:w="1138"/>
        <w:gridCol w:w="701"/>
        <w:gridCol w:w="432"/>
        <w:gridCol w:w="850"/>
        <w:gridCol w:w="1248"/>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按组合计提 坏账准备的 应收票据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19,783,281.11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19,783,281.11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36,697,738.15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36,697,738.15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19,783,281.11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19,783,281.11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36,697,738.15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36,697,738.15</w:t>
            </w:r>
          </w:p>
        </w:tc>
      </w:tr>
    </w:tbl>
    <w:p>
      <w:pPr>
        <w:pStyle w:val="Style3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numPr>
          <w:ilvl w:val="0"/>
          <w:numId w:val="77"/>
        </w:numPr>
        <w:shd w:val="clear" w:color="auto" w:fill="auto"/>
        <w:bidi w:val="0"/>
        <w:spacing w:before="0" w:line="240" w:lineRule="auto"/>
        <w:ind w:left="0" w:right="0" w:firstLine="0"/>
        <w:jc w:val="left"/>
      </w:pPr>
      <w:bookmarkStart w:id="1113" w:name="bookmark1113"/>
      <w:bookmarkStart w:id="1114" w:name="bookmark1114"/>
      <w:bookmarkStart w:id="1115" w:name="bookmark1115"/>
      <w:bookmarkStart w:id="1116" w:name="bookmark1116"/>
      <w:bookmarkEnd w:id="1115"/>
      <w:r>
        <w:rPr>
          <w:color w:val="000000"/>
          <w:spacing w:val="0"/>
          <w:w w:val="100"/>
          <w:position w:val="0"/>
        </w:rPr>
        <w:t>期末公司已背书或贴现且在资产负债表日尚未到期的应收票据</w:t>
      </w:r>
      <w:bookmarkEnd w:id="1113"/>
      <w:bookmarkEnd w:id="1114"/>
      <w:bookmarkEnd w:id="111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2,581,266.21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2,410,468.01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4,991,734.22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sectPr>
          <w:headerReference w:type="default" r:id="rId33"/>
          <w:footerReference w:type="default" r:id="rId34"/>
          <w:footnotePr>
            <w:pos w:val="pageBottom"/>
            <w:numFmt w:val="decimal"/>
            <w:numRestart w:val="continuous"/>
          </w:footnotePr>
          <w:pgSz w:w="11900" w:h="16840"/>
          <w:pgMar w:top="1378" w:right="1060" w:bottom="1440" w:left="1067" w:header="0" w:footer="3" w:gutter="0"/>
          <w:cols w:space="720"/>
          <w:noEndnote/>
          <w:rtlGutter w:val="0"/>
          <w:docGrid w:linePitch="360"/>
        </w:sectPr>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4</w:t>
      </w:r>
      <w:bookmarkEnd w:id="1119"/>
      <w:r>
        <w:rPr>
          <w:color w:val="000000"/>
          <w:spacing w:val="0"/>
          <w:w w:val="100"/>
          <w:position w:val="0"/>
        </w:rPr>
        <w:t>、应收账款</w:t>
      </w:r>
      <w:bookmarkEnd w:id="1117"/>
      <w:bookmarkEnd w:id="1118"/>
      <w:bookmarkEnd w:id="1120"/>
    </w:p>
    <w:p>
      <w:pPr>
        <w:pStyle w:val="Style37"/>
        <w:keepNext/>
        <w:keepLines/>
        <w:widowControl w:val="0"/>
        <w:numPr>
          <w:ilvl w:val="0"/>
          <w:numId w:val="79"/>
        </w:numPr>
        <w:shd w:val="clear" w:color="auto" w:fill="auto"/>
        <w:bidi w:val="0"/>
        <w:spacing w:before="0" w:line="240" w:lineRule="auto"/>
        <w:ind w:left="0" w:right="0" w:firstLine="0"/>
        <w:jc w:val="left"/>
      </w:pPr>
      <w:bookmarkStart w:id="1121" w:name="bookmark1121"/>
      <w:bookmarkStart w:id="1122" w:name="bookmark1122"/>
      <w:bookmarkStart w:id="1123" w:name="bookmark1123"/>
      <w:bookmarkStart w:id="1124" w:name="bookmark1124"/>
      <w:bookmarkEnd w:id="1123"/>
      <w:r>
        <w:rPr>
          <w:color w:val="000000"/>
          <w:spacing w:val="0"/>
          <w:w w:val="100"/>
          <w:position w:val="0"/>
        </w:rPr>
        <w:t>应收账款分类披露</w:t>
      </w:r>
      <w:bookmarkEnd w:id="1121"/>
      <w:bookmarkEnd w:id="1122"/>
      <w:bookmarkEnd w:id="1124"/>
    </w:p>
    <w:p>
      <w:pPr>
        <w:pStyle w:val="Style31"/>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1560"/>
        <w:gridCol w:w="1493"/>
        <w:gridCol w:w="1027"/>
        <w:gridCol w:w="1622"/>
        <w:gridCol w:w="1051"/>
        <w:gridCol w:w="1205"/>
        <w:gridCol w:w="1181"/>
        <w:gridCol w:w="1157"/>
        <w:gridCol w:w="1157"/>
        <w:gridCol w:w="1152"/>
        <w:gridCol w:w="1363"/>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129,890,632.21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15,173,953.44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114,716,678.77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363,216,693.41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41,783,966.05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321,432,727.36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129,890,632.21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15,173,953.44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114,716,678.77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363,216,693.41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41,783,966.05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321,432,727.36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129,890,632.21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15,173,953.44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11.68%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114,716,678.77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363,216,693.41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41,783,966.05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321,432,727.36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1,259,511.25</w:t>
      </w:r>
    </w:p>
    <w:p>
      <w:pPr>
        <w:widowControl w:val="0"/>
        <w:spacing w:after="99" w:line="1" w:lineRule="exact"/>
      </w:pPr>
    </w:p>
    <w:p>
      <w:pPr>
        <w:pStyle w:val="Style31"/>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3494"/>
        <w:gridCol w:w="3490"/>
        <w:gridCol w:w="3485"/>
        <w:gridCol w:w="3499"/>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14,160,243.93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396,060.59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740" w:right="0" w:firstLine="0"/>
              <w:jc w:val="both"/>
            </w:pPr>
            <w:r>
              <w:rPr>
                <w:rFonts w:ascii="Times New Roman" w:eastAsia="Times New Roman" w:hAnsi="Times New Roman" w:cs="Times New Roman"/>
                <w:color w:val="000000"/>
                <w:spacing w:val="0"/>
                <w:w w:val="100"/>
                <w:position w:val="0"/>
              </w:rPr>
              <w:t>19,803.03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14,556,304.52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740" w:right="0" w:firstLine="0"/>
              <w:jc w:val="both"/>
            </w:pPr>
            <w:r>
              <w:rPr>
                <w:rFonts w:ascii="Times New Roman" w:eastAsia="Times New Roman" w:hAnsi="Times New Roman" w:cs="Times New Roman"/>
                <w:color w:val="000000"/>
                <w:spacing w:val="0"/>
                <w:w w:val="100"/>
                <w:position w:val="0"/>
              </w:rPr>
              <w:t>19,803.03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2,606,621.83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260,662.18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4,632,458.96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926,491.79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52,554.25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740" w:right="0" w:firstLine="0"/>
              <w:jc w:val="both"/>
            </w:pPr>
            <w:r>
              <w:rPr>
                <w:rFonts w:ascii="Times New Roman" w:eastAsia="Times New Roman" w:hAnsi="Times New Roman" w:cs="Times New Roman"/>
                <w:color w:val="000000"/>
                <w:spacing w:val="0"/>
                <w:w w:val="100"/>
                <w:position w:val="0"/>
              </w:rPr>
              <w:t>52,554.25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21,847,939.56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1,259,511.25</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20" w:line="240" w:lineRule="auto"/>
        <w:ind w:left="0" w:right="0" w:firstLine="0"/>
        <w:jc w:val="left"/>
        <w:sectPr>
          <w:headerReference w:type="default" r:id="rId35"/>
          <w:footerReference w:type="default" r:id="rId36"/>
          <w:footnotePr>
            <w:pos w:val="pageBottom"/>
            <w:numFmt w:val="decimal"/>
            <w:numRestart w:val="continuous"/>
          </w:footnotePr>
          <w:pgSz w:w="16840" w:h="11900" w:orient="landscape"/>
          <w:pgMar w:top="1158" w:right="1417" w:bottom="1158" w:left="1422" w:header="0" w:footer="3" w:gutter="0"/>
          <w:cols w:space="720"/>
          <w:noEndnote/>
          <w:rtlGutter w:val="0"/>
          <w:docGrid w:linePitch="360"/>
        </w:sectPr>
      </w:pPr>
      <w:r>
        <w:rPr>
          <w:color w:val="000000"/>
          <w:spacing w:val="0"/>
          <w:w w:val="100"/>
          <w:position w:val="0"/>
        </w:rPr>
        <w:t>组合计提项目：游戏事业</w:t>
      </w:r>
    </w:p>
    <w:p>
      <w:pPr>
        <w:pStyle w:val="Style54"/>
        <w:keepNext w:val="0"/>
        <w:keepLines w:val="0"/>
        <w:widowControl w:val="0"/>
        <w:shd w:val="clear" w:color="auto" w:fill="auto"/>
        <w:bidi w:val="0"/>
        <w:spacing w:before="80" w:line="240" w:lineRule="auto"/>
        <w:ind w:left="0" w:right="0" w:firstLine="0"/>
        <w:jc w:val="left"/>
      </w:pPr>
      <w:r>
        <w:rPr>
          <w:rFonts w:ascii="SimSun" w:eastAsia="SimSun" w:hAnsi="SimSun" w:cs="SimSun"/>
          <w:color w:val="000000"/>
          <w:spacing w:val="0"/>
          <w:w w:val="100"/>
          <w:position w:val="0"/>
        </w:rPr>
        <w:t>按组合计提坏账准备：</w:t>
      </w:r>
      <w:r>
        <w:rPr>
          <w:color w:val="000000"/>
          <w:spacing w:val="0"/>
          <w:w w:val="100"/>
          <w:position w:val="0"/>
        </w:rPr>
        <w:t>13,914,442.19</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46,902,429.62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800,809.84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21,737,569.37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1,350,034.95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25,732,755.25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2,206,551.84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5,227,683.56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1,175,060.53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164,948.42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104,678.60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8,277,306.43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8,277,306.43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108,042,692.65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13,914,442.19</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组合计提项目：电气事业及其他</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61,458,734.14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14,160,243.93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47,298,490.21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24,344,191.20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30,365,214.21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13,722,492.66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5,280,237.81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164,948.42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8,277,306.43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129,890,632.21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widowControl w:val="0"/>
        <w:spacing w:after="359" w:line="1" w:lineRule="exact"/>
      </w:pPr>
    </w:p>
    <w:p>
      <w:pPr>
        <w:pStyle w:val="Style37"/>
        <w:keepNext/>
        <w:keepLines/>
        <w:widowControl w:val="0"/>
        <w:numPr>
          <w:ilvl w:val="0"/>
          <w:numId w:val="79"/>
        </w:numPr>
        <w:shd w:val="clear" w:color="auto" w:fill="auto"/>
        <w:bidi w:val="0"/>
        <w:spacing w:before="0" w:line="240" w:lineRule="auto"/>
        <w:ind w:left="0" w:right="0" w:firstLine="0"/>
        <w:jc w:val="left"/>
      </w:pPr>
      <w:bookmarkStart w:id="1125" w:name="bookmark1125"/>
      <w:bookmarkStart w:id="1126" w:name="bookmark1126"/>
      <w:bookmarkStart w:id="1127" w:name="bookmark1127"/>
      <w:bookmarkStart w:id="1128" w:name="bookmark1128"/>
      <w:bookmarkEnd w:id="1127"/>
      <w:r>
        <w:rPr>
          <w:color w:val="000000"/>
          <w:spacing w:val="0"/>
          <w:w w:val="100"/>
          <w:position w:val="0"/>
        </w:rPr>
        <w:t>本期计提、收回或转回的坏账准备情况</w:t>
      </w:r>
      <w:bookmarkEnd w:id="1125"/>
      <w:bookmarkEnd w:id="1126"/>
      <w:bookmarkEnd w:id="1128"/>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102"/>
        <w:gridCol w:w="1416"/>
        <w:gridCol w:w="1421"/>
        <w:gridCol w:w="1555"/>
        <w:gridCol w:w="1138"/>
        <w:gridCol w:w="850"/>
        <w:gridCol w:w="1109"/>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2102"/>
        <w:gridCol w:w="1416"/>
        <w:gridCol w:w="1421"/>
        <w:gridCol w:w="1555"/>
        <w:gridCol w:w="1138"/>
        <w:gridCol w:w="850"/>
        <w:gridCol w:w="1109"/>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按账龄组合计提坏账准备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41,783,966.05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-8,545,249.85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17,866,180.28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198,582.48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15,173,953.44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41,783,966.05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-8,545,249.85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17,866,180.28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198,582.48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15,173,953.44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收回方式</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1,100,000.00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银行回款</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4,845,971.31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银行回款</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2,403,579.46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银行回款</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1,872,044.58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银行回款</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1,794,477.51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银行回款</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1,561,975.60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银行回款</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13,578,048.46</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w:t>
      </w:r>
      <w:bookmarkEnd w:id="113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29"/>
      <w:bookmarkEnd w:id="1130"/>
      <w:bookmarkEnd w:id="113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注销、放弃税金</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198,582.48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70"/>
        <w:gridCol w:w="1272"/>
        <w:gridCol w:w="1560"/>
        <w:gridCol w:w="1704"/>
        <w:gridCol w:w="1982"/>
        <w:gridCol w:w="209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款项是否由关联交易产生</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3,770.48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放弃税金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内部审批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194,812.00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内部审批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198,582.48</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w:t>
      </w:r>
      <w:bookmarkEnd w:id="113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33"/>
      <w:bookmarkEnd w:id="1134"/>
      <w:bookmarkEnd w:id="113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13,969,826.24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1,097,755.77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8,514,432.00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649,155.58</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6,111,646.07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5,724,574.52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90,554.54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4,911,334.25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143,703.83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39,231,813.08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5</w:t>
      </w:r>
      <w:bookmarkEnd w:id="1139"/>
      <w:r>
        <w:rPr>
          <w:color w:val="000000"/>
          <w:spacing w:val="0"/>
          <w:w w:val="100"/>
          <w:position w:val="0"/>
        </w:rPr>
        <w:t>、预付款项</w:t>
      </w:r>
      <w:bookmarkEnd w:id="1137"/>
      <w:bookmarkEnd w:id="1138"/>
      <w:bookmarkEnd w:id="1140"/>
    </w:p>
    <w:p>
      <w:pPr>
        <w:pStyle w:val="Style37"/>
        <w:keepNext/>
        <w:keepLines/>
        <w:widowControl w:val="0"/>
        <w:shd w:val="clear" w:color="auto" w:fill="auto"/>
        <w:bidi w:val="0"/>
        <w:spacing w:before="0" w:after="340" w:line="240" w:lineRule="auto"/>
        <w:ind w:left="0" w:right="0" w:firstLine="0"/>
        <w:jc w:val="left"/>
      </w:pPr>
      <w:bookmarkStart w:id="1137" w:name="bookmark1137"/>
      <w:bookmarkStart w:id="1138" w:name="bookmark1138"/>
      <w:bookmarkStart w:id="1141" w:name="bookmark1141"/>
      <w:bookmarkStart w:id="1142" w:name="bookmark1142"/>
      <w:r>
        <w:rPr>
          <w:color w:val="000000"/>
          <w:spacing w:val="0"/>
          <w:w w:val="100"/>
          <w:position w:val="0"/>
        </w:rPr>
        <w:t>（</w:t>
      </w:r>
      <w:bookmarkEnd w:id="114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37"/>
      <w:bookmarkEnd w:id="1138"/>
      <w:bookmarkEnd w:id="114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320,089,733.62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74.74%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334,510,701.02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88,678,995.14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46,792,349.48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18,934,682.96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13,340,688.55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566,959.22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11,616.73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428,270,370.94</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394,655,355.78</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tbl>
      <w:tblPr>
        <w:tblOverlap w:val="never"/>
        <w:jc w:val="center"/>
        <w:tblLayout w:type="fixed"/>
      </w:tblPr>
      <w:tblGrid>
        <w:gridCol w:w="2285"/>
        <w:gridCol w:w="1704"/>
        <w:gridCol w:w="2554"/>
        <w:gridCol w:w="3134"/>
      </w:tblGrid>
      <w:tr>
        <w:trPr>
          <w:trHeight w:val="355" w:hRule="exact"/>
        </w:trPr>
        <w:tc>
          <w:tcPr>
            <w:tcBorders>
              <w:top w:val="single" w:sz="4"/>
              <w:left w:val="single" w:sz="4"/>
            </w:tcBorders>
            <w:shd w:val="clear" w:color="auto" w:fill="C0C0C0"/>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346" w:hRule="exact"/>
        </w:trPr>
        <w:tc>
          <w:tcPr>
            <w:tcBorders>
              <w:top w:val="single" w:sz="4"/>
              <w:left w:val="single" w:sz="4"/>
            </w:tcBorders>
            <w:shd w:val="clear" w:color="auto" w:fill="C0C0C0"/>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预付推广费，尚未开始消耗</w:t>
            </w:r>
          </w:p>
        </w:tc>
      </w:tr>
      <w:tr>
        <w:trPr>
          <w:trHeight w:val="346" w:hRule="exact"/>
        </w:trPr>
        <w:tc>
          <w:tcPr>
            <w:tcBorders>
              <w:top w:val="single" w:sz="4"/>
              <w:left w:val="single" w:sz="4"/>
            </w:tcBorders>
            <w:shd w:val="clear" w:color="auto" w:fill="C0C0C0"/>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16,344,745.56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color w:val="000000"/>
                <w:spacing w:val="0"/>
                <w:w w:val="100"/>
                <w:position w:val="0"/>
              </w:rPr>
              <w:t>预付推广费，尚未结算</w:t>
            </w:r>
          </w:p>
        </w:tc>
      </w:tr>
      <w:tr>
        <w:trPr>
          <w:trHeight w:val="350" w:hRule="exact"/>
        </w:trPr>
        <w:tc>
          <w:tcPr>
            <w:tcBorders>
              <w:top w:val="single" w:sz="4"/>
              <w:left w:val="single" w:sz="4"/>
            </w:tcBorders>
            <w:shd w:val="clear" w:color="auto" w:fill="C0C0C0"/>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11,263,053.00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color w:val="000000"/>
                <w:spacing w:val="0"/>
                <w:w w:val="100"/>
                <w:position w:val="0"/>
              </w:rPr>
              <w:t>预付推广费，尚未结算</w:t>
            </w:r>
          </w:p>
        </w:tc>
      </w:tr>
      <w:tr>
        <w:trPr>
          <w:trHeight w:val="346" w:hRule="exact"/>
        </w:trPr>
        <w:tc>
          <w:tcPr>
            <w:tcBorders>
              <w:top w:val="single" w:sz="4"/>
              <w:left w:val="single" w:sz="4"/>
            </w:tcBorders>
            <w:shd w:val="clear" w:color="auto" w:fill="C0C0C0"/>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预付研发分成，游戏尚未上线</w:t>
            </w:r>
          </w:p>
        </w:tc>
      </w:tr>
      <w:tr>
        <w:trPr>
          <w:trHeight w:val="346" w:hRule="exact"/>
        </w:trPr>
        <w:tc>
          <w:tcPr>
            <w:tcBorders>
              <w:top w:val="single" w:sz="4"/>
              <w:left w:val="single" w:sz="4"/>
            </w:tcBorders>
            <w:shd w:val="clear" w:color="auto" w:fill="C0C0C0"/>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预付推广费，尚未开始消耗</w:t>
            </w:r>
          </w:p>
        </w:tc>
      </w:tr>
      <w:tr>
        <w:trPr>
          <w:trHeight w:val="350" w:hRule="exact"/>
        </w:trPr>
        <w:tc>
          <w:tcPr>
            <w:tcBorders>
              <w:top w:val="single" w:sz="4"/>
              <w:left w:val="single" w:sz="4"/>
            </w:tcBorders>
            <w:shd w:val="clear" w:color="auto" w:fill="C0C0C0"/>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第六名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7,960,168.22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color w:val="000000"/>
                <w:spacing w:val="0"/>
                <w:w w:val="100"/>
                <w:position w:val="0"/>
              </w:rPr>
              <w:t>预付推广费，尚未结算</w:t>
            </w:r>
          </w:p>
        </w:tc>
      </w:tr>
      <w:tr>
        <w:trPr>
          <w:trHeight w:val="346" w:hRule="exact"/>
        </w:trPr>
        <w:tc>
          <w:tcPr>
            <w:tcBorders>
              <w:top w:val="single" w:sz="4"/>
              <w:left w:val="single" w:sz="4"/>
            </w:tcBorders>
            <w:shd w:val="clear" w:color="auto" w:fill="C0C0C0"/>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第七名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预付研发分成，游戏尚未上线</w:t>
            </w:r>
          </w:p>
        </w:tc>
      </w:tr>
      <w:tr>
        <w:trPr>
          <w:trHeight w:val="346" w:hRule="exact"/>
        </w:trPr>
        <w:tc>
          <w:tcPr>
            <w:tcBorders>
              <w:top w:val="single" w:sz="4"/>
              <w:left w:val="single" w:sz="4"/>
            </w:tcBorders>
            <w:shd w:val="clear" w:color="auto" w:fill="C0C0C0"/>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第八名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5,112,196.11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color w:val="000000"/>
                <w:spacing w:val="0"/>
                <w:w w:val="100"/>
                <w:position w:val="0"/>
              </w:rPr>
              <w:t>尚未消耗完毕的推广费</w:t>
            </w:r>
          </w:p>
        </w:tc>
      </w:tr>
      <w:tr>
        <w:trPr>
          <w:trHeight w:val="350" w:hRule="exact"/>
        </w:trPr>
        <w:tc>
          <w:tcPr>
            <w:tcBorders>
              <w:top w:val="single" w:sz="4"/>
              <w:left w:val="single" w:sz="4"/>
            </w:tcBorders>
            <w:shd w:val="clear" w:color="auto" w:fill="C0C0C0"/>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第九名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预付研发分成，游戏尚未上线</w:t>
            </w:r>
          </w:p>
        </w:tc>
      </w:tr>
      <w:tr>
        <w:trPr>
          <w:trHeight w:val="355" w:hRule="exact"/>
        </w:trPr>
        <w:tc>
          <w:tcPr>
            <w:tcBorders>
              <w:top w:val="single" w:sz="4"/>
              <w:left w:val="single" w:sz="4"/>
              <w:bottom w:val="single" w:sz="4"/>
            </w:tcBorders>
            <w:shd w:val="clear" w:color="auto" w:fill="C0C0C0"/>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92,680,162.89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619" w:line="1" w:lineRule="exact"/>
      </w:pPr>
    </w:p>
    <w:p>
      <w:pPr>
        <w:pStyle w:val="Style37"/>
        <w:keepNext/>
        <w:keepLines/>
        <w:widowControl w:val="0"/>
        <w:shd w:val="clear" w:color="auto" w:fill="auto"/>
        <w:bidi w:val="0"/>
        <w:spacing w:before="0" w:after="340" w:line="240" w:lineRule="auto"/>
        <w:ind w:left="0" w:right="0" w:firstLine="14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w:t>
      </w:r>
      <w:bookmarkEnd w:id="114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43"/>
      <w:bookmarkEnd w:id="1144"/>
      <w:bookmarkEnd w:id="1146"/>
    </w:p>
    <w:tbl>
      <w:tblPr>
        <w:tblOverlap w:val="never"/>
        <w:jc w:val="center"/>
        <w:tblLayout w:type="fixed"/>
      </w:tblPr>
      <w:tblGrid>
        <w:gridCol w:w="845"/>
        <w:gridCol w:w="1555"/>
        <w:gridCol w:w="1987"/>
        <w:gridCol w:w="2794"/>
        <w:gridCol w:w="1037"/>
        <w:gridCol w:w="1622"/>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color w:val="000000"/>
                <w:spacing w:val="0"/>
                <w:w w:val="100"/>
                <w:position w:val="0"/>
              </w:rPr>
              <w:t>与本公司关系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占预付款项期末余额合计数的比例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预付款时间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346" w:hRule="exact"/>
        </w:trPr>
        <w:tc>
          <w:tcPr>
            <w:tcBorders>
              <w:top w:val="single" w:sz="4"/>
              <w:left w:val="single" w:sz="4"/>
            </w:tcBorders>
            <w:shd w:val="clear" w:color="auto" w:fill="C0C0C0"/>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71,485,643.27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16.69%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未到结算时间</w:t>
            </w:r>
          </w:p>
        </w:tc>
      </w:tr>
      <w:tr>
        <w:trPr>
          <w:trHeight w:val="346" w:hRule="exact"/>
        </w:trPr>
        <w:tc>
          <w:tcPr>
            <w:tcBorders>
              <w:top w:val="single" w:sz="4"/>
              <w:left w:val="single" w:sz="4"/>
            </w:tcBorders>
            <w:shd w:val="clear" w:color="auto" w:fill="C0C0C0"/>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50,764,431.56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11.85%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未到结算时间</w:t>
            </w:r>
          </w:p>
        </w:tc>
      </w:tr>
      <w:tr>
        <w:trPr>
          <w:trHeight w:val="346" w:hRule="exact"/>
        </w:trPr>
        <w:tc>
          <w:tcPr>
            <w:tcBorders>
              <w:top w:val="single" w:sz="4"/>
              <w:left w:val="single" w:sz="4"/>
            </w:tcBorders>
            <w:shd w:val="clear" w:color="auto" w:fill="C0C0C0"/>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43,554,678.33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2019-2020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未到结算时间</w:t>
            </w:r>
          </w:p>
        </w:tc>
      </w:tr>
      <w:tr>
        <w:trPr>
          <w:trHeight w:val="350" w:hRule="exact"/>
        </w:trPr>
        <w:tc>
          <w:tcPr>
            <w:tcBorders>
              <w:top w:val="single" w:sz="4"/>
              <w:left w:val="single" w:sz="4"/>
            </w:tcBorders>
            <w:shd w:val="clear" w:color="auto" w:fill="C0C0C0"/>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43,106,573.98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未到结算时间</w:t>
            </w:r>
          </w:p>
        </w:tc>
      </w:tr>
      <w:tr>
        <w:trPr>
          <w:trHeight w:val="346" w:hRule="exact"/>
        </w:trPr>
        <w:tc>
          <w:tcPr>
            <w:tcBorders>
              <w:top w:val="single" w:sz="4"/>
              <w:left w:val="single" w:sz="4"/>
            </w:tcBorders>
            <w:shd w:val="clear" w:color="auto" w:fill="C0C0C0"/>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31,283,277.76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2019-2020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未到结算时间</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240,194,604.90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6</w:t>
      </w:r>
      <w:bookmarkEnd w:id="1149"/>
      <w:r>
        <w:rPr>
          <w:color w:val="000000"/>
          <w:spacing w:val="0"/>
          <w:w w:val="100"/>
          <w:position w:val="0"/>
        </w:rPr>
        <w:t>、其他应收款</w:t>
      </w:r>
      <w:bookmarkEnd w:id="1147"/>
      <w:bookmarkEnd w:id="1148"/>
      <w:bookmarkEnd w:id="1150"/>
    </w:p>
    <w:p>
      <w:pPr>
        <w:pStyle w:val="Style33"/>
        <w:keepNext w:val="0"/>
        <w:keepLines w:val="0"/>
        <w:widowControl w:val="0"/>
        <w:shd w:val="clear" w:color="auto" w:fill="auto"/>
        <w:bidi w:val="0"/>
        <w:spacing w:before="0" w:after="360" w:line="240" w:lineRule="auto"/>
        <w:ind w:left="0" w:right="16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40,901.92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47,638.36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328,317,460.49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318,294,539.38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328,358,362.41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318,342,177.74</w:t>
            </w:r>
          </w:p>
        </w:tc>
      </w:tr>
    </w:tbl>
    <w:p>
      <w:pPr>
        <w:widowControl w:val="0"/>
        <w:spacing w:after="359" w:line="1" w:lineRule="exact"/>
      </w:pPr>
    </w:p>
    <w:p>
      <w:pPr>
        <w:pStyle w:val="Style37"/>
        <w:keepNext/>
        <w:keepLines/>
        <w:widowControl w:val="0"/>
        <w:numPr>
          <w:ilvl w:val="0"/>
          <w:numId w:val="81"/>
        </w:numPr>
        <w:shd w:val="clear" w:color="auto" w:fill="auto"/>
        <w:bidi w:val="0"/>
        <w:spacing w:before="0" w:line="240" w:lineRule="auto"/>
        <w:ind w:left="0" w:right="0" w:firstLine="0"/>
        <w:jc w:val="left"/>
      </w:pPr>
      <w:bookmarkStart w:id="1151" w:name="bookmark1151"/>
      <w:bookmarkStart w:id="1152" w:name="bookmark1152"/>
      <w:bookmarkStart w:id="1153" w:name="bookmark1153"/>
      <w:bookmarkStart w:id="1154" w:name="bookmark1154"/>
      <w:bookmarkEnd w:id="1153"/>
      <w:r>
        <w:rPr>
          <w:color w:val="000000"/>
          <w:spacing w:val="0"/>
          <w:w w:val="100"/>
          <w:position w:val="0"/>
        </w:rPr>
        <w:t>应收利息</w:t>
      </w:r>
      <w:bookmarkEnd w:id="1151"/>
      <w:bookmarkEnd w:id="1152"/>
      <w:bookmarkEnd w:id="1154"/>
    </w:p>
    <w:p>
      <w:pPr>
        <w:pStyle w:val="Style37"/>
        <w:keepNext/>
        <w:keepLines/>
        <w:widowControl w:val="0"/>
        <w:numPr>
          <w:ilvl w:val="0"/>
          <w:numId w:val="83"/>
        </w:numPr>
        <w:shd w:val="clear" w:color="auto" w:fill="auto"/>
        <w:bidi w:val="0"/>
        <w:spacing w:before="0" w:line="240" w:lineRule="auto"/>
        <w:ind w:left="0" w:right="0" w:firstLine="0"/>
        <w:jc w:val="left"/>
      </w:pPr>
      <w:bookmarkStart w:id="1151" w:name="bookmark1151"/>
      <w:bookmarkStart w:id="1152" w:name="bookmark1152"/>
      <w:bookmarkStart w:id="1155" w:name="bookmark1155"/>
      <w:bookmarkStart w:id="1156" w:name="bookmark1156"/>
      <w:bookmarkEnd w:id="1155"/>
      <w:r>
        <w:rPr>
          <w:color w:val="000000"/>
          <w:spacing w:val="0"/>
          <w:w w:val="100"/>
          <w:position w:val="0"/>
        </w:rPr>
        <w:t>应收利息分类</w:t>
      </w:r>
      <w:bookmarkEnd w:id="1151"/>
      <w:bookmarkEnd w:id="1152"/>
      <w:bookmarkEnd w:id="115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40,901.92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47,638.36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40,901.92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47,638.36</w:t>
            </w:r>
          </w:p>
        </w:tc>
      </w:tr>
    </w:tbl>
    <w:p>
      <w:pPr>
        <w:widowControl w:val="0"/>
        <w:spacing w:after="359" w:line="1" w:lineRule="exact"/>
      </w:pPr>
    </w:p>
    <w:p>
      <w:pPr>
        <w:pStyle w:val="Style37"/>
        <w:keepNext/>
        <w:keepLines/>
        <w:widowControl w:val="0"/>
        <w:numPr>
          <w:ilvl w:val="0"/>
          <w:numId w:val="83"/>
        </w:numPr>
        <w:shd w:val="clear" w:color="auto" w:fill="auto"/>
        <w:bidi w:val="0"/>
        <w:spacing w:before="0" w:line="240" w:lineRule="auto"/>
        <w:ind w:left="0" w:right="0" w:firstLine="0"/>
        <w:jc w:val="left"/>
      </w:pPr>
      <w:bookmarkStart w:id="1157" w:name="bookmark1157"/>
      <w:bookmarkStart w:id="1158" w:name="bookmark1158"/>
      <w:bookmarkStart w:id="1159" w:name="bookmark1159"/>
      <w:bookmarkStart w:id="1160" w:name="bookmark1160"/>
      <w:bookmarkEnd w:id="1159"/>
      <w:r>
        <w:rPr>
          <w:color w:val="000000"/>
          <w:spacing w:val="0"/>
          <w:w w:val="100"/>
          <w:position w:val="0"/>
        </w:rPr>
        <w:t>坏账准备计提情况</w:t>
      </w:r>
      <w:bookmarkEnd w:id="1157"/>
      <w:bookmarkEnd w:id="1158"/>
      <w:bookmarkEnd w:id="1160"/>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numPr>
          <w:ilvl w:val="0"/>
          <w:numId w:val="81"/>
        </w:numPr>
        <w:shd w:val="clear" w:color="auto" w:fill="auto"/>
        <w:bidi w:val="0"/>
        <w:spacing w:before="0" w:line="240" w:lineRule="auto"/>
        <w:ind w:left="0" w:right="0" w:firstLine="0"/>
        <w:jc w:val="left"/>
      </w:pPr>
      <w:bookmarkStart w:id="1161" w:name="bookmark1161"/>
      <w:bookmarkStart w:id="1162" w:name="bookmark1162"/>
      <w:bookmarkStart w:id="1163" w:name="bookmark1163"/>
      <w:bookmarkStart w:id="1164" w:name="bookmark1164"/>
      <w:bookmarkEnd w:id="1163"/>
      <w:r>
        <w:rPr>
          <w:color w:val="000000"/>
          <w:spacing w:val="0"/>
          <w:w w:val="100"/>
          <w:position w:val="0"/>
        </w:rPr>
        <w:t>其他应收款</w:t>
      </w:r>
      <w:bookmarkEnd w:id="1161"/>
      <w:bookmarkEnd w:id="1162"/>
      <w:bookmarkEnd w:id="1164"/>
    </w:p>
    <w:p>
      <w:pPr>
        <w:pStyle w:val="Style37"/>
        <w:keepNext/>
        <w:keepLines/>
        <w:widowControl w:val="0"/>
        <w:shd w:val="clear" w:color="auto" w:fill="auto"/>
        <w:bidi w:val="0"/>
        <w:spacing w:before="0" w:line="240" w:lineRule="auto"/>
        <w:ind w:left="0" w:right="0" w:firstLine="0"/>
        <w:jc w:val="left"/>
      </w:pPr>
      <w:bookmarkStart w:id="1161" w:name="bookmark1161"/>
      <w:bookmarkStart w:id="1162" w:name="bookmark1162"/>
      <w:bookmarkStart w:id="1165" w:name="bookmark116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161"/>
      <w:bookmarkEnd w:id="1162"/>
      <w:bookmarkEnd w:id="116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广告投放保证金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2,350,000.00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32,000,000.00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预计无法收回的预付广告费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1,926,402.38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哆可梦股权收购诚意金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565,863.33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2,686,156.51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302,982,496.85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247,565,246.44</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其他保证金、押金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2,238,375.71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1,298,936.89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455,872.55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312,837.46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339,669.10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349,526.95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1,549,089.09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465,986.37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待退回分红款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35,964,530.53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332,407,769.01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320,647,221.15</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left"/>
      </w:pPr>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166"/>
      <w:bookmarkEnd w:id="1167"/>
      <w:bookmarkEnd w:id="116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2,352,681.77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2,352,681.77</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75,214.50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1,926,402.38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2,001,616.88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160,077.21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160,077.21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103,912.92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103,912.92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2,163,906.14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1,926,402.38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4,090,308.52</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329,071,611.60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846,693.99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543,675.85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1,945,787.57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41,679.52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28,396.00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1,875,712.05</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332,407,769.01</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3</w:t>
      </w:r>
      <w:bookmarkEnd w:id="1171"/>
      <w:r>
        <w:rPr>
          <w:color w:val="000000"/>
          <w:spacing w:val="0"/>
          <w:w w:val="100"/>
          <w:position w:val="0"/>
        </w:rPr>
        <w:t>）本期计提、收回或转回的坏账准备情况</w:t>
      </w:r>
      <w:bookmarkEnd w:id="1169"/>
      <w:bookmarkEnd w:id="1170"/>
      <w:bookmarkEnd w:id="1172"/>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099"/>
        <w:gridCol w:w="1195"/>
        <w:gridCol w:w="1301"/>
        <w:gridCol w:w="1094"/>
        <w:gridCol w:w="2227"/>
        <w:gridCol w:w="124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其他应收款坏账 准备</w:t>
            </w:r>
            <w:r>
              <w:rPr>
                <w:rFonts w:ascii="Times New Roman" w:eastAsia="Times New Roman" w:hAnsi="Times New Roman" w:cs="Times New Roman"/>
                <w:color w:val="000000"/>
                <w:spacing w:val="0"/>
                <w:w w:val="100"/>
                <w:position w:val="0"/>
              </w:rPr>
              <w:t>-</w:t>
            </w:r>
            <w:r>
              <w:rPr>
                <w:color w:val="000000"/>
                <w:spacing w:val="0"/>
                <w:w w:val="100"/>
                <w:position w:val="0"/>
              </w:rPr>
              <w:t>第一阶段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2,352,681.77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75,214.50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160,077.21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103,912.92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2,163,906.14</w:t>
            </w:r>
          </w:p>
        </w:tc>
      </w:tr>
      <w:tr>
        <w:trPr>
          <w:trHeight w:val="72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其他应收款坏账 准备</w:t>
            </w:r>
            <w:r>
              <w:rPr>
                <w:rFonts w:ascii="Times New Roman" w:eastAsia="Times New Roman" w:hAnsi="Times New Roman" w:cs="Times New Roman"/>
                <w:color w:val="000000"/>
                <w:spacing w:val="0"/>
                <w:w w:val="100"/>
                <w:position w:val="0"/>
              </w:rPr>
              <w:t>-</w:t>
            </w:r>
            <w:r>
              <w:rPr>
                <w:color w:val="000000"/>
                <w:spacing w:val="0"/>
                <w:w w:val="100"/>
                <w:position w:val="0"/>
              </w:rPr>
              <w:t>第二阶段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21"/>
        <w:gridCol w:w="1099"/>
        <w:gridCol w:w="1195"/>
        <w:gridCol w:w="1301"/>
        <w:gridCol w:w="1094"/>
        <w:gridCol w:w="2227"/>
        <w:gridCol w:w="1248"/>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其他应收款坏账 准备</w:t>
            </w:r>
            <w:r>
              <w:rPr>
                <w:rFonts w:ascii="Times New Roman" w:eastAsia="Times New Roman" w:hAnsi="Times New Roman" w:cs="Times New Roman"/>
                <w:color w:val="000000"/>
                <w:spacing w:val="0"/>
                <w:w w:val="100"/>
                <w:position w:val="0"/>
              </w:rPr>
              <w:t>-</w:t>
            </w:r>
            <w:r>
              <w:rPr>
                <w:color w:val="000000"/>
                <w:spacing w:val="0"/>
                <w:w w:val="100"/>
                <w:position w:val="0"/>
              </w:rPr>
              <w:t>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1,926,402.38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1,926,402.38</w:t>
            </w:r>
          </w:p>
        </w:tc>
      </w:tr>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2,352,681.77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2,001,616.88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160,077.21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103,912.92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4,090,308.52</w:t>
            </w:r>
          </w:p>
        </w:tc>
      </w:tr>
    </w:tbl>
    <w:tbl>
      <w:tblPr>
        <w:tblOverlap w:val="never"/>
        <w:jc w:val="center"/>
        <w:tblLayout w:type="fixed"/>
      </w:tblPr>
      <w:tblGrid>
        <w:gridCol w:w="2813"/>
        <w:gridCol w:w="1277"/>
        <w:gridCol w:w="1277"/>
        <w:gridCol w:w="2122"/>
        <w:gridCol w:w="2352"/>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债务单位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预期信用损失率（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划分原因</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霍尔果斯火翼信息科技有限公司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1,613,980.97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1,613,980.97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对方单位已注销</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北京掌上维度科技股份有限公司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41,793.61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41,793.61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天津热云科技有限公司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对方单位已注销</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武汉游巢网络技术有限公司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对方单位已注销</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阿尔法互动科技（深圳）有限公司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133,077.00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133,077.00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对方已注销</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深圳兰果文化传播有限公司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预期无法收回</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广州麦可信息科技有限公司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34,550.80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34,550.80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对方已被列为失信被执行人</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1,926,402.38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1,926,402.38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pPr>
            <w:r>
              <w:rPr>
                <w:color w:val="000000"/>
                <w:spacing w:val="0"/>
                <w:w w:val="100"/>
                <w:position w:val="0"/>
              </w:rPr>
              <w:t>—</w:t>
            </w:r>
          </w:p>
        </w:tc>
      </w:tr>
    </w:tbl>
    <w:p>
      <w:pPr>
        <w:widowControl w:val="0"/>
        <w:spacing w:after="639" w:line="1" w:lineRule="exact"/>
      </w:pPr>
    </w:p>
    <w:p>
      <w:pPr>
        <w:pStyle w:val="Style37"/>
        <w:keepNext/>
        <w:keepLines/>
        <w:widowControl w:val="0"/>
        <w:shd w:val="clear" w:color="auto" w:fill="auto"/>
        <w:bidi w:val="0"/>
        <w:spacing w:before="0" w:after="380" w:line="240" w:lineRule="auto"/>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4</w:t>
      </w:r>
      <w:bookmarkEnd w:id="1175"/>
      <w:r>
        <w:rPr>
          <w:color w:val="000000"/>
          <w:spacing w:val="0"/>
          <w:w w:val="100"/>
          <w:position w:val="0"/>
        </w:rPr>
        <w:t>）本期实际核销的其他应收款情况</w:t>
      </w:r>
      <w:bookmarkEnd w:id="1173"/>
      <w:bookmarkEnd w:id="1174"/>
      <w:bookmarkEnd w:id="117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103,912.92</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因对方单位已注销，经公司审批流程批准，核销相关货款。</w:t>
      </w:r>
    </w:p>
    <w:p>
      <w:pPr>
        <w:pStyle w:val="Style37"/>
        <w:keepNext/>
        <w:keepLines/>
        <w:widowControl w:val="0"/>
        <w:shd w:val="clear" w:color="auto" w:fill="auto"/>
        <w:bidi w:val="0"/>
        <w:spacing w:before="0" w:after="38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5</w:t>
      </w:r>
      <w:bookmarkEnd w:id="1179"/>
      <w:r>
        <w:rPr>
          <w:color w:val="000000"/>
          <w:spacing w:val="0"/>
          <w:w w:val="100"/>
          <w:position w:val="0"/>
        </w:rPr>
        <w:t>）按欠款方归集的期末余额前五名的其他应收款情况</w:t>
      </w:r>
      <w:bookmarkEnd w:id="1177"/>
      <w:bookmarkEnd w:id="1178"/>
      <w:bookmarkEnd w:id="118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915"/>
        <w:gridCol w:w="1272"/>
        <w:gridCol w:w="1594"/>
        <w:gridCol w:w="2098"/>
        <w:gridCol w:w="1104"/>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占其他应收款期末余额合 计数的比例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 末余额</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北京信中利投资股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301,829,100.33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90.80%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哆可梦股权收购诚意金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6.02%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广告投放保证金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个月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0.60%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预计无法收回的预付广 告费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1,613,980.97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0.49%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1,613,980.97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1,065,642.48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0.32%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71,042.83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326,508,723.78</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98.23%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1,685,023.80</w:t>
            </w:r>
          </w:p>
        </w:tc>
      </w:tr>
    </w:tbl>
    <w:p>
      <w:pPr>
        <w:widowControl w:val="0"/>
        <w:spacing w:after="319" w:line="1" w:lineRule="exact"/>
      </w:pPr>
    </w:p>
    <w:p>
      <w:pPr>
        <w:pStyle w:val="Style37"/>
        <w:keepNext/>
        <w:keepLines/>
        <w:widowControl w:val="0"/>
        <w:shd w:val="clear" w:color="auto" w:fill="auto"/>
        <w:bidi w:val="0"/>
        <w:spacing w:before="0" w:after="220" w:line="240"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7</w:t>
      </w:r>
      <w:bookmarkEnd w:id="1183"/>
      <w:r>
        <w:rPr>
          <w:color w:val="000000"/>
          <w:spacing w:val="0"/>
          <w:w w:val="100"/>
          <w:position w:val="0"/>
        </w:rPr>
        <w:t>、存货</w:t>
      </w:r>
      <w:bookmarkEnd w:id="1181"/>
      <w:bookmarkEnd w:id="1182"/>
      <w:bookmarkEnd w:id="1184"/>
    </w:p>
    <w:p>
      <w:pPr>
        <w:pStyle w:val="Style33"/>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公司是否需要遵守房地产行业的披露要求 否</w:t>
      </w:r>
      <w:r>
        <w:br w:type="page"/>
      </w:r>
    </w:p>
    <w:p>
      <w:pPr>
        <w:pStyle w:val="Style37"/>
        <w:keepNext/>
        <w:keepLines/>
        <w:widowControl w:val="0"/>
        <w:shd w:val="clear" w:color="auto" w:fill="auto"/>
        <w:bidi w:val="0"/>
        <w:spacing w:before="0" w:after="340" w:line="240" w:lineRule="auto"/>
        <w:ind w:left="0" w:right="0" w:firstLine="0"/>
        <w:jc w:val="left"/>
      </w:pPr>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85"/>
      <w:bookmarkEnd w:id="1186"/>
      <w:bookmarkEnd w:id="118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5,815,942.19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126,373.26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5,689,568.93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8,786,348.38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312,004.92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8,474,343.46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1,928,146.06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1,928,146.06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3,599,821.72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3,599,821.72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2,974,979.30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2,974,979.30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5,610,730.54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61,017.81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5,549,712.73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11,272,159.83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1,626,530.77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9,645,629.06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23,677,785.77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2,052,919.11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21,624,866.66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9,259,190.96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414,964.29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8,844,226.67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10,572,058.84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1,176,932.08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9,395,126.76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31,250,418.34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2,167,868.32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29,082,550.02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52,246,745.25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3,602,873.92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48,643,871.33</w:t>
            </w:r>
          </w:p>
        </w:tc>
      </w:tr>
    </w:tbl>
    <w:p>
      <w:pPr>
        <w:widowControl w:val="0"/>
        <w:spacing w:after="339" w:line="1" w:lineRule="exact"/>
      </w:pPr>
    </w:p>
    <w:p>
      <w:pPr>
        <w:pStyle w:val="Style37"/>
        <w:keepNext/>
        <w:keepLines/>
        <w:widowControl w:val="0"/>
        <w:numPr>
          <w:ilvl w:val="0"/>
          <w:numId w:val="85"/>
        </w:numPr>
        <w:shd w:val="clear" w:color="auto" w:fill="auto"/>
        <w:bidi w:val="0"/>
        <w:spacing w:before="0" w:after="340" w:line="240" w:lineRule="auto"/>
        <w:ind w:left="0" w:right="0" w:firstLine="0"/>
        <w:jc w:val="left"/>
      </w:pPr>
      <w:bookmarkStart w:id="1188" w:name="bookmark1188"/>
      <w:bookmarkStart w:id="1189" w:name="bookmark1189"/>
      <w:bookmarkStart w:id="1190" w:name="bookmark1190"/>
      <w:bookmarkStart w:id="1191" w:name="bookmark1191"/>
      <w:bookmarkEnd w:id="1190"/>
      <w:r>
        <w:rPr>
          <w:color w:val="000000"/>
          <w:spacing w:val="0"/>
          <w:w w:val="100"/>
          <w:position w:val="0"/>
        </w:rPr>
        <w:t>存货跌价准备和合同履约成本减值准备</w:t>
      </w:r>
      <w:bookmarkEnd w:id="1188"/>
      <w:bookmarkEnd w:id="1189"/>
      <w:bookmarkEnd w:id="119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312,004.92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185,631.66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126,373.26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61,017.81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61,017.81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2,052,919.11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426,388.34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1,626,530.77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1,176,932.08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761,967.79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414,964.29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3,602,873.92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1,435,005.60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2,167,868.32</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8</w:t>
      </w:r>
      <w:bookmarkEnd w:id="1194"/>
      <w:r>
        <w:rPr>
          <w:color w:val="000000"/>
          <w:spacing w:val="0"/>
          <w:w w:val="100"/>
          <w:position w:val="0"/>
        </w:rPr>
        <w:t>、一年内到期的非流动资产</w:t>
      </w:r>
      <w:bookmarkEnd w:id="1192"/>
      <w:bookmarkEnd w:id="1193"/>
      <w:bookmarkEnd w:id="119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1,904,110.80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5,589,879.48</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中航信托</w:t>
            </w:r>
            <w:r>
              <w:rPr>
                <w:rFonts w:ascii="Times New Roman" w:eastAsia="Times New Roman" w:hAnsi="Times New Roman" w:cs="Times New Roman"/>
                <w:color w:val="000000"/>
                <w:spacing w:val="0"/>
                <w:w w:val="100"/>
                <w:position w:val="0"/>
              </w:rPr>
              <w:t>-</w:t>
            </w:r>
            <w:r>
              <w:rPr>
                <w:color w:val="000000"/>
                <w:spacing w:val="0"/>
                <w:w w:val="100"/>
                <w:position w:val="0"/>
              </w:rPr>
              <w:t>信托业保障基金认购资金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1,904,110.80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8,089,879.48</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9</w:t>
      </w:r>
      <w:bookmarkEnd w:id="1198"/>
      <w:r>
        <w:rPr>
          <w:color w:val="000000"/>
          <w:spacing w:val="0"/>
          <w:w w:val="100"/>
          <w:position w:val="0"/>
        </w:rPr>
        <w:t>、其他流动资产</w:t>
      </w:r>
      <w:bookmarkEnd w:id="1196"/>
      <w:bookmarkEnd w:id="1197"/>
      <w:bookmarkEnd w:id="119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11,028,125.45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19,037,539.12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待摊房租余额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261,035.12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302,430.16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待摊广告费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28,301.91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390,091.08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402,935.30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54,758.24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54,857.09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11,775,156.02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19,784,917.45</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1</w:t>
      </w:r>
      <w:bookmarkEnd w:id="1202"/>
      <w:r>
        <w:rPr>
          <w:rFonts w:ascii="Times New Roman" w:eastAsia="Times New Roman" w:hAnsi="Times New Roman" w:cs="Times New Roman"/>
          <w:color w:val="000000"/>
          <w:spacing w:val="0"/>
          <w:w w:val="100"/>
          <w:position w:val="0"/>
        </w:rPr>
        <w:t>0</w:t>
      </w:r>
      <w:r>
        <w:rPr>
          <w:color w:val="000000"/>
          <w:spacing w:val="0"/>
          <w:w w:val="100"/>
          <w:position w:val="0"/>
        </w:rPr>
        <w:t>、长期应收款</w:t>
      </w:r>
      <w:bookmarkEnd w:id="1200"/>
      <w:bookmarkEnd w:id="1201"/>
      <w:bookmarkEnd w:id="1203"/>
    </w:p>
    <w:p>
      <w:pPr>
        <w:pStyle w:val="Style37"/>
        <w:keepNext/>
        <w:keepLines/>
        <w:widowControl w:val="0"/>
        <w:shd w:val="clear" w:color="auto" w:fill="auto"/>
        <w:bidi w:val="0"/>
        <w:spacing w:before="0" w:line="240" w:lineRule="auto"/>
        <w:ind w:left="0" w:right="0" w:firstLine="0"/>
        <w:jc w:val="left"/>
      </w:pPr>
      <w:bookmarkStart w:id="1200" w:name="bookmark1200"/>
      <w:bookmarkStart w:id="1201" w:name="bookmark1201"/>
      <w:bookmarkStart w:id="1204" w:name="bookmark1204"/>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00"/>
      <w:bookmarkEnd w:id="1201"/>
      <w:bookmarkEnd w:id="120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86"/>
        <w:gridCol w:w="1277"/>
        <w:gridCol w:w="850"/>
        <w:gridCol w:w="1277"/>
        <w:gridCol w:w="1133"/>
        <w:gridCol w:w="850"/>
        <w:gridCol w:w="1133"/>
        <w:gridCol w:w="682"/>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折现率 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4,007,600.07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4,007,600.07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4,445,682.26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4,445,682.26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其中：未实现融资收益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1,345,143.29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1,345,143.29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1,851,662.83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1,851,662.83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4,007,600.07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4,007,600.07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4,445,682.26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4,445,682.26</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after="240" w:line="240" w:lineRule="auto"/>
        <w:ind w:left="0" w:right="0" w:firstLine="0"/>
        <w:jc w:val="left"/>
        <w:sectPr>
          <w:headerReference w:type="default" r:id="rId37"/>
          <w:footerReference w:type="default" r:id="rId38"/>
          <w:footnotePr>
            <w:pos w:val="pageBottom"/>
            <w:numFmt w:val="decimal"/>
            <w:numRestart w:val="continuous"/>
          </w:footnotePr>
          <w:pgSz w:w="11900" w:h="16840"/>
          <w:pgMar w:top="1441" w:right="980" w:bottom="1475" w:left="1032"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both"/>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1</w:t>
      </w:r>
      <w:bookmarkEnd w:id="1207"/>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205"/>
      <w:bookmarkEnd w:id="1206"/>
      <w:bookmarkEnd w:id="1208"/>
    </w:p>
    <w:p>
      <w:pPr>
        <w:pStyle w:val="Style31"/>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1162"/>
        <w:gridCol w:w="1181"/>
        <w:gridCol w:w="1157"/>
        <w:gridCol w:w="1157"/>
        <w:gridCol w:w="1157"/>
        <w:gridCol w:w="1162"/>
        <w:gridCol w:w="1157"/>
        <w:gridCol w:w="1162"/>
        <w:gridCol w:w="912"/>
        <w:gridCol w:w="1435"/>
        <w:gridCol w:w="1157"/>
        <w:gridCol w:w="1171"/>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8"/>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其他综合收益 调整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其他权益变动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计提减值</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宁波永耀惠程 电力科技有限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3,236,302.71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256,572.60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3,492,875.31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北京真机智能</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5,992,475.00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-324,295.13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9,668,179.87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共青城惠智网 联投资合伙企 业（有限合 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161,351,517.89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11,024,569.50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-124,829,100.33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7,546,987.06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170,580,295.60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10,956,846.97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-124,829,100.33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20,708,042.24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170,580,295.60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10,956,846.97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-124,829,100.33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20,708,042.24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33"/>
        <w:keepNext w:val="0"/>
        <w:keepLines w:val="0"/>
        <w:widowControl w:val="0"/>
        <w:shd w:val="clear" w:color="auto" w:fill="auto"/>
        <w:bidi w:val="0"/>
        <w:spacing w:before="0" w:after="240" w:line="240" w:lineRule="auto"/>
        <w:ind w:left="0" w:right="0" w:firstLine="0"/>
        <w:jc w:val="both"/>
        <w:sectPr>
          <w:headerReference w:type="default" r:id="rId39"/>
          <w:footerReference w:type="default" r:id="rId40"/>
          <w:footnotePr>
            <w:pos w:val="pageBottom"/>
            <w:numFmt w:val="decimal"/>
            <w:numRestart w:val="continuous"/>
          </w:footnotePr>
          <w:pgSz w:w="16840" w:h="11900" w:orient="landscape"/>
          <w:pgMar w:top="1417" w:right="1416" w:bottom="1417" w:left="1426" w:header="0" w:footer="3" w:gutter="0"/>
          <w:cols w:space="720"/>
          <w:noEndnote/>
          <w:rtlGutter w:val="0"/>
          <w:docGrid w:linePitch="360"/>
        </w:sectPr>
      </w:pPr>
      <w:r>
        <w:rPr>
          <w:color w:val="000000"/>
          <w:spacing w:val="0"/>
          <w:w w:val="100"/>
          <w:position w:val="0"/>
        </w:rPr>
        <w:t>共青城惠智网联投资合伙企业（有限合伙）本期增减变动其他项系公司控股股东及其关联方非经营性资金占用金额。</w:t>
      </w:r>
    </w:p>
    <w:p>
      <w:pPr>
        <w:pStyle w:val="Style37"/>
        <w:keepNext/>
        <w:keepLines/>
        <w:widowControl w:val="0"/>
        <w:shd w:val="clear" w:color="auto" w:fill="auto"/>
        <w:bidi w:val="0"/>
        <w:spacing w:before="340" w:line="240" w:lineRule="auto"/>
        <w:ind w:left="0" w:right="0" w:firstLine="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1</w:t>
      </w:r>
      <w:bookmarkEnd w:id="1211"/>
      <w:r>
        <w:rPr>
          <w:rFonts w:ascii="Times New Roman" w:eastAsia="Times New Roman" w:hAnsi="Times New Roman" w:cs="Times New Roman"/>
          <w:color w:val="000000"/>
          <w:spacing w:val="0"/>
          <w:w w:val="100"/>
          <w:position w:val="0"/>
        </w:rPr>
        <w:t>2</w:t>
      </w:r>
      <w:r>
        <w:rPr>
          <w:color w:val="000000"/>
          <w:spacing w:val="0"/>
          <w:w w:val="100"/>
          <w:position w:val="0"/>
        </w:rPr>
        <w:t>、其他权益工具投资</w:t>
      </w:r>
      <w:bookmarkEnd w:id="1209"/>
      <w:bookmarkEnd w:id="1210"/>
      <w:bookmarkEnd w:id="121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北京爱酷游科技股份有限公司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76,568,291.68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76,568,291.68</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深圳久久益资产管理有限公司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3,000,000.00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北京兆信通能科技有限公司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广州雷霆信息科技有限公司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3,500,000.00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星灵互动（深圳）科技有限公司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6,000,000.00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北京图纳密信息科技有限公司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2,970,000.00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9,000,000.00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北京智金未来传媒科技有限责任公司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5,000,000.00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北京芝士星球网络科技有限公司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3,500,000.00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北京互联星梦科技有限公司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4,000,000.00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上海峰游网络科技有限公司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思极星能科技（四川）有限公司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27,970,000.00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143,508,291.68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111,498,291.68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58"/>
        <w:gridCol w:w="1421"/>
        <w:gridCol w:w="1133"/>
        <w:gridCol w:w="1277"/>
        <w:gridCol w:w="1056"/>
        <w:gridCol w:w="1776"/>
        <w:gridCol w:w="970"/>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其他综合收</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益转入留存</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收益的金额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指定为以公允价值计 量且其变动计入其他 综合收益的原因</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其他综合收</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益转入留存</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收益的原因</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北京爱酷游科技股份有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16,509,162.97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深圳久久益资产管理有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北京兆信通能科技有限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广州雷霆信息科技有限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星灵互动（深圳）科技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北京图纳密信息科技有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北京智金未来传媒科技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北京芝士星球网络科技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58"/>
        <w:gridCol w:w="1421"/>
        <w:gridCol w:w="1133"/>
        <w:gridCol w:w="1277"/>
        <w:gridCol w:w="1056"/>
        <w:gridCol w:w="1776"/>
        <w:gridCol w:w="970"/>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北京互联星梦科技有限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54,519.48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上海峰游网络科技有限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思极星能科技(四川)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54,519.48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17,509,162.97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6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)上述投资指定为以公允价值计量且其变动计入其他综合收益的原因是不以出售为目的;</w:t>
      </w:r>
    </w:p>
    <w:p>
      <w:pPr>
        <w:pStyle w:val="Style37"/>
        <w:keepNext/>
        <w:keepLines/>
        <w:widowControl w:val="0"/>
        <w:shd w:val="clear" w:color="auto" w:fill="auto"/>
        <w:bidi w:val="0"/>
        <w:spacing w:before="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1</w:t>
      </w:r>
      <w:bookmarkEnd w:id="1215"/>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1213"/>
      <w:bookmarkEnd w:id="1214"/>
      <w:bookmarkEnd w:id="1216"/>
    </w:p>
    <w:p>
      <w:pPr>
        <w:pStyle w:val="Style37"/>
        <w:keepNext/>
        <w:keepLines/>
        <w:widowControl w:val="0"/>
        <w:shd w:val="clear" w:color="auto" w:fill="auto"/>
        <w:bidi w:val="0"/>
        <w:spacing w:before="0" w:line="240" w:lineRule="auto"/>
        <w:ind w:left="0" w:right="0" w:firstLine="0"/>
        <w:jc w:val="left"/>
      </w:pPr>
      <w:bookmarkStart w:id="1213" w:name="bookmark1213"/>
      <w:bookmarkStart w:id="1214" w:name="bookmark1214"/>
      <w:bookmarkStart w:id="1217" w:name="bookmark1217"/>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13"/>
      <w:bookmarkEnd w:id="1214"/>
      <w:bookmarkEnd w:id="1217"/>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numPr>
          <w:ilvl w:val="0"/>
          <w:numId w:val="87"/>
        </w:numPr>
        <w:shd w:val="clear" w:color="auto" w:fill="auto"/>
        <w:bidi w:val="0"/>
        <w:spacing w:before="0" w:line="240" w:lineRule="auto"/>
        <w:ind w:left="0" w:right="0" w:firstLine="0"/>
        <w:jc w:val="left"/>
      </w:pPr>
      <w:bookmarkStart w:id="1218" w:name="bookmark1218"/>
      <w:bookmarkStart w:id="1219" w:name="bookmark1219"/>
      <w:bookmarkStart w:id="1220" w:name="bookmark1220"/>
      <w:bookmarkStart w:id="1221" w:name="bookmark1221"/>
      <w:bookmarkEnd w:id="1220"/>
      <w:r>
        <w:rPr>
          <w:color w:val="000000"/>
          <w:spacing w:val="0"/>
          <w:w w:val="100"/>
          <w:position w:val="0"/>
        </w:rPr>
        <w:t>采用公允价值计量模式的投资性房地产</w:t>
      </w:r>
      <w:bookmarkEnd w:id="1218"/>
      <w:bookmarkEnd w:id="1219"/>
      <w:bookmarkEnd w:id="1221"/>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2270"/>
        <w:gridCol w:w="1416"/>
        <w:gridCol w:w="1277"/>
        <w:gridCol w:w="138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252,679,600.00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252,679,600.00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二、本期变动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-100,952,800.00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-100,952,800.00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869,300.00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减：处置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其他转出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87,965,800.00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87,965,800.00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公允价值变动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-12,656,300.00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-12,656,300.00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151,726,800.00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151,726,800.00</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1</w:t>
      </w:r>
      <w:bookmarkEnd w:id="1224"/>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222"/>
      <w:bookmarkEnd w:id="1223"/>
      <w:bookmarkEnd w:id="122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162,023,924.68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84,788,453.31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162,023,924.68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84,788,453.31</w:t>
            </w:r>
          </w:p>
        </w:tc>
      </w:tr>
    </w:tbl>
    <w:p>
      <w:pPr>
        <w:spacing w:lineRule="exact" w:line="1"/>
        <w:rPr>
          <w:sz w:val="2"/>
          <w:szCs w:val="2"/>
        </w:rPr>
      </w:pPr>
      <w:r>
        <w:br w:type="page"/>
      </w:r>
    </w:p>
    <w:p>
      <w:pPr>
        <w:pStyle w:val="Style37"/>
        <w:keepNext/>
        <w:keepLines/>
        <w:widowControl w:val="0"/>
        <w:shd w:val="clear" w:color="auto" w:fill="auto"/>
        <w:bidi w:val="0"/>
        <w:spacing w:before="0" w:line="240" w:lineRule="auto"/>
        <w:ind w:left="0" w:right="0" w:firstLine="0"/>
        <w:jc w:val="left"/>
      </w:pPr>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26"/>
      <w:bookmarkEnd w:id="1227"/>
      <w:bookmarkEnd w:id="122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电子及其他设备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模具</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121,630,756.35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72,636,245.43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12,886,831.23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28,124,272.39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18,182,216.51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253,460,321.91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88,078,270.10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52,493.35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530,037.80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225,953.58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88,886,754.83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52,493.35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530,037.80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225,953.58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808,484.73</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88,078,270.10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88,078,270.10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519,636.40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8,730.00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625,199.80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1,083,446.81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860,274.38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3,097,287.39</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8,730.00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625,199.80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1,083,446.81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860,274.38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2,577,650.99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519,636.40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519,636.40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209,189,390.05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72,680,008.78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12,261,631.43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27,570,863.38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17,547,895.71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339,249,789.35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62,308,323.29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49,827,906.76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10,791,750.73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23,075,533.59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15,980,565.56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161,984,079.93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6,496,093.72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3,027,992.85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1,161,291.90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1,781,787.92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282,854.30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12,750,020.69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6,496,093.72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1,536,534.90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1,161,291.90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1,781,787.92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282,854.30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11,258,562.74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1,491,457.95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1,491,457.95</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312,043.68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7,857.00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2,027,507.07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1,026,905.34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821,711.53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4,196,024.62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7,857.00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540,500.00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1,026,905.34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817,260.65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2,392,522.99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312,043.68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1,487,007.07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4,450.88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1,803,501.63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68,492,373.33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52,848,042.61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9,925,535.56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23,830,416.17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15,441,708.33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170,538,076.00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6,068,910.12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201,916.97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416,961.58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6,687,788.67</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6,068,910.12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201,916.97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416,961.58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6,687,788.67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140,697,016.72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13,763,056.05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2,336,095.87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3,538,530.24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1,689,225.80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162,023,924.68</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59,322,433.06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16,739,428.55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2,095,080.50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4,846,821.83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1,784,689.37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84,788,453.31</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1229"/>
      <w:bookmarkEnd w:id="1230"/>
      <w:bookmarkEnd w:id="123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454"/>
        <w:gridCol w:w="493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0" w:right="0" w:firstLine="0"/>
              <w:jc w:val="center"/>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兆丰国际</w:t>
            </w:r>
            <w:r>
              <w:rPr>
                <w:rFonts w:ascii="Times New Roman" w:eastAsia="Times New Roman" w:hAnsi="Times New Roman" w:cs="Times New Roman"/>
                <w:color w:val="000000"/>
                <w:spacing w:val="0"/>
                <w:w w:val="100"/>
                <w:position w:val="0"/>
              </w:rPr>
              <w:t>1</w:t>
            </w:r>
            <w:r>
              <w:rPr>
                <w:color w:val="000000"/>
                <w:spacing w:val="0"/>
                <w:w w:val="100"/>
                <w:position w:val="0"/>
              </w:rPr>
              <w:t>单元</w:t>
            </w:r>
            <w:r>
              <w:rPr>
                <w:rFonts w:ascii="Times New Roman" w:eastAsia="Times New Roman" w:hAnsi="Times New Roman" w:cs="Times New Roman"/>
                <w:color w:val="000000"/>
                <w:spacing w:val="0"/>
                <w:w w:val="100"/>
                <w:position w:val="0"/>
              </w:rPr>
              <w:t>1106-1107</w:t>
            </w:r>
            <w:r>
              <w:rPr>
                <w:color w:val="000000"/>
                <w:spacing w:val="0"/>
                <w:w w:val="100"/>
                <w:position w:val="0"/>
              </w:rPr>
              <w:t>房</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1,170,506.41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 w:right="0" w:firstLine="0"/>
              <w:jc w:val="center"/>
            </w:pPr>
            <w:r>
              <w:rPr>
                <w:color w:val="000000"/>
                <w:spacing w:val="0"/>
                <w:w w:val="100"/>
                <w:position w:val="0"/>
              </w:rPr>
              <w:t>该房产系以前年度购买，未办妥产权证书系历史遗留问题。</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因抵押、质押或冻结等对使用有限制的具体情况详见本财务报表附注七、</w:t>
      </w:r>
      <w:r>
        <w:rPr>
          <w:rFonts w:ascii="Times New Roman" w:eastAsia="Times New Roman" w:hAnsi="Times New Roman" w:cs="Times New Roman"/>
          <w:color w:val="000000"/>
          <w:spacing w:val="0"/>
          <w:w w:val="100"/>
          <w:position w:val="0"/>
        </w:rPr>
        <w:t>58</w:t>
      </w:r>
      <w:r>
        <w:rPr>
          <w:color w:val="000000"/>
          <w:spacing w:val="0"/>
          <w:w w:val="100"/>
          <w:position w:val="0"/>
        </w:rPr>
        <w:t>。</w:t>
      </w:r>
    </w:p>
    <w:p>
      <w:pPr>
        <w:pStyle w:val="Style37"/>
        <w:keepNext/>
        <w:keepLines/>
        <w:widowControl w:val="0"/>
        <w:shd w:val="clear" w:color="auto" w:fill="auto"/>
        <w:bidi w:val="0"/>
        <w:spacing w:before="0" w:after="380" w:line="240" w:lineRule="auto"/>
        <w:ind w:left="0" w:right="0" w:firstLine="0"/>
        <w:jc w:val="left"/>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1</w:t>
      </w:r>
      <w:bookmarkEnd w:id="1234"/>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232"/>
      <w:bookmarkEnd w:id="1233"/>
      <w:bookmarkEnd w:id="1235"/>
    </w:p>
    <w:p>
      <w:pPr>
        <w:pStyle w:val="Style37"/>
        <w:keepNext/>
        <w:keepLines/>
        <w:widowControl w:val="0"/>
        <w:shd w:val="clear" w:color="auto" w:fill="auto"/>
        <w:bidi w:val="0"/>
        <w:spacing w:before="0" w:after="380" w:line="240" w:lineRule="auto"/>
        <w:ind w:left="0" w:right="0" w:firstLine="0"/>
        <w:jc w:val="left"/>
      </w:pPr>
      <w:bookmarkStart w:id="1232" w:name="bookmark1232"/>
      <w:bookmarkStart w:id="1233" w:name="bookmark1233"/>
      <w:bookmarkStart w:id="1236" w:name="bookmark12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32"/>
      <w:bookmarkEnd w:id="1233"/>
      <w:bookmarkEnd w:id="123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专有技术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5,025,922.33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11,531,723.97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12,407,596.76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9,190,006.96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38,155,250.02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5,025,922.33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11,531,723.97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12,407,596.76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9,190,006.96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38,155,250.02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1,532,161.46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11,385,506.01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3,897,198.67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6,915,808.42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23,730,674.56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99,070.60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146,217.96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1,444,949.70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671,576.78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2,361,815.04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99,070.60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146,217.96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1,444,949.70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671,576.78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2,361,815.04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1,631,232.06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11,531,723.97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5,342,148.37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7,587,385.20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26,092,489.60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3,394,690.27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7,065,448.39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1,602,621.76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12,062,760.42</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3,493,760.87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146,217.96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8,510,398.09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2,274,198.54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14,424,575.46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24.18%</w:t>
      </w:r>
      <w:r>
        <w:rPr>
          <w:color w:val="000000"/>
          <w:spacing w:val="0"/>
          <w:w w:val="100"/>
          <w:position w:val="0"/>
        </w:rPr>
        <w:t>。</w:t>
      </w:r>
      <w:r>
        <w:br w:type="page"/>
      </w:r>
    </w:p>
    <w:p>
      <w:pPr>
        <w:pStyle w:val="Style37"/>
        <w:keepNext/>
        <w:keepLines/>
        <w:widowControl w:val="0"/>
        <w:shd w:val="clear" w:color="auto" w:fill="auto"/>
        <w:bidi w:val="0"/>
        <w:spacing w:before="0" w:line="240" w:lineRule="auto"/>
        <w:ind w:left="0" w:right="0" w:firstLine="0"/>
        <w:jc w:val="left"/>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1</w:t>
      </w:r>
      <w:bookmarkEnd w:id="1239"/>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237"/>
      <w:bookmarkEnd w:id="1238"/>
      <w:bookmarkEnd w:id="124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1"/>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内部开发支</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转入当期损</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YF-19002 </w:t>
            </w:r>
            <w:r>
              <w:rPr>
                <w:color w:val="000000"/>
                <w:spacing w:val="0"/>
                <w:w w:val="100"/>
                <w:position w:val="0"/>
              </w:rPr>
              <w:t>经 济型双孔机 构充气柜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593,601.49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593,601.49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593,601.49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593,601.49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1</w:t>
      </w:r>
      <w:bookmarkEnd w:id="1243"/>
      <w:r>
        <w:rPr>
          <w:rFonts w:ascii="Times New Roman" w:eastAsia="Times New Roman" w:hAnsi="Times New Roman" w:cs="Times New Roman"/>
          <w:color w:val="000000"/>
          <w:spacing w:val="0"/>
          <w:w w:val="100"/>
          <w:position w:val="0"/>
        </w:rPr>
        <w:t>7</w:t>
      </w:r>
      <w:r>
        <w:rPr>
          <w:color w:val="000000"/>
          <w:spacing w:val="0"/>
          <w:w w:val="100"/>
          <w:position w:val="0"/>
        </w:rPr>
        <w:t>、商誉</w:t>
      </w:r>
      <w:bookmarkEnd w:id="1241"/>
      <w:bookmarkEnd w:id="1242"/>
      <w:bookmarkEnd w:id="1244"/>
    </w:p>
    <w:p>
      <w:pPr>
        <w:pStyle w:val="Style37"/>
        <w:keepNext/>
        <w:keepLines/>
        <w:widowControl w:val="0"/>
        <w:shd w:val="clear" w:color="auto" w:fill="auto"/>
        <w:bidi w:val="0"/>
        <w:spacing w:before="0" w:line="240" w:lineRule="auto"/>
        <w:ind w:left="0" w:right="0" w:firstLine="0"/>
        <w:jc w:val="left"/>
      </w:pPr>
      <w:bookmarkStart w:id="1241" w:name="bookmark1241"/>
      <w:bookmarkStart w:id="1242" w:name="bookmark1242"/>
      <w:bookmarkStart w:id="1245" w:name="bookmark12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41"/>
      <w:bookmarkEnd w:id="1242"/>
      <w:bookmarkEnd w:id="124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中汇同盈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359,972.58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359,972.58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哆可梦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1,220,240,489.40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1,220,240,489.40</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1,220,600,461.98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1,220,600,461.98</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46"/>
      <w:bookmarkEnd w:id="1247"/>
      <w:bookmarkEnd w:id="124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19"/>
        <w:gridCol w:w="1699"/>
        <w:gridCol w:w="1421"/>
        <w:gridCol w:w="1272"/>
        <w:gridCol w:w="1133"/>
        <w:gridCol w:w="864"/>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被投资单位名称或形</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成商誉的事项</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哆可梦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907,981,490.68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907,981,490.68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907,981,490.68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907,981,490.68</w:t>
            </w:r>
          </w:p>
        </w:tc>
      </w:tr>
    </w:tbl>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商誉所在资产组或资产组组合的相关信息</w:t>
      </w:r>
    </w:p>
    <w:p>
      <w:pPr>
        <w:pStyle w:val="Style33"/>
        <w:keepNext w:val="0"/>
        <w:keepLines w:val="0"/>
        <w:widowControl w:val="0"/>
        <w:numPr>
          <w:ilvl w:val="0"/>
          <w:numId w:val="89"/>
        </w:numPr>
        <w:shd w:val="clear" w:color="auto" w:fill="auto"/>
        <w:tabs>
          <w:tab w:pos="813" w:val="left"/>
        </w:tabs>
        <w:bidi w:val="0"/>
        <w:spacing w:before="0" w:after="0" w:line="322" w:lineRule="exact"/>
        <w:ind w:left="0" w:right="0" w:firstLine="440"/>
        <w:jc w:val="left"/>
      </w:pPr>
      <w:bookmarkStart w:id="1249" w:name="bookmark1249"/>
      <w:bookmarkEnd w:id="1249"/>
      <w:r>
        <w:rPr>
          <w:color w:val="000000"/>
          <w:spacing w:val="0"/>
          <w:w w:val="100"/>
          <w:position w:val="0"/>
        </w:rPr>
        <w:t>中汇同盈：中汇同盈相关资产组与购买日及以前年度商誉减值测试时确定的资产组一致。</w:t>
      </w:r>
    </w:p>
    <w:p>
      <w:pPr>
        <w:pStyle w:val="Style33"/>
        <w:keepNext w:val="0"/>
        <w:keepLines w:val="0"/>
        <w:widowControl w:val="0"/>
        <w:shd w:val="clear" w:color="auto" w:fill="auto"/>
        <w:bidi w:val="0"/>
        <w:spacing w:before="0" w:after="0" w:line="322" w:lineRule="exact"/>
        <w:ind w:left="0" w:right="0" w:firstLine="440"/>
        <w:jc w:val="left"/>
      </w:pPr>
      <w:r>
        <w:rPr>
          <w:color w:val="000000"/>
          <w:spacing w:val="0"/>
          <w:w w:val="100"/>
          <w:position w:val="0"/>
        </w:rPr>
        <w:t>中汇同盈资产组，公司管理层根据现行市价法判断资产组现值。</w:t>
      </w:r>
    </w:p>
    <w:p>
      <w:pPr>
        <w:pStyle w:val="Style33"/>
        <w:keepNext w:val="0"/>
        <w:keepLines w:val="0"/>
        <w:widowControl w:val="0"/>
        <w:numPr>
          <w:ilvl w:val="0"/>
          <w:numId w:val="89"/>
        </w:numPr>
        <w:shd w:val="clear" w:color="auto" w:fill="auto"/>
        <w:tabs>
          <w:tab w:pos="781" w:val="left"/>
        </w:tabs>
        <w:bidi w:val="0"/>
        <w:spacing w:before="0" w:after="0" w:line="322" w:lineRule="exact"/>
        <w:ind w:left="0" w:right="0" w:firstLine="440"/>
        <w:jc w:val="both"/>
      </w:pPr>
      <w:bookmarkStart w:id="1250" w:name="bookmark1250"/>
      <w:bookmarkEnd w:id="1250"/>
      <w:r>
        <w:rPr>
          <w:color w:val="000000"/>
          <w:spacing w:val="0"/>
          <w:w w:val="100"/>
          <w:position w:val="0"/>
        </w:rPr>
        <w:t>哆可梦:公司于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月完成哆可梦股权收购，形成商誉人民币</w:t>
      </w:r>
      <w:r>
        <w:rPr>
          <w:rFonts w:ascii="Times New Roman" w:eastAsia="Times New Roman" w:hAnsi="Times New Roman" w:cs="Times New Roman"/>
          <w:color w:val="000000"/>
          <w:spacing w:val="0"/>
          <w:w w:val="100"/>
          <w:position w:val="0"/>
        </w:rPr>
        <w:t>12.20</w:t>
      </w:r>
      <w:r>
        <w:rPr>
          <w:color w:val="000000"/>
          <w:spacing w:val="0"/>
          <w:w w:val="100"/>
          <w:position w:val="0"/>
        </w:rPr>
        <w:t>亿元。此次对合并取得的商誉进行减值测试， 即比较资产组的可收回金额和账面价值，相关资产组与购买日及以前年度商誉减值测试时所确定的资产组一致。</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 期等）及商誉减值损失的确认方法：</w:t>
      </w:r>
    </w:p>
    <w:p>
      <w:pPr>
        <w:pStyle w:val="Style33"/>
        <w:keepNext w:val="0"/>
        <w:keepLines w:val="0"/>
        <w:widowControl w:val="0"/>
        <w:shd w:val="clear" w:color="auto" w:fill="auto"/>
        <w:bidi w:val="0"/>
        <w:spacing w:before="0" w:after="0" w:line="322" w:lineRule="exact"/>
        <w:ind w:left="0" w:right="0" w:firstLine="440"/>
        <w:jc w:val="left"/>
      </w:pPr>
      <w:r>
        <w:rPr>
          <w:color w:val="000000"/>
          <w:spacing w:val="0"/>
          <w:w w:val="100"/>
          <w:position w:val="0"/>
        </w:rPr>
        <w:t>①可收回金额的确定方法</w:t>
      </w:r>
    </w:p>
    <w:p>
      <w:pPr>
        <w:pStyle w:val="Style33"/>
        <w:keepNext w:val="0"/>
        <w:keepLines w:val="0"/>
        <w:widowControl w:val="0"/>
        <w:shd w:val="clear" w:color="auto" w:fill="auto"/>
        <w:bidi w:val="0"/>
        <w:spacing w:before="0" w:after="80" w:line="322" w:lineRule="exact"/>
        <w:ind w:left="0" w:right="0" w:firstLine="440"/>
        <w:jc w:val="left"/>
      </w:pPr>
      <w:r>
        <w:rPr>
          <w:color w:val="000000"/>
          <w:spacing w:val="0"/>
          <w:w w:val="100"/>
          <w:position w:val="0"/>
        </w:rPr>
        <w:t>包含商誉的哆可梦资产组预计未来现金流量的现值作为资产组可收回金额的估计。未来现金流量基于管理层批准的</w:t>
      </w:r>
    </w:p>
    <w:p>
      <w:pPr>
        <w:pStyle w:val="Style33"/>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年至</w:t>
      </w:r>
      <w:r>
        <w:rPr>
          <w:rFonts w:ascii="Times New Roman" w:eastAsia="Times New Roman" w:hAnsi="Times New Roman" w:cs="Times New Roman"/>
          <w:color w:val="000000"/>
          <w:spacing w:val="0"/>
          <w:w w:val="100"/>
          <w:position w:val="0"/>
        </w:rPr>
        <w:t>2025</w:t>
      </w:r>
      <w:r>
        <w:rPr>
          <w:color w:val="000000"/>
          <w:spacing w:val="0"/>
          <w:w w:val="100"/>
          <w:position w:val="0"/>
        </w:rPr>
        <w:t>的财务预算确定。</w:t>
      </w:r>
      <w:r>
        <w:br w:type="page"/>
      </w:r>
    </w:p>
    <w:p>
      <w:pPr>
        <w:pStyle w:val="Style33"/>
        <w:keepNext w:val="0"/>
        <w:keepLines w:val="0"/>
        <w:widowControl w:val="0"/>
        <w:numPr>
          <w:ilvl w:val="0"/>
          <w:numId w:val="91"/>
        </w:numPr>
        <w:shd w:val="clear" w:color="auto" w:fill="auto"/>
        <w:tabs>
          <w:tab w:pos="813" w:val="left"/>
        </w:tabs>
        <w:bidi w:val="0"/>
        <w:spacing w:before="0" w:after="0" w:line="322" w:lineRule="exact"/>
        <w:ind w:left="0" w:right="0" w:firstLine="440"/>
        <w:jc w:val="both"/>
      </w:pPr>
      <w:bookmarkStart w:id="1251" w:name="bookmark1251"/>
      <w:bookmarkEnd w:id="1251"/>
      <w:r>
        <w:rPr>
          <w:color w:val="000000"/>
          <w:spacing w:val="0"/>
          <w:w w:val="100"/>
          <w:position w:val="0"/>
        </w:rPr>
        <w:t>重要假设及其合理理由</w:t>
      </w:r>
    </w:p>
    <w:p>
      <w:pPr>
        <w:pStyle w:val="Style33"/>
        <w:keepNext w:val="0"/>
        <w:keepLines w:val="0"/>
        <w:widowControl w:val="0"/>
        <w:shd w:val="clear" w:color="auto" w:fill="auto"/>
        <w:tabs>
          <w:tab w:pos="770" w:val="left"/>
        </w:tabs>
        <w:bidi w:val="0"/>
        <w:spacing w:before="0" w:after="0" w:line="322" w:lineRule="exact"/>
        <w:ind w:left="0" w:right="0" w:firstLine="440"/>
        <w:jc w:val="left"/>
      </w:pPr>
      <w:bookmarkStart w:id="1252" w:name="bookmark1252"/>
      <w:r>
        <w:rPr>
          <w:rFonts w:ascii="Times New Roman" w:eastAsia="Times New Roman" w:hAnsi="Times New Roman" w:cs="Times New Roman"/>
          <w:color w:val="000000"/>
          <w:spacing w:val="0"/>
          <w:w w:val="100"/>
          <w:position w:val="0"/>
        </w:rPr>
        <w:t>1</w:t>
      </w:r>
      <w:bookmarkEnd w:id="1252"/>
      <w:r>
        <w:rPr>
          <w:rFonts w:ascii="Times New Roman" w:eastAsia="Times New Roman" w:hAnsi="Times New Roman" w:cs="Times New Roman"/>
          <w:color w:val="000000"/>
          <w:spacing w:val="0"/>
          <w:w w:val="100"/>
          <w:position w:val="0"/>
        </w:rPr>
        <w:t>）</w:t>
        <w:tab/>
      </w:r>
      <w:r>
        <w:rPr>
          <w:color w:val="000000"/>
          <w:spacing w:val="0"/>
          <w:w w:val="100"/>
          <w:position w:val="0"/>
        </w:rPr>
        <w:t>假定被估值企业在估值基准日后不改变经营方向，仍按照原来的经营目的、经营方式持续经营下去。</w:t>
      </w:r>
    </w:p>
    <w:p>
      <w:pPr>
        <w:pStyle w:val="Style33"/>
        <w:keepNext w:val="0"/>
        <w:keepLines w:val="0"/>
        <w:widowControl w:val="0"/>
        <w:shd w:val="clear" w:color="auto" w:fill="auto"/>
        <w:tabs>
          <w:tab w:pos="757" w:val="left"/>
        </w:tabs>
        <w:bidi w:val="0"/>
        <w:spacing w:before="0" w:after="0" w:line="322" w:lineRule="exact"/>
        <w:ind w:left="0" w:right="0" w:firstLine="440"/>
        <w:jc w:val="both"/>
      </w:pPr>
      <w:bookmarkStart w:id="1253" w:name="bookmark1253"/>
      <w:r>
        <w:rPr>
          <w:rFonts w:ascii="Times New Roman" w:eastAsia="Times New Roman" w:hAnsi="Times New Roman" w:cs="Times New Roman"/>
          <w:color w:val="000000"/>
          <w:spacing w:val="0"/>
          <w:w w:val="100"/>
          <w:position w:val="0"/>
        </w:rPr>
        <w:t>2</w:t>
      </w:r>
      <w:bookmarkEnd w:id="1253"/>
      <w:r>
        <w:rPr>
          <w:rFonts w:ascii="Times New Roman" w:eastAsia="Times New Roman" w:hAnsi="Times New Roman" w:cs="Times New Roman"/>
          <w:color w:val="000000"/>
          <w:spacing w:val="0"/>
          <w:w w:val="100"/>
          <w:position w:val="0"/>
        </w:rPr>
        <w:t>）</w:t>
        <w:tab/>
      </w:r>
      <w:r>
        <w:rPr>
          <w:color w:val="000000"/>
          <w:spacing w:val="0"/>
          <w:w w:val="100"/>
          <w:position w:val="0"/>
        </w:rPr>
        <w:t>假定被估值企业所处地区的政治、经济和社会环境无重大变化，无其他不可预测和不可抗力因素造成的重大不利影 响</w:t>
      </w:r>
    </w:p>
    <w:p>
      <w:pPr>
        <w:pStyle w:val="Style33"/>
        <w:keepNext w:val="0"/>
        <w:keepLines w:val="0"/>
        <w:widowControl w:val="0"/>
        <w:shd w:val="clear" w:color="auto" w:fill="auto"/>
        <w:tabs>
          <w:tab w:pos="798" w:val="left"/>
        </w:tabs>
        <w:bidi w:val="0"/>
        <w:spacing w:before="0" w:after="0" w:line="322" w:lineRule="exact"/>
        <w:ind w:left="0" w:right="0" w:firstLine="440"/>
        <w:jc w:val="both"/>
      </w:pPr>
      <w:bookmarkStart w:id="1254" w:name="bookmark1254"/>
      <w:r>
        <w:rPr>
          <w:rFonts w:ascii="Times New Roman" w:eastAsia="Times New Roman" w:hAnsi="Times New Roman" w:cs="Times New Roman"/>
          <w:color w:val="000000"/>
          <w:spacing w:val="0"/>
          <w:w w:val="100"/>
          <w:position w:val="0"/>
        </w:rPr>
        <w:t>3</w:t>
      </w:r>
      <w:bookmarkEnd w:id="1254"/>
      <w:r>
        <w:rPr>
          <w:color w:val="000000"/>
          <w:spacing w:val="0"/>
          <w:w w:val="100"/>
          <w:position w:val="0"/>
        </w:rPr>
        <w:t>）</w:t>
        <w:tab/>
        <w:t>假定被估值企业经营方式、管理、技术团队不发生重大变化，存货采购、销售渠道不发生重大变化；</w:t>
      </w:r>
    </w:p>
    <w:p>
      <w:pPr>
        <w:pStyle w:val="Style33"/>
        <w:keepNext w:val="0"/>
        <w:keepLines w:val="0"/>
        <w:widowControl w:val="0"/>
        <w:shd w:val="clear" w:color="auto" w:fill="auto"/>
        <w:tabs>
          <w:tab w:pos="808" w:val="left"/>
        </w:tabs>
        <w:bidi w:val="0"/>
        <w:spacing w:before="0" w:after="0" w:line="322" w:lineRule="exact"/>
        <w:ind w:left="0" w:right="0" w:firstLine="440"/>
        <w:jc w:val="both"/>
      </w:pPr>
      <w:bookmarkStart w:id="1255" w:name="bookmark1255"/>
      <w:r>
        <w:rPr>
          <w:rFonts w:ascii="Times New Roman" w:eastAsia="Times New Roman" w:hAnsi="Times New Roman" w:cs="Times New Roman"/>
          <w:color w:val="000000"/>
          <w:spacing w:val="0"/>
          <w:w w:val="100"/>
          <w:position w:val="0"/>
        </w:rPr>
        <w:t>4</w:t>
      </w:r>
      <w:bookmarkEnd w:id="1255"/>
      <w:r>
        <w:rPr>
          <w:color w:val="000000"/>
          <w:spacing w:val="0"/>
          <w:w w:val="100"/>
          <w:position w:val="0"/>
        </w:rPr>
        <w:t>）</w:t>
        <w:tab/>
        <w:t>国家现行的银行利率、汇率、赋税基准及税率、政策性征收费用等不发生重大变化；</w:t>
      </w:r>
    </w:p>
    <w:p>
      <w:pPr>
        <w:pStyle w:val="Style33"/>
        <w:keepNext w:val="0"/>
        <w:keepLines w:val="0"/>
        <w:widowControl w:val="0"/>
        <w:shd w:val="clear" w:color="auto" w:fill="auto"/>
        <w:tabs>
          <w:tab w:pos="808" w:val="left"/>
        </w:tabs>
        <w:bidi w:val="0"/>
        <w:spacing w:before="0" w:after="100" w:line="322" w:lineRule="exact"/>
        <w:ind w:left="0" w:right="0" w:firstLine="440"/>
        <w:jc w:val="both"/>
      </w:pPr>
      <w:bookmarkStart w:id="1256" w:name="bookmark1256"/>
      <w:r>
        <w:rPr>
          <w:rFonts w:ascii="Times New Roman" w:eastAsia="Times New Roman" w:hAnsi="Times New Roman" w:cs="Times New Roman"/>
          <w:color w:val="000000"/>
          <w:spacing w:val="0"/>
          <w:w w:val="100"/>
          <w:position w:val="0"/>
        </w:rPr>
        <w:t>5</w:t>
      </w:r>
      <w:bookmarkEnd w:id="1256"/>
      <w:r>
        <w:rPr>
          <w:color w:val="000000"/>
          <w:spacing w:val="0"/>
          <w:w w:val="100"/>
          <w:position w:val="0"/>
        </w:rPr>
        <w:t>）</w:t>
        <w:tab/>
        <w:t>假设成都哆可梦网络科技有限公司的现金流入为平均流入，现金流出为平均流出。</w:t>
      </w:r>
    </w:p>
    <w:p>
      <w:pPr>
        <w:pStyle w:val="Style31"/>
        <w:keepNext w:val="0"/>
        <w:keepLines w:val="0"/>
        <w:widowControl w:val="0"/>
        <w:numPr>
          <w:ilvl w:val="0"/>
          <w:numId w:val="93"/>
        </w:numPr>
        <w:shd w:val="clear" w:color="auto" w:fill="auto"/>
        <w:tabs>
          <w:tab w:pos="602" w:val="left"/>
        </w:tabs>
        <w:bidi w:val="0"/>
        <w:spacing w:before="0" w:after="0" w:line="322" w:lineRule="exact"/>
        <w:ind w:left="0" w:right="0" w:firstLine="0"/>
        <w:jc w:val="left"/>
      </w:pPr>
      <w:r>
        <w:rPr>
          <w:color w:val="000000"/>
          <w:spacing w:val="0"/>
          <w:w w:val="100"/>
          <w:position w:val="0"/>
        </w:rPr>
        <w:t>关键参数</w:t>
      </w:r>
    </w:p>
    <w:tbl>
      <w:tblPr>
        <w:tblOverlap w:val="never"/>
        <w:jc w:val="center"/>
        <w:tblLayout w:type="fixed"/>
      </w:tblPr>
      <w:tblGrid>
        <w:gridCol w:w="1238"/>
        <w:gridCol w:w="2506"/>
        <w:gridCol w:w="917"/>
        <w:gridCol w:w="1286"/>
        <w:gridCol w:w="1920"/>
        <w:gridCol w:w="1781"/>
      </w:tblGrid>
      <w:tr>
        <w:trPr>
          <w:trHeight w:val="9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单位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预测期增 长率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160" w:right="0" w:firstLine="0"/>
              <w:jc w:val="left"/>
            </w:pPr>
            <w:r>
              <w:rPr>
                <w:color w:val="000000"/>
                <w:spacing w:val="0"/>
                <w:w w:val="100"/>
                <w:position w:val="0"/>
              </w:rPr>
              <w:t>稳定期增长 率</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220" w:after="0" w:line="240" w:lineRule="auto"/>
              <w:ind w:left="0" w:right="0" w:firstLine="0"/>
              <w:jc w:val="center"/>
            </w:pPr>
            <w:r>
              <w:rPr>
                <w:color w:val="000000"/>
                <w:spacing w:val="0"/>
                <w:w w:val="100"/>
                <w:position w:val="0"/>
              </w:rPr>
              <w:t>利润率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320" w:right="0" w:firstLine="0"/>
              <w:jc w:val="left"/>
            </w:pPr>
            <w:r>
              <w:rPr>
                <w:color w:val="000000"/>
                <w:spacing w:val="0"/>
                <w:w w:val="100"/>
                <w:position w:val="0"/>
              </w:rPr>
              <w:t>折现率</w:t>
            </w:r>
            <w:r>
              <w:rPr>
                <w:color w:val="000000"/>
                <w:spacing w:val="0"/>
                <w:w w:val="100"/>
                <w:position w:val="0"/>
              </w:rPr>
              <w:t>（</w:t>
            </w:r>
            <w:r>
              <w:rPr>
                <w:color w:val="000000"/>
                <w:spacing w:val="0"/>
                <w:w w:val="100"/>
                <w:position w:val="0"/>
              </w:rPr>
              <w:t xml:space="preserve">加权 平均资本成本 </w:t>
            </w:r>
            <w:r>
              <w:rPr>
                <w:rFonts w:ascii="Times New Roman" w:eastAsia="Times New Roman" w:hAnsi="Times New Roman" w:cs="Times New Roman"/>
                <w:color w:val="000000"/>
                <w:spacing w:val="0"/>
                <w:w w:val="100"/>
                <w:position w:val="0"/>
              </w:rPr>
              <w:t>WACC）（%）</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中汇同盈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667"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哆可梦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-2025</w:t>
            </w:r>
            <w:r>
              <w:rPr>
                <w:color w:val="000000"/>
                <w:spacing w:val="0"/>
                <w:w w:val="100"/>
                <w:position w:val="0"/>
              </w:rPr>
              <w:t>年为增长期</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之后年度为稳定期</w:t>
            </w:r>
            <w:r>
              <w:rPr>
                <w:color w:val="000000"/>
                <w:spacing w:val="0"/>
                <w:w w:val="100"/>
                <w:position w:val="0"/>
              </w:rPr>
              <w:t>）</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7.03-34.61</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根据预测的收入、成 本、费用等计算</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11.72</w:t>
            </w:r>
          </w:p>
        </w:tc>
      </w:tr>
    </w:tbl>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商誉减值测试的影响</w:t>
      </w:r>
    </w:p>
    <w:tbl>
      <w:tblPr>
        <w:tblOverlap w:val="never"/>
        <w:jc w:val="center"/>
        <w:tblLayout w:type="fixed"/>
      </w:tblPr>
      <w:tblGrid>
        <w:gridCol w:w="4440"/>
        <w:gridCol w:w="2525"/>
        <w:gridCol w:w="2683"/>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中汇同盈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哆可梦</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商誉账面余额①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359,972.58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1,220,240,489.40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商誉减值准备余额②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商誉的账面价值③=①</w:t>
            </w:r>
            <w:r>
              <w:rPr>
                <w:rFonts w:ascii="Times New Roman" w:eastAsia="Times New Roman" w:hAnsi="Times New Roman" w:cs="Times New Roman"/>
                <w:color w:val="000000"/>
                <w:spacing w:val="0"/>
                <w:w w:val="100"/>
                <w:position w:val="0"/>
              </w:rPr>
              <w:t>-</w:t>
            </w:r>
            <w:r>
              <w:rPr>
                <w:color w:val="000000"/>
                <w:spacing w:val="0"/>
                <w:w w:val="100"/>
                <w:position w:val="0"/>
              </w:rPr>
              <w:t>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359,972.58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1,220,240,489.40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未确认归属于少数股东权益的商誉价值④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352,842,518.72</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调整后整体商誉的账面价值⑤</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359,972.58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1,573,083,008.12</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资产组的账面价值⑥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45,638,757.61</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包含整体商誉的资产组的账面价值⑦</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359,972.58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1,618,721,765.73</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资产组预计未来现金流量的现值（可回收金额）⑧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448,190,000.00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商誉减值损失（大于</w:t>
            </w:r>
            <w:r>
              <w:rPr>
                <w:rFonts w:ascii="Times New Roman" w:eastAsia="Times New Roman" w:hAnsi="Times New Roman" w:cs="Times New Roman"/>
                <w:color w:val="000000"/>
                <w:spacing w:val="0"/>
                <w:w w:val="100"/>
                <w:position w:val="0"/>
              </w:rPr>
              <w:t>0</w:t>
            </w:r>
            <w:r>
              <w:rPr>
                <w:color w:val="000000"/>
                <w:spacing w:val="0"/>
                <w:w w:val="100"/>
                <w:position w:val="0"/>
              </w:rPr>
              <w:t>时）⑨</w:t>
            </w:r>
            <w:r>
              <w:rPr>
                <w:color w:val="000000"/>
                <w:spacing w:val="0"/>
                <w:w w:val="100"/>
                <w:position w:val="0"/>
              </w:rPr>
              <w:t>二</w:t>
            </w:r>
            <w:r>
              <w:rPr>
                <w:color w:val="000000"/>
                <w:spacing w:val="0"/>
                <w:w w:val="100"/>
                <w:position w:val="0"/>
              </w:rPr>
              <w:t>⑦</w:t>
            </w:r>
            <w:r>
              <w:rPr>
                <w:rFonts w:ascii="Times New Roman" w:eastAsia="Times New Roman" w:hAnsi="Times New Roman" w:cs="Times New Roman"/>
                <w:color w:val="000000"/>
                <w:spacing w:val="0"/>
                <w:w w:val="100"/>
                <w:position w:val="0"/>
              </w:rPr>
              <w:t>-</w:t>
            </w:r>
            <w:r>
              <w:rPr>
                <w:color w:val="000000"/>
                <w:spacing w:val="0"/>
                <w:w w:val="100"/>
                <w:position w:val="0"/>
              </w:rPr>
              <w:t>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1,170,531,765.73</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按实际持股比例对应商誉减值损失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907,981,490.68</w:t>
            </w:r>
          </w:p>
        </w:tc>
      </w:tr>
    </w:tbl>
    <w:p>
      <w:pPr>
        <w:pStyle w:val="Style31"/>
        <w:keepNext w:val="0"/>
        <w:keepLines w:val="0"/>
        <w:widowControl w:val="0"/>
        <w:shd w:val="clear" w:color="auto" w:fill="auto"/>
        <w:bidi w:val="0"/>
        <w:spacing w:before="0" w:after="0" w:line="240" w:lineRule="auto"/>
        <w:ind w:left="403" w:right="0" w:firstLine="0"/>
        <w:jc w:val="left"/>
      </w:pPr>
      <w:r>
        <w:rPr>
          <w:color w:val="000000"/>
          <w:spacing w:val="0"/>
          <w:w w:val="100"/>
          <w:position w:val="0"/>
        </w:rPr>
        <w:t>①经测试，公司收购中汇同盈形成的商誉本期不存在减值。</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②截至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日，哆可梦收购时形成的商誉相关资产组的账面价值为</w:t>
      </w:r>
      <w:r>
        <w:rPr>
          <w:rFonts w:ascii="Times New Roman" w:eastAsia="Times New Roman" w:hAnsi="Times New Roman" w:cs="Times New Roman"/>
          <w:color w:val="000000"/>
          <w:spacing w:val="0"/>
          <w:w w:val="100"/>
          <w:position w:val="0"/>
        </w:rPr>
        <w:t>4,563.88</w:t>
      </w:r>
      <w:r>
        <w:rPr>
          <w:color w:val="000000"/>
          <w:spacing w:val="0"/>
          <w:w w:val="100"/>
          <w:position w:val="0"/>
        </w:rPr>
        <w:t>万元，包含未确认归属于少数股 东权益的商誉价值为</w:t>
      </w:r>
      <w:r>
        <w:rPr>
          <w:rFonts w:ascii="Times New Roman" w:eastAsia="Times New Roman" w:hAnsi="Times New Roman" w:cs="Times New Roman"/>
          <w:color w:val="000000"/>
          <w:spacing w:val="0"/>
          <w:w w:val="100"/>
          <w:position w:val="0"/>
        </w:rPr>
        <w:t>157,308.3</w:t>
      </w:r>
      <w:r>
        <w:rPr>
          <w:rFonts w:ascii="Times New Roman" w:eastAsia="Times New Roman" w:hAnsi="Times New Roman" w:cs="Times New Roman"/>
          <w:color w:val="000000"/>
          <w:spacing w:val="0"/>
          <w:w w:val="100"/>
          <w:position w:val="0"/>
        </w:rPr>
        <w:t>0</w:t>
      </w:r>
      <w:r>
        <w:rPr>
          <w:color w:val="000000"/>
          <w:spacing w:val="0"/>
          <w:w w:val="100"/>
          <w:position w:val="0"/>
        </w:rPr>
        <w:t>万元，合计</w:t>
      </w:r>
      <w:r>
        <w:rPr>
          <w:rFonts w:ascii="Times New Roman" w:eastAsia="Times New Roman" w:hAnsi="Times New Roman" w:cs="Times New Roman"/>
          <w:color w:val="000000"/>
          <w:spacing w:val="0"/>
          <w:w w:val="100"/>
          <w:position w:val="0"/>
        </w:rPr>
        <w:t>161,872.18</w:t>
      </w:r>
      <w:r>
        <w:rPr>
          <w:color w:val="000000"/>
          <w:spacing w:val="0"/>
          <w:w w:val="100"/>
          <w:position w:val="0"/>
        </w:rPr>
        <w:t>万元，商誉资产组可收回金额为</w:t>
      </w:r>
      <w:r>
        <w:rPr>
          <w:rFonts w:ascii="Times New Roman" w:eastAsia="Times New Roman" w:hAnsi="Times New Roman" w:cs="Times New Roman"/>
          <w:color w:val="000000"/>
          <w:spacing w:val="0"/>
          <w:w w:val="100"/>
          <w:position w:val="0"/>
        </w:rPr>
        <w:t>44,819.00</w:t>
      </w:r>
      <w:r>
        <w:rPr>
          <w:color w:val="000000"/>
          <w:spacing w:val="0"/>
          <w:w w:val="100"/>
          <w:position w:val="0"/>
        </w:rPr>
        <w:t>万元。经测试，公司收购哆可 梦形成的商誉本期减值</w:t>
      </w:r>
      <w:r>
        <w:rPr>
          <w:rFonts w:ascii="Times New Roman" w:eastAsia="Times New Roman" w:hAnsi="Times New Roman" w:cs="Times New Roman"/>
          <w:color w:val="000000"/>
          <w:spacing w:val="0"/>
          <w:w w:val="100"/>
          <w:position w:val="0"/>
        </w:rPr>
        <w:t>90,798.15</w:t>
      </w:r>
      <w:r>
        <w:rPr>
          <w:color w:val="000000"/>
          <w:spacing w:val="0"/>
          <w:w w:val="100"/>
          <w:position w:val="0"/>
        </w:rPr>
        <w:t>万元。</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80" w:line="307" w:lineRule="exact"/>
        <w:ind w:left="0" w:right="0" w:firstLine="360"/>
        <w:jc w:val="both"/>
      </w:pPr>
      <w:r>
        <w:rPr>
          <w:color w:val="000000"/>
          <w:spacing w:val="0"/>
          <w:w w:val="100"/>
          <w:position w:val="0"/>
        </w:rPr>
        <w:t>公司期末对与商誉相关的各资产组进行了减值测试，调整各资产组的账面价值，然后将调整后的各资产组账面价值与 其可收回金额进行比较，以确定各资产组是否发生了减值。</w:t>
      </w:r>
    </w:p>
    <w:p>
      <w:pPr>
        <w:pStyle w:val="Style37"/>
        <w:keepNext/>
        <w:keepLines/>
        <w:widowControl w:val="0"/>
        <w:shd w:val="clear" w:color="auto" w:fill="auto"/>
        <w:bidi w:val="0"/>
        <w:spacing w:before="0" w:after="380" w:line="240" w:lineRule="auto"/>
        <w:ind w:left="0" w:right="0" w:firstLine="0"/>
        <w:jc w:val="both"/>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1</w:t>
      </w:r>
      <w:bookmarkEnd w:id="1259"/>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257"/>
      <w:bookmarkEnd w:id="1258"/>
      <w:bookmarkEnd w:id="126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券商持续督导费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1,487,671.28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493,150.68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994,520.60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邮箱服务费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10,377.26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33,495.15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11,174.76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32,697.65</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17,979,672.10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19,811,320.75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11,850,396.49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25,940,596.36</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房屋改造装修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20,324,880.66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4,515,238.02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15,809,642.64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咨询顾问费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58,791,924.92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3,128,397.23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20,247,678.44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1,118,908.03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40,553,735.68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98,594,526.22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22,973,213.13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37,117,638.39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1,118,908.03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83,331,192.93</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1</w:t>
      </w:r>
      <w:bookmarkEnd w:id="1263"/>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61"/>
      <w:bookmarkEnd w:id="1262"/>
      <w:bookmarkEnd w:id="1264"/>
    </w:p>
    <w:p>
      <w:pPr>
        <w:pStyle w:val="Style37"/>
        <w:keepNext/>
        <w:keepLines/>
        <w:widowControl w:val="0"/>
        <w:shd w:val="clear" w:color="auto" w:fill="auto"/>
        <w:bidi w:val="0"/>
        <w:spacing w:before="0" w:after="380" w:line="240" w:lineRule="auto"/>
        <w:ind w:left="0" w:right="0" w:firstLine="0"/>
        <w:jc w:val="left"/>
      </w:pPr>
      <w:bookmarkStart w:id="1261" w:name="bookmark1261"/>
      <w:bookmarkStart w:id="1262" w:name="bookmark1262"/>
      <w:bookmarkStart w:id="1265" w:name="bookmark12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61"/>
      <w:bookmarkEnd w:id="1262"/>
      <w:bookmarkEnd w:id="126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42"/>
        <w:gridCol w:w="1594"/>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26,957,496.71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3,975,607.78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52,370,963.54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7,421,094.59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310,815,160.79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50,663,886.22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130,954,468.36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20,435,514.96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无形资产累计摊销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432,429.66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64,864.44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201,739.75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30,260.96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预提服务费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14,930,387.10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2,239,558.07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9,938,341.12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1,490,751.17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预计的应付利息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949,138.28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142,370.74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15,252,374.80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2,287,856.22</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1,513,807.61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378,451.90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354,084,612.54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57,086,287.25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210,231,695.18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32,043,929.80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66"/>
      <w:bookmarkEnd w:id="1267"/>
      <w:bookmarkEnd w:id="126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42"/>
        <w:gridCol w:w="1594"/>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投资性房地产公允价值变动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40,592,956.91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7,144,566.25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54,631,612.94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10,255,144.26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未实现的理财收益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40,901.92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6,135.29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567,652.06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85,147.81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有限合伙企业的盈利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348,150.70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52,222.61</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19,281,039.96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4,820,259.99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59,914,898.79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11,970,961.53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55,547,415.70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10,392,514.68</w:t>
            </w:r>
          </w:p>
        </w:tc>
      </w:tr>
    </w:tbl>
    <w:p>
      <w:pPr>
        <w:widowControl w:val="0"/>
        <w:spacing w:after="319" w:line="1" w:lineRule="exact"/>
      </w:pPr>
    </w:p>
    <w:p>
      <w:pPr>
        <w:pStyle w:val="Style37"/>
        <w:keepNext/>
        <w:keepLines/>
        <w:widowControl w:val="0"/>
        <w:numPr>
          <w:ilvl w:val="0"/>
          <w:numId w:val="95"/>
        </w:numPr>
        <w:shd w:val="clear" w:color="auto" w:fill="auto"/>
        <w:bidi w:val="0"/>
        <w:spacing w:before="0" w:after="380" w:line="240" w:lineRule="auto"/>
        <w:ind w:left="0" w:right="0" w:firstLine="0"/>
        <w:jc w:val="left"/>
      </w:pPr>
      <w:bookmarkStart w:id="1269" w:name="bookmark1269"/>
      <w:bookmarkStart w:id="1270" w:name="bookmark1270"/>
      <w:bookmarkStart w:id="1271" w:name="bookmark1271"/>
      <w:bookmarkStart w:id="1272" w:name="bookmark1272"/>
      <w:bookmarkEnd w:id="1271"/>
      <w:r>
        <w:rPr>
          <w:color w:val="000000"/>
          <w:spacing w:val="0"/>
          <w:w w:val="100"/>
          <w:position w:val="0"/>
        </w:rPr>
        <w:t>以抵销后净额列示的递延所得税资产或负债</w:t>
      </w:r>
      <w:bookmarkEnd w:id="1269"/>
      <w:bookmarkEnd w:id="1270"/>
      <w:bookmarkEnd w:id="127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57,086,287.25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32,043,929.80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11,970,961.53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10,392,514.68</w:t>
            </w:r>
          </w:p>
        </w:tc>
      </w:tr>
    </w:tbl>
    <w:p>
      <w:pPr>
        <w:spacing w:lineRule="exact" w:line="1"/>
        <w:rPr>
          <w:sz w:val="2"/>
          <w:szCs w:val="2"/>
        </w:rPr>
      </w:pPr>
      <w:r>
        <w:br w:type="page"/>
      </w:r>
    </w:p>
    <w:p>
      <w:pPr>
        <w:pStyle w:val="Style37"/>
        <w:keepNext/>
        <w:keepLines/>
        <w:widowControl w:val="0"/>
        <w:numPr>
          <w:ilvl w:val="0"/>
          <w:numId w:val="95"/>
        </w:numPr>
        <w:shd w:val="clear" w:color="auto" w:fill="auto"/>
        <w:bidi w:val="0"/>
        <w:spacing w:before="0" w:after="380" w:line="240" w:lineRule="auto"/>
        <w:ind w:left="0" w:right="0" w:firstLine="140"/>
        <w:jc w:val="left"/>
      </w:pPr>
      <w:bookmarkStart w:id="1273" w:name="bookmark1273"/>
      <w:bookmarkStart w:id="1274" w:name="bookmark1274"/>
      <w:bookmarkStart w:id="1275" w:name="bookmark1275"/>
      <w:bookmarkStart w:id="1276" w:name="bookmark1276"/>
      <w:bookmarkEnd w:id="1275"/>
      <w:r>
        <w:rPr>
          <w:color w:val="000000"/>
          <w:spacing w:val="0"/>
          <w:w w:val="100"/>
          <w:position w:val="0"/>
        </w:rPr>
        <w:t>未确认递延所得税资产明细</w:t>
      </w:r>
      <w:bookmarkEnd w:id="1273"/>
      <w:bookmarkEnd w:id="1274"/>
      <w:bookmarkEnd w:id="127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1,162,422.24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2,056,346.86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83,617,288.51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77,596,328.42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84,779,710.75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79,652,675.28</w:t>
            </w:r>
          </w:p>
        </w:tc>
      </w:tr>
    </w:tbl>
    <w:p>
      <w:pPr>
        <w:widowControl w:val="0"/>
        <w:spacing w:after="319" w:line="1" w:lineRule="exact"/>
      </w:pPr>
    </w:p>
    <w:p>
      <w:pPr>
        <w:pStyle w:val="Style37"/>
        <w:keepNext/>
        <w:keepLines/>
        <w:widowControl w:val="0"/>
        <w:numPr>
          <w:ilvl w:val="0"/>
          <w:numId w:val="95"/>
        </w:numPr>
        <w:shd w:val="clear" w:color="auto" w:fill="auto"/>
        <w:bidi w:val="0"/>
        <w:spacing w:before="0" w:after="380" w:line="240" w:lineRule="auto"/>
        <w:ind w:left="0" w:right="0" w:firstLine="140"/>
        <w:jc w:val="left"/>
      </w:pPr>
      <w:bookmarkStart w:id="1277" w:name="bookmark1277"/>
      <w:bookmarkStart w:id="1278" w:name="bookmark1278"/>
      <w:bookmarkStart w:id="1279" w:name="bookmark1279"/>
      <w:bookmarkStart w:id="1280" w:name="bookmark1280"/>
      <w:bookmarkEnd w:id="1279"/>
      <w:r>
        <w:rPr>
          <w:color w:val="000000"/>
          <w:spacing w:val="0"/>
          <w:w w:val="100"/>
          <w:position w:val="0"/>
        </w:rPr>
        <w:t>未确认递延所得税资产的可抵扣亏损将于以下年度到期</w:t>
      </w:r>
      <w:bookmarkEnd w:id="1277"/>
      <w:bookmarkEnd w:id="1278"/>
      <w:bookmarkEnd w:id="128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252,008.62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6,457,350.19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6,554,742.01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19,668,202.20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20,400,077.90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21,665,802.44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21,665,802.44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24,147,602.90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25,747,042.81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r>
              <w:rPr>
                <w:color w:val="000000"/>
                <w:spacing w:val="0"/>
                <w:w w:val="100"/>
                <w:position w:val="0"/>
              </w:rPr>
              <w:t>年度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7,860,305.48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无限期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3,818,025.30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2,976,654.64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83,617,288.51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77,596,328.42</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2</w:t>
      </w:r>
      <w:bookmarkEnd w:id="1283"/>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281"/>
      <w:bookmarkEnd w:id="1282"/>
      <w:bookmarkEnd w:id="128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53"/>
        <w:gridCol w:w="1272"/>
        <w:gridCol w:w="994"/>
        <w:gridCol w:w="1133"/>
        <w:gridCol w:w="1560"/>
        <w:gridCol w:w="1421"/>
        <w:gridCol w:w="1954"/>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预付版权金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9,415,094.30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9,415,094.30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10,741,344.53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10,741,344.53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3,006,150.83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3,006,150.83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9,415,094.30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9,415,094.30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13,747,495.36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13,747,495.36</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2</w:t>
      </w:r>
      <w:bookmarkEnd w:id="1287"/>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285"/>
      <w:bookmarkEnd w:id="1286"/>
      <w:bookmarkEnd w:id="1288"/>
    </w:p>
    <w:p>
      <w:pPr>
        <w:pStyle w:val="Style37"/>
        <w:keepNext/>
        <w:keepLines/>
        <w:widowControl w:val="0"/>
        <w:shd w:val="clear" w:color="auto" w:fill="auto"/>
        <w:bidi w:val="0"/>
        <w:spacing w:before="0" w:after="380" w:line="240" w:lineRule="auto"/>
        <w:ind w:left="0" w:right="0" w:firstLine="0"/>
        <w:jc w:val="left"/>
      </w:pPr>
      <w:bookmarkStart w:id="1285" w:name="bookmark1285"/>
      <w:bookmarkStart w:id="1286" w:name="bookmark1286"/>
      <w:bookmarkStart w:id="1289" w:name="bookmark12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85"/>
      <w:bookmarkEnd w:id="1286"/>
      <w:bookmarkEnd w:id="128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112,220,224.80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97,000,000.00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30,057,750.00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142,277,974.80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357,000,000.00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33"/>
        <w:keepNext w:val="0"/>
        <w:keepLines w:val="0"/>
        <w:widowControl w:val="0"/>
        <w:numPr>
          <w:ilvl w:val="0"/>
          <w:numId w:val="97"/>
        </w:numPr>
        <w:shd w:val="clear" w:color="auto" w:fill="auto"/>
        <w:tabs>
          <w:tab w:pos="841" w:val="left"/>
        </w:tabs>
        <w:bidi w:val="0"/>
        <w:spacing w:before="0" w:after="0" w:line="312" w:lineRule="exact"/>
        <w:ind w:left="0" w:right="0"/>
        <w:jc w:val="both"/>
      </w:pPr>
      <w:bookmarkStart w:id="1290" w:name="bookmark1290"/>
      <w:bookmarkEnd w:id="1290"/>
      <w:r>
        <w:rPr>
          <w:color w:val="000000"/>
          <w:spacing w:val="0"/>
          <w:w w:val="100"/>
          <w:position w:val="0"/>
        </w:rPr>
        <w:t>为满足公司生产经营需要，</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月公司向华夏银行股份有限公司深圳前海分行申请不超过</w:t>
      </w:r>
      <w:r>
        <w:rPr>
          <w:rFonts w:ascii="Times New Roman" w:eastAsia="Times New Roman" w:hAnsi="Times New Roman" w:cs="Times New Roman"/>
          <w:color w:val="000000"/>
          <w:spacing w:val="0"/>
          <w:w w:val="100"/>
          <w:position w:val="0"/>
        </w:rPr>
        <w:t>300,000,000.00</w:t>
      </w:r>
      <w:r>
        <w:rPr>
          <w:color w:val="000000"/>
          <w:spacing w:val="0"/>
          <w:w w:val="100"/>
          <w:position w:val="0"/>
        </w:rPr>
        <w:t>元综 合授信额度，以公司持有的位于深圳市坪山新区的房产作抵押担保，并由汪超涌先生和控股子公司哆可梦提供连带责任保证 担保。截至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22"/>
          <w:szCs w:val="22"/>
        </w:rPr>
        <w:t>0，</w:t>
      </w:r>
      <w:r>
        <w:rPr>
          <w:color w:val="000000"/>
          <w:spacing w:val="0"/>
          <w:w w:val="100"/>
          <w:position w:val="0"/>
        </w:rPr>
        <w:t>公司在华夏银行股份有限公司深圳前海分行申请的贷款本金余额为</w:t>
      </w:r>
      <w:r>
        <w:rPr>
          <w:rFonts w:ascii="Times New Roman" w:eastAsia="Times New Roman" w:hAnsi="Times New Roman" w:cs="Times New Roman"/>
          <w:color w:val="000000"/>
          <w:spacing w:val="0"/>
          <w:w w:val="100"/>
          <w:position w:val="0"/>
        </w:rPr>
        <w:t>92,000,000.00</w:t>
      </w:r>
      <w:r>
        <w:rPr>
          <w:color w:val="000000"/>
          <w:spacing w:val="0"/>
          <w:w w:val="100"/>
          <w:position w:val="0"/>
        </w:rPr>
        <w:t>元，合同约定 付息日前计提的尚未到期支付的利息</w:t>
      </w:r>
      <w:r>
        <w:rPr>
          <w:rFonts w:ascii="Times New Roman" w:eastAsia="Times New Roman" w:hAnsi="Times New Roman" w:cs="Times New Roman"/>
          <w:color w:val="000000"/>
          <w:spacing w:val="0"/>
          <w:w w:val="100"/>
          <w:position w:val="0"/>
        </w:rPr>
        <w:t>180,953.96</w:t>
      </w:r>
      <w:r>
        <w:rPr>
          <w:color w:val="000000"/>
          <w:spacing w:val="0"/>
          <w:w w:val="100"/>
          <w:position w:val="0"/>
        </w:rPr>
        <w:t>元，本息合计</w:t>
      </w:r>
      <w:r>
        <w:rPr>
          <w:rFonts w:ascii="Times New Roman" w:eastAsia="Times New Roman" w:hAnsi="Times New Roman" w:cs="Times New Roman"/>
          <w:color w:val="000000"/>
          <w:spacing w:val="0"/>
          <w:w w:val="100"/>
          <w:position w:val="0"/>
        </w:rPr>
        <w:t>92,180,953.96</w:t>
      </w:r>
      <w:r>
        <w:rPr>
          <w:color w:val="000000"/>
          <w:spacing w:val="0"/>
          <w:w w:val="100"/>
          <w:position w:val="0"/>
        </w:rPr>
        <w:t>元。</w:t>
      </w:r>
    </w:p>
    <w:p>
      <w:pPr>
        <w:pStyle w:val="Style33"/>
        <w:keepNext w:val="0"/>
        <w:keepLines w:val="0"/>
        <w:widowControl w:val="0"/>
        <w:numPr>
          <w:ilvl w:val="0"/>
          <w:numId w:val="97"/>
        </w:numPr>
        <w:shd w:val="clear" w:color="auto" w:fill="auto"/>
        <w:tabs>
          <w:tab w:pos="841" w:val="left"/>
        </w:tabs>
        <w:bidi w:val="0"/>
        <w:spacing w:before="0" w:after="0" w:line="312" w:lineRule="exact"/>
        <w:ind w:left="0" w:right="0"/>
        <w:jc w:val="both"/>
      </w:pPr>
      <w:bookmarkStart w:id="1291" w:name="bookmark1291"/>
      <w:bookmarkEnd w:id="1291"/>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月，公司与上海浦东发展银行股份有限公司深圳分行签订流动借款合同，以短期流动资金贷款形式向银行 借款</w:t>
      </w:r>
      <w:r>
        <w:rPr>
          <w:rFonts w:ascii="Times New Roman" w:eastAsia="Times New Roman" w:hAnsi="Times New Roman" w:cs="Times New Roman"/>
          <w:color w:val="000000"/>
          <w:spacing w:val="0"/>
          <w:w w:val="100"/>
          <w:position w:val="0"/>
        </w:rPr>
        <w:t>50,000,000.00</w:t>
      </w:r>
      <w:r>
        <w:rPr>
          <w:color w:val="000000"/>
          <w:spacing w:val="0"/>
          <w:w w:val="100"/>
          <w:position w:val="0"/>
        </w:rPr>
        <w:t>元，期限为一年，用于采购原材料，贷款利率按照贷款实际发放日前一日日终全国银行间同业拆借中心公 布的一年期贷款市场报价利率计算。截至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日，公司向浦发银行贷取的该笔借款本金余额为</w:t>
      </w:r>
      <w:r>
        <w:rPr>
          <w:rFonts w:ascii="Times New Roman" w:eastAsia="Times New Roman" w:hAnsi="Times New Roman" w:cs="Times New Roman"/>
          <w:color w:val="000000"/>
          <w:spacing w:val="0"/>
          <w:w w:val="100"/>
          <w:position w:val="0"/>
        </w:rPr>
        <w:t>20,000,000.00</w:t>
      </w:r>
      <w:r>
        <w:rPr>
          <w:color w:val="000000"/>
          <w:spacing w:val="0"/>
          <w:w w:val="100"/>
          <w:position w:val="0"/>
        </w:rPr>
        <w:t>元，合 同约定付息日前计提的尚未到期支付的利息</w:t>
      </w:r>
      <w:r>
        <w:rPr>
          <w:rFonts w:ascii="Times New Roman" w:eastAsia="Times New Roman" w:hAnsi="Times New Roman" w:cs="Times New Roman"/>
          <w:color w:val="000000"/>
          <w:spacing w:val="0"/>
          <w:w w:val="100"/>
          <w:position w:val="0"/>
        </w:rPr>
        <w:t>39,270.84</w:t>
      </w:r>
      <w:r>
        <w:rPr>
          <w:color w:val="000000"/>
          <w:spacing w:val="0"/>
          <w:w w:val="100"/>
          <w:position w:val="0"/>
        </w:rPr>
        <w:t>元，本息合计</w:t>
      </w:r>
      <w:r>
        <w:rPr>
          <w:rFonts w:ascii="Times New Roman" w:eastAsia="Times New Roman" w:hAnsi="Times New Roman" w:cs="Times New Roman"/>
          <w:color w:val="000000"/>
          <w:spacing w:val="0"/>
          <w:w w:val="100"/>
          <w:position w:val="0"/>
        </w:rPr>
        <w:t>20,039,270.84</w:t>
      </w:r>
      <w:r>
        <w:rPr>
          <w:color w:val="000000"/>
          <w:spacing w:val="0"/>
          <w:w w:val="100"/>
          <w:position w:val="0"/>
        </w:rPr>
        <w:t>元。该笔借款在公司向上海浦东发展银行股 份有限公司深圳分行申请的融资额度人民币</w:t>
      </w:r>
      <w:r>
        <w:rPr>
          <w:rFonts w:ascii="Times New Roman" w:eastAsia="Times New Roman" w:hAnsi="Times New Roman" w:cs="Times New Roman"/>
          <w:color w:val="000000"/>
          <w:spacing w:val="0"/>
          <w:w w:val="100"/>
          <w:position w:val="0"/>
        </w:rPr>
        <w:t>3</w:t>
      </w:r>
      <w:r>
        <w:rPr>
          <w:color w:val="000000"/>
          <w:spacing w:val="0"/>
          <w:w w:val="100"/>
          <w:position w:val="0"/>
        </w:rPr>
        <w:t>亿元以内。</w:t>
      </w:r>
    </w:p>
    <w:p>
      <w:pPr>
        <w:pStyle w:val="Style33"/>
        <w:keepNext w:val="0"/>
        <w:keepLines w:val="0"/>
        <w:widowControl w:val="0"/>
        <w:numPr>
          <w:ilvl w:val="0"/>
          <w:numId w:val="97"/>
        </w:numPr>
        <w:shd w:val="clear" w:color="auto" w:fill="auto"/>
        <w:tabs>
          <w:tab w:pos="773" w:val="left"/>
        </w:tabs>
        <w:bidi w:val="0"/>
        <w:spacing w:before="0" w:after="360" w:line="312" w:lineRule="exact"/>
        <w:ind w:left="0" w:right="0" w:firstLine="300"/>
        <w:jc w:val="left"/>
      </w:pPr>
      <w:bookmarkStart w:id="1292" w:name="bookmark1292"/>
      <w:bookmarkEnd w:id="1292"/>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月，公司向深圳市高新投集团有限公司申请信用借款</w:t>
      </w:r>
      <w:r>
        <w:rPr>
          <w:rFonts w:ascii="Times New Roman" w:eastAsia="Times New Roman" w:hAnsi="Times New Roman" w:cs="Times New Roman"/>
          <w:color w:val="000000"/>
          <w:spacing w:val="0"/>
          <w:w w:val="100"/>
          <w:position w:val="0"/>
        </w:rPr>
        <w:t>30,000,000.00</w:t>
      </w:r>
      <w:r>
        <w:rPr>
          <w:color w:val="000000"/>
          <w:spacing w:val="0"/>
          <w:w w:val="100"/>
          <w:position w:val="0"/>
        </w:rPr>
        <w:t>元，由汪超涌先生提供连带责任保证, 该贷款用于公司日常经营支出，借款期限为</w:t>
      </w:r>
      <w:r>
        <w:rPr>
          <w:rFonts w:ascii="Times New Roman" w:eastAsia="Times New Roman" w:hAnsi="Times New Roman" w:cs="Times New Roman"/>
          <w:color w:val="000000"/>
          <w:spacing w:val="0"/>
          <w:w w:val="100"/>
          <w:position w:val="0"/>
        </w:rPr>
        <w:t>6</w:t>
      </w:r>
      <w:r>
        <w:rPr>
          <w:color w:val="000000"/>
          <w:spacing w:val="0"/>
          <w:w w:val="100"/>
          <w:position w:val="0"/>
        </w:rPr>
        <w:t>个月，于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月到期，贷款利率为</w:t>
      </w:r>
      <w:r>
        <w:rPr>
          <w:rFonts w:ascii="Times New Roman" w:eastAsia="Times New Roman" w:hAnsi="Times New Roman" w:cs="Times New Roman"/>
          <w:color w:val="000000"/>
          <w:spacing w:val="0"/>
          <w:w w:val="100"/>
          <w:position w:val="0"/>
        </w:rPr>
        <w:t>6.3%</w:t>
      </w: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日，该笔借款余 额为</w:t>
      </w:r>
      <w:r>
        <w:rPr>
          <w:rFonts w:ascii="Times New Roman" w:eastAsia="Times New Roman" w:hAnsi="Times New Roman" w:cs="Times New Roman"/>
          <w:color w:val="000000"/>
          <w:spacing w:val="0"/>
          <w:w w:val="100"/>
          <w:position w:val="0"/>
        </w:rPr>
        <w:t>30,000,000.00</w:t>
      </w:r>
      <w:r>
        <w:rPr>
          <w:color w:val="000000"/>
          <w:spacing w:val="0"/>
          <w:w w:val="100"/>
          <w:position w:val="0"/>
        </w:rPr>
        <w:t>元，合同约定付息日前计提的尚未到期支付的利息</w:t>
      </w:r>
      <w:r>
        <w:rPr>
          <w:rFonts w:ascii="Times New Roman" w:eastAsia="Times New Roman" w:hAnsi="Times New Roman" w:cs="Times New Roman"/>
          <w:color w:val="000000"/>
          <w:spacing w:val="0"/>
          <w:w w:val="100"/>
          <w:position w:val="0"/>
        </w:rPr>
        <w:t>57,750.00</w:t>
      </w:r>
      <w:r>
        <w:rPr>
          <w:color w:val="000000"/>
          <w:spacing w:val="0"/>
          <w:w w:val="100"/>
          <w:position w:val="0"/>
        </w:rPr>
        <w:t>，本息合计</w:t>
      </w:r>
      <w:r>
        <w:rPr>
          <w:rFonts w:ascii="Times New Roman" w:eastAsia="Times New Roman" w:hAnsi="Times New Roman" w:cs="Times New Roman"/>
          <w:color w:val="000000"/>
          <w:spacing w:val="0"/>
          <w:w w:val="100"/>
          <w:position w:val="0"/>
        </w:rPr>
        <w:t>30,057,750.00</w:t>
      </w:r>
      <w:r>
        <w:rPr>
          <w:color w:val="000000"/>
          <w:spacing w:val="0"/>
          <w:w w:val="100"/>
          <w:position w:val="0"/>
        </w:rPr>
        <w:t>元。</w:t>
      </w:r>
    </w:p>
    <w:p>
      <w:pPr>
        <w:pStyle w:val="Style37"/>
        <w:keepNext/>
        <w:keepLines/>
        <w:widowControl w:val="0"/>
        <w:shd w:val="clear" w:color="auto" w:fill="auto"/>
        <w:bidi w:val="0"/>
        <w:spacing w:before="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2</w:t>
      </w:r>
      <w:bookmarkEnd w:id="1295"/>
      <w:r>
        <w:rPr>
          <w:rFonts w:ascii="Times New Roman" w:eastAsia="Times New Roman" w:hAnsi="Times New Roman" w:cs="Times New Roman"/>
          <w:color w:val="000000"/>
          <w:spacing w:val="0"/>
          <w:w w:val="100"/>
          <w:position w:val="0"/>
        </w:rPr>
        <w:t>2</w:t>
      </w:r>
      <w:r>
        <w:rPr>
          <w:color w:val="000000"/>
          <w:spacing w:val="0"/>
          <w:w w:val="100"/>
          <w:position w:val="0"/>
        </w:rPr>
        <w:t>、应付票据</w:t>
      </w:r>
      <w:bookmarkEnd w:id="1293"/>
      <w:bookmarkEnd w:id="1294"/>
      <w:bookmarkEnd w:id="129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4,260,901.34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7,864,014.68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34,051,891.83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31,064,301.95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38,312,793.17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38,928,316.63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2</w:t>
      </w:r>
      <w:bookmarkEnd w:id="1299"/>
      <w:r>
        <w:rPr>
          <w:rFonts w:ascii="Times New Roman" w:eastAsia="Times New Roman" w:hAnsi="Times New Roman" w:cs="Times New Roman"/>
          <w:color w:val="000000"/>
          <w:spacing w:val="0"/>
          <w:w w:val="100"/>
          <w:position w:val="0"/>
        </w:rPr>
        <w:t>3</w:t>
      </w:r>
      <w:r>
        <w:rPr>
          <w:color w:val="000000"/>
          <w:spacing w:val="0"/>
          <w:w w:val="100"/>
          <w:position w:val="0"/>
        </w:rPr>
        <w:t>、应付账款</w:t>
      </w:r>
      <w:bookmarkEnd w:id="1297"/>
      <w:bookmarkEnd w:id="1298"/>
      <w:bookmarkEnd w:id="1300"/>
    </w:p>
    <w:p>
      <w:pPr>
        <w:pStyle w:val="Style37"/>
        <w:keepNext/>
        <w:keepLines/>
        <w:widowControl w:val="0"/>
        <w:shd w:val="clear" w:color="auto" w:fill="auto"/>
        <w:bidi w:val="0"/>
        <w:spacing w:before="0" w:line="240" w:lineRule="auto"/>
        <w:ind w:left="0" w:right="0" w:firstLine="0"/>
        <w:jc w:val="left"/>
      </w:pPr>
      <w:bookmarkStart w:id="1297" w:name="bookmark1297"/>
      <w:bookmarkStart w:id="1298" w:name="bookmark1298"/>
      <w:bookmarkStart w:id="1301" w:name="bookmark13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97"/>
      <w:bookmarkEnd w:id="1298"/>
      <w:bookmarkEnd w:id="130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135,096,471.61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186,357,279.20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16,715,046.71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145,503,649.43</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63,556,226.30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4,126,803.22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5,392,531.36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1,837,626.38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220,760,275.98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337,825,358.23</w:t>
            </w:r>
          </w:p>
        </w:tc>
      </w:tr>
    </w:tbl>
    <w:p>
      <w:pPr>
        <w:spacing w:lineRule="exact" w:line="1"/>
        <w:rPr>
          <w:sz w:val="2"/>
          <w:szCs w:val="2"/>
        </w:rPr>
      </w:pPr>
      <w:r>
        <w:br w:type="page"/>
      </w:r>
    </w:p>
    <w:p>
      <w:pPr>
        <w:pStyle w:val="Style37"/>
        <w:keepNext/>
        <w:keepLines/>
        <w:widowControl w:val="0"/>
        <w:shd w:val="clear" w:color="auto" w:fill="auto"/>
        <w:bidi w:val="0"/>
        <w:spacing w:before="0" w:line="240" w:lineRule="auto"/>
        <w:ind w:left="0" w:right="0" w:firstLine="140"/>
        <w:jc w:val="left"/>
      </w:pPr>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02"/>
      <w:bookmarkEnd w:id="1303"/>
      <w:bookmarkEnd w:id="130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70,110,545.11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尚未催收</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4,924,795.78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对方未催收</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3,388,179.46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对方未催收</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2,565,000.00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工程设备款，尚未完工</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306,567.46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对方未催收</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81,295,087.81</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2</w:t>
      </w:r>
      <w:bookmarkEnd w:id="1307"/>
      <w:r>
        <w:rPr>
          <w:rFonts w:ascii="Times New Roman" w:eastAsia="Times New Roman" w:hAnsi="Times New Roman" w:cs="Times New Roman"/>
          <w:color w:val="000000"/>
          <w:spacing w:val="0"/>
          <w:w w:val="100"/>
          <w:position w:val="0"/>
        </w:rPr>
        <w:t>4</w:t>
      </w:r>
      <w:r>
        <w:rPr>
          <w:color w:val="000000"/>
          <w:spacing w:val="0"/>
          <w:w w:val="100"/>
          <w:position w:val="0"/>
        </w:rPr>
        <w:t>、预收款项</w:t>
      </w:r>
      <w:bookmarkEnd w:id="1305"/>
      <w:bookmarkEnd w:id="1306"/>
      <w:bookmarkEnd w:id="1308"/>
    </w:p>
    <w:p>
      <w:pPr>
        <w:pStyle w:val="Style37"/>
        <w:keepNext/>
        <w:keepLines/>
        <w:widowControl w:val="0"/>
        <w:shd w:val="clear" w:color="auto" w:fill="auto"/>
        <w:bidi w:val="0"/>
        <w:spacing w:before="0" w:line="240" w:lineRule="auto"/>
        <w:ind w:left="0" w:right="0" w:firstLine="140"/>
        <w:jc w:val="left"/>
      </w:pPr>
      <w:bookmarkStart w:id="1305" w:name="bookmark1305"/>
      <w:bookmarkStart w:id="1306" w:name="bookmark1306"/>
      <w:bookmarkStart w:id="1309" w:name="bookmark1309"/>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05"/>
      <w:bookmarkEnd w:id="1306"/>
      <w:bookmarkEnd w:id="130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2</w:t>
      </w:r>
      <w:bookmarkEnd w:id="1312"/>
      <w:r>
        <w:rPr>
          <w:rFonts w:ascii="Times New Roman" w:eastAsia="Times New Roman" w:hAnsi="Times New Roman" w:cs="Times New Roman"/>
          <w:color w:val="000000"/>
          <w:spacing w:val="0"/>
          <w:w w:val="100"/>
          <w:position w:val="0"/>
        </w:rPr>
        <w:t>5</w:t>
      </w:r>
      <w:r>
        <w:rPr>
          <w:color w:val="000000"/>
          <w:spacing w:val="0"/>
          <w:w w:val="100"/>
          <w:position w:val="0"/>
        </w:rPr>
        <w:t>、合同负债</w:t>
      </w:r>
      <w:bookmarkEnd w:id="1310"/>
      <w:bookmarkEnd w:id="1311"/>
      <w:bookmarkEnd w:id="131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2,107,428.47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3,135,142.65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年至</w:t>
            </w:r>
            <w:r>
              <w:rPr>
                <w:rFonts w:ascii="Times New Roman" w:eastAsia="Times New Roman" w:hAnsi="Times New Roman" w:cs="Times New Roman"/>
                <w:color w:val="000000"/>
                <w:spacing w:val="0"/>
                <w:w w:val="100"/>
                <w:position w:val="0"/>
              </w:rPr>
              <w:t>2</w:t>
            </w:r>
            <w:r>
              <w:rPr>
                <w:color w:val="000000"/>
                <w:spacing w:val="0"/>
                <w:w w:val="100"/>
                <w:position w:val="0"/>
              </w:rPr>
              <w:t>年（含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88,315.80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52,745.69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年至</w:t>
            </w:r>
            <w:r>
              <w:rPr>
                <w:rFonts w:ascii="Times New Roman" w:eastAsia="Times New Roman" w:hAnsi="Times New Roman" w:cs="Times New Roman"/>
                <w:color w:val="000000"/>
                <w:spacing w:val="0"/>
                <w:w w:val="100"/>
                <w:position w:val="0"/>
              </w:rPr>
              <w:t>3</w:t>
            </w:r>
            <w:r>
              <w:rPr>
                <w:color w:val="000000"/>
                <w:spacing w:val="0"/>
                <w:w w:val="100"/>
                <w:position w:val="0"/>
              </w:rPr>
              <w:t>年（含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56,550.63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42,902.29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304,418.65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299,559.83</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2,556,713.55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3,530,350.46</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2</w:t>
      </w:r>
      <w:bookmarkEnd w:id="1316"/>
      <w:r>
        <w:rPr>
          <w:rFonts w:ascii="Times New Roman" w:eastAsia="Times New Roman" w:hAnsi="Times New Roman" w:cs="Times New Roman"/>
          <w:color w:val="000000"/>
          <w:spacing w:val="0"/>
          <w:w w:val="100"/>
          <w:position w:val="0"/>
        </w:rPr>
        <w:t>6</w:t>
      </w:r>
      <w:r>
        <w:rPr>
          <w:color w:val="000000"/>
          <w:spacing w:val="0"/>
          <w:w w:val="100"/>
          <w:position w:val="0"/>
        </w:rPr>
        <w:t>、应付职工薪酬</w:t>
      </w:r>
      <w:bookmarkEnd w:id="1314"/>
      <w:bookmarkEnd w:id="1315"/>
      <w:bookmarkEnd w:id="1317"/>
    </w:p>
    <w:p>
      <w:pPr>
        <w:pStyle w:val="Style37"/>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8" w:name="bookmark13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14"/>
      <w:bookmarkEnd w:id="1315"/>
      <w:bookmarkEnd w:id="131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25"/>
        <w:gridCol w:w="1310"/>
        <w:gridCol w:w="1915"/>
        <w:gridCol w:w="1915"/>
        <w:gridCol w:w="192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一、短期薪酬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16,282,501.28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110,790,307.09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114,042,857.42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13,029,950.95</w:t>
            </w:r>
          </w:p>
        </w:tc>
      </w:tr>
    </w:tbl>
    <w:p>
      <w:pPr>
        <w:spacing w:lineRule="exact" w:line="1"/>
        <w:rPr>
          <w:sz w:val="2"/>
          <w:szCs w:val="2"/>
        </w:rPr>
      </w:pPr>
      <w:r>
        <w:br w:type="page"/>
      </w:r>
    </w:p>
    <w:tbl>
      <w:tblPr>
        <w:tblOverlap w:val="never"/>
        <w:jc w:val="center"/>
        <w:tblLayout w:type="fixed"/>
      </w:tblPr>
      <w:tblGrid>
        <w:gridCol w:w="2525"/>
        <w:gridCol w:w="1310"/>
        <w:gridCol w:w="1915"/>
        <w:gridCol w:w="1915"/>
        <w:gridCol w:w="192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285,962.75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2,603,906.13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2,859,334.10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30,534.78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368,561.10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272,891.04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95,670.06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16,568,464.03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113,762,774.32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117,175,082.56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13,156,155.79</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19"/>
      <w:bookmarkEnd w:id="1320"/>
      <w:bookmarkEnd w:id="132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86"/>
        <w:gridCol w:w="1450"/>
        <w:gridCol w:w="1915"/>
        <w:gridCol w:w="1915"/>
        <w:gridCol w:w="192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15,965,905.10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96,745,939.12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99,976,406.33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12,735,437.89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4,403,923.81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4,403,923.81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80,359.70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2,714,187.84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2,699,795.82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94,751.72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66,091.70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2,406,670.19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2,384,769.14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87,992.75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4,720.05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28,055.71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32,775.76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9,547.95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279,461.94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282,250.92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6,758.97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127,892.84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4,964,460.77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4,980,982.00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111,371.61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108,343.64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1,192,739.55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1,212,693.46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88,389.73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769,056.00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769,056.00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16,282,501.28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110,790,307.09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114,042,857.42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13,029,950.95</w:t>
            </w:r>
          </w:p>
        </w:tc>
      </w:tr>
    </w:tbl>
    <w:p>
      <w:pPr>
        <w:widowControl w:val="0"/>
        <w:spacing w:after="319" w:line="1" w:lineRule="exact"/>
      </w:pPr>
    </w:p>
    <w:p>
      <w:pPr>
        <w:pStyle w:val="Style37"/>
        <w:keepNext/>
        <w:keepLines/>
        <w:widowControl w:val="0"/>
        <w:numPr>
          <w:ilvl w:val="0"/>
          <w:numId w:val="99"/>
        </w:numPr>
        <w:shd w:val="clear" w:color="auto" w:fill="auto"/>
        <w:bidi w:val="0"/>
        <w:spacing w:before="0" w:line="240" w:lineRule="auto"/>
        <w:ind w:left="0" w:right="0" w:firstLine="0"/>
        <w:jc w:val="left"/>
      </w:pPr>
      <w:bookmarkStart w:id="1322" w:name="bookmark1322"/>
      <w:bookmarkStart w:id="1323" w:name="bookmark1323"/>
      <w:bookmarkStart w:id="1324" w:name="bookmark1324"/>
      <w:bookmarkStart w:id="1325" w:name="bookmark1325"/>
      <w:bookmarkEnd w:id="1324"/>
      <w:r>
        <w:rPr>
          <w:color w:val="000000"/>
          <w:spacing w:val="0"/>
          <w:w w:val="100"/>
          <w:position w:val="0"/>
        </w:rPr>
        <w:t>设定提存计划列示</w:t>
      </w:r>
      <w:bookmarkEnd w:id="1322"/>
      <w:bookmarkEnd w:id="1323"/>
      <w:bookmarkEnd w:id="132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278,672.57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2,556,215.44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2,804,944.01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29,944.00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7,290.18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47,690.69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54,390.09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590.78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285,962.75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2,603,906.13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2,859,334.10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30,534.78</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2</w:t>
      </w:r>
      <w:bookmarkEnd w:id="1328"/>
      <w:r>
        <w:rPr>
          <w:rFonts w:ascii="Times New Roman" w:eastAsia="Times New Roman" w:hAnsi="Times New Roman" w:cs="Times New Roman"/>
          <w:color w:val="000000"/>
          <w:spacing w:val="0"/>
          <w:w w:val="100"/>
          <w:position w:val="0"/>
        </w:rPr>
        <w:t>7</w:t>
      </w:r>
      <w:r>
        <w:rPr>
          <w:color w:val="000000"/>
          <w:spacing w:val="0"/>
          <w:w w:val="100"/>
          <w:position w:val="0"/>
        </w:rPr>
        <w:t>、应交税费</w:t>
      </w:r>
      <w:bookmarkEnd w:id="1326"/>
      <w:bookmarkEnd w:id="1327"/>
      <w:bookmarkEnd w:id="132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2,256,486.34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7,917,119.37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5,144,875.44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6,056,059.12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2,737,811.58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553,211.15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72,704.07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386,402.91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66,892.28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380,918.67</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62,430.22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20,620.53</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437.85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222,511.21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10,341,717.67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15,537,280.81</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720" w:line="240" w:lineRule="auto"/>
        <w:ind w:left="0" w:right="0" w:firstLine="0"/>
        <w:jc w:val="left"/>
      </w:pPr>
      <w:r>
        <w:rPr>
          <w:color w:val="000000"/>
          <w:spacing w:val="0"/>
          <w:w w:val="100"/>
          <w:position w:val="0"/>
        </w:rPr>
        <w:t>期初余额与上年年末余额</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的差异详见本财务报表附注五、</w:t>
      </w:r>
      <w:r>
        <w:rPr>
          <w:rFonts w:ascii="Times New Roman" w:eastAsia="Times New Roman" w:hAnsi="Times New Roman" w:cs="Times New Roman"/>
          <w:color w:val="000000"/>
          <w:spacing w:val="0"/>
          <w:w w:val="100"/>
          <w:position w:val="0"/>
        </w:rPr>
        <w:t>36</w:t>
      </w:r>
      <w:r>
        <w:rPr>
          <w:color w:val="000000"/>
          <w:spacing w:val="0"/>
          <w:w w:val="100"/>
          <w:position w:val="0"/>
        </w:rPr>
        <w:t>之说明。</w:t>
      </w:r>
    </w:p>
    <w:p>
      <w:pPr>
        <w:pStyle w:val="Style37"/>
        <w:keepNext/>
        <w:keepLines/>
        <w:widowControl w:val="0"/>
        <w:shd w:val="clear" w:color="auto" w:fill="auto"/>
        <w:bidi w:val="0"/>
        <w:spacing w:before="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2</w:t>
      </w:r>
      <w:bookmarkEnd w:id="1332"/>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330"/>
      <w:bookmarkEnd w:id="1331"/>
      <w:bookmarkEnd w:id="133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15,252,374.80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45,273,860.74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53,082,362.72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45,273,860.74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68,334,737.52</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334"/>
      <w:bookmarkEnd w:id="1335"/>
      <w:bookmarkEnd w:id="133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15,053,274.81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199,099.99</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15,252,374.80</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337" w:name="bookmark1337"/>
      <w:bookmarkStart w:id="1338" w:name="bookmark1338"/>
      <w:bookmarkStart w:id="1339" w:name="bookmark13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337"/>
      <w:bookmarkEnd w:id="1338"/>
      <w:bookmarkEnd w:id="1339"/>
    </w:p>
    <w:p>
      <w:pPr>
        <w:pStyle w:val="Style37"/>
        <w:keepNext/>
        <w:keepLines/>
        <w:widowControl w:val="0"/>
        <w:shd w:val="clear" w:color="auto" w:fill="auto"/>
        <w:bidi w:val="0"/>
        <w:spacing w:before="0" w:line="240" w:lineRule="auto"/>
        <w:ind w:left="0" w:right="0" w:firstLine="0"/>
        <w:jc w:val="left"/>
      </w:pPr>
      <w:bookmarkStart w:id="1337" w:name="bookmark1337"/>
      <w:bookmarkStart w:id="1338" w:name="bookmark1338"/>
      <w:bookmarkStart w:id="1340" w:name="bookmark1340"/>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37"/>
      <w:bookmarkEnd w:id="1338"/>
      <w:bookmarkEnd w:id="134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员工往来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1,273,457.26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924,791.08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1,093,800.00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14,930,387.10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9,938,341.12</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600,339.62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594,339.62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25,043,404.70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35,877,666.76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1,700,385.35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15,176.67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281,986.71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181,947.47</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45,273,860.74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53,082,362.72</w:t>
            </w:r>
          </w:p>
        </w:tc>
      </w:tr>
    </w:tbl>
    <w:p>
      <w:pPr>
        <w:pStyle w:val="Style37"/>
        <w:keepNext/>
        <w:keepLines/>
        <w:widowControl w:val="0"/>
        <w:shd w:val="clear" w:color="auto" w:fill="auto"/>
        <w:bidi w:val="0"/>
        <w:spacing w:before="0" w:line="240" w:lineRule="auto"/>
        <w:ind w:left="0" w:right="0" w:firstLine="0"/>
        <w:jc w:val="both"/>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2</w:t>
      </w:r>
      <w:bookmarkEnd w:id="1343"/>
      <w:r>
        <w:rPr>
          <w:rFonts w:ascii="Times New Roman" w:eastAsia="Times New Roman" w:hAnsi="Times New Roman" w:cs="Times New Roman"/>
          <w:color w:val="000000"/>
          <w:spacing w:val="0"/>
          <w:w w:val="100"/>
          <w:position w:val="0"/>
        </w:rPr>
        <w:t>9</w:t>
      </w:r>
      <w:r>
        <w:rPr>
          <w:color w:val="000000"/>
          <w:spacing w:val="0"/>
          <w:w w:val="100"/>
          <w:position w:val="0"/>
        </w:rPr>
        <w:t>、一年内到期的非流动负债</w:t>
      </w:r>
      <w:bookmarkEnd w:id="1341"/>
      <w:bookmarkEnd w:id="1342"/>
      <w:bookmarkEnd w:id="134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100,461,866.26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174,864,050.46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100,461,866.26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174,864,050.46</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一年内到期的长期应付款期末余额</w:t>
      </w:r>
      <w:r>
        <w:rPr>
          <w:rFonts w:ascii="Times New Roman" w:eastAsia="Times New Roman" w:hAnsi="Times New Roman" w:cs="Times New Roman"/>
          <w:color w:val="000000"/>
          <w:spacing w:val="0"/>
          <w:w w:val="100"/>
          <w:position w:val="0"/>
        </w:rPr>
        <w:t>100,461,866.26</w:t>
      </w:r>
      <w:r>
        <w:rPr>
          <w:color w:val="000000"/>
          <w:spacing w:val="0"/>
          <w:w w:val="100"/>
          <w:position w:val="0"/>
        </w:rPr>
        <w:t>系应支付的剩余哆可梦股权受让款。</w:t>
      </w:r>
    </w:p>
    <w:p>
      <w:pPr>
        <w:pStyle w:val="Style37"/>
        <w:keepNext/>
        <w:keepLines/>
        <w:widowControl w:val="0"/>
        <w:shd w:val="clear" w:color="auto" w:fill="auto"/>
        <w:bidi w:val="0"/>
        <w:spacing w:before="0" w:line="240" w:lineRule="auto"/>
        <w:ind w:left="0" w:right="0" w:firstLine="0"/>
        <w:jc w:val="both"/>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3</w:t>
      </w:r>
      <w:bookmarkEnd w:id="1347"/>
      <w:r>
        <w:rPr>
          <w:rFonts w:ascii="Times New Roman" w:eastAsia="Times New Roman" w:hAnsi="Times New Roman" w:cs="Times New Roman"/>
          <w:color w:val="000000"/>
          <w:spacing w:val="0"/>
          <w:w w:val="100"/>
          <w:position w:val="0"/>
        </w:rPr>
        <w:t>0</w:t>
      </w:r>
      <w:r>
        <w:rPr>
          <w:color w:val="000000"/>
          <w:spacing w:val="0"/>
          <w:w w:val="100"/>
          <w:position w:val="0"/>
        </w:rPr>
        <w:t>、其他流动负债</w:t>
      </w:r>
      <w:bookmarkEnd w:id="1345"/>
      <w:bookmarkEnd w:id="1346"/>
      <w:bookmarkEnd w:id="134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r>
              <w:rPr>
                <w:rFonts w:ascii="Times New Roman" w:eastAsia="Times New Roman" w:hAnsi="Times New Roman" w:cs="Times New Roman"/>
                <w:color w:val="000000"/>
                <w:spacing w:val="0"/>
                <w:w w:val="100"/>
                <w:position w:val="0"/>
              </w:rPr>
              <w:t>-</w:t>
            </w:r>
            <w:r>
              <w:rPr>
                <w:color w:val="000000"/>
                <w:spacing w:val="0"/>
                <w:w w:val="100"/>
                <w:position w:val="0"/>
              </w:rPr>
              <w:t>待转销项税额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284,367.27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397,759.17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284,367.27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397,759.17</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both"/>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3</w:t>
      </w:r>
      <w:bookmarkEnd w:id="1351"/>
      <w:r>
        <w:rPr>
          <w:rFonts w:ascii="Times New Roman" w:eastAsia="Times New Roman" w:hAnsi="Times New Roman" w:cs="Times New Roman"/>
          <w:color w:val="000000"/>
          <w:spacing w:val="0"/>
          <w:w w:val="100"/>
          <w:position w:val="0"/>
        </w:rPr>
        <w:t>1</w:t>
      </w:r>
      <w:r>
        <w:rPr>
          <w:color w:val="000000"/>
          <w:spacing w:val="0"/>
          <w:w w:val="100"/>
          <w:position w:val="0"/>
        </w:rPr>
        <w:t>、长期借款</w:t>
      </w:r>
      <w:bookmarkEnd w:id="1349"/>
      <w:bookmarkEnd w:id="1350"/>
      <w:bookmarkEnd w:id="1352"/>
    </w:p>
    <w:p>
      <w:pPr>
        <w:pStyle w:val="Style37"/>
        <w:keepNext/>
        <w:keepLines/>
        <w:widowControl w:val="0"/>
        <w:shd w:val="clear" w:color="auto" w:fill="auto"/>
        <w:bidi w:val="0"/>
        <w:spacing w:before="0" w:line="240" w:lineRule="auto"/>
        <w:ind w:left="0" w:right="0" w:firstLine="0"/>
        <w:jc w:val="both"/>
      </w:pPr>
      <w:bookmarkStart w:id="1349" w:name="bookmark1349"/>
      <w:bookmarkStart w:id="1350" w:name="bookmark1350"/>
      <w:bookmarkStart w:id="1353" w:name="bookmark13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49"/>
      <w:bookmarkEnd w:id="1350"/>
      <w:bookmarkEnd w:id="135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459,221,163.50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558,850,000.00</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459,221,163.50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558,850,000.00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33"/>
        <w:keepNext w:val="0"/>
        <w:keepLines w:val="0"/>
        <w:widowControl w:val="0"/>
        <w:shd w:val="clear" w:color="auto" w:fill="auto"/>
        <w:tabs>
          <w:tab w:pos="958" w:val="left"/>
        </w:tabs>
        <w:bidi w:val="0"/>
        <w:spacing w:before="0" w:after="0" w:line="313" w:lineRule="exact"/>
        <w:ind w:left="0" w:right="0" w:firstLine="440"/>
        <w:jc w:val="both"/>
      </w:pPr>
      <w:bookmarkStart w:id="1354" w:name="bookmark1354"/>
      <w:r>
        <w:rPr>
          <w:color w:val="000000"/>
          <w:spacing w:val="0"/>
          <w:w w:val="100"/>
          <w:position w:val="0"/>
        </w:rPr>
        <w:t>（</w:t>
      </w:r>
      <w:bookmarkEnd w:id="1354"/>
      <w:r>
        <w:rPr>
          <w:rFonts w:ascii="Times New Roman" w:eastAsia="Times New Roman" w:hAnsi="Times New Roman" w:cs="Times New Roman"/>
          <w:color w:val="000000"/>
          <w:spacing w:val="0"/>
          <w:w w:val="100"/>
          <w:position w:val="0"/>
        </w:rPr>
        <w:t>1</w:t>
      </w:r>
      <w:r>
        <w:rPr>
          <w:color w:val="000000"/>
          <w:spacing w:val="0"/>
          <w:w w:val="100"/>
          <w:position w:val="0"/>
        </w:rPr>
        <w:t>）</w:t>
        <w:tab/>
        <w:t>为满足公司生产经营需要，</w:t>
      </w:r>
      <w:r>
        <w:rPr>
          <w:rFonts w:ascii="Times New Roman" w:eastAsia="Times New Roman" w:hAnsi="Times New Roman" w:cs="Times New Roman"/>
          <w:color w:val="000000"/>
          <w:spacing w:val="0"/>
          <w:w w:val="100"/>
          <w:position w:val="0"/>
        </w:rPr>
        <w:t>2018</w:t>
      </w:r>
      <w:r>
        <w:rPr>
          <w:color w:val="000000"/>
          <w:spacing w:val="0"/>
          <w:w w:val="100"/>
          <w:position w:val="0"/>
        </w:rPr>
        <w:t>年公司向上海浦东发展银行股份有限公司深圳分行申请融资额度人民币</w:t>
      </w:r>
      <w:r>
        <w:rPr>
          <w:rFonts w:ascii="Times New Roman" w:eastAsia="Times New Roman" w:hAnsi="Times New Roman" w:cs="Times New Roman"/>
          <w:color w:val="000000"/>
          <w:spacing w:val="0"/>
          <w:w w:val="100"/>
          <w:position w:val="0"/>
        </w:rPr>
        <w:t>3</w:t>
      </w:r>
      <w:r>
        <w:rPr>
          <w:color w:val="000000"/>
          <w:spacing w:val="0"/>
          <w:w w:val="100"/>
          <w:position w:val="0"/>
        </w:rPr>
        <w:t>亿元， 融资额度使用期限为三年，以公司持有的位于深圳新保辉大厦的</w:t>
      </w:r>
      <w:r>
        <w:rPr>
          <w:rFonts w:ascii="Times New Roman" w:eastAsia="Times New Roman" w:hAnsi="Times New Roman" w:cs="Times New Roman"/>
          <w:color w:val="000000"/>
          <w:spacing w:val="0"/>
          <w:w w:val="100"/>
          <w:position w:val="0"/>
        </w:rPr>
        <w:t>10</w:t>
      </w:r>
      <w:r>
        <w:rPr>
          <w:color w:val="000000"/>
          <w:spacing w:val="0"/>
          <w:w w:val="100"/>
          <w:position w:val="0"/>
        </w:rPr>
        <w:t>套房产及孙公司鹏胤投资管理（上海）有限责任公司和豪 琛投资管理（上海）有限公司分别持有的上海申虹路</w:t>
      </w:r>
      <w:r>
        <w:rPr>
          <w:rFonts w:ascii="Times New Roman" w:eastAsia="Times New Roman" w:hAnsi="Times New Roman" w:cs="Times New Roman"/>
          <w:color w:val="000000"/>
          <w:spacing w:val="0"/>
          <w:w w:val="100"/>
          <w:position w:val="0"/>
        </w:rPr>
        <w:t>1188</w:t>
      </w:r>
      <w:r>
        <w:rPr>
          <w:color w:val="000000"/>
          <w:spacing w:val="0"/>
          <w:w w:val="100"/>
          <w:position w:val="0"/>
        </w:rPr>
        <w:t>弄</w:t>
      </w:r>
      <w:r>
        <w:rPr>
          <w:rFonts w:ascii="Times New Roman" w:eastAsia="Times New Roman" w:hAnsi="Times New Roman" w:cs="Times New Roman"/>
          <w:color w:val="000000"/>
          <w:spacing w:val="0"/>
          <w:w w:val="100"/>
          <w:position w:val="0"/>
        </w:rPr>
        <w:t>18</w:t>
      </w:r>
      <w:r>
        <w:rPr>
          <w:color w:val="000000"/>
          <w:spacing w:val="0"/>
          <w:w w:val="100"/>
          <w:position w:val="0"/>
        </w:rPr>
        <w:t>号</w:t>
      </w:r>
      <w:r>
        <w:rPr>
          <w:rFonts w:ascii="Times New Roman" w:eastAsia="Times New Roman" w:hAnsi="Times New Roman" w:cs="Times New Roman"/>
          <w:color w:val="000000"/>
          <w:spacing w:val="0"/>
          <w:w w:val="100"/>
          <w:position w:val="0"/>
        </w:rPr>
        <w:t>4</w:t>
      </w:r>
      <w:r>
        <w:rPr>
          <w:color w:val="000000"/>
          <w:spacing w:val="0"/>
          <w:w w:val="100"/>
          <w:position w:val="0"/>
        </w:rPr>
        <w:t>套房产及车库作为抵押担保。截至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 在浦发银行深圳分行的贷款余额</w:t>
      </w:r>
      <w:r>
        <w:rPr>
          <w:rFonts w:ascii="Times New Roman" w:eastAsia="Times New Roman" w:hAnsi="Times New Roman" w:cs="Times New Roman"/>
          <w:color w:val="000000"/>
          <w:spacing w:val="0"/>
          <w:w w:val="100"/>
          <w:position w:val="0"/>
        </w:rPr>
        <w:t>66,550,000.00</w:t>
      </w:r>
      <w:r>
        <w:rPr>
          <w:color w:val="000000"/>
          <w:spacing w:val="0"/>
          <w:w w:val="100"/>
          <w:position w:val="0"/>
        </w:rPr>
        <w:t>元，合同约定付息日前计提的尚未到期支付的利息</w:t>
      </w:r>
      <w:r>
        <w:rPr>
          <w:rFonts w:ascii="Times New Roman" w:eastAsia="Times New Roman" w:hAnsi="Times New Roman" w:cs="Times New Roman"/>
          <w:color w:val="000000"/>
          <w:spacing w:val="0"/>
          <w:w w:val="100"/>
          <w:position w:val="0"/>
        </w:rPr>
        <w:t>114,469.06</w:t>
      </w:r>
      <w:r>
        <w:rPr>
          <w:color w:val="000000"/>
          <w:spacing w:val="0"/>
          <w:w w:val="100"/>
          <w:position w:val="0"/>
        </w:rPr>
        <w:t>元，本息合计余 额</w:t>
      </w:r>
      <w:r>
        <w:rPr>
          <w:rFonts w:ascii="Times New Roman" w:eastAsia="Times New Roman" w:hAnsi="Times New Roman" w:cs="Times New Roman"/>
          <w:color w:val="000000"/>
          <w:spacing w:val="0"/>
          <w:w w:val="100"/>
          <w:position w:val="0"/>
        </w:rPr>
        <w:t xml:space="preserve">66,664,469.06 </w:t>
      </w:r>
      <w:r>
        <w:rPr>
          <w:color w:val="000000"/>
          <w:spacing w:val="0"/>
          <w:w w:val="100"/>
          <w:position w:val="0"/>
        </w:rPr>
        <w:t>元。</w:t>
      </w:r>
    </w:p>
    <w:p>
      <w:pPr>
        <w:pStyle w:val="Style33"/>
        <w:keepNext w:val="0"/>
        <w:keepLines w:val="0"/>
        <w:widowControl w:val="0"/>
        <w:shd w:val="clear" w:color="auto" w:fill="auto"/>
        <w:tabs>
          <w:tab w:pos="958" w:val="left"/>
        </w:tabs>
        <w:bidi w:val="0"/>
        <w:spacing w:before="0" w:after="0" w:line="313" w:lineRule="exact"/>
        <w:ind w:left="0" w:right="0" w:firstLine="440"/>
        <w:jc w:val="both"/>
      </w:pPr>
      <w:bookmarkStart w:id="1355" w:name="bookmark1355"/>
      <w:r>
        <w:rPr>
          <w:color w:val="000000"/>
          <w:spacing w:val="0"/>
          <w:w w:val="100"/>
          <w:position w:val="0"/>
        </w:rPr>
        <w:t>（</w:t>
      </w:r>
      <w:bookmarkEnd w:id="1355"/>
      <w:r>
        <w:rPr>
          <w:rFonts w:ascii="Times New Roman" w:eastAsia="Times New Roman" w:hAnsi="Times New Roman" w:cs="Times New Roman"/>
          <w:color w:val="000000"/>
          <w:spacing w:val="0"/>
          <w:w w:val="100"/>
          <w:position w:val="0"/>
        </w:rPr>
        <w:t>2</w:t>
      </w:r>
      <w:r>
        <w:rPr>
          <w:color w:val="000000"/>
          <w:spacing w:val="0"/>
          <w:w w:val="100"/>
          <w:position w:val="0"/>
        </w:rPr>
        <w:t>）</w:t>
        <w:tab/>
        <w:t>为满足公司资金需要，</w:t>
      </w:r>
      <w:r>
        <w:rPr>
          <w:rFonts w:ascii="Times New Roman" w:eastAsia="Times New Roman" w:hAnsi="Times New Roman" w:cs="Times New Roman"/>
          <w:color w:val="000000"/>
          <w:spacing w:val="0"/>
          <w:w w:val="100"/>
          <w:position w:val="0"/>
        </w:rPr>
        <w:t>2019</w:t>
      </w:r>
      <w:r>
        <w:rPr>
          <w:color w:val="000000"/>
          <w:spacing w:val="0"/>
          <w:w w:val="100"/>
          <w:position w:val="0"/>
        </w:rPr>
        <w:t>年公司向中国工商银行股份有限公司深圳星河支行申请融资额度人民币</w:t>
      </w:r>
      <w:r>
        <w:rPr>
          <w:rFonts w:ascii="Times New Roman" w:eastAsia="Times New Roman" w:hAnsi="Times New Roman" w:cs="Times New Roman"/>
          <w:color w:val="000000"/>
          <w:spacing w:val="0"/>
          <w:w w:val="100"/>
          <w:position w:val="0"/>
        </w:rPr>
        <w:t>4.9</w:t>
      </w:r>
      <w:r>
        <w:rPr>
          <w:color w:val="000000"/>
          <w:spacing w:val="0"/>
          <w:w w:val="100"/>
          <w:position w:val="0"/>
        </w:rPr>
        <w:t>亿元，融资 额度使用期限为五年，以公司持有的哆可梦</w:t>
      </w:r>
      <w:r>
        <w:rPr>
          <w:rFonts w:ascii="Times New Roman" w:eastAsia="Times New Roman" w:hAnsi="Times New Roman" w:cs="Times New Roman"/>
          <w:color w:val="000000"/>
          <w:spacing w:val="0"/>
          <w:w w:val="100"/>
          <w:position w:val="0"/>
        </w:rPr>
        <w:t>77.57%</w:t>
      </w:r>
      <w:r>
        <w:rPr>
          <w:color w:val="000000"/>
          <w:spacing w:val="0"/>
          <w:w w:val="100"/>
          <w:position w:val="0"/>
        </w:rPr>
        <w:t>股权质押、以公司子公司中行置盛投资（北京）有限公司和中融建银投资</w:t>
      </w:r>
    </w:p>
    <w:p>
      <w:pPr>
        <w:pStyle w:val="Style33"/>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（北京）有限公司位于北京望京东园</w:t>
      </w:r>
      <w:r>
        <w:rPr>
          <w:rFonts w:ascii="Times New Roman" w:eastAsia="Times New Roman" w:hAnsi="Times New Roman" w:cs="Times New Roman"/>
          <w:color w:val="000000"/>
          <w:spacing w:val="0"/>
          <w:w w:val="100"/>
          <w:position w:val="0"/>
        </w:rPr>
        <w:t>11</w:t>
      </w:r>
      <w:r>
        <w:rPr>
          <w:color w:val="000000"/>
          <w:spacing w:val="0"/>
          <w:w w:val="100"/>
          <w:position w:val="0"/>
        </w:rPr>
        <w:t>号分别持有的</w:t>
      </w:r>
      <w:r>
        <w:rPr>
          <w:rFonts w:ascii="Times New Roman" w:eastAsia="Times New Roman" w:hAnsi="Times New Roman" w:cs="Times New Roman"/>
          <w:color w:val="000000"/>
          <w:spacing w:val="0"/>
          <w:w w:val="100"/>
          <w:position w:val="0"/>
        </w:rPr>
        <w:t>2</w:t>
      </w:r>
      <w:r>
        <w:rPr>
          <w:color w:val="000000"/>
          <w:spacing w:val="0"/>
          <w:w w:val="100"/>
          <w:position w:val="0"/>
        </w:rPr>
        <w:t>套房产及</w:t>
      </w:r>
      <w:r>
        <w:rPr>
          <w:rFonts w:ascii="Times New Roman" w:eastAsia="Times New Roman" w:hAnsi="Times New Roman" w:cs="Times New Roman"/>
          <w:color w:val="000000"/>
          <w:spacing w:val="0"/>
          <w:w w:val="100"/>
          <w:position w:val="0"/>
        </w:rPr>
        <w:t>5</w:t>
      </w:r>
      <w:r>
        <w:rPr>
          <w:color w:val="000000"/>
          <w:spacing w:val="0"/>
          <w:w w:val="100"/>
          <w:position w:val="0"/>
        </w:rPr>
        <w:t>个车位抵押、北京信中利投资股份有限公司和汪超涌先生连 带责任保证作为担保。截至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日，公司还应归还中国工商银行深圳星河支行的贷款本金余额</w:t>
      </w:r>
      <w:r>
        <w:rPr>
          <w:rFonts w:ascii="Times New Roman" w:eastAsia="Times New Roman" w:hAnsi="Times New Roman" w:cs="Times New Roman"/>
          <w:color w:val="000000"/>
          <w:spacing w:val="0"/>
          <w:w w:val="100"/>
          <w:position w:val="0"/>
        </w:rPr>
        <w:t>392,000,000.00</w:t>
      </w:r>
      <w:r>
        <w:rPr>
          <w:color w:val="000000"/>
          <w:spacing w:val="0"/>
          <w:w w:val="100"/>
          <w:position w:val="0"/>
        </w:rPr>
        <w:t>元， 合同约定付息日前计提的尚未到期支付的利息</w:t>
      </w:r>
      <w:r>
        <w:rPr>
          <w:rFonts w:ascii="Times New Roman" w:eastAsia="Times New Roman" w:hAnsi="Times New Roman" w:cs="Times New Roman"/>
          <w:color w:val="000000"/>
          <w:spacing w:val="0"/>
          <w:w w:val="100"/>
          <w:position w:val="0"/>
        </w:rPr>
        <w:t>556,694.44</w:t>
      </w:r>
      <w:r>
        <w:rPr>
          <w:color w:val="000000"/>
          <w:spacing w:val="0"/>
          <w:w w:val="100"/>
          <w:position w:val="0"/>
        </w:rPr>
        <w:t>元，本息合计余额</w:t>
      </w:r>
      <w:r>
        <w:rPr>
          <w:rFonts w:ascii="Times New Roman" w:eastAsia="Times New Roman" w:hAnsi="Times New Roman" w:cs="Times New Roman"/>
          <w:color w:val="000000"/>
          <w:spacing w:val="0"/>
          <w:w w:val="100"/>
          <w:position w:val="0"/>
        </w:rPr>
        <w:t>392,556,694.44</w:t>
      </w:r>
      <w:r>
        <w:rPr>
          <w:color w:val="000000"/>
          <w:spacing w:val="0"/>
          <w:w w:val="100"/>
          <w:position w:val="0"/>
        </w:rPr>
        <w:t>元。</w:t>
      </w:r>
    </w:p>
    <w:p>
      <w:pPr>
        <w:pStyle w:val="Style33"/>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其他说明，包括利率区间：无。</w:t>
      </w:r>
    </w:p>
    <w:p>
      <w:pPr>
        <w:pStyle w:val="Style37"/>
        <w:keepNext/>
        <w:keepLines/>
        <w:widowControl w:val="0"/>
        <w:shd w:val="clear" w:color="auto" w:fill="auto"/>
        <w:bidi w:val="0"/>
        <w:spacing w:before="0" w:after="260" w:line="240" w:lineRule="auto"/>
        <w:ind w:left="0" w:right="0" w:firstLine="0"/>
        <w:jc w:val="both"/>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3</w:t>
      </w:r>
      <w:bookmarkEnd w:id="1358"/>
      <w:r>
        <w:rPr>
          <w:rFonts w:ascii="Times New Roman" w:eastAsia="Times New Roman" w:hAnsi="Times New Roman" w:cs="Times New Roman"/>
          <w:color w:val="000000"/>
          <w:spacing w:val="0"/>
          <w:w w:val="100"/>
          <w:position w:val="0"/>
        </w:rPr>
        <w:t>2</w:t>
      </w:r>
      <w:r>
        <w:rPr>
          <w:color w:val="000000"/>
          <w:spacing w:val="0"/>
          <w:w w:val="100"/>
          <w:position w:val="0"/>
        </w:rPr>
        <w:t>、递延收益</w:t>
      </w:r>
      <w:bookmarkEnd w:id="1356"/>
      <w:bookmarkEnd w:id="1357"/>
      <w:bookmarkEnd w:id="1359"/>
    </w:p>
    <w:p>
      <w:pPr>
        <w:pStyle w:val="Style33"/>
        <w:keepNext w:val="0"/>
        <w:keepLines w:val="0"/>
        <w:widowControl w:val="0"/>
        <w:shd w:val="clear" w:color="auto" w:fill="auto"/>
        <w:bidi w:val="0"/>
        <w:spacing w:before="0" w:after="360" w:line="313" w:lineRule="exact"/>
        <w:ind w:left="0" w:right="0" w:firstLine="0"/>
        <w:jc w:val="right"/>
      </w:pPr>
      <w:r>
        <w:rPr>
          <w:color w:val="000000"/>
          <w:spacing w:val="0"/>
          <w:w w:val="100"/>
          <w:position w:val="0"/>
        </w:rPr>
        <w:t>单位：元</w:t>
      </w:r>
      <w:r>
        <w:br w:type="page"/>
      </w:r>
    </w:p>
    <w:tbl>
      <w:tblPr>
        <w:tblOverlap w:val="never"/>
        <w:jc w:val="center"/>
        <w:tblLayout w:type="fixed"/>
      </w:tblPr>
      <w:tblGrid>
        <w:gridCol w:w="1603"/>
        <w:gridCol w:w="1594"/>
        <w:gridCol w:w="1594"/>
        <w:gridCol w:w="1594"/>
        <w:gridCol w:w="1594"/>
        <w:gridCol w:w="160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1,308,415.27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219,034.20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1,089,381.07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尚未实现的版权金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542,114.26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342,388.08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199,726.18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1,850,529.53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561,422.28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1,289,107.25</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19"/>
        <w:gridCol w:w="989"/>
        <w:gridCol w:w="854"/>
        <w:gridCol w:w="1277"/>
        <w:gridCol w:w="989"/>
        <w:gridCol w:w="994"/>
        <w:gridCol w:w="566"/>
        <w:gridCol w:w="1080"/>
        <w:gridCol w:w="1018"/>
      </w:tblGrid>
      <w:tr>
        <w:trPr>
          <w:trHeight w:val="365"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本期新增</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本期计入营业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本期计入其</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本期冲减成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p>
        </w:tc>
      </w:tr>
      <w:tr>
        <w:trPr>
          <w:trHeight w:val="35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补助金额</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外收入金额</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本费用金额</w:t>
            </w:r>
          </w:p>
        </w:tc>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vMerge/>
            <w:tcBorders>
              <w:left w:val="single" w:sz="4"/>
            </w:tcBorders>
            <w:shd w:val="clear" w:color="auto" w:fill="D3D3D3"/>
            <w:vAlign w:val="center"/>
          </w:tcPr>
          <w:p>
            <w:pPr/>
          </w:p>
        </w:tc>
        <w:tc>
          <w:tcPr>
            <w:tcBorders>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产学研合作项目资助 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高性能聚酰亚胺</w:t>
            </w:r>
            <w:r>
              <w:rPr>
                <w:rFonts w:ascii="Times New Roman" w:eastAsia="Times New Roman" w:hAnsi="Times New Roman" w:cs="Times New Roman"/>
                <w:color w:val="000000"/>
                <w:spacing w:val="0"/>
                <w:w w:val="100"/>
                <w:position w:val="0"/>
              </w:rPr>
              <w:t xml:space="preserve">3D </w:t>
            </w:r>
            <w:r>
              <w:rPr>
                <w:color w:val="000000"/>
                <w:spacing w:val="0"/>
                <w:w w:val="100"/>
                <w:position w:val="0"/>
              </w:rPr>
              <w:t>打印耗材的制备与应 用开发（新兴产业发 展专项资金）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803,415.35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199,034.16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604,381.19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电动中巴车补贴资金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54,999.92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34,999.88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1,308,415.2</w:t>
            </w:r>
          </w:p>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219,034.20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1,089,381.07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33"/>
        <w:keepNext w:val="0"/>
        <w:keepLines w:val="0"/>
        <w:widowControl w:val="0"/>
        <w:shd w:val="clear" w:color="auto" w:fill="auto"/>
        <w:tabs>
          <w:tab w:pos="536" w:val="left"/>
        </w:tabs>
        <w:bidi w:val="0"/>
        <w:spacing w:before="0" w:after="0" w:line="312" w:lineRule="exact"/>
        <w:ind w:left="0" w:right="0" w:firstLine="0"/>
        <w:jc w:val="left"/>
      </w:pPr>
      <w:bookmarkStart w:id="1360" w:name="bookmark1360"/>
      <w:r>
        <w:rPr>
          <w:color w:val="000000"/>
          <w:spacing w:val="0"/>
          <w:w w:val="100"/>
          <w:position w:val="0"/>
        </w:rPr>
        <w:t>（</w:t>
      </w:r>
      <w:bookmarkEnd w:id="1360"/>
      <w:r>
        <w:rPr>
          <w:rFonts w:ascii="Times New Roman" w:eastAsia="Times New Roman" w:hAnsi="Times New Roman" w:cs="Times New Roman"/>
          <w:color w:val="000000"/>
          <w:spacing w:val="0"/>
          <w:w w:val="100"/>
          <w:position w:val="0"/>
        </w:rPr>
        <w:t>1</w:t>
      </w:r>
      <w:r>
        <w:rPr>
          <w:color w:val="000000"/>
          <w:spacing w:val="0"/>
          <w:w w:val="100"/>
          <w:position w:val="0"/>
        </w:rPr>
        <w:t>）</w:t>
        <w:tab/>
        <w:t>高性能聚酰亚胺</w:t>
      </w:r>
      <w:r>
        <w:rPr>
          <w:rFonts w:ascii="Times New Roman" w:eastAsia="Times New Roman" w:hAnsi="Times New Roman" w:cs="Times New Roman"/>
          <w:color w:val="000000"/>
          <w:spacing w:val="0"/>
          <w:w w:val="100"/>
          <w:position w:val="0"/>
        </w:rPr>
        <w:t>3D</w:t>
      </w:r>
      <w:r>
        <w:rPr>
          <w:color w:val="000000"/>
          <w:spacing w:val="0"/>
          <w:w w:val="100"/>
          <w:position w:val="0"/>
        </w:rPr>
        <w:t>打印耗材的制备与应用开发（新兴产业发展专项资金）在</w:t>
      </w:r>
      <w:r>
        <w:rPr>
          <w:rFonts w:ascii="Times New Roman" w:eastAsia="Times New Roman" w:hAnsi="Times New Roman" w:cs="Times New Roman"/>
          <w:color w:val="000000"/>
          <w:spacing w:val="0"/>
          <w:w w:val="100"/>
          <w:position w:val="0"/>
        </w:rPr>
        <w:t>2013</w:t>
      </w:r>
      <w:r>
        <w:rPr>
          <w:color w:val="000000"/>
          <w:spacing w:val="0"/>
          <w:w w:val="100"/>
          <w:position w:val="0"/>
        </w:rPr>
        <w:t>年度获得深圳市发展和改革委员会 资金补助</w:t>
      </w:r>
      <w:r>
        <w:rPr>
          <w:rFonts w:ascii="Times New Roman" w:eastAsia="Times New Roman" w:hAnsi="Times New Roman" w:cs="Times New Roman"/>
          <w:color w:val="000000"/>
          <w:spacing w:val="0"/>
          <w:w w:val="100"/>
          <w:position w:val="0"/>
        </w:rPr>
        <w:t>15 0</w:t>
      </w:r>
      <w:r>
        <w:rPr>
          <w:color w:val="000000"/>
          <w:spacing w:val="0"/>
          <w:w w:val="100"/>
          <w:position w:val="0"/>
        </w:rPr>
        <w:t>万元，并在</w:t>
      </w:r>
      <w:r>
        <w:rPr>
          <w:rFonts w:ascii="Times New Roman" w:eastAsia="Times New Roman" w:hAnsi="Times New Roman" w:cs="Times New Roman"/>
          <w:color w:val="000000"/>
          <w:spacing w:val="0"/>
          <w:w w:val="100"/>
          <w:position w:val="0"/>
        </w:rPr>
        <w:t>2016</w:t>
      </w:r>
      <w:r>
        <w:rPr>
          <w:color w:val="000000"/>
          <w:spacing w:val="0"/>
          <w:w w:val="100"/>
          <w:position w:val="0"/>
        </w:rPr>
        <w:t>年度验收完成，公司按与资产相关的政府补助政策计入营业外收入。</w:t>
      </w:r>
    </w:p>
    <w:p>
      <w:pPr>
        <w:pStyle w:val="Style33"/>
        <w:keepNext w:val="0"/>
        <w:keepLines w:val="0"/>
        <w:widowControl w:val="0"/>
        <w:shd w:val="clear" w:color="auto" w:fill="auto"/>
        <w:tabs>
          <w:tab w:pos="445" w:val="left"/>
        </w:tabs>
        <w:bidi w:val="0"/>
        <w:spacing w:before="0" w:after="0" w:line="312" w:lineRule="exact"/>
        <w:ind w:left="0" w:right="0" w:firstLine="0"/>
        <w:jc w:val="left"/>
      </w:pPr>
      <w:bookmarkStart w:id="1361" w:name="bookmark1361"/>
      <w:r>
        <w:rPr>
          <w:color w:val="000000"/>
          <w:spacing w:val="0"/>
          <w:w w:val="100"/>
          <w:position w:val="0"/>
        </w:rPr>
        <w:t>（</w:t>
      </w:r>
      <w:bookmarkEnd w:id="1361"/>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月购入的纯电动中巴车地方补贴款</w:t>
      </w:r>
      <w:r>
        <w:rPr>
          <w:rFonts w:ascii="Times New Roman" w:eastAsia="Times New Roman" w:hAnsi="Times New Roman" w:cs="Times New Roman"/>
          <w:color w:val="000000"/>
          <w:spacing w:val="0"/>
          <w:w w:val="100"/>
          <w:position w:val="0"/>
        </w:rPr>
        <w:t>10</w:t>
      </w:r>
      <w:r>
        <w:rPr>
          <w:color w:val="000000"/>
          <w:spacing w:val="0"/>
          <w:w w:val="100"/>
          <w:position w:val="0"/>
        </w:rPr>
        <w:t>万元，公司按与资产相关的政府补助政策计入营业外收入。</w:t>
      </w:r>
    </w:p>
    <w:p>
      <w:pPr>
        <w:pStyle w:val="Style33"/>
        <w:keepNext w:val="0"/>
        <w:keepLines w:val="0"/>
        <w:widowControl w:val="0"/>
        <w:shd w:val="clear" w:color="auto" w:fill="auto"/>
        <w:tabs>
          <w:tab w:pos="445" w:val="left"/>
        </w:tabs>
        <w:bidi w:val="0"/>
        <w:spacing w:before="0" w:after="380" w:line="312" w:lineRule="exact"/>
        <w:ind w:left="0" w:right="0" w:firstLine="0"/>
        <w:jc w:val="left"/>
      </w:pPr>
      <w:bookmarkStart w:id="1362" w:name="bookmark1362"/>
      <w:r>
        <w:rPr>
          <w:color w:val="000000"/>
          <w:spacing w:val="0"/>
          <w:w w:val="100"/>
          <w:position w:val="0"/>
        </w:rPr>
        <w:t>（</w:t>
      </w:r>
      <w:bookmarkEnd w:id="1362"/>
      <w:r>
        <w:rPr>
          <w:rFonts w:ascii="Times New Roman" w:eastAsia="Times New Roman" w:hAnsi="Times New Roman" w:cs="Times New Roman"/>
          <w:color w:val="000000"/>
          <w:spacing w:val="0"/>
          <w:w w:val="100"/>
          <w:position w:val="0"/>
        </w:rPr>
        <w:t>3</w:t>
      </w:r>
      <w:r>
        <w:rPr>
          <w:color w:val="000000"/>
          <w:spacing w:val="0"/>
          <w:w w:val="100"/>
          <w:position w:val="0"/>
        </w:rPr>
        <w:t>）</w:t>
        <w:tab/>
        <w:t>期初余额与上年年末余额</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的差异详见本财务报表附注五、</w:t>
      </w:r>
      <w:r>
        <w:rPr>
          <w:rFonts w:ascii="Times New Roman" w:eastAsia="Times New Roman" w:hAnsi="Times New Roman" w:cs="Times New Roman"/>
          <w:color w:val="000000"/>
          <w:spacing w:val="0"/>
          <w:w w:val="100"/>
          <w:position w:val="0"/>
        </w:rPr>
        <w:t>36</w:t>
      </w:r>
      <w:r>
        <w:rPr>
          <w:color w:val="000000"/>
          <w:spacing w:val="0"/>
          <w:w w:val="100"/>
          <w:position w:val="0"/>
        </w:rPr>
        <w:t>之说明。</w:t>
      </w:r>
    </w:p>
    <w:p>
      <w:pPr>
        <w:pStyle w:val="Style37"/>
        <w:keepNext/>
        <w:keepLines/>
        <w:widowControl w:val="0"/>
        <w:shd w:val="clear" w:color="auto" w:fill="auto"/>
        <w:bidi w:val="0"/>
        <w:spacing w:before="0" w:after="38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3</w:t>
      </w:r>
      <w:bookmarkEnd w:id="1365"/>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363"/>
      <w:bookmarkEnd w:id="1364"/>
      <w:bookmarkEnd w:id="136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195"/>
        <w:gridCol w:w="1200"/>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801,929,568.00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801,929,568.00</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3</w:t>
      </w:r>
      <w:bookmarkEnd w:id="1369"/>
      <w:r>
        <w:rPr>
          <w:rFonts w:ascii="Times New Roman" w:eastAsia="Times New Roman" w:hAnsi="Times New Roman" w:cs="Times New Roman"/>
          <w:color w:val="000000"/>
          <w:spacing w:val="0"/>
          <w:w w:val="100"/>
          <w:position w:val="0"/>
        </w:rPr>
        <w:t>4</w:t>
      </w:r>
      <w:r>
        <w:rPr>
          <w:color w:val="000000"/>
          <w:spacing w:val="0"/>
          <w:w w:val="100"/>
          <w:position w:val="0"/>
        </w:rPr>
        <w:t>、资本公积</w:t>
      </w:r>
      <w:bookmarkEnd w:id="1367"/>
      <w:bookmarkEnd w:id="1368"/>
      <w:bookmarkEnd w:id="137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368,203,739.75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110,251,088.21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257,952,651.54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368,203,739.75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110,251,088.21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257,952,651.54</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其他说明，包括本期增减变动情况、变动原因说明：</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本期减少额</w:t>
      </w:r>
      <w:r>
        <w:rPr>
          <w:rFonts w:ascii="Times New Roman" w:eastAsia="Times New Roman" w:hAnsi="Times New Roman" w:cs="Times New Roman"/>
          <w:color w:val="000000"/>
          <w:spacing w:val="0"/>
          <w:w w:val="100"/>
          <w:position w:val="0"/>
        </w:rPr>
        <w:t>110,251,088.21</w:t>
      </w:r>
      <w:r>
        <w:rPr>
          <w:color w:val="000000"/>
          <w:spacing w:val="0"/>
          <w:w w:val="100"/>
          <w:position w:val="0"/>
        </w:rPr>
        <w:t>元系公司收购上海季娱</w:t>
      </w:r>
      <w:r>
        <w:rPr>
          <w:rFonts w:ascii="Times New Roman" w:eastAsia="Times New Roman" w:hAnsi="Times New Roman" w:cs="Times New Roman"/>
          <w:color w:val="000000"/>
          <w:spacing w:val="0"/>
          <w:w w:val="100"/>
          <w:position w:val="0"/>
        </w:rPr>
        <w:t>49%</w:t>
      </w:r>
      <w:r>
        <w:rPr>
          <w:color w:val="000000"/>
          <w:spacing w:val="0"/>
          <w:w w:val="100"/>
          <w:position w:val="0"/>
        </w:rPr>
        <w:t>少数股权支付的对价与享有的上海季娱净资产份额的差额。</w:t>
      </w:r>
      <w:r>
        <w:br w:type="page"/>
      </w:r>
    </w:p>
    <w:p>
      <w:pPr>
        <w:pStyle w:val="Style37"/>
        <w:keepNext/>
        <w:keepLines/>
        <w:widowControl w:val="0"/>
        <w:shd w:val="clear" w:color="auto" w:fill="auto"/>
        <w:bidi w:val="0"/>
        <w:spacing w:before="0" w:after="38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3</w:t>
      </w:r>
      <w:bookmarkEnd w:id="1373"/>
      <w:r>
        <w:rPr>
          <w:rFonts w:ascii="Times New Roman" w:eastAsia="Times New Roman" w:hAnsi="Times New Roman" w:cs="Times New Roman"/>
          <w:color w:val="000000"/>
          <w:spacing w:val="0"/>
          <w:w w:val="100"/>
          <w:position w:val="0"/>
        </w:rPr>
        <w:t>5</w:t>
      </w:r>
      <w:r>
        <w:rPr>
          <w:color w:val="000000"/>
          <w:spacing w:val="0"/>
          <w:w w:val="100"/>
          <w:position w:val="0"/>
        </w:rPr>
        <w:t>、库存股</w:t>
      </w:r>
      <w:bookmarkEnd w:id="1371"/>
      <w:bookmarkEnd w:id="1372"/>
      <w:bookmarkEnd w:id="137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回购公司股份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147,613,580.50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147,613,580.50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147,613,580.50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147,613,580.50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3</w:t>
      </w:r>
      <w:bookmarkEnd w:id="1377"/>
      <w:r>
        <w:rPr>
          <w:rFonts w:ascii="Times New Roman" w:eastAsia="Times New Roman" w:hAnsi="Times New Roman" w:cs="Times New Roman"/>
          <w:color w:val="000000"/>
          <w:spacing w:val="0"/>
          <w:w w:val="100"/>
          <w:position w:val="0"/>
        </w:rPr>
        <w:t>6</w:t>
      </w:r>
      <w:r>
        <w:rPr>
          <w:color w:val="000000"/>
          <w:spacing w:val="0"/>
          <w:w w:val="100"/>
          <w:position w:val="0"/>
        </w:rPr>
        <w:t>、其他综合收益</w:t>
      </w:r>
      <w:bookmarkEnd w:id="1375"/>
      <w:bookmarkEnd w:id="1376"/>
      <w:bookmarkEnd w:id="137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53"/>
        <w:gridCol w:w="1272"/>
        <w:gridCol w:w="1277"/>
        <w:gridCol w:w="850"/>
        <w:gridCol w:w="854"/>
        <w:gridCol w:w="850"/>
        <w:gridCol w:w="1277"/>
        <w:gridCol w:w="706"/>
        <w:gridCol w:w="124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期末余额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本期所得税前 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减：前期 计入其他 综合收益 当期转入 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税后归属于母 公司</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税后归</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属于少</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数股东</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一、不能重分 类进损益的其 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17,509,162.97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-5,450,837.03</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580"/>
              <w:jc w:val="left"/>
            </w:pPr>
            <w:r>
              <w:rPr>
                <w:color w:val="000000"/>
                <w:spacing w:val="0"/>
                <w:w w:val="100"/>
                <w:position w:val="0"/>
              </w:rPr>
              <w:t>其他权 益工具投资公 允价值变动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17,509,162.97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-5,450,837.03</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二、将重分类 进损益的其他 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15,450,747.95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-303,842.20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-26,544.01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-277,298.19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15,173,449.76</w:t>
            </w: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580"/>
              <w:jc w:val="left"/>
            </w:pPr>
            <w:r>
              <w:rPr>
                <w:color w:val="000000"/>
                <w:spacing w:val="0"/>
                <w:w w:val="100"/>
                <w:position w:val="0"/>
              </w:rPr>
              <w:t>外币财 务报表折算差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-262,695.37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-126,882.15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-126,882.15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-389,577.52</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自用房产转投 资性房地产产 生的其他综合 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15,713,443.32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-176,960.05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-26,544.01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-150,416.04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15,563,027.28</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其他综合收益</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32,959,910.92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-23,263,842.20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-26,544.01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-23,237,298.19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9,722,612.73</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3</w:t>
      </w:r>
      <w:bookmarkEnd w:id="1381"/>
      <w:r>
        <w:rPr>
          <w:rFonts w:ascii="Times New Roman" w:eastAsia="Times New Roman" w:hAnsi="Times New Roman" w:cs="Times New Roman"/>
          <w:color w:val="000000"/>
          <w:spacing w:val="0"/>
          <w:w w:val="100"/>
          <w:position w:val="0"/>
        </w:rPr>
        <w:t>7</w:t>
      </w:r>
      <w:r>
        <w:rPr>
          <w:color w:val="000000"/>
          <w:spacing w:val="0"/>
          <w:w w:val="100"/>
          <w:position w:val="0"/>
        </w:rPr>
        <w:t>、盈余公积</w:t>
      </w:r>
      <w:bookmarkEnd w:id="1379"/>
      <w:bookmarkEnd w:id="1380"/>
      <w:bookmarkEnd w:id="1382"/>
    </w:p>
    <w:p>
      <w:pPr>
        <w:pStyle w:val="Style33"/>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82,294,039.66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82,294,039.66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12,154,775.66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12,154,775.66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94,448,815.32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94,448,815.32</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盈余公积说明，包括本期增减变动情况、变动原因说明: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3</w:t>
      </w:r>
      <w:bookmarkEnd w:id="1385"/>
      <w:r>
        <w:rPr>
          <w:rFonts w:ascii="Times New Roman" w:eastAsia="Times New Roman" w:hAnsi="Times New Roman" w:cs="Times New Roman"/>
          <w:color w:val="000000"/>
          <w:spacing w:val="0"/>
          <w:w w:val="100"/>
          <w:position w:val="0"/>
        </w:rPr>
        <w:t>8</w:t>
      </w:r>
      <w:r>
        <w:rPr>
          <w:color w:val="000000"/>
          <w:spacing w:val="0"/>
          <w:w w:val="100"/>
          <w:position w:val="0"/>
        </w:rPr>
        <w:t>、未分配利润</w:t>
      </w:r>
      <w:bookmarkEnd w:id="1383"/>
      <w:bookmarkEnd w:id="1384"/>
      <w:bookmarkEnd w:id="138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773,501,086.50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642,160,050.94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773,501,086.50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642,160,050.94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-960,414,682.28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134,997,926.83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3,656,891.27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-186,913,595.78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773,501,086.50</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33"/>
        <w:keepNext w:val="0"/>
        <w:keepLines w:val="0"/>
        <w:widowControl w:val="0"/>
        <w:shd w:val="clear" w:color="auto" w:fill="auto"/>
        <w:tabs>
          <w:tab w:pos="330" w:val="left"/>
        </w:tabs>
        <w:bidi w:val="0"/>
        <w:spacing w:before="0" w:after="120" w:line="240" w:lineRule="auto"/>
        <w:ind w:left="0" w:right="0" w:firstLine="0"/>
        <w:jc w:val="left"/>
      </w:pPr>
      <w:bookmarkStart w:id="1387" w:name="bookmark1387"/>
      <w:r>
        <w:rPr>
          <w:rFonts w:ascii="Times New Roman" w:eastAsia="Times New Roman" w:hAnsi="Times New Roman" w:cs="Times New Roman"/>
          <w:color w:val="000000"/>
          <w:spacing w:val="0"/>
          <w:w w:val="100"/>
          <w:position w:val="0"/>
        </w:rPr>
        <w:t>1</w:t>
      </w:r>
      <w:bookmarkEnd w:id="1387"/>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after="120" w:line="240" w:lineRule="auto"/>
        <w:ind w:left="0" w:right="0" w:firstLine="0"/>
        <w:jc w:val="left"/>
      </w:pPr>
      <w:bookmarkStart w:id="1388" w:name="bookmark1388"/>
      <w:r>
        <w:rPr>
          <w:rFonts w:ascii="Times New Roman" w:eastAsia="Times New Roman" w:hAnsi="Times New Roman" w:cs="Times New Roman"/>
          <w:color w:val="000000"/>
          <w:spacing w:val="0"/>
          <w:w w:val="100"/>
          <w:position w:val="0"/>
        </w:rPr>
        <w:t>2</w:t>
      </w:r>
      <w:bookmarkEnd w:id="1388"/>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after="120" w:line="240" w:lineRule="auto"/>
        <w:ind w:left="0" w:right="0" w:firstLine="0"/>
        <w:jc w:val="left"/>
      </w:pPr>
      <w:bookmarkStart w:id="1389" w:name="bookmark1389"/>
      <w:r>
        <w:rPr>
          <w:rFonts w:ascii="Times New Roman" w:eastAsia="Times New Roman" w:hAnsi="Times New Roman" w:cs="Times New Roman"/>
          <w:color w:val="000000"/>
          <w:spacing w:val="0"/>
          <w:w w:val="100"/>
          <w:position w:val="0"/>
        </w:rPr>
        <w:t>3</w:t>
      </w:r>
      <w:bookmarkEnd w:id="1389"/>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after="120" w:line="240" w:lineRule="auto"/>
        <w:ind w:left="0" w:right="0" w:firstLine="0"/>
        <w:jc w:val="left"/>
      </w:pPr>
      <w:bookmarkStart w:id="1390" w:name="bookmark1390"/>
      <w:r>
        <w:rPr>
          <w:rFonts w:ascii="Times New Roman" w:eastAsia="Times New Roman" w:hAnsi="Times New Roman" w:cs="Times New Roman"/>
          <w:color w:val="000000"/>
          <w:spacing w:val="0"/>
          <w:w w:val="100"/>
          <w:position w:val="0"/>
        </w:rPr>
        <w:t>4</w:t>
      </w:r>
      <w:bookmarkEnd w:id="1390"/>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after="380" w:line="240" w:lineRule="auto"/>
        <w:ind w:left="0" w:right="0" w:firstLine="0"/>
        <w:jc w:val="left"/>
      </w:pPr>
      <w:bookmarkStart w:id="1391" w:name="bookmark1391"/>
      <w:r>
        <w:rPr>
          <w:rFonts w:ascii="Times New Roman" w:eastAsia="Times New Roman" w:hAnsi="Times New Roman" w:cs="Times New Roman"/>
          <w:color w:val="000000"/>
          <w:spacing w:val="0"/>
          <w:w w:val="100"/>
          <w:position w:val="0"/>
        </w:rPr>
        <w:t>5</w:t>
      </w:r>
      <w:bookmarkEnd w:id="1391"/>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7"/>
        <w:keepNext/>
        <w:keepLines/>
        <w:widowControl w:val="0"/>
        <w:shd w:val="clear" w:color="auto" w:fill="auto"/>
        <w:bidi w:val="0"/>
        <w:spacing w:before="0" w:after="38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3</w:t>
      </w:r>
      <w:bookmarkEnd w:id="1394"/>
      <w:r>
        <w:rPr>
          <w:rFonts w:ascii="Times New Roman" w:eastAsia="Times New Roman" w:hAnsi="Times New Roman" w:cs="Times New Roman"/>
          <w:color w:val="000000"/>
          <w:spacing w:val="0"/>
          <w:w w:val="100"/>
          <w:position w:val="0"/>
        </w:rPr>
        <w:t>9</w:t>
      </w:r>
      <w:r>
        <w:rPr>
          <w:color w:val="000000"/>
          <w:spacing w:val="0"/>
          <w:w w:val="100"/>
          <w:position w:val="0"/>
        </w:rPr>
        <w:t>、营业收入和营业成本</w:t>
      </w:r>
      <w:bookmarkEnd w:id="1392"/>
      <w:bookmarkEnd w:id="1393"/>
      <w:bookmarkEnd w:id="139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电气业务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225,563,848.02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164,924,899.04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279,877,006.52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196,728,573.24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548,955,410.33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115,546,924.68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784,250,543.63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138,001,705.35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10,489,613.80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1,524,518.19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28,193,892.42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9,441,314.64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785,008,872.15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281,996,341.91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1,092,321,442.57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344,171,593.23</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9"/>
        <w:gridCol w:w="1450"/>
        <w:gridCol w:w="1382"/>
        <w:gridCol w:w="337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785,008,872.15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1,092,321,442.57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主要是按主营业务及其他业务确认收入</w:t>
            </w:r>
          </w:p>
        </w:tc>
      </w:tr>
    </w:tbl>
    <w:p>
      <w:pPr>
        <w:spacing w:lineRule="exact" w:line="1"/>
        <w:rPr>
          <w:sz w:val="2"/>
          <w:szCs w:val="2"/>
        </w:rPr>
      </w:pPr>
      <w:r>
        <w:br w:type="page"/>
      </w:r>
    </w:p>
    <w:tbl>
      <w:tblPr>
        <w:tblOverlap w:val="never"/>
        <w:jc w:val="center"/>
        <w:tblLayout w:type="fixed"/>
      </w:tblPr>
      <w:tblGrid>
        <w:gridCol w:w="3379"/>
        <w:gridCol w:w="1450"/>
        <w:gridCol w:w="1382"/>
        <w:gridCol w:w="337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10,489,613.80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28,193,892.42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投资性房地产出租收入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3,983,144.29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4,283,577.89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主要投资性房地产出租取得收入</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投资性房地产出售收入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2,991,487.48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23,056,388.18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主要投资性房地产出售取得收入</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处置废品收入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631,337.16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639,024.22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主要是处置废品取得的收入</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67,001.51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4,070.79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主要水、电费收入</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2,816,643.36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210,831.34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主要是宿舍出租、融资摊销取收入</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与主营业务无关的业务收入小计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10,489,613.80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28,193,892.42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主要其他业务收入</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不具备商业实质的收入小计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774,519,258.35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1,064,127,550.15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主要是按主营业务确认收入</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2410"/>
        <w:gridCol w:w="2405"/>
        <w:gridCol w:w="2419"/>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电气业务分部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游戏业务分部</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电气业务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225,563,848.02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225,563,848.02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548,955,410.33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548,955,410.33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225,563,848.02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548,955,410.33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774,519,258.35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33"/>
        <w:keepNext w:val="0"/>
        <w:keepLines w:val="0"/>
        <w:widowControl w:val="0"/>
        <w:shd w:val="clear" w:color="auto" w:fill="auto"/>
        <w:bidi w:val="0"/>
        <w:spacing w:before="0" w:after="0" w:line="312" w:lineRule="exact"/>
        <w:ind w:left="0" w:right="0"/>
        <w:jc w:val="left"/>
      </w:pPr>
      <w:r>
        <w:rPr>
          <w:color w:val="000000"/>
          <w:spacing w:val="0"/>
          <w:w w:val="100"/>
          <w:position w:val="0"/>
        </w:rPr>
        <w:t>公司电气业务是与客户的销售合同一般是在取得客户提供的验收合格证明时确认销售收入，除非合同明确约定有可以 取代验收合格证明的其他条款，则根据合同约定条款确认销售收入。公司游戏业务是自营平台收入按照游戏玩家充值金额 确认入账，其中自研游戏按照游戏玩家实际消耗金币数确认当期收入；公司联运收入每月按照玩家充值流水一定分成比例 入账，后续经双方对账开票后冲销计提金额，按实际金额入账。公司同时收取一次性版权金的情况下，公司在收到版权金 时计入其他非流动资产，游戏上线时计入递延收益，并在协议约定的收益期内按照直线法摊销计入营业收入。</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与分摊至剩余履约义务的交易价格相关的信息：</w:t>
      </w:r>
    </w:p>
    <w:p>
      <w:pPr>
        <w:pStyle w:val="Style33"/>
        <w:keepNext w:val="0"/>
        <w:keepLines w:val="0"/>
        <w:widowControl w:val="0"/>
        <w:shd w:val="clear" w:color="auto" w:fill="auto"/>
        <w:bidi w:val="0"/>
        <w:spacing w:before="0" w:after="380" w:line="307" w:lineRule="exact"/>
        <w:ind w:left="0" w:right="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74,682,675.71</w:t>
      </w:r>
      <w:r>
        <w:rPr>
          <w:color w:val="000000"/>
          <w:spacing w:val="0"/>
          <w:w w:val="100"/>
          <w:position w:val="0"/>
        </w:rPr>
        <w:t xml:space="preserve">元，其中， </w:t>
      </w:r>
      <w:r>
        <w:rPr>
          <w:rFonts w:ascii="Times New Roman" w:eastAsia="Times New Roman" w:hAnsi="Times New Roman" w:cs="Times New Roman"/>
          <w:color w:val="000000"/>
          <w:spacing w:val="0"/>
          <w:w w:val="100"/>
          <w:position w:val="0"/>
        </w:rPr>
        <w:t>46,320,120.75</w:t>
      </w:r>
      <w:r>
        <w:rPr>
          <w:color w:val="000000"/>
          <w:spacing w:val="0"/>
          <w:w w:val="100"/>
          <w:position w:val="0"/>
        </w:rPr>
        <w:t>元预计将于</w:t>
      </w:r>
      <w:r>
        <w:rPr>
          <w:rFonts w:ascii="Times New Roman" w:eastAsia="Times New Roman" w:hAnsi="Times New Roman" w:cs="Times New Roman"/>
          <w:color w:val="000000"/>
          <w:spacing w:val="0"/>
          <w:w w:val="100"/>
          <w:position w:val="0"/>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rPr>
        <w:t>15,153,165.57</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13,209,389.39</w:t>
      </w:r>
      <w:r>
        <w:rPr>
          <w:color w:val="000000"/>
          <w:spacing w:val="0"/>
          <w:w w:val="100"/>
          <w:position w:val="0"/>
        </w:rPr>
        <w:t xml:space="preserve">元预计将于 </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p>
    <w:p>
      <w:pPr>
        <w:pStyle w:val="Style37"/>
        <w:keepNext/>
        <w:keepLines/>
        <w:widowControl w:val="0"/>
        <w:shd w:val="clear" w:color="auto" w:fill="auto"/>
        <w:bidi w:val="0"/>
        <w:spacing w:before="0" w:after="38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4</w:t>
      </w:r>
      <w:bookmarkEnd w:id="1398"/>
      <w:r>
        <w:rPr>
          <w:rFonts w:ascii="Times New Roman" w:eastAsia="Times New Roman" w:hAnsi="Times New Roman" w:cs="Times New Roman"/>
          <w:color w:val="000000"/>
          <w:spacing w:val="0"/>
          <w:w w:val="100"/>
          <w:position w:val="0"/>
        </w:rPr>
        <w:t>0</w:t>
      </w:r>
      <w:r>
        <w:rPr>
          <w:color w:val="000000"/>
          <w:spacing w:val="0"/>
          <w:w w:val="100"/>
          <w:position w:val="0"/>
        </w:rPr>
        <w:t>、税金及附加</w:t>
      </w:r>
      <w:bookmarkEnd w:id="1396"/>
      <w:bookmarkEnd w:id="1397"/>
      <w:bookmarkEnd w:id="139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774,938.63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1,316,758.28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341,225.97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656,829.53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1,643,551.46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1,769,265.63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-3,954.60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79,837.37</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25,594.08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26,080.48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199,785.19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1,144,406.58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227,484.05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393,595.54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3,208,624.78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5,386,799.61</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4</w:t>
      </w:r>
      <w:bookmarkEnd w:id="1402"/>
      <w:r>
        <w:rPr>
          <w:rFonts w:ascii="Times New Roman" w:eastAsia="Times New Roman" w:hAnsi="Times New Roman" w:cs="Times New Roman"/>
          <w:color w:val="000000"/>
          <w:spacing w:val="0"/>
          <w:w w:val="100"/>
          <w:position w:val="0"/>
        </w:rPr>
        <w:t>1</w:t>
      </w:r>
      <w:r>
        <w:rPr>
          <w:color w:val="000000"/>
          <w:spacing w:val="0"/>
          <w:w w:val="100"/>
          <w:position w:val="0"/>
        </w:rPr>
        <w:t>、销售费用</w:t>
      </w:r>
      <w:bookmarkEnd w:id="1400"/>
      <w:bookmarkEnd w:id="1401"/>
      <w:bookmarkEnd w:id="140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业务推广费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353,567,216.10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335,683,471.71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13,951,401.00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18,729,380.55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运杂费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1,963,214.56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2,968,595.77</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536,177.02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994,129.49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66,932.52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55,269.74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216,489.57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489,127.88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45,211.58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64,536.09</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197,061.70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793,361.88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966,730.12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603,764.80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371,510,434.17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360,381,637.91</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4</w:t>
      </w:r>
      <w:bookmarkEnd w:id="1406"/>
      <w:r>
        <w:rPr>
          <w:rFonts w:ascii="Times New Roman" w:eastAsia="Times New Roman" w:hAnsi="Times New Roman" w:cs="Times New Roman"/>
          <w:color w:val="000000"/>
          <w:spacing w:val="0"/>
          <w:w w:val="100"/>
          <w:position w:val="0"/>
        </w:rPr>
        <w:t>2</w:t>
      </w:r>
      <w:r>
        <w:rPr>
          <w:color w:val="000000"/>
          <w:spacing w:val="0"/>
          <w:w w:val="100"/>
          <w:position w:val="0"/>
        </w:rPr>
        <w:t>、管理费用</w:t>
      </w:r>
      <w:bookmarkEnd w:id="1404"/>
      <w:bookmarkEnd w:id="1405"/>
      <w:bookmarkEnd w:id="140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38,699,206.99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44,220,017.14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13,067,900.50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8,980,271.50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租赁物管费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12,976,934.53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12,962,897.63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24,741,431.18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8,926,996.47</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2,018,711.77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4,274,361.46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1,238,866.98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2,219,036.12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772,098.31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4,253,411.54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车辆交通费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943,284.11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967,079.30</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949,659.58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760,597.28</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427,375.18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471,973.84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咨询培训费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2,298,167.98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1,289,982.46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劳保用品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116,071.99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115,094.33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1,875,723.73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4,313,952.48</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4,846,309.25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6,086,166.34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104,971,742.08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99,841,837.89</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4</w:t>
      </w:r>
      <w:bookmarkEnd w:id="1410"/>
      <w:r>
        <w:rPr>
          <w:rFonts w:ascii="Times New Roman" w:eastAsia="Times New Roman" w:hAnsi="Times New Roman" w:cs="Times New Roman"/>
          <w:color w:val="000000"/>
          <w:spacing w:val="0"/>
          <w:w w:val="100"/>
          <w:position w:val="0"/>
        </w:rPr>
        <w:t>3</w:t>
      </w:r>
      <w:r>
        <w:rPr>
          <w:color w:val="000000"/>
          <w:spacing w:val="0"/>
          <w:w w:val="100"/>
          <w:position w:val="0"/>
        </w:rPr>
        <w:t>、研发费用</w:t>
      </w:r>
      <w:bookmarkEnd w:id="1408"/>
      <w:bookmarkEnd w:id="1409"/>
      <w:bookmarkEnd w:id="141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44,835,144.15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56,707,951.00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美术外包制作费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5,467,475.65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5,933,005.18</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试验检测外协加工等测试费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2,935,769.73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4,820,834.90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1,383,224.36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1,238,734.00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2,173,040.10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3,309,212.70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127,500.38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158,238.33</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120,665.59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150,691.04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7,391.75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57,050,211.71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72,319,838.15</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4</w:t>
      </w:r>
      <w:bookmarkEnd w:id="1414"/>
      <w:r>
        <w:rPr>
          <w:rFonts w:ascii="Times New Roman" w:eastAsia="Times New Roman" w:hAnsi="Times New Roman" w:cs="Times New Roman"/>
          <w:color w:val="000000"/>
          <w:spacing w:val="0"/>
          <w:w w:val="100"/>
          <w:position w:val="0"/>
        </w:rPr>
        <w:t>4</w:t>
      </w:r>
      <w:r>
        <w:rPr>
          <w:color w:val="000000"/>
          <w:spacing w:val="0"/>
          <w:w w:val="100"/>
          <w:position w:val="0"/>
        </w:rPr>
        <w:t>、财务费用</w:t>
      </w:r>
      <w:bookmarkEnd w:id="1412"/>
      <w:bookmarkEnd w:id="1413"/>
      <w:bookmarkEnd w:id="141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65,537,157.10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69,454,737.42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2,636,959.16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6,097,000.89</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334,708.86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-98,499.62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175,877.19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262,833.86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63,410,783.99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63,522,070.77</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4</w:t>
      </w:r>
      <w:bookmarkEnd w:id="1418"/>
      <w:r>
        <w:rPr>
          <w:rFonts w:ascii="Times New Roman" w:eastAsia="Times New Roman" w:hAnsi="Times New Roman" w:cs="Times New Roman"/>
          <w:color w:val="000000"/>
          <w:spacing w:val="0"/>
          <w:w w:val="100"/>
          <w:position w:val="0"/>
        </w:rPr>
        <w:t>5</w:t>
      </w:r>
      <w:r>
        <w:rPr>
          <w:color w:val="000000"/>
          <w:spacing w:val="0"/>
          <w:w w:val="100"/>
          <w:position w:val="0"/>
        </w:rPr>
        <w:t>、其他收益</w:t>
      </w:r>
      <w:bookmarkEnd w:id="1416"/>
      <w:bookmarkEnd w:id="1417"/>
      <w:bookmarkEnd w:id="141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4,675,247.05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253,997.75</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进项税加计扣除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3,686,454.47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2,653,394.58</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8,361,701.52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2,907,392.33</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4</w:t>
      </w:r>
      <w:bookmarkEnd w:id="1422"/>
      <w:r>
        <w:rPr>
          <w:rFonts w:ascii="Times New Roman" w:eastAsia="Times New Roman" w:hAnsi="Times New Roman" w:cs="Times New Roman"/>
          <w:color w:val="000000"/>
          <w:spacing w:val="0"/>
          <w:w w:val="100"/>
          <w:position w:val="0"/>
        </w:rPr>
        <w:t>6</w:t>
      </w:r>
      <w:r>
        <w:rPr>
          <w:color w:val="000000"/>
          <w:spacing w:val="0"/>
          <w:w w:val="100"/>
          <w:position w:val="0"/>
        </w:rPr>
        <w:t>、投资收益</w:t>
      </w:r>
      <w:bookmarkEnd w:id="1420"/>
      <w:bookmarkEnd w:id="1421"/>
      <w:bookmarkEnd w:id="142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29"/>
        <w:gridCol w:w="2429"/>
        <w:gridCol w:w="292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10,956,846.97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-577,964.57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139,529.16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206,396.41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-7,129,235.54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-6,118,582.39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54,519.48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-368,564.00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20,643,491.38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3,653,096.07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14,153,340.83</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4</w:t>
      </w:r>
      <w:bookmarkEnd w:id="1426"/>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424"/>
      <w:bookmarkEnd w:id="1425"/>
      <w:bookmarkEnd w:id="142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7,504,056.53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9,804,157.19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-12,656,300.00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-11,571,380.61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-5,152,243.47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-1,767,223.42</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4</w:t>
      </w:r>
      <w:bookmarkEnd w:id="1430"/>
      <w:r>
        <w:rPr>
          <w:rFonts w:ascii="Times New Roman" w:eastAsia="Times New Roman" w:hAnsi="Times New Roman" w:cs="Times New Roman"/>
          <w:color w:val="000000"/>
          <w:spacing w:val="0"/>
          <w:w w:val="100"/>
          <w:position w:val="0"/>
        </w:rPr>
        <w:t>8</w:t>
      </w:r>
      <w:r>
        <w:rPr>
          <w:color w:val="000000"/>
          <w:spacing w:val="0"/>
          <w:w w:val="100"/>
          <w:position w:val="0"/>
        </w:rPr>
        <w:t>、信用减值损失</w:t>
      </w:r>
      <w:bookmarkEnd w:id="1428"/>
      <w:bookmarkEnd w:id="1429"/>
      <w:bookmarkEnd w:id="143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-1,841,539.67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10,495,929.81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26,411,430.13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-11,096,250.79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24,569,890.46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-600,320.98</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4</w:t>
      </w:r>
      <w:bookmarkEnd w:id="1434"/>
      <w:r>
        <w:rPr>
          <w:rFonts w:ascii="Times New Roman" w:eastAsia="Times New Roman" w:hAnsi="Times New Roman" w:cs="Times New Roman"/>
          <w:color w:val="000000"/>
          <w:spacing w:val="0"/>
          <w:w w:val="100"/>
          <w:position w:val="0"/>
        </w:rPr>
        <w:t>9</w:t>
      </w:r>
      <w:r>
        <w:rPr>
          <w:color w:val="000000"/>
          <w:spacing w:val="0"/>
          <w:w w:val="100"/>
          <w:position w:val="0"/>
        </w:rPr>
        <w:t>、资产减值损失</w:t>
      </w:r>
      <w:bookmarkEnd w:id="1432"/>
      <w:bookmarkEnd w:id="1433"/>
      <w:bookmarkEnd w:id="143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18"/>
        <w:gridCol w:w="2870"/>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426,388.34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-304,286.62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-907,981,490.68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3518"/>
        <w:gridCol w:w="2870"/>
        <w:gridCol w:w="3197"/>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-907,555,102.34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-304,286.62</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5</w:t>
      </w:r>
      <w:bookmarkEnd w:id="1438"/>
      <w:r>
        <w:rPr>
          <w:rFonts w:ascii="Times New Roman" w:eastAsia="Times New Roman" w:hAnsi="Times New Roman" w:cs="Times New Roman"/>
          <w:color w:val="000000"/>
          <w:spacing w:val="0"/>
          <w:w w:val="100"/>
          <w:position w:val="0"/>
        </w:rPr>
        <w:t>0</w:t>
      </w:r>
      <w:r>
        <w:rPr>
          <w:color w:val="000000"/>
          <w:spacing w:val="0"/>
          <w:w w:val="100"/>
          <w:position w:val="0"/>
        </w:rPr>
        <w:t>、资产处置收益</w:t>
      </w:r>
      <w:bookmarkEnd w:id="1436"/>
      <w:bookmarkEnd w:id="1437"/>
      <w:bookmarkEnd w:id="143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12"/>
        <w:gridCol w:w="2549"/>
        <w:gridCol w:w="252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处置未划分为持有待售的非流动资产产生的利得或损失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2,388.83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-311,125.50</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2,388.83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-311,125.50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5</w:t>
      </w:r>
      <w:bookmarkEnd w:id="1442"/>
      <w:r>
        <w:rPr>
          <w:rFonts w:ascii="Times New Roman" w:eastAsia="Times New Roman" w:hAnsi="Times New Roman" w:cs="Times New Roman"/>
          <w:color w:val="000000"/>
          <w:spacing w:val="0"/>
          <w:w w:val="100"/>
          <w:position w:val="0"/>
        </w:rPr>
        <w:t>1</w:t>
      </w:r>
      <w:r>
        <w:rPr>
          <w:color w:val="000000"/>
          <w:spacing w:val="0"/>
          <w:w w:val="100"/>
          <w:position w:val="0"/>
        </w:rPr>
        <w:t>、营业外收入</w:t>
      </w:r>
      <w:bookmarkEnd w:id="1440"/>
      <w:bookmarkEnd w:id="1441"/>
      <w:bookmarkEnd w:id="144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5,227,114.61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3,322,177.35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5,227,114.61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无法支付的应付款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194,640.70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77,159.42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194,640.70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股权收购款豁免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2,300,000.00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7,721,755.31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3,406,062.77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7,721,755.31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26"/>
        <w:gridCol w:w="1310"/>
        <w:gridCol w:w="1061"/>
        <w:gridCol w:w="1882"/>
        <w:gridCol w:w="850"/>
        <w:gridCol w:w="461"/>
        <w:gridCol w:w="1061"/>
        <w:gridCol w:w="1066"/>
        <w:gridCol w:w="1070"/>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补贴是否 影响当年 盈亏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 特殊 补贴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党费补贴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both"/>
            </w:pPr>
            <w:r>
              <w:rPr>
                <w:color w:val="000000"/>
                <w:spacing w:val="0"/>
                <w:w w:val="100"/>
                <w:position w:val="0"/>
              </w:rPr>
              <w:t>成都高新技术 产业开发区中 和街道办事处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44,323.00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高新企业</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成都高新技术 产业开发区科 技和人才工作 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火炬补贴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成都高新技术 产业开发区经 济运行局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人才工作</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成都高新产业 开发区科技和 人才工作局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826"/>
        <w:gridCol w:w="1310"/>
        <w:gridCol w:w="1061"/>
        <w:gridCol w:w="1882"/>
        <w:gridCol w:w="850"/>
        <w:gridCol w:w="461"/>
        <w:gridCol w:w="1061"/>
        <w:gridCol w:w="1066"/>
        <w:gridCol w:w="1070"/>
      </w:tblGrid>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成都高新技术 产业开发区科 技和人才工作 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成都市社会保</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险事业管理局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48,758.52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32,907.88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广州市社会保 险基金管理中 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失保基金代理</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支付专户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0" w:lineRule="exact"/>
              <w:ind w:left="0" w:right="0" w:firstLine="0"/>
              <w:jc w:val="both"/>
            </w:pPr>
            <w:r>
              <w:rPr>
                <w:color w:val="000000"/>
                <w:spacing w:val="0"/>
                <w:w w:val="100"/>
                <w:position w:val="0"/>
              </w:rPr>
              <w:t>上海市促 进文化创 意产业发 展财政扶 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上海市促进文 化创意产业发 展财政扶持资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778,130.00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安全与生 产补贴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both"/>
            </w:pPr>
            <w:r>
              <w:rPr>
                <w:color w:val="000000"/>
                <w:spacing w:val="0"/>
                <w:w w:val="100"/>
                <w:position w:val="0"/>
              </w:rPr>
              <w:t>成都高新技术 产业开发区经 济运行与安全 生产监管局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成都市社会保</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险事业管理局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11,446.93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失保基金代理</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支付专户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 度稳岗补 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深圳市社会保</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险基金管理局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56,041.24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电费补贴</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深圳市供电局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216,835.40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468,789.30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失业保险</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费返还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深圳市社会保</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险基金管理局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1,728,697.10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4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 度第一批 科技创新 专项奖金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深圳市坪山区</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科技创新局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826"/>
        <w:gridCol w:w="1310"/>
        <w:gridCol w:w="1061"/>
        <w:gridCol w:w="1882"/>
        <w:gridCol w:w="850"/>
        <w:gridCol w:w="461"/>
        <w:gridCol w:w="1061"/>
        <w:gridCol w:w="1066"/>
        <w:gridCol w:w="1070"/>
      </w:tblGrid>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坪山区突 出贡献奖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4" w:lineRule="exact"/>
              <w:ind w:left="0" w:right="0" w:firstLine="0"/>
              <w:jc w:val="both"/>
            </w:pPr>
            <w:r>
              <w:rPr>
                <w:color w:val="000000"/>
                <w:spacing w:val="0"/>
                <w:w w:val="100"/>
                <w:position w:val="0"/>
              </w:rPr>
              <w:t>深圳市坪山区 工业和信息化 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岗前培训 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深圳市高技能</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人才公共实训</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管理服务中心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88,860.43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疫情资助</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深圳市坪山区</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度和谐劳 动关系企 业奖励资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深圳市坪山区</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 技改倍增 专项资助 计划质量 品牌双提 升类资助 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深圳市工业和 信息化局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52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电费补贴 收入</w:t>
            </w:r>
            <w:r>
              <w:rPr>
                <w:rFonts w:ascii="Times New Roman" w:eastAsia="Times New Roman" w:hAnsi="Times New Roman" w:cs="Times New Roman"/>
                <w:color w:val="000000"/>
                <w:spacing w:val="0"/>
                <w:w w:val="100"/>
                <w:position w:val="0"/>
              </w:rPr>
              <w:t>（</w:t>
            </w:r>
            <w:r>
              <w:rPr>
                <w:color w:val="000000"/>
                <w:spacing w:val="0"/>
                <w:w w:val="100"/>
                <w:position w:val="0"/>
              </w:rPr>
              <w:t>深 圳供电局 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深圳市供电局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202,990.20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岗前培训 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深圳市高技能</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人才公共实训</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管理服务中心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深圳市社会保</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险基金管理局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适岗培训 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深圳市坪山区</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人力资源局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376,500.00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6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企业研发 资助计划 第二批资 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深圳市科技创</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新委员会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393,000.00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826"/>
        <w:gridCol w:w="1310"/>
        <w:gridCol w:w="1061"/>
        <w:gridCol w:w="1882"/>
        <w:gridCol w:w="850"/>
        <w:gridCol w:w="461"/>
        <w:gridCol w:w="1061"/>
        <w:gridCol w:w="1066"/>
        <w:gridCol w:w="1070"/>
      </w:tblGrid>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度中央外 经贸展专 项资金资 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深圳市商务局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32,721.73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度经济发 展专项资 金境外展 会项目补 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4" w:lineRule="exact"/>
              <w:ind w:left="0" w:right="0" w:firstLine="0"/>
              <w:jc w:val="left"/>
            </w:pPr>
            <w:r>
              <w:rPr>
                <w:color w:val="000000"/>
                <w:spacing w:val="0"/>
                <w:w w:val="100"/>
                <w:position w:val="0"/>
              </w:rPr>
              <w:t>深圳市坪山区 工业和信息化 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16,989.00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 坪山区工 业经济稳 增长资助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深圳市坪山区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 特定行业、产业而获得 的补助（按国家级政策 规定依法取得）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电动中巴</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车补贴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深圳市发改委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20,000.04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9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高性能聚</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酰亚胺 </w:t>
            </w:r>
            <w:r>
              <w:rPr>
                <w:rFonts w:ascii="Times New Roman" w:eastAsia="Times New Roman" w:hAnsi="Times New Roman" w:cs="Times New Roman"/>
                <w:color w:val="000000"/>
                <w:spacing w:val="0"/>
                <w:w w:val="100"/>
                <w:position w:val="0"/>
              </w:rPr>
              <w:t>3D</w:t>
            </w:r>
            <w:r>
              <w:rPr>
                <w:color w:val="000000"/>
                <w:spacing w:val="0"/>
                <w:w w:val="100"/>
                <w:position w:val="0"/>
              </w:rPr>
              <w:t>打印 耗材的制 备与应用 开发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（深圳市科技 创新委员会） 深圳国库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199,034.16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199,034.16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96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深圳市科 技研发资 金企业研 究开发资 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6" w:lineRule="exact"/>
              <w:ind w:left="0" w:right="0" w:firstLine="0"/>
              <w:jc w:val="left"/>
            </w:pPr>
            <w:r>
              <w:rPr>
                <w:color w:val="000000"/>
                <w:spacing w:val="0"/>
                <w:w w:val="100"/>
                <w:position w:val="0"/>
              </w:rPr>
              <w:t>深圳市科创技 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889,000.00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坪山年度 经济发展 专项资金 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深圳市坪山区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395,945.00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7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坪山区发 展和改革 局关于新 能源汽车 充电设施 扶持资金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坪山区发改委</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189,000.00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826"/>
        <w:gridCol w:w="1310"/>
        <w:gridCol w:w="1061"/>
        <w:gridCol w:w="1882"/>
        <w:gridCol w:w="850"/>
        <w:gridCol w:w="461"/>
        <w:gridCol w:w="1061"/>
        <w:gridCol w:w="1066"/>
        <w:gridCol w:w="1070"/>
      </w:tblGrid>
      <w:tr>
        <w:trPr>
          <w:trHeight w:val="22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度坪山区 经济发展 专项资金 </w:t>
            </w:r>
            <w:r>
              <w:rPr>
                <w:rFonts w:ascii="Times New Roman" w:eastAsia="Times New Roman" w:hAnsi="Times New Roman" w:cs="Times New Roman"/>
                <w:color w:val="000000"/>
                <w:spacing w:val="0"/>
                <w:w w:val="100"/>
                <w:position w:val="0"/>
              </w:rPr>
              <w:t>-</w:t>
            </w:r>
            <w:r>
              <w:rPr>
                <w:color w:val="000000"/>
                <w:spacing w:val="0"/>
                <w:w w:val="100"/>
                <w:position w:val="0"/>
              </w:rPr>
              <w:t>企业自</w:t>
            </w:r>
          </w:p>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行参加国 内外展会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深圳市坪山工</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124,605.00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 坪山区科 技创新专 项资金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深圳市坪山区 科技创新服务 署</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第二届中 国国际进 口博览会 坪山区采 购商参会 资助费用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深圳市坪山工</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失业金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新疆自治区人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社厅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马桥镇 </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 下半年企 业扶持款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马桥镇政府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马桥镇</w:t>
            </w:r>
          </w:p>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 下半年企 业扶持款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马桥镇政府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left"/>
            </w:pPr>
            <w:r>
              <w:rPr>
                <w:color w:val="000000"/>
                <w:spacing w:val="0"/>
                <w:w w:val="100"/>
                <w:position w:val="0"/>
              </w:rPr>
              <w:t>北京市东城区 社会保险基金 管理中心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 资等地方性扶持政策而 获得的补助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37,414.51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6,905.54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5</w:t>
      </w:r>
      <w:bookmarkEnd w:id="1446"/>
      <w:r>
        <w:rPr>
          <w:rFonts w:ascii="Times New Roman" w:eastAsia="Times New Roman" w:hAnsi="Times New Roman" w:cs="Times New Roman"/>
          <w:color w:val="000000"/>
          <w:spacing w:val="0"/>
          <w:w w:val="100"/>
          <w:position w:val="0"/>
        </w:rPr>
        <w:t>2</w:t>
      </w:r>
      <w:r>
        <w:rPr>
          <w:color w:val="000000"/>
          <w:spacing w:val="0"/>
          <w:w w:val="100"/>
          <w:position w:val="0"/>
        </w:rPr>
        <w:t>、营业外支出</w:t>
      </w:r>
      <w:bookmarkEnd w:id="1444"/>
      <w:bookmarkEnd w:id="1445"/>
      <w:bookmarkEnd w:id="144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1987"/>
        <w:gridCol w:w="280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计入当期非经常性损益的金额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非流动资产损坏报废损失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157,561.15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157,561.15</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3,700.00</w:t>
            </w:r>
          </w:p>
        </w:tc>
      </w:tr>
    </w:tbl>
    <w:p>
      <w:pPr>
        <w:spacing w:lineRule="exact" w:line="1"/>
        <w:rPr>
          <w:sz w:val="2"/>
          <w:szCs w:val="2"/>
        </w:rPr>
      </w:pPr>
      <w:r>
        <w:br w:type="page"/>
      </w:r>
    </w:p>
    <w:tbl>
      <w:tblPr>
        <w:tblOverlap w:val="never"/>
        <w:jc w:val="center"/>
        <w:tblLayout w:type="fixed"/>
      </w:tblPr>
      <w:tblGrid>
        <w:gridCol w:w="2395"/>
        <w:gridCol w:w="2395"/>
        <w:gridCol w:w="1987"/>
        <w:gridCol w:w="2808"/>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2,183,261.15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2,183,261.15</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5</w:t>
      </w:r>
      <w:bookmarkEnd w:id="1450"/>
      <w:r>
        <w:rPr>
          <w:rFonts w:ascii="Times New Roman" w:eastAsia="Times New Roman" w:hAnsi="Times New Roman" w:cs="Times New Roman"/>
          <w:color w:val="000000"/>
          <w:spacing w:val="0"/>
          <w:w w:val="100"/>
          <w:position w:val="0"/>
        </w:rPr>
        <w:t>3</w:t>
      </w:r>
      <w:r>
        <w:rPr>
          <w:color w:val="000000"/>
          <w:spacing w:val="0"/>
          <w:w w:val="100"/>
          <w:position w:val="0"/>
        </w:rPr>
        <w:t>、所得税费用</w:t>
      </w:r>
      <w:bookmarkEnd w:id="1448"/>
      <w:bookmarkEnd w:id="1449"/>
      <w:bookmarkEnd w:id="1451"/>
    </w:p>
    <w:p>
      <w:pPr>
        <w:pStyle w:val="Style37"/>
        <w:keepNext/>
        <w:keepLines/>
        <w:widowControl w:val="0"/>
        <w:shd w:val="clear" w:color="auto" w:fill="auto"/>
        <w:bidi w:val="0"/>
        <w:spacing w:before="0" w:line="240" w:lineRule="auto"/>
        <w:ind w:left="0" w:right="0" w:firstLine="0"/>
        <w:jc w:val="left"/>
      </w:pPr>
      <w:bookmarkStart w:id="1448" w:name="bookmark1448"/>
      <w:bookmarkStart w:id="1449" w:name="bookmark1449"/>
      <w:bookmarkStart w:id="1452" w:name="bookmark14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48"/>
      <w:bookmarkEnd w:id="1449"/>
      <w:bookmarkEnd w:id="145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5,400,026.67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-16,886,743.17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-25,309,383.90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-13,215,169.58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-19,909,357.23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-30,101,912.75</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140"/>
        <w:jc w:val="left"/>
      </w:pPr>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53"/>
      <w:bookmarkEnd w:id="1454"/>
      <w:bookmarkEnd w:id="145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06"/>
        <w:gridCol w:w="408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-967,721,041.26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-145,158,157.49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-5,844,571.75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-597,049.07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56,218.52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136,588,174.40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-755,478.06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2,714,956.92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-6,913,450.70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-19,909,357.23</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tabs>
          <w:tab w:pos="483" w:val="left"/>
        </w:tabs>
        <w:bidi w:val="0"/>
        <w:spacing w:before="0" w:line="240" w:lineRule="auto"/>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5</w:t>
      </w:r>
      <w:bookmarkEnd w:id="1458"/>
      <w:r>
        <w:rPr>
          <w:rFonts w:ascii="Times New Roman" w:eastAsia="Times New Roman" w:hAnsi="Times New Roman" w:cs="Times New Roman"/>
          <w:color w:val="000000"/>
          <w:spacing w:val="0"/>
          <w:w w:val="100"/>
          <w:position w:val="0"/>
        </w:rPr>
        <w:t>4</w:t>
      </w:r>
      <w:r>
        <w:rPr>
          <w:color w:val="000000"/>
          <w:spacing w:val="0"/>
          <w:w w:val="100"/>
          <w:position w:val="0"/>
        </w:rPr>
        <w:t>、</w:t>
        <w:tab/>
        <w:t>其他综合收益</w:t>
      </w:r>
      <w:bookmarkEnd w:id="1456"/>
      <w:bookmarkEnd w:id="1457"/>
      <w:bookmarkEnd w:id="1459"/>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rPr>
        <w:t>36</w:t>
      </w:r>
      <w:r>
        <w:rPr>
          <w:color w:val="000000"/>
          <w:spacing w:val="0"/>
          <w:w w:val="100"/>
          <w:position w:val="0"/>
        </w:rPr>
        <w:t>。</w:t>
      </w:r>
    </w:p>
    <w:p>
      <w:pPr>
        <w:pStyle w:val="Style37"/>
        <w:keepNext/>
        <w:keepLines/>
        <w:widowControl w:val="0"/>
        <w:shd w:val="clear" w:color="auto" w:fill="auto"/>
        <w:tabs>
          <w:tab w:pos="483" w:val="left"/>
        </w:tabs>
        <w:bidi w:val="0"/>
        <w:spacing w:before="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5</w:t>
      </w:r>
      <w:bookmarkEnd w:id="1462"/>
      <w:r>
        <w:rPr>
          <w:rFonts w:ascii="Times New Roman" w:eastAsia="Times New Roman" w:hAnsi="Times New Roman" w:cs="Times New Roman"/>
          <w:color w:val="000000"/>
          <w:spacing w:val="0"/>
          <w:w w:val="100"/>
          <w:position w:val="0"/>
        </w:rPr>
        <w:t>5</w:t>
      </w:r>
      <w:r>
        <w:rPr>
          <w:color w:val="000000"/>
          <w:spacing w:val="0"/>
          <w:w w:val="100"/>
          <w:position w:val="0"/>
        </w:rPr>
        <w:t>、</w:t>
        <w:tab/>
        <w:t>现金流量表项目</w:t>
      </w:r>
      <w:bookmarkEnd w:id="1460"/>
      <w:bookmarkEnd w:id="1461"/>
      <w:bookmarkEnd w:id="1463"/>
    </w:p>
    <w:p>
      <w:pPr>
        <w:pStyle w:val="Style37"/>
        <w:keepNext/>
        <w:keepLines/>
        <w:widowControl w:val="0"/>
        <w:shd w:val="clear" w:color="auto" w:fill="auto"/>
        <w:bidi w:val="0"/>
        <w:spacing w:before="0" w:line="240" w:lineRule="auto"/>
        <w:ind w:left="0" w:right="0" w:firstLine="0"/>
        <w:jc w:val="left"/>
      </w:pPr>
      <w:bookmarkStart w:id="1460" w:name="bookmark1460"/>
      <w:bookmarkStart w:id="1461" w:name="bookmark1461"/>
      <w:bookmarkStart w:id="1464" w:name="bookmark14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60"/>
      <w:bookmarkEnd w:id="1461"/>
      <w:bookmarkEnd w:id="146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2,615,141.17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6,641,734.62</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5,757,105.48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3,103,143.15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收到的保函保证金、票据保证金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5,571,597.58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收回的投标保证金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4,332,547.01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42,453,788.08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66,000.00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收到的赔款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27,826.20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收到的合并范围外的往来款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89,346,821.82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供应商退回未消耗的预付推广费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46,977,779.70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2,438,645.11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149,077,221.38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60,275,418.54</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7"/>
        <w:keepNext/>
        <w:keepLines/>
        <w:widowControl w:val="0"/>
        <w:shd w:val="clear" w:color="auto" w:fill="auto"/>
        <w:bidi w:val="0"/>
        <w:spacing w:before="0" w:after="380" w:line="240" w:lineRule="auto"/>
        <w:ind w:left="0" w:right="0" w:firstLine="0"/>
        <w:jc w:val="left"/>
      </w:pPr>
      <w:bookmarkStart w:id="1465" w:name="bookmark1465"/>
      <w:bookmarkStart w:id="1466" w:name="bookmark1466"/>
      <w:bookmarkStart w:id="1467" w:name="bookmark14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65"/>
      <w:bookmarkEnd w:id="1466"/>
      <w:bookmarkEnd w:id="146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174,366.90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262,833.86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付现销售费用、管理费用、研发费用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468,882,423.16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645,055,165.14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支付的保函保证金、票据保证金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104,327.00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25,049,460.32</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支付的投标保证金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2,214,656.00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53,531,062.45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外部单位往来款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104,084,412.92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246,019,225.80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315,703.87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1,786,084.80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待退回分红款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35,964,530.53</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2,025,700.00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871,680.51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577,801,589.85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1,008,540,043.41</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7"/>
        <w:keepNext/>
        <w:keepLines/>
        <w:widowControl w:val="0"/>
        <w:shd w:val="clear" w:color="auto" w:fill="auto"/>
        <w:bidi w:val="0"/>
        <w:spacing w:before="0" w:after="380" w:line="240" w:lineRule="auto"/>
        <w:ind w:left="0" w:right="0" w:firstLine="0"/>
        <w:jc w:val="left"/>
      </w:pPr>
      <w:bookmarkStart w:id="1468" w:name="bookmark1468"/>
      <w:bookmarkStart w:id="1469" w:name="bookmark1469"/>
      <w:bookmarkStart w:id="1470" w:name="bookmark1470"/>
      <w:bookmarkStart w:id="1471" w:name="bookmark1471"/>
      <w:r>
        <w:rPr>
          <w:color w:val="000000"/>
          <w:spacing w:val="0"/>
          <w:w w:val="100"/>
          <w:position w:val="0"/>
        </w:rPr>
        <w:t>（</w:t>
      </w:r>
      <w:bookmarkEnd w:id="1470"/>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68"/>
      <w:bookmarkEnd w:id="1469"/>
      <w:bookmarkEnd w:id="147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收回爱酷游诚意金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50,000,000.00</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50,000,000.00</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7"/>
        <w:keepNext/>
        <w:keepLines/>
        <w:widowControl w:val="0"/>
        <w:shd w:val="clear" w:color="auto" w:fill="auto"/>
        <w:bidi w:val="0"/>
        <w:spacing w:before="0" w:after="380" w:line="240" w:lineRule="auto"/>
        <w:ind w:left="0" w:right="0" w:firstLine="0"/>
        <w:jc w:val="left"/>
      </w:pPr>
      <w:bookmarkStart w:id="1472" w:name="bookmark1472"/>
      <w:bookmarkStart w:id="1473" w:name="bookmark1473"/>
      <w:bookmarkStart w:id="1474" w:name="bookmark1474"/>
      <w:bookmarkStart w:id="1475" w:name="bookmark1475"/>
      <w:r>
        <w:rPr>
          <w:color w:val="000000"/>
          <w:spacing w:val="0"/>
          <w:w w:val="100"/>
          <w:position w:val="0"/>
        </w:rPr>
        <w:t>（</w:t>
      </w:r>
      <w:bookmarkEnd w:id="1474"/>
      <w:r>
        <w:rPr>
          <w:rFonts w:ascii="Times New Roman" w:eastAsia="Times New Roman" w:hAnsi="Times New Roman" w:cs="Times New Roman"/>
          <w:color w:val="000000"/>
          <w:spacing w:val="0"/>
          <w:w w:val="100"/>
          <w:position w:val="0"/>
        </w:rPr>
        <w:t>4</w:t>
      </w:r>
      <w:r>
        <w:rPr>
          <w:color w:val="000000"/>
          <w:spacing w:val="0"/>
          <w:w w:val="100"/>
          <w:position w:val="0"/>
        </w:rPr>
        <w:t>）支付的其他与筹资活动有关的现金</w:t>
      </w:r>
      <w:bookmarkEnd w:id="1472"/>
      <w:bookmarkEnd w:id="1473"/>
      <w:bookmarkEnd w:id="1475"/>
    </w:p>
    <w:p>
      <w:pPr>
        <w:pStyle w:val="Style33"/>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哆可梦收购款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359,999,588.91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147,613,580.50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注销限制性股票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95,767,123.89</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购买上海季娱少数股东股权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108,700,000.00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603,380,293.30</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7"/>
        <w:keepNext/>
        <w:keepLines/>
        <w:widowControl w:val="0"/>
        <w:shd w:val="clear" w:color="auto" w:fill="auto"/>
        <w:bidi w:val="0"/>
        <w:spacing w:before="0" w:after="38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5</w:t>
      </w:r>
      <w:bookmarkEnd w:id="1478"/>
      <w:r>
        <w:rPr>
          <w:rFonts w:ascii="Times New Roman" w:eastAsia="Times New Roman" w:hAnsi="Times New Roman" w:cs="Times New Roman"/>
          <w:color w:val="000000"/>
          <w:spacing w:val="0"/>
          <w:w w:val="100"/>
          <w:position w:val="0"/>
        </w:rPr>
        <w:t>6</w:t>
      </w:r>
      <w:r>
        <w:rPr>
          <w:color w:val="000000"/>
          <w:spacing w:val="0"/>
          <w:w w:val="100"/>
          <w:position w:val="0"/>
        </w:rPr>
        <w:t>、现金流量表补充资料</w:t>
      </w:r>
      <w:bookmarkEnd w:id="1476"/>
      <w:bookmarkEnd w:id="1477"/>
      <w:bookmarkEnd w:id="1479"/>
    </w:p>
    <w:p>
      <w:pPr>
        <w:pStyle w:val="Style37"/>
        <w:keepNext/>
        <w:keepLines/>
        <w:widowControl w:val="0"/>
        <w:shd w:val="clear" w:color="auto" w:fill="auto"/>
        <w:bidi w:val="0"/>
        <w:spacing w:before="0" w:after="380" w:line="240" w:lineRule="auto"/>
        <w:ind w:left="0" w:right="0" w:firstLine="0"/>
        <w:jc w:val="left"/>
      </w:pPr>
      <w:bookmarkStart w:id="1476" w:name="bookmark1476"/>
      <w:bookmarkStart w:id="1477" w:name="bookmark1477"/>
      <w:bookmarkStart w:id="1480" w:name="bookmark1480"/>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76"/>
      <w:bookmarkEnd w:id="1477"/>
      <w:bookmarkEnd w:id="148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68"/>
        <w:gridCol w:w="2693"/>
        <w:gridCol w:w="25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-947,811,684.03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194,273,417.17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907,555,102.34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304,286.62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-24,569,890.46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600,320.98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固定资产折旧、油气资产折耗、生产性生物 资产折旧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11,258,562.74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10,400,716.50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2,361,815.04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2,821,511.50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37,117,638.39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12,010,243.89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处置固定资产、无形资产和其他长期资产的 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-2,388.83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-17,712,642.26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157,561.15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5,152,243.47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1,767,223.42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65,871,865.96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69,356,237.80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-3,653,096.07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-14,153,340.83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-25,042,357.45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-10,288,426.96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1,604,990.86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-2,926,742.62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20,996,326.91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16,039,401.71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245,441,129.96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-410,670,297.32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-169,502,870.53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-229,864,792.50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126,934,949.45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-378,042,882.90</w:t>
            </w:r>
          </w:p>
        </w:tc>
      </w:tr>
    </w:tbl>
    <w:p>
      <w:pPr>
        <w:spacing w:lineRule="exact" w:line="1"/>
        <w:rPr>
          <w:sz w:val="2"/>
          <w:szCs w:val="2"/>
        </w:rPr>
      </w:pPr>
      <w:r>
        <w:br w:type="page"/>
      </w:r>
    </w:p>
    <w:tbl>
      <w:tblPr>
        <w:tblOverlap w:val="never"/>
        <w:jc w:val="center"/>
        <w:tblLayout w:type="fixed"/>
      </w:tblPr>
      <w:tblGrid>
        <w:gridCol w:w="4368"/>
        <w:gridCol w:w="2693"/>
        <w:gridCol w:w="252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53,463,800.94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214,790,733.29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214,790,733.29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733,303,657.33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-161,326,932.35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-518,512,924.04</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140"/>
        <w:jc w:val="left"/>
      </w:pPr>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481"/>
      <w:bookmarkEnd w:id="1482"/>
      <w:bookmarkEnd w:id="148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53,463,800.94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214,790,733.29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27,384.03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40,640,770.75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200,623,398.47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12,823,030.19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14,139,950.79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53,463,800.94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214,790,733.29</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5</w:t>
      </w:r>
      <w:bookmarkEnd w:id="1486"/>
      <w:r>
        <w:rPr>
          <w:rFonts w:ascii="Times New Roman" w:eastAsia="Times New Roman" w:hAnsi="Times New Roman" w:cs="Times New Roman"/>
          <w:color w:val="000000"/>
          <w:spacing w:val="0"/>
          <w:w w:val="100"/>
          <w:position w:val="0"/>
        </w:rPr>
        <w:t>7</w:t>
      </w:r>
      <w:r>
        <w:rPr>
          <w:color w:val="000000"/>
          <w:spacing w:val="0"/>
          <w:w w:val="100"/>
          <w:position w:val="0"/>
        </w:rPr>
        <w:t>、所有权或使用权受到限制的资产</w:t>
      </w:r>
      <w:bookmarkEnd w:id="1484"/>
      <w:bookmarkEnd w:id="1485"/>
      <w:bookmarkEnd w:id="148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61,606,498.44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保函、银承、贷款保证金，司法冻结</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160,095,174.62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113,341,600.00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751,278,684.79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1,086,321,957.85</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5</w:t>
      </w:r>
      <w:bookmarkEnd w:id="1490"/>
      <w:r>
        <w:rPr>
          <w:rFonts w:ascii="Times New Roman" w:eastAsia="Times New Roman" w:hAnsi="Times New Roman" w:cs="Times New Roman"/>
          <w:color w:val="000000"/>
          <w:spacing w:val="0"/>
          <w:w w:val="100"/>
          <w:position w:val="0"/>
        </w:rPr>
        <w:t>8</w:t>
      </w:r>
      <w:r>
        <w:rPr>
          <w:color w:val="000000"/>
          <w:spacing w:val="0"/>
          <w:w w:val="100"/>
          <w:position w:val="0"/>
        </w:rPr>
        <w:t>、外币货币性项目</w:t>
      </w:r>
      <w:bookmarkEnd w:id="1488"/>
      <w:bookmarkEnd w:id="1489"/>
      <w:bookmarkEnd w:id="1491"/>
    </w:p>
    <w:p>
      <w:pPr>
        <w:pStyle w:val="Style37"/>
        <w:keepNext/>
        <w:keepLines/>
        <w:widowControl w:val="0"/>
        <w:shd w:val="clear" w:color="auto" w:fill="auto"/>
        <w:bidi w:val="0"/>
        <w:spacing w:before="0" w:after="380" w:line="240" w:lineRule="auto"/>
        <w:ind w:left="0" w:right="0" w:firstLine="0"/>
        <w:jc w:val="left"/>
      </w:pPr>
      <w:bookmarkStart w:id="1488" w:name="bookmark1488"/>
      <w:bookmarkStart w:id="1489" w:name="bookmark1489"/>
      <w:bookmarkStart w:id="1492" w:name="bookmark14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88"/>
      <w:bookmarkEnd w:id="1489"/>
      <w:bookmarkEnd w:id="1492"/>
    </w:p>
    <w:p>
      <w:pPr>
        <w:pStyle w:val="Style33"/>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501"/>
        <w:gridCol w:w="2294"/>
        <w:gridCol w:w="2390"/>
        <w:gridCol w:w="240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20,800,922.48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632,135.15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4,124,618.64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205,594.93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8.0250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1,649,899.31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41,903.35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0.8416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35,267.53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237,066,497.00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0.0632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14,991,137.00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849,272.87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86,530.38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564,602.04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35,473.00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8.0250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284,670.83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16,820.78</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266,000.00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0.0632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16,820.78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545,350.17</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8,624,046.00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0.0632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545,350.17</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5</w:t>
      </w:r>
      <w:bookmarkEnd w:id="1495"/>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1493"/>
      <w:bookmarkEnd w:id="1494"/>
      <w:bookmarkEnd w:id="1496"/>
    </w:p>
    <w:p>
      <w:pPr>
        <w:pStyle w:val="Style37"/>
        <w:keepNext/>
        <w:keepLines/>
        <w:widowControl w:val="0"/>
        <w:shd w:val="clear" w:color="auto" w:fill="auto"/>
        <w:bidi w:val="0"/>
        <w:spacing w:before="0" w:after="380" w:line="240" w:lineRule="auto"/>
        <w:ind w:left="0" w:right="0" w:firstLine="0"/>
        <w:jc w:val="left"/>
      </w:pPr>
      <w:bookmarkStart w:id="1493" w:name="bookmark1493"/>
      <w:bookmarkStart w:id="1494" w:name="bookmark1494"/>
      <w:bookmarkStart w:id="1497" w:name="bookmark14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493"/>
      <w:bookmarkEnd w:id="1494"/>
      <w:bookmarkEnd w:id="149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29"/>
        <w:gridCol w:w="1843"/>
        <w:gridCol w:w="1699"/>
        <w:gridCol w:w="181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党费补贴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44,323.00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44,323.00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高新企业补助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火炬补贴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人才工作局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16,900.00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48,758.52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48,758.52</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8,660.40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8,660.40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2,580.00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2,580.00</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11,446.93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11,446.93</w:t>
            </w:r>
          </w:p>
        </w:tc>
      </w:tr>
    </w:tbl>
    <w:p>
      <w:pPr>
        <w:spacing w:lineRule="exact" w:line="1"/>
        <w:rPr>
          <w:sz w:val="2"/>
          <w:szCs w:val="2"/>
        </w:rPr>
      </w:pPr>
      <w:r>
        <w:br w:type="page"/>
      </w:r>
    </w:p>
    <w:tbl>
      <w:tblPr>
        <w:tblOverlap w:val="never"/>
        <w:jc w:val="center"/>
        <w:tblLayout w:type="fixed"/>
      </w:tblPr>
      <w:tblGrid>
        <w:gridCol w:w="4229"/>
        <w:gridCol w:w="1843"/>
        <w:gridCol w:w="1699"/>
        <w:gridCol w:w="1814"/>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年度稳岗补贴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56,041.24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56,041.24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电费补贴收入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216,835.40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216,835.40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1,728,697.10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1,728,697.10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年度第一批科技创新专项奖金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25,500.00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25,500.00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坪山区突出贡献奖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岗前培训补贴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疫情资助款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26,600.00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26,600.00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年度和谐劳动关系企业奖励资金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年技改倍增专项资助计划质量品牌双提升类资 助计划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电费补贴收入</w:t>
            </w:r>
            <w:r>
              <w:rPr>
                <w:rFonts w:ascii="Times New Roman" w:eastAsia="Times New Roman" w:hAnsi="Times New Roman" w:cs="Times New Roman"/>
                <w:color w:val="000000"/>
                <w:spacing w:val="0"/>
                <w:w w:val="100"/>
                <w:position w:val="0"/>
              </w:rPr>
              <w:t>(</w:t>
            </w:r>
            <w:r>
              <w:rPr>
                <w:color w:val="000000"/>
                <w:spacing w:val="0"/>
                <w:w w:val="100"/>
                <w:position w:val="0"/>
              </w:rPr>
              <w:t>深圳供电局有限公司)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202,990.20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202,990.20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岗前培训补贴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50,248.00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50,248.00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适岗培训补贴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376,500.00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376,500.00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年企业研发资助计划第二批资助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393,000.00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年度中央外经贸展专项资金资助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32,721.73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32,721.73</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年度经济发展专项资金境外展会项目补贴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16,989.00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16,989.00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年坪山区工业经济稳增长资助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电动中巴车补贴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20,000.04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20,000.04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高性能聚酰亚胺</w:t>
            </w:r>
            <w:r>
              <w:rPr>
                <w:rFonts w:ascii="Times New Roman" w:eastAsia="Times New Roman" w:hAnsi="Times New Roman" w:cs="Times New Roman"/>
                <w:color w:val="000000"/>
                <w:spacing w:val="0"/>
                <w:w w:val="100"/>
                <w:position w:val="0"/>
              </w:rPr>
              <w:t>3D</w:t>
            </w:r>
            <w:r>
              <w:rPr>
                <w:color w:val="000000"/>
                <w:spacing w:val="0"/>
                <w:w w:val="100"/>
                <w:position w:val="0"/>
              </w:rPr>
              <w:t>打印耗材的制备与应用开发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199,034.16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199,034.16</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388.38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马桥镇</w:t>
            </w:r>
            <w:r>
              <w:rPr>
                <w:rFonts w:ascii="Times New Roman" w:eastAsia="Times New Roman" w:hAnsi="Times New Roman" w:cs="Times New Roman"/>
                <w:color w:val="000000"/>
                <w:spacing w:val="0"/>
                <w:w w:val="100"/>
                <w:position w:val="0"/>
              </w:rPr>
              <w:t>2019</w:t>
            </w:r>
            <w:r>
              <w:rPr>
                <w:color w:val="000000"/>
                <w:spacing w:val="0"/>
                <w:w w:val="100"/>
                <w:position w:val="0"/>
              </w:rPr>
              <w:t>年下半年企业扶持款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马桥镇</w:t>
            </w:r>
            <w:r>
              <w:rPr>
                <w:rFonts w:ascii="Times New Roman" w:eastAsia="Times New Roman" w:hAnsi="Times New Roman" w:cs="Times New Roman"/>
                <w:color w:val="000000"/>
                <w:spacing w:val="0"/>
                <w:w w:val="100"/>
                <w:position w:val="0"/>
              </w:rPr>
              <w:t>2019</w:t>
            </w:r>
            <w:r>
              <w:rPr>
                <w:color w:val="000000"/>
                <w:spacing w:val="0"/>
                <w:w w:val="100"/>
                <w:position w:val="0"/>
              </w:rPr>
              <w:t>年下半年企业扶持款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37,414.51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37,414.51</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4,675,247.05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4,675,247.05</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进项税加计扣除</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3,686,454.47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3,686,454.47</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498" w:name="bookmark1498"/>
      <w:bookmarkStart w:id="1499" w:name="bookmark1499"/>
      <w:bookmarkStart w:id="1500" w:name="bookmark15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498"/>
      <w:bookmarkEnd w:id="1499"/>
      <w:bookmarkEnd w:id="1500"/>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1501" w:name="bookmark1501"/>
      <w:bookmarkStart w:id="1502" w:name="bookmark1502"/>
      <w:bookmarkStart w:id="1503" w:name="bookmark1503"/>
      <w:bookmarkStart w:id="1504" w:name="bookmark1504"/>
      <w:r>
        <w:rPr>
          <w:color w:val="000000"/>
          <w:spacing w:val="0"/>
          <w:w w:val="100"/>
          <w:position w:val="0"/>
          <w:sz w:val="24"/>
          <w:szCs w:val="24"/>
        </w:rPr>
        <w:t>八</w:t>
      </w:r>
      <w:bookmarkEnd w:id="1503"/>
      <w:r>
        <w:rPr>
          <w:color w:val="000000"/>
          <w:spacing w:val="0"/>
          <w:w w:val="100"/>
          <w:position w:val="0"/>
          <w:sz w:val="24"/>
          <w:szCs w:val="24"/>
        </w:rPr>
        <w:t>、合并范围的变更</w:t>
      </w:r>
      <w:bookmarkEnd w:id="1501"/>
      <w:bookmarkEnd w:id="1502"/>
      <w:bookmarkEnd w:id="1504"/>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9"/>
        <w:keepNext/>
        <w:keepLines/>
        <w:widowControl w:val="0"/>
        <w:shd w:val="clear" w:color="auto" w:fill="auto"/>
        <w:bidi w:val="0"/>
        <w:spacing w:before="0" w:after="360" w:line="240" w:lineRule="auto"/>
        <w:ind w:left="0" w:right="0" w:firstLine="0"/>
        <w:jc w:val="left"/>
      </w:pPr>
      <w:bookmarkStart w:id="1505" w:name="bookmark1505"/>
      <w:bookmarkStart w:id="1506" w:name="bookmark1506"/>
      <w:bookmarkStart w:id="1507" w:name="bookmark1507"/>
      <w:bookmarkStart w:id="1508" w:name="bookmark1508"/>
      <w:r>
        <w:rPr>
          <w:color w:val="000000"/>
          <w:spacing w:val="0"/>
          <w:w w:val="100"/>
          <w:position w:val="0"/>
          <w:sz w:val="24"/>
          <w:szCs w:val="24"/>
        </w:rPr>
        <w:t>九</w:t>
      </w:r>
      <w:bookmarkEnd w:id="1507"/>
      <w:r>
        <w:rPr>
          <w:color w:val="000000"/>
          <w:spacing w:val="0"/>
          <w:w w:val="100"/>
          <w:position w:val="0"/>
          <w:sz w:val="24"/>
          <w:szCs w:val="24"/>
        </w:rPr>
        <w:t>、在其他主体中的权益</w:t>
      </w:r>
      <w:bookmarkEnd w:id="1505"/>
      <w:bookmarkEnd w:id="1506"/>
      <w:bookmarkEnd w:id="1508"/>
    </w:p>
    <w:p>
      <w:pPr>
        <w:pStyle w:val="Style37"/>
        <w:keepNext/>
        <w:keepLines/>
        <w:widowControl w:val="0"/>
        <w:shd w:val="clear" w:color="auto" w:fill="auto"/>
        <w:bidi w:val="0"/>
        <w:spacing w:before="0" w:line="240" w:lineRule="auto"/>
        <w:ind w:left="0" w:right="0" w:firstLine="0"/>
        <w:jc w:val="left"/>
      </w:pPr>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09"/>
      <w:bookmarkEnd w:id="1510"/>
      <w:bookmarkEnd w:id="1511"/>
    </w:p>
    <w:p>
      <w:pPr>
        <w:pStyle w:val="Style37"/>
        <w:keepNext/>
        <w:keepLines/>
        <w:widowControl w:val="0"/>
        <w:shd w:val="clear" w:color="auto" w:fill="auto"/>
        <w:bidi w:val="0"/>
        <w:spacing w:before="0" w:after="320" w:line="240" w:lineRule="auto"/>
        <w:ind w:left="0" w:right="0" w:firstLine="140"/>
        <w:jc w:val="left"/>
      </w:pPr>
      <w:bookmarkStart w:id="1509" w:name="bookmark1509"/>
      <w:bookmarkStart w:id="1510" w:name="bookmark1510"/>
      <w:bookmarkStart w:id="1512" w:name="bookmark1512"/>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09"/>
      <w:bookmarkEnd w:id="1510"/>
      <w:bookmarkEnd w:id="1512"/>
    </w:p>
    <w:tbl>
      <w:tblPr>
        <w:tblOverlap w:val="never"/>
        <w:jc w:val="center"/>
        <w:tblLayout w:type="fixed"/>
      </w:tblPr>
      <w:tblGrid>
        <w:gridCol w:w="1378"/>
        <w:gridCol w:w="1368"/>
        <w:gridCol w:w="917"/>
        <w:gridCol w:w="1819"/>
        <w:gridCol w:w="1363"/>
        <w:gridCol w:w="787"/>
        <w:gridCol w:w="195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惠程智能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香港惠程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中汇联银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喀什中汇联银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中汇联鑫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哆可梦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互联网及相关服务业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上海季娱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互联网及相关服务业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铁匣电力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一零电力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零玖电力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链接世界</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互联网及相关服务业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pStyle w:val="Style33"/>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在子公司的持股比例不同于表决权比例的说明：</w:t>
      </w:r>
    </w:p>
    <w:p>
      <w:pPr>
        <w:pStyle w:val="Style33"/>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33"/>
        <w:keepNext w:val="0"/>
        <w:keepLines w:val="0"/>
        <w:widowControl w:val="0"/>
        <w:shd w:val="clear" w:color="auto" w:fill="auto"/>
        <w:bidi w:val="0"/>
        <w:spacing w:before="0" w:after="0" w:line="355" w:lineRule="exact"/>
        <w:ind w:left="0" w:right="0" w:firstLine="0"/>
        <w:jc w:val="left"/>
      </w:pPr>
      <w:r>
        <w:rPr>
          <w:color w:val="000000"/>
          <w:spacing w:val="0"/>
          <w:w w:val="100"/>
          <w:position w:val="0"/>
        </w:rPr>
        <w:t>持有半数或以下表决权但仍控制被投资单位、以及持有半数以上表决权但不控制被投资单位的依据: 无</w:t>
      </w:r>
    </w:p>
    <w:p>
      <w:pPr>
        <w:pStyle w:val="Style33"/>
        <w:keepNext w:val="0"/>
        <w:keepLines w:val="0"/>
        <w:widowControl w:val="0"/>
        <w:shd w:val="clear" w:color="auto" w:fill="auto"/>
        <w:bidi w:val="0"/>
        <w:spacing w:before="0" w:after="0" w:line="355" w:lineRule="exact"/>
        <w:ind w:left="0" w:right="0" w:firstLine="0"/>
        <w:jc w:val="left"/>
      </w:pPr>
      <w:r>
        <w:rPr>
          <w:color w:val="000000"/>
          <w:spacing w:val="0"/>
          <w:w w:val="100"/>
          <w:position w:val="0"/>
        </w:rPr>
        <w:t>对于纳入合并范围的重要的结构化主体，控制的依据：</w:t>
      </w:r>
    </w:p>
    <w:p>
      <w:pPr>
        <w:pStyle w:val="Style33"/>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33"/>
        <w:keepNext w:val="0"/>
        <w:keepLines w:val="0"/>
        <w:widowControl w:val="0"/>
        <w:shd w:val="clear" w:color="auto" w:fill="auto"/>
        <w:bidi w:val="0"/>
        <w:spacing w:before="0" w:after="0" w:line="355" w:lineRule="exact"/>
        <w:ind w:left="0" w:right="0" w:firstLine="0"/>
        <w:jc w:val="left"/>
      </w:pPr>
      <w:r>
        <w:rPr>
          <w:color w:val="000000"/>
          <w:spacing w:val="0"/>
          <w:w w:val="100"/>
          <w:position w:val="0"/>
        </w:rPr>
        <w:t>确定公司是代理人还是委托人的依据：</w:t>
      </w:r>
    </w:p>
    <w:p>
      <w:pPr>
        <w:pStyle w:val="Style33"/>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33"/>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513" w:name="bookmark1513"/>
      <w:bookmarkStart w:id="1514" w:name="bookmark1514"/>
      <w:bookmarkStart w:id="1515" w:name="bookmark15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13"/>
      <w:bookmarkEnd w:id="1514"/>
      <w:bookmarkEnd w:id="151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09"/>
        <w:gridCol w:w="1560"/>
        <w:gridCol w:w="2270"/>
        <w:gridCol w:w="2726"/>
        <w:gridCol w:w="1920"/>
      </w:tblGrid>
      <w:tr>
        <w:trPr>
          <w:trHeight w:val="77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本期归属于少数股东的损益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本期向少数股东宣告分派的股利</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哆可梦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10,372,253.86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35,964,530.53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130,001,045.50</w:t>
            </w:r>
          </w:p>
        </w:tc>
      </w:tr>
    </w:tbl>
    <w:p>
      <w:pPr>
        <w:pStyle w:val="Style33"/>
        <w:keepNext w:val="0"/>
        <w:keepLines w:val="0"/>
        <w:widowControl w:val="0"/>
        <w:shd w:val="clear" w:color="auto" w:fill="auto"/>
        <w:bidi w:val="0"/>
        <w:spacing w:before="0" w:after="360" w:line="360" w:lineRule="exact"/>
        <w:ind w:left="0" w:right="0" w:firstLine="0"/>
        <w:jc w:val="left"/>
        <w:sectPr>
          <w:headerReference w:type="default" r:id="rId41"/>
          <w:footerReference w:type="default" r:id="rId42"/>
          <w:footnotePr>
            <w:pos w:val="pageBottom"/>
            <w:numFmt w:val="decimal"/>
            <w:numRestart w:val="continuous"/>
          </w:footnotePr>
          <w:pgSz w:w="11900" w:h="16840"/>
          <w:pgMar w:top="1378" w:right="1061" w:bottom="1440" w:left="1065" w:header="0" w:footer="3" w:gutter="0"/>
          <w:cols w:space="720"/>
          <w:noEndnote/>
          <w:rtlGutter w:val="0"/>
          <w:docGrid w:linePitch="360"/>
        </w:sectPr>
      </w:pPr>
      <w:r>
        <w:rPr>
          <w:color w:val="000000"/>
          <w:spacing w:val="0"/>
          <w:w w:val="100"/>
          <w:position w:val="0"/>
        </w:rPr>
        <w:t>子公司少数股东的持股比例不同于表决权比例的说明: 无</w:t>
      </w:r>
    </w:p>
    <w:p>
      <w:pPr>
        <w:pStyle w:val="Style37"/>
        <w:keepNext/>
        <w:keepLines/>
        <w:widowControl w:val="0"/>
        <w:numPr>
          <w:ilvl w:val="0"/>
          <w:numId w:val="101"/>
        </w:numPr>
        <w:shd w:val="clear" w:color="auto" w:fill="auto"/>
        <w:bidi w:val="0"/>
        <w:spacing w:before="0" w:after="380" w:line="240" w:lineRule="auto"/>
        <w:ind w:left="0" w:right="0" w:firstLine="0"/>
        <w:jc w:val="left"/>
      </w:pPr>
      <w:bookmarkStart w:id="1516" w:name="bookmark1516"/>
      <w:bookmarkStart w:id="1517" w:name="bookmark1517"/>
      <w:bookmarkStart w:id="1518" w:name="bookmark1518"/>
      <w:bookmarkStart w:id="1519" w:name="bookmark1519"/>
      <w:bookmarkEnd w:id="1518"/>
      <w:r>
        <w:rPr>
          <w:color w:val="000000"/>
          <w:spacing w:val="0"/>
          <w:w w:val="100"/>
          <w:position w:val="0"/>
        </w:rPr>
        <w:t>重要非全资子公司的主要财务信息</w:t>
      </w:r>
      <w:bookmarkEnd w:id="1516"/>
      <w:bookmarkEnd w:id="1517"/>
      <w:bookmarkEnd w:id="1519"/>
    </w:p>
    <w:p>
      <w:pPr>
        <w:pStyle w:val="Style31"/>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466"/>
        <w:gridCol w:w="1181"/>
        <w:gridCol w:w="1090"/>
        <w:gridCol w:w="1181"/>
        <w:gridCol w:w="1176"/>
        <w:gridCol w:w="869"/>
        <w:gridCol w:w="1181"/>
        <w:gridCol w:w="1181"/>
        <w:gridCol w:w="1090"/>
        <w:gridCol w:w="1181"/>
        <w:gridCol w:w="1181"/>
        <w:gridCol w:w="1003"/>
        <w:gridCol w:w="1190"/>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司名 称</w:t>
            </w:r>
          </w:p>
        </w:tc>
        <w:tc>
          <w:tcPr>
            <w:gridSpan w:val="6"/>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非流动负 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非流动资产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哆可</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699,069,134.23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53,180,482.90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752,249,617.13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172,464,311.35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199,726.18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172,664,037.53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919,910,646.34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44,698,833.27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964,609,479.61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269,678,566.87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1,246,908.38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270,925,475.25</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994"/>
        <w:gridCol w:w="1862"/>
        <w:gridCol w:w="1800"/>
        <w:gridCol w:w="1550"/>
        <w:gridCol w:w="1550"/>
        <w:gridCol w:w="1546"/>
        <w:gridCol w:w="1550"/>
        <w:gridCol w:w="1546"/>
        <w:gridCol w:w="1570"/>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综合收益总额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经营活动现金流量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综合收益总额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经营活动现金流量</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哆可梦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461,885,429.74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46,242,772.43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46,242,772.43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37,689,957.89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692,654,289.04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264,157,588.71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264,157,588.71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-46,302,458.16</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520"/>
      <w:bookmarkEnd w:id="1521"/>
      <w:bookmarkEnd w:id="1522"/>
    </w:p>
    <w:p>
      <w:pPr>
        <w:pStyle w:val="Style37"/>
        <w:keepNext/>
        <w:keepLines/>
        <w:widowControl w:val="0"/>
        <w:shd w:val="clear" w:color="auto" w:fill="auto"/>
        <w:bidi w:val="0"/>
        <w:spacing w:before="0" w:after="260" w:line="240" w:lineRule="auto"/>
        <w:ind w:left="0" w:right="0" w:firstLine="0"/>
        <w:jc w:val="left"/>
      </w:pPr>
      <w:bookmarkStart w:id="1520" w:name="bookmark1520"/>
      <w:bookmarkStart w:id="1521" w:name="bookmark1521"/>
      <w:bookmarkStart w:id="1523" w:name="bookmark1523"/>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520"/>
      <w:bookmarkEnd w:id="1521"/>
      <w:bookmarkEnd w:id="1523"/>
    </w:p>
    <w:p>
      <w:pPr>
        <w:pStyle w:val="Style33"/>
        <w:keepNext w:val="0"/>
        <w:keepLines w:val="0"/>
        <w:widowControl w:val="0"/>
        <w:shd w:val="clear" w:color="auto" w:fill="auto"/>
        <w:bidi w:val="0"/>
        <w:spacing w:before="0" w:after="0" w:line="317" w:lineRule="exact"/>
        <w:ind w:left="0" w:right="0" w:firstLine="3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月，经公司总裁办公会审议批准，公司以现金形式受让宁波梅山保税港区航翼投资管理合伙企业(有限合伙)所持上海季娱网络科技有限公司(以下简称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上海季 娱</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49%</w:t>
      </w:r>
      <w:r>
        <w:rPr>
          <w:color w:val="000000"/>
          <w:spacing w:val="0"/>
          <w:w w:val="100"/>
          <w:position w:val="0"/>
        </w:rPr>
        <w:t>股权，股权转让价款为人民币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.11</w:t>
      </w:r>
      <w:r>
        <w:rPr>
          <w:color w:val="000000"/>
          <w:spacing w:val="0"/>
          <w:w w:val="100"/>
          <w:position w:val="0"/>
        </w:rPr>
        <w:t>亿元。</w:t>
      </w:r>
    </w:p>
    <w:p>
      <w:pPr>
        <w:pStyle w:val="Style33"/>
        <w:keepNext w:val="0"/>
        <w:keepLines w:val="0"/>
        <w:widowControl w:val="0"/>
        <w:shd w:val="clear" w:color="auto" w:fill="auto"/>
        <w:bidi w:val="0"/>
        <w:spacing w:before="0" w:after="340" w:line="317" w:lineRule="exact"/>
        <w:ind w:left="0" w:right="0" w:firstLine="440"/>
        <w:jc w:val="left"/>
        <w:sectPr>
          <w:headerReference w:type="default" r:id="rId43"/>
          <w:footerReference w:type="default" r:id="rId44"/>
          <w:footnotePr>
            <w:pos w:val="pageBottom"/>
            <w:numFmt w:val="decimal"/>
            <w:numRestart w:val="continuous"/>
          </w:footnotePr>
          <w:pgSz w:w="16840" w:h="11900" w:orient="landscape"/>
          <w:pgMar w:top="1460" w:right="1417" w:bottom="1460" w:left="1422"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月，公司收购上海季娱少数股东股权事项完成了工商变更登记手续，股权转让价款已全部支付完毕，上海季娱成为公司全资子公司。</w:t>
      </w:r>
    </w:p>
    <w:p>
      <w:pPr>
        <w:pStyle w:val="Style37"/>
        <w:keepNext/>
        <w:keepLines/>
        <w:widowControl w:val="0"/>
        <w:shd w:val="clear" w:color="auto" w:fill="auto"/>
        <w:bidi w:val="0"/>
        <w:spacing w:before="320" w:after="380" w:line="240" w:lineRule="auto"/>
        <w:ind w:left="0" w:right="0" w:firstLine="140"/>
        <w:jc w:val="left"/>
      </w:pPr>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524"/>
      <w:bookmarkEnd w:id="1525"/>
      <w:bookmarkEnd w:id="152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78"/>
        <w:gridCol w:w="450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上海季娱</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股权收购款豁免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2,300,000.00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748,911.79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110,251,088.21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110,251,088.21</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3</w:t>
      </w:r>
      <w:bookmarkEnd w:id="1529"/>
      <w:r>
        <w:rPr>
          <w:color w:val="000000"/>
          <w:spacing w:val="0"/>
          <w:w w:val="100"/>
          <w:position w:val="0"/>
        </w:rPr>
        <w:t>、在合营安排或联营企业中的权益</w:t>
      </w:r>
      <w:bookmarkEnd w:id="1527"/>
      <w:bookmarkEnd w:id="1528"/>
      <w:bookmarkEnd w:id="1530"/>
    </w:p>
    <w:p>
      <w:pPr>
        <w:pStyle w:val="Style37"/>
        <w:keepNext/>
        <w:keepLines/>
        <w:widowControl w:val="0"/>
        <w:shd w:val="clear" w:color="auto" w:fill="auto"/>
        <w:bidi w:val="0"/>
        <w:spacing w:before="0" w:after="320" w:line="240" w:lineRule="auto"/>
        <w:ind w:left="0" w:right="0" w:firstLine="0"/>
        <w:jc w:val="left"/>
      </w:pPr>
      <w:bookmarkStart w:id="1527" w:name="bookmark1527"/>
      <w:bookmarkStart w:id="1528" w:name="bookmark1528"/>
      <w:bookmarkStart w:id="1531" w:name="bookmark15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27"/>
      <w:bookmarkEnd w:id="1528"/>
      <w:bookmarkEnd w:id="1531"/>
    </w:p>
    <w:tbl>
      <w:tblPr>
        <w:tblOverlap w:val="never"/>
        <w:jc w:val="center"/>
        <w:tblLayout w:type="fixed"/>
      </w:tblPr>
      <w:tblGrid>
        <w:gridCol w:w="2102"/>
        <w:gridCol w:w="1133"/>
        <w:gridCol w:w="87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合营企业或联营企业名称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真机智能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永耀惠程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惠智网联</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在合营企业或联营企业的持股比例不同于表决权比例的说明:</w:t>
      </w:r>
    </w:p>
    <w:p>
      <w:pPr>
        <w:pStyle w:val="Style33"/>
        <w:keepNext w:val="0"/>
        <w:keepLines w:val="0"/>
        <w:widowControl w:val="0"/>
        <w:shd w:val="clear" w:color="auto" w:fill="auto"/>
        <w:bidi w:val="0"/>
        <w:spacing w:before="0" w:after="0" w:line="315" w:lineRule="exact"/>
        <w:ind w:left="0" w:right="0"/>
        <w:jc w:val="left"/>
      </w:pPr>
      <w:r>
        <w:rPr>
          <w:color w:val="000000"/>
          <w:spacing w:val="0"/>
          <w:w w:val="100"/>
          <w:position w:val="0"/>
        </w:rPr>
        <w:t>公司为惠智网联的有限合伙人认缴出资</w:t>
      </w:r>
      <w:r>
        <w:rPr>
          <w:rFonts w:ascii="Times New Roman" w:eastAsia="Times New Roman" w:hAnsi="Times New Roman" w:cs="Times New Roman"/>
          <w:color w:val="000000"/>
          <w:spacing w:val="0"/>
          <w:w w:val="100"/>
          <w:position w:val="0"/>
        </w:rPr>
        <w:t>25,000</w:t>
      </w:r>
      <w:r>
        <w:rPr>
          <w:color w:val="000000"/>
          <w:spacing w:val="0"/>
          <w:w w:val="100"/>
          <w:position w:val="0"/>
        </w:rPr>
        <w:t>万元，占全体合伙人认缴出资总额的</w:t>
      </w:r>
      <w:r>
        <w:rPr>
          <w:rFonts w:ascii="Times New Roman" w:eastAsia="Times New Roman" w:hAnsi="Times New Roman" w:cs="Times New Roman"/>
          <w:color w:val="000000"/>
          <w:spacing w:val="0"/>
          <w:w w:val="100"/>
          <w:position w:val="0"/>
        </w:rPr>
        <w:t>25%</w:t>
      </w:r>
      <w:r>
        <w:rPr>
          <w:color w:val="000000"/>
          <w:spacing w:val="0"/>
          <w:w w:val="100"/>
          <w:position w:val="0"/>
        </w:rPr>
        <w:t>。公司实缴出资</w:t>
      </w:r>
      <w:r>
        <w:rPr>
          <w:rFonts w:ascii="Times New Roman" w:eastAsia="Times New Roman" w:hAnsi="Times New Roman" w:cs="Times New Roman"/>
          <w:color w:val="000000"/>
          <w:spacing w:val="0"/>
          <w:w w:val="100"/>
          <w:position w:val="0"/>
        </w:rPr>
        <w:t>16,135.20</w:t>
      </w:r>
      <w:r>
        <w:rPr>
          <w:color w:val="000000"/>
          <w:spacing w:val="0"/>
          <w:w w:val="100"/>
          <w:position w:val="0"/>
        </w:rPr>
        <w:t>万 元，占全体合伙人实缴出资总额的</w:t>
      </w:r>
      <w:r>
        <w:rPr>
          <w:rFonts w:ascii="Times New Roman" w:eastAsia="Times New Roman" w:hAnsi="Times New Roman" w:cs="Times New Roman"/>
          <w:color w:val="000000"/>
          <w:spacing w:val="0"/>
          <w:w w:val="100"/>
          <w:position w:val="0"/>
        </w:rPr>
        <w:t>94.16%</w:t>
      </w:r>
      <w:r>
        <w:rPr>
          <w:color w:val="000000"/>
          <w:spacing w:val="0"/>
          <w:w w:val="100"/>
          <w:position w:val="0"/>
        </w:rPr>
        <w:t>。合伙协议约定惠智网联取得的依法可分配现金，在扣除合伙费用后优先返还全 体合伙人实缴出资，然后将超额收益按实缴出资比例进行分配（有限合伙人实缴出资对应的超额收益部分的</w:t>
      </w:r>
      <w:r>
        <w:rPr>
          <w:rFonts w:ascii="Times New Roman" w:eastAsia="Times New Roman" w:hAnsi="Times New Roman" w:cs="Times New Roman"/>
          <w:color w:val="000000"/>
          <w:spacing w:val="0"/>
          <w:w w:val="100"/>
          <w:position w:val="0"/>
        </w:rPr>
        <w:t>20%</w:t>
      </w:r>
      <w:r>
        <w:rPr>
          <w:color w:val="000000"/>
          <w:spacing w:val="0"/>
          <w:w w:val="100"/>
          <w:position w:val="0"/>
        </w:rPr>
        <w:t>归普通合 伙人）。</w:t>
      </w:r>
    </w:p>
    <w:p>
      <w:pPr>
        <w:pStyle w:val="Style33"/>
        <w:keepNext w:val="0"/>
        <w:keepLines w:val="0"/>
        <w:widowControl w:val="0"/>
        <w:shd w:val="clear" w:color="auto" w:fill="auto"/>
        <w:bidi w:val="0"/>
        <w:spacing w:before="0" w:after="0" w:line="315"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33"/>
        <w:keepNext w:val="0"/>
        <w:keepLines w:val="0"/>
        <w:widowControl w:val="0"/>
        <w:shd w:val="clear" w:color="auto" w:fill="auto"/>
        <w:bidi w:val="0"/>
        <w:spacing w:before="0" w:after="380" w:line="312" w:lineRule="exact"/>
        <w:ind w:left="0" w:right="0"/>
        <w:jc w:val="both"/>
      </w:pPr>
      <w:r>
        <w:rPr>
          <w:color w:val="000000"/>
          <w:spacing w:val="0"/>
          <w:w w:val="100"/>
          <w:position w:val="0"/>
        </w:rPr>
        <w:t>公司是真机智能研发和设计的无人配送机器人及其他智能机器人的唯一生产制造商。由于该交易行为在一定程度上会 对真机智能的日常生产经营决策产生重大影响，具有重要性，因此采用权益法核算。</w:t>
      </w:r>
    </w:p>
    <w:p>
      <w:pPr>
        <w:pStyle w:val="Style37"/>
        <w:keepNext/>
        <w:keepLines/>
        <w:widowControl w:val="0"/>
        <w:shd w:val="clear" w:color="auto" w:fill="auto"/>
        <w:bidi w:val="0"/>
        <w:spacing w:before="0" w:after="380" w:line="240" w:lineRule="auto"/>
        <w:ind w:left="0" w:right="0" w:firstLine="0"/>
        <w:jc w:val="left"/>
      </w:pPr>
      <w:bookmarkStart w:id="1532" w:name="bookmark1532"/>
      <w:bookmarkStart w:id="1533" w:name="bookmark1533"/>
      <w:bookmarkStart w:id="1534" w:name="bookmark15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532"/>
      <w:bookmarkEnd w:id="1533"/>
      <w:bookmarkEnd w:id="153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3,388,507.18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2,160,115.01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13,016.83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27,216.93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3,401,524.01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2,187,331.94</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435,033.39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1,058,873.77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435,033.39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1,058,873.77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2,966,490.62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1,128,458.17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9,668,179.87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5,992,475.00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4,147,335.61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524,757.30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-2,161,967.55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-4,684,136.12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-2,161,967.55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-4,684,136.12</w:t>
            </w:r>
          </w:p>
        </w:tc>
      </w:tr>
    </w:tbl>
    <w:p>
      <w:pPr>
        <w:widowControl w:val="0"/>
        <w:spacing w:after="7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以上为真机智能的主要财务信息。</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以下为永耀惠程的主要财务信息:</w:t>
      </w:r>
    </w:p>
    <w:p>
      <w:pPr>
        <w:pStyle w:val="Style31"/>
        <w:keepNext w:val="0"/>
        <w:keepLines w:val="0"/>
        <w:widowControl w:val="0"/>
        <w:shd w:val="clear" w:color="auto" w:fill="auto"/>
        <w:bidi w:val="0"/>
        <w:spacing w:before="0" w:after="0" w:line="240" w:lineRule="auto"/>
        <w:ind w:left="7848" w:right="0" w:firstLine="0"/>
        <w:jc w:val="left"/>
      </w:pPr>
      <w:r>
        <w:rPr>
          <w:color w:val="000000"/>
          <w:spacing w:val="0"/>
          <w:w w:val="100"/>
          <w:position w:val="0"/>
        </w:rPr>
        <w:t>单位：元</w:t>
      </w:r>
    </w:p>
    <w:tbl>
      <w:tblPr>
        <w:tblOverlap w:val="never"/>
        <w:jc w:val="center"/>
        <w:tblLayout w:type="fixed"/>
      </w:tblPr>
      <w:tblGrid>
        <w:gridCol w:w="3850"/>
        <w:gridCol w:w="2894"/>
        <w:gridCol w:w="2904"/>
      </w:tblGrid>
      <w:tr>
        <w:trPr>
          <w:trHeight w:val="350" w:hRule="exact"/>
        </w:trPr>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C0C0C0"/>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658" w:hRule="exact"/>
        </w:trPr>
        <w:tc>
          <w:tcPr>
            <w:tcBorders>
              <w:top w:val="single" w:sz="4"/>
              <w:left w:val="single" w:sz="4"/>
            </w:tcBorders>
            <w:shd w:val="clear" w:color="auto" w:fill="C0C0C0"/>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10,074,958.27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18,642,467.81</w:t>
            </w:r>
          </w:p>
        </w:tc>
      </w:tr>
      <w:tr>
        <w:trPr>
          <w:trHeight w:val="662" w:hRule="exact"/>
        </w:trPr>
        <w:tc>
          <w:tcPr>
            <w:tcBorders>
              <w:top w:val="single" w:sz="4"/>
              <w:left w:val="single" w:sz="4"/>
            </w:tcBorders>
            <w:shd w:val="clear" w:color="auto" w:fill="C0C0C0"/>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56,664.99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138,764.55</w:t>
            </w:r>
          </w:p>
        </w:tc>
      </w:tr>
      <w:tr>
        <w:trPr>
          <w:trHeight w:val="658" w:hRule="exact"/>
        </w:trPr>
        <w:tc>
          <w:tcPr>
            <w:tcBorders>
              <w:top w:val="single" w:sz="4"/>
              <w:left w:val="single" w:sz="4"/>
            </w:tcBorders>
            <w:shd w:val="clear" w:color="auto" w:fill="C0C0C0"/>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10,131,623.26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18,781,232.36</w:t>
            </w:r>
          </w:p>
        </w:tc>
      </w:tr>
      <w:tr>
        <w:trPr>
          <w:trHeight w:val="658" w:hRule="exact"/>
        </w:trPr>
        <w:tc>
          <w:tcPr>
            <w:tcBorders>
              <w:top w:val="single" w:sz="4"/>
              <w:left w:val="single" w:sz="4"/>
            </w:tcBorders>
            <w:shd w:val="clear" w:color="auto" w:fill="C0C0C0"/>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20" w:right="0" w:firstLine="0"/>
              <w:jc w:val="left"/>
              <w:rPr>
                <w:sz w:val="20"/>
                <w:szCs w:val="20"/>
              </w:rPr>
            </w:pPr>
            <w:r>
              <w:rPr>
                <w:rFonts w:ascii="Times New Roman" w:eastAsia="Times New Roman" w:hAnsi="Times New Roman" w:cs="Times New Roman"/>
                <w:color w:val="000000"/>
                <w:spacing w:val="0"/>
                <w:w w:val="100"/>
                <w:position w:val="0"/>
                <w:sz w:val="20"/>
                <w:szCs w:val="20"/>
              </w:rPr>
              <w:t>1,399,434.98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10,690,475.57</w:t>
            </w:r>
          </w:p>
        </w:tc>
      </w:tr>
      <w:tr>
        <w:trPr>
          <w:trHeight w:val="346" w:hRule="exact"/>
        </w:trPr>
        <w:tc>
          <w:tcPr>
            <w:tcBorders>
              <w:top w:val="single" w:sz="4"/>
              <w:left w:val="single" w:sz="4"/>
            </w:tcBorders>
            <w:shd w:val="clear" w:color="auto" w:fill="C0C0C0"/>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C0C0C0"/>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1,399,434.98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10,690,475.57</w:t>
            </w:r>
          </w:p>
        </w:tc>
      </w:tr>
      <w:tr>
        <w:trPr>
          <w:trHeight w:val="658" w:hRule="exact"/>
        </w:trPr>
        <w:tc>
          <w:tcPr>
            <w:tcBorders>
              <w:top w:val="single" w:sz="4"/>
              <w:left w:val="single" w:sz="4"/>
            </w:tcBorders>
            <w:shd w:val="clear" w:color="auto" w:fill="C0C0C0"/>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8,732,188.28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8,090,756.79</w:t>
            </w:r>
          </w:p>
        </w:tc>
      </w:tr>
      <w:tr>
        <w:trPr>
          <w:trHeight w:val="658" w:hRule="exact"/>
        </w:trPr>
        <w:tc>
          <w:tcPr>
            <w:tcBorders>
              <w:top w:val="single" w:sz="4"/>
              <w:left w:val="single" w:sz="4"/>
            </w:tcBorders>
            <w:shd w:val="clear" w:color="auto" w:fill="C0C0C0"/>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3,492,875.31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3,236,302.71</w:t>
            </w:r>
          </w:p>
        </w:tc>
      </w:tr>
      <w:tr>
        <w:trPr>
          <w:trHeight w:val="662" w:hRule="exact"/>
        </w:trPr>
        <w:tc>
          <w:tcPr>
            <w:tcBorders>
              <w:top w:val="single" w:sz="4"/>
              <w:left w:val="single" w:sz="4"/>
            </w:tcBorders>
            <w:shd w:val="clear" w:color="auto" w:fill="C0C0C0"/>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11,962,856.04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26,537,810.78</w:t>
            </w:r>
          </w:p>
        </w:tc>
      </w:tr>
      <w:tr>
        <w:trPr>
          <w:trHeight w:val="658" w:hRule="exact"/>
        </w:trPr>
        <w:tc>
          <w:tcPr>
            <w:tcBorders>
              <w:top w:val="single" w:sz="4"/>
              <w:left w:val="single" w:sz="4"/>
            </w:tcBorders>
            <w:shd w:val="clear" w:color="auto" w:fill="C0C0C0"/>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641,431.49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315,286.61</w:t>
            </w:r>
          </w:p>
        </w:tc>
      </w:tr>
      <w:tr>
        <w:trPr>
          <w:trHeight w:val="346" w:hRule="exact"/>
        </w:trPr>
        <w:tc>
          <w:tcPr>
            <w:tcBorders>
              <w:top w:val="single" w:sz="4"/>
              <w:left w:val="single" w:sz="4"/>
            </w:tcBorders>
            <w:shd w:val="clear" w:color="auto" w:fill="C0C0C0"/>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C0C0C0"/>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641,431.49</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315,286.61</w:t>
            </w:r>
          </w:p>
        </w:tc>
      </w:tr>
    </w:tbl>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以下为惠智网联的主要财务信息:</w:t>
      </w:r>
    </w:p>
    <w:p>
      <w:pPr>
        <w:widowControl w:val="0"/>
        <w:spacing w:after="79" w:line="1" w:lineRule="exact"/>
      </w:pPr>
    </w:p>
    <w:p>
      <w:pPr>
        <w:pStyle w:val="Style31"/>
        <w:keepNext w:val="0"/>
        <w:keepLines w:val="0"/>
        <w:widowControl w:val="0"/>
        <w:shd w:val="clear" w:color="auto" w:fill="auto"/>
        <w:bidi w:val="0"/>
        <w:spacing w:before="0" w:after="0" w:line="240" w:lineRule="auto"/>
        <w:ind w:left="7704" w:right="0" w:firstLine="0"/>
        <w:jc w:val="left"/>
      </w:pPr>
      <w:r>
        <w:rPr>
          <w:color w:val="000000"/>
          <w:spacing w:val="0"/>
          <w:w w:val="100"/>
          <w:position w:val="0"/>
        </w:rPr>
        <w:t>单位：元</w:t>
      </w:r>
    </w:p>
    <w:tbl>
      <w:tblPr>
        <w:tblOverlap w:val="never"/>
        <w:jc w:val="center"/>
        <w:tblLayout w:type="fixed"/>
      </w:tblPr>
      <w:tblGrid>
        <w:gridCol w:w="3696"/>
        <w:gridCol w:w="2971"/>
        <w:gridCol w:w="2981"/>
      </w:tblGrid>
      <w:tr>
        <w:trPr>
          <w:trHeight w:val="350" w:hRule="exact"/>
        </w:trPr>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C0C0C0"/>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346" w:hRule="exact"/>
        </w:trPr>
        <w:tc>
          <w:tcPr>
            <w:tcBorders>
              <w:top w:val="single" w:sz="4"/>
              <w:left w:val="single" w:sz="4"/>
            </w:tcBorders>
            <w:shd w:val="clear" w:color="auto" w:fill="C0C0C0"/>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141,904,116.76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161,350,071.55</w:t>
            </w:r>
          </w:p>
        </w:tc>
      </w:tr>
      <w:tr>
        <w:trPr>
          <w:trHeight w:val="350" w:hRule="exact"/>
        </w:trPr>
        <w:tc>
          <w:tcPr>
            <w:tcBorders>
              <w:top w:val="single" w:sz="4"/>
              <w:left w:val="single" w:sz="4"/>
            </w:tcBorders>
            <w:shd w:val="clear" w:color="auto" w:fill="C0C0C0"/>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C0C0C0"/>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141,904,116.76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161,350,071.55</w:t>
            </w:r>
          </w:p>
        </w:tc>
      </w:tr>
    </w:tbl>
    <w:tbl>
      <w:tblPr>
        <w:tblOverlap w:val="never"/>
        <w:jc w:val="center"/>
        <w:tblLayout w:type="fixed"/>
      </w:tblPr>
      <w:tblGrid>
        <w:gridCol w:w="3696"/>
        <w:gridCol w:w="2971"/>
        <w:gridCol w:w="2981"/>
      </w:tblGrid>
      <w:tr>
        <w:trPr>
          <w:trHeight w:val="350" w:hRule="exact"/>
        </w:trPr>
        <w:tc>
          <w:tcPr>
            <w:tcBorders>
              <w:top w:val="single" w:sz="4"/>
              <w:left w:val="single" w:sz="4"/>
            </w:tcBorders>
            <w:shd w:val="clear" w:color="auto" w:fill="C0C0C0"/>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rPr>
                <w:sz w:val="20"/>
                <w:szCs w:val="20"/>
              </w:rPr>
            </w:pPr>
            <w:r>
              <w:rPr>
                <w:rFonts w:ascii="Times New Roman" w:eastAsia="Times New Roman" w:hAnsi="Times New Roman" w:cs="Times New Roman"/>
                <w:color w:val="000000"/>
                <w:spacing w:val="0"/>
                <w:w w:val="100"/>
                <w:position w:val="0"/>
                <w:sz w:val="20"/>
                <w:szCs w:val="20"/>
              </w:rPr>
              <w:t>6,067,100.33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C0C0C0"/>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C0C0C0"/>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rPr>
                <w:sz w:val="20"/>
                <w:szCs w:val="20"/>
              </w:rPr>
            </w:pPr>
            <w:r>
              <w:rPr>
                <w:rFonts w:ascii="Times New Roman" w:eastAsia="Times New Roman" w:hAnsi="Times New Roman" w:cs="Times New Roman"/>
                <w:color w:val="000000"/>
                <w:spacing w:val="0"/>
                <w:w w:val="100"/>
                <w:position w:val="0"/>
                <w:sz w:val="20"/>
                <w:szCs w:val="20"/>
              </w:rPr>
              <w:t>6,067,100.33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C0C0C0"/>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135,837,016.43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161,350,071.55</w:t>
            </w:r>
          </w:p>
        </w:tc>
      </w:tr>
      <w:tr>
        <w:trPr>
          <w:trHeight w:val="346" w:hRule="exact"/>
        </w:trPr>
        <w:tc>
          <w:tcPr>
            <w:tcBorders>
              <w:top w:val="single" w:sz="4"/>
              <w:left w:val="single" w:sz="4"/>
            </w:tcBorders>
            <w:shd w:val="clear" w:color="auto" w:fill="C0C0C0"/>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rPr>
                <w:sz w:val="20"/>
                <w:szCs w:val="20"/>
              </w:rPr>
            </w:pPr>
            <w:r>
              <w:rPr>
                <w:rFonts w:ascii="Times New Roman" w:eastAsia="Times New Roman" w:hAnsi="Times New Roman" w:cs="Times New Roman"/>
                <w:color w:val="000000"/>
                <w:spacing w:val="0"/>
                <w:w w:val="100"/>
                <w:position w:val="0"/>
                <w:sz w:val="20"/>
                <w:szCs w:val="20"/>
              </w:rPr>
              <w:t>7,546,987.06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161,351,517.89</w:t>
            </w:r>
          </w:p>
        </w:tc>
      </w:tr>
      <w:tr>
        <w:trPr>
          <w:trHeight w:val="346" w:hRule="exact"/>
        </w:trPr>
        <w:tc>
          <w:tcPr>
            <w:tcBorders>
              <w:top w:val="single" w:sz="4"/>
              <w:left w:val="single" w:sz="4"/>
            </w:tcBorders>
            <w:shd w:val="clear" w:color="auto" w:fill="C0C0C0"/>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C0C0C0"/>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13,780,711.88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5,835.15</w:t>
            </w:r>
          </w:p>
        </w:tc>
      </w:tr>
      <w:tr>
        <w:trPr>
          <w:trHeight w:val="346" w:hRule="exact"/>
        </w:trPr>
        <w:tc>
          <w:tcPr>
            <w:tcBorders>
              <w:top w:val="single" w:sz="4"/>
              <w:left w:val="single" w:sz="4"/>
            </w:tcBorders>
            <w:shd w:val="clear" w:color="auto" w:fill="C0C0C0"/>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C0C0C0"/>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13,780,711.88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5,835.15</w:t>
            </w:r>
          </w:p>
        </w:tc>
      </w:tr>
    </w:tbl>
    <w:p>
      <w:pPr>
        <w:widowControl w:val="0"/>
        <w:spacing w:after="619" w:line="1" w:lineRule="exact"/>
      </w:pPr>
    </w:p>
    <w:p>
      <w:pPr>
        <w:pStyle w:val="Style29"/>
        <w:keepNext/>
        <w:keepLines/>
        <w:widowControl w:val="0"/>
        <w:shd w:val="clear" w:color="auto" w:fill="auto"/>
        <w:bidi w:val="0"/>
        <w:spacing w:before="0" w:after="240" w:line="240" w:lineRule="auto"/>
        <w:ind w:left="0" w:right="0" w:firstLine="0"/>
        <w:jc w:val="left"/>
      </w:pPr>
      <w:bookmarkStart w:id="1535" w:name="bookmark1535"/>
      <w:bookmarkStart w:id="1536" w:name="bookmark1536"/>
      <w:bookmarkStart w:id="1537" w:name="bookmark1537"/>
      <w:r>
        <w:rPr>
          <w:color w:val="000000"/>
          <w:spacing w:val="0"/>
          <w:w w:val="100"/>
          <w:position w:val="0"/>
          <w:sz w:val="24"/>
          <w:szCs w:val="24"/>
        </w:rPr>
        <w:t>十、与金融工具相关的风险</w:t>
      </w:r>
      <w:bookmarkEnd w:id="1535"/>
      <w:bookmarkEnd w:id="1536"/>
      <w:bookmarkEnd w:id="1537"/>
    </w:p>
    <w:p>
      <w:pPr>
        <w:pStyle w:val="Style3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本公司在经营过程中面临各种金融风险：信用风险、市场风险和流动性风险。公司董事会全面负责风险管理目标和政策 的确定，并对风险管理目标和政策承担最终责任，但是董事会已授权本公司战略部门设计和实施能够确保风险管理目标和政 策得以有效执行的程序。本公司的内部审计师审查风险管理的政策和程序，并且将有关发现汇报给审计委员会。</w:t>
      </w:r>
    </w:p>
    <w:p>
      <w:pPr>
        <w:pStyle w:val="Style33"/>
        <w:keepNext w:val="0"/>
        <w:keepLines w:val="0"/>
        <w:widowControl w:val="0"/>
        <w:shd w:val="clear" w:color="auto" w:fill="auto"/>
        <w:bidi w:val="0"/>
        <w:spacing w:before="0" w:after="140" w:line="314" w:lineRule="exact"/>
        <w:ind w:left="0" w:right="0" w:firstLine="360"/>
        <w:jc w:val="both"/>
      </w:pPr>
      <w:r>
        <w:rPr>
          <w:color w:val="000000"/>
          <w:spacing w:val="0"/>
          <w:w w:val="100"/>
          <w:position w:val="0"/>
        </w:rPr>
        <w:t>本公司风险管理的总体目标是在不过度影响公司竞争力和应变力的情况下，制定尽可能降低风险的风险管理政策。</w:t>
      </w:r>
    </w:p>
    <w:p>
      <w:pPr>
        <w:pStyle w:val="Style33"/>
        <w:keepNext w:val="0"/>
        <w:keepLines w:val="0"/>
        <w:widowControl w:val="0"/>
        <w:shd w:val="clear" w:color="auto" w:fill="auto"/>
        <w:tabs>
          <w:tab w:pos="752" w:val="left"/>
        </w:tabs>
        <w:bidi w:val="0"/>
        <w:spacing w:before="0" w:after="0"/>
        <w:ind w:left="0" w:right="0" w:firstLine="360"/>
        <w:jc w:val="both"/>
      </w:pPr>
      <w:bookmarkStart w:id="1538" w:name="bookmark1538"/>
      <w:r>
        <w:rPr>
          <w:rFonts w:ascii="Times New Roman" w:eastAsia="Times New Roman" w:hAnsi="Times New Roman" w:cs="Times New Roman"/>
          <w:color w:val="000000"/>
          <w:spacing w:val="0"/>
          <w:w w:val="100"/>
          <w:position w:val="0"/>
        </w:rPr>
        <w:t>1</w:t>
      </w:r>
      <w:bookmarkEnd w:id="1538"/>
      <w:r>
        <w:rPr>
          <w:color w:val="000000"/>
          <w:spacing w:val="0"/>
          <w:w w:val="100"/>
          <w:position w:val="0"/>
        </w:rPr>
        <w:t>、</w:t>
        <w:tab/>
        <w:t>信用风险</w:t>
      </w:r>
    </w:p>
    <w:p>
      <w:pPr>
        <w:pStyle w:val="Style33"/>
        <w:keepNext w:val="0"/>
        <w:keepLines w:val="0"/>
        <w:widowControl w:val="0"/>
        <w:shd w:val="clear" w:color="auto" w:fill="auto"/>
        <w:bidi w:val="0"/>
        <w:spacing w:before="0" w:after="0" w:line="310" w:lineRule="exact"/>
        <w:ind w:left="0" w:right="0" w:firstLine="360"/>
        <w:jc w:val="both"/>
      </w:pPr>
      <w:r>
        <w:rPr>
          <w:color w:val="000000"/>
          <w:spacing w:val="0"/>
          <w:w w:val="100"/>
          <w:position w:val="0"/>
        </w:rPr>
        <w:t>信用风险是指金融工具的一方不履行义务，造成另一方发生财务损失的风险。本公司主要面临赊销导致的客户信用风 险。在签订新合同之前，本公司会对新客户的信用风险进行评估，包括外部信用评级和在某些情况下的银行资信证明（当此 信息可获取时）。</w:t>
      </w:r>
    </w:p>
    <w:p>
      <w:pPr>
        <w:pStyle w:val="Style33"/>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公司通过对已有客户信用评级的季度监控以及应收账款账龄分析的月度审核来确保公司的整体信用风险在可控的范围 内。在监控客户的信用风险时，按照客户的信用特征对其分组。被评为</w:t>
      </w:r>
      <w:r>
        <w:rPr>
          <w:rFonts w:ascii="Times New Roman" w:eastAsia="Times New Roman" w:hAnsi="Times New Roman" w:cs="Times New Roman"/>
          <w:color w:val="000000"/>
          <w:spacing w:val="0"/>
          <w:w w:val="100"/>
          <w:position w:val="0"/>
        </w:rPr>
        <w:t>“</w:t>
      </w:r>
      <w:r>
        <w:rPr>
          <w:color w:val="000000"/>
          <w:spacing w:val="0"/>
          <w:w w:val="100"/>
          <w:position w:val="0"/>
        </w:rPr>
        <w:t>高风险</w:t>
      </w:r>
      <w:r>
        <w:rPr>
          <w:rFonts w:ascii="Times New Roman" w:eastAsia="Times New Roman" w:hAnsi="Times New Roman" w:cs="Times New Roman"/>
          <w:color w:val="000000"/>
          <w:spacing w:val="0"/>
          <w:w w:val="100"/>
          <w:position w:val="0"/>
        </w:rPr>
        <w:t>”</w:t>
      </w:r>
      <w:r>
        <w:rPr>
          <w:color w:val="000000"/>
          <w:spacing w:val="0"/>
          <w:w w:val="100"/>
          <w:position w:val="0"/>
        </w:rPr>
        <w:t>级别的客户会放在受限制客户名单里，并且 只有在额外批准的前提下，公司才可在未来期间内对其赊销，否则必须要求其提前支付相应款项。</w:t>
      </w:r>
    </w:p>
    <w:p>
      <w:pPr>
        <w:pStyle w:val="Style33"/>
        <w:keepNext w:val="0"/>
        <w:keepLines w:val="0"/>
        <w:widowControl w:val="0"/>
        <w:shd w:val="clear" w:color="auto" w:fill="auto"/>
        <w:tabs>
          <w:tab w:pos="771" w:val="left"/>
        </w:tabs>
        <w:bidi w:val="0"/>
        <w:spacing w:before="0" w:after="0"/>
        <w:ind w:left="0" w:right="0" w:firstLine="360"/>
        <w:jc w:val="both"/>
      </w:pPr>
      <w:bookmarkStart w:id="1539" w:name="bookmark1539"/>
      <w:r>
        <w:rPr>
          <w:rFonts w:ascii="Times New Roman" w:eastAsia="Times New Roman" w:hAnsi="Times New Roman" w:cs="Times New Roman"/>
          <w:color w:val="000000"/>
          <w:spacing w:val="0"/>
          <w:w w:val="100"/>
          <w:position w:val="0"/>
        </w:rPr>
        <w:t>2</w:t>
      </w:r>
      <w:bookmarkEnd w:id="1539"/>
      <w:r>
        <w:rPr>
          <w:color w:val="000000"/>
          <w:spacing w:val="0"/>
          <w:w w:val="100"/>
          <w:position w:val="0"/>
        </w:rPr>
        <w:t>、</w:t>
        <w:tab/>
        <w:t>市场风险</w:t>
      </w:r>
    </w:p>
    <w:p>
      <w:pPr>
        <w:pStyle w:val="Style3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金融工具的市场风险，是指金融工具的公允价值或未来现金流量因市场价格变动而发生波动的风险，包括汇率风险、利 率风险和其他价格风险。</w:t>
      </w:r>
    </w:p>
    <w:p>
      <w:pPr>
        <w:pStyle w:val="Style33"/>
        <w:keepNext w:val="0"/>
        <w:keepLines w:val="0"/>
        <w:widowControl w:val="0"/>
        <w:shd w:val="clear" w:color="auto" w:fill="auto"/>
        <w:tabs>
          <w:tab w:pos="730" w:val="left"/>
        </w:tabs>
        <w:bidi w:val="0"/>
        <w:spacing w:before="0" w:after="0" w:line="314" w:lineRule="exact"/>
        <w:ind w:left="0" w:right="0" w:firstLine="300"/>
        <w:jc w:val="both"/>
      </w:pPr>
      <w:bookmarkStart w:id="1540" w:name="bookmark1540"/>
      <w:r>
        <w:rPr>
          <w:color w:val="000000"/>
          <w:spacing w:val="0"/>
          <w:w w:val="100"/>
          <w:position w:val="0"/>
        </w:rPr>
        <w:t>（</w:t>
      </w:r>
      <w:bookmarkEnd w:id="1540"/>
      <w:r>
        <w:rPr>
          <w:rFonts w:ascii="Times New Roman" w:eastAsia="Times New Roman" w:hAnsi="Times New Roman" w:cs="Times New Roman"/>
          <w:color w:val="000000"/>
          <w:spacing w:val="0"/>
          <w:w w:val="100"/>
          <w:position w:val="0"/>
        </w:rPr>
        <w:t>1</w:t>
      </w:r>
      <w:r>
        <w:rPr>
          <w:color w:val="000000"/>
          <w:spacing w:val="0"/>
          <w:w w:val="100"/>
          <w:position w:val="0"/>
        </w:rPr>
        <w:t>）</w:t>
        <w:tab/>
        <w:t>利率风险</w:t>
      </w:r>
    </w:p>
    <w:p>
      <w:pPr>
        <w:pStyle w:val="Style33"/>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利率风险，是指金融工具的公允价值或未来现金流量因市场利率变动而发生波动的风险。本公司面临的利率风险主要来 源于银行短期借款。公司目前短期借款是固定利率借款，因此不存在利率风险。</w:t>
      </w:r>
    </w:p>
    <w:p>
      <w:pPr>
        <w:pStyle w:val="Style33"/>
        <w:keepNext w:val="0"/>
        <w:keepLines w:val="0"/>
        <w:widowControl w:val="0"/>
        <w:shd w:val="clear" w:color="auto" w:fill="auto"/>
        <w:tabs>
          <w:tab w:pos="730" w:val="left"/>
        </w:tabs>
        <w:bidi w:val="0"/>
        <w:spacing w:before="0" w:after="0" w:line="317" w:lineRule="exact"/>
        <w:ind w:left="0" w:right="0" w:firstLine="300"/>
        <w:jc w:val="both"/>
      </w:pPr>
      <w:bookmarkStart w:id="1541" w:name="bookmark1541"/>
      <w:r>
        <w:rPr>
          <w:color w:val="000000"/>
          <w:spacing w:val="0"/>
          <w:w w:val="100"/>
          <w:position w:val="0"/>
        </w:rPr>
        <w:t>（</w:t>
      </w:r>
      <w:bookmarkEnd w:id="1541"/>
      <w:r>
        <w:rPr>
          <w:rFonts w:ascii="Times New Roman" w:eastAsia="Times New Roman" w:hAnsi="Times New Roman" w:cs="Times New Roman"/>
          <w:color w:val="000000"/>
          <w:spacing w:val="0"/>
          <w:w w:val="100"/>
          <w:position w:val="0"/>
        </w:rPr>
        <w:t>2</w:t>
      </w:r>
      <w:r>
        <w:rPr>
          <w:color w:val="000000"/>
          <w:spacing w:val="0"/>
          <w:w w:val="100"/>
          <w:position w:val="0"/>
        </w:rPr>
        <w:t>）</w:t>
        <w:tab/>
        <w:t>汇率风险</w:t>
      </w:r>
    </w:p>
    <w:p>
      <w:pPr>
        <w:pStyle w:val="Style33"/>
        <w:keepNext w:val="0"/>
        <w:keepLines w:val="0"/>
        <w:widowControl w:val="0"/>
        <w:shd w:val="clear" w:color="auto" w:fill="auto"/>
        <w:bidi w:val="0"/>
        <w:spacing w:before="0" w:after="0" w:line="314" w:lineRule="exact"/>
        <w:ind w:left="0" w:right="0" w:firstLine="360"/>
        <w:jc w:val="both"/>
        <w:sectPr>
          <w:headerReference w:type="default" r:id="rId45"/>
          <w:footerReference w:type="default" r:id="rId46"/>
          <w:footnotePr>
            <w:pos w:val="pageBottom"/>
            <w:numFmt w:val="decimal"/>
            <w:numRestart w:val="continuous"/>
          </w:footnotePr>
          <w:pgSz w:w="11900" w:h="16840"/>
          <w:pgMar w:top="1441" w:right="1108" w:bottom="1571" w:left="1105" w:header="0" w:footer="3" w:gutter="0"/>
          <w:cols w:space="720"/>
          <w:noEndnote/>
          <w:rtlGutter w:val="0"/>
          <w:docGrid w:linePitch="360"/>
        </w:sectPr>
      </w:pPr>
      <w:r>
        <w:rPr>
          <w:color w:val="000000"/>
          <w:spacing w:val="0"/>
          <w:w w:val="100"/>
          <w:position w:val="0"/>
        </w:rPr>
        <w:t>汇率风险，是指金融工具的公允价值或未来现金流量因外汇汇率变动而发生波动的风险。本公司尽可能将外币收入与外 币支出相匹配以降低汇率风险。本公司未签署任何远期外汇合约或货币互换合约。本公司以美元计价的金融资产和金融负债 金额较小，因此不存在重大汇率风。</w:t>
      </w:r>
    </w:p>
    <w:p>
      <w:pPr>
        <w:pStyle w:val="Style31"/>
        <w:keepNext w:val="0"/>
        <w:keepLines w:val="0"/>
        <w:widowControl w:val="0"/>
        <w:shd w:val="clear" w:color="auto" w:fill="auto"/>
        <w:bidi w:val="0"/>
        <w:spacing w:before="0" w:after="0" w:line="240" w:lineRule="auto"/>
        <w:ind w:left="6912" w:right="0" w:firstLine="0"/>
        <w:jc w:val="left"/>
      </w:pPr>
      <w:r>
        <w:rPr>
          <w:color w:val="000000"/>
          <w:spacing w:val="0"/>
          <w:w w:val="100"/>
          <w:position w:val="0"/>
        </w:rPr>
        <w:t>单位：人民币元</w:t>
      </w:r>
    </w:p>
    <w:tbl>
      <w:tblPr>
        <w:tblOverlap w:val="never"/>
        <w:jc w:val="center"/>
        <w:tblLayout w:type="fixed"/>
      </w:tblPr>
      <w:tblGrid>
        <w:gridCol w:w="1238"/>
        <w:gridCol w:w="1282"/>
        <w:gridCol w:w="1282"/>
        <w:gridCol w:w="984"/>
        <w:gridCol w:w="1406"/>
        <w:gridCol w:w="1406"/>
        <w:gridCol w:w="1282"/>
        <w:gridCol w:w="1286"/>
        <w:gridCol w:w="984"/>
        <w:gridCol w:w="1402"/>
        <w:gridCol w:w="1416"/>
      </w:tblGrid>
      <w:tr>
        <w:trPr>
          <w:trHeight w:val="355" w:hRule="exact"/>
        </w:trPr>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440"/>
              <w:jc w:val="left"/>
            </w:pPr>
            <w:r>
              <w:rPr>
                <w:color w:val="000000"/>
                <w:spacing w:val="0"/>
                <w:w w:val="100"/>
                <w:position w:val="0"/>
              </w:rPr>
              <w:t>项目</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日元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欧元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港币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520" w:firstLine="0"/>
              <w:jc w:val="right"/>
            </w:pPr>
            <w:r>
              <w:rPr>
                <w:color w:val="000000"/>
                <w:spacing w:val="0"/>
                <w:w w:val="100"/>
                <w:position w:val="0"/>
              </w:rPr>
              <w:t>日元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520" w:firstLine="0"/>
              <w:jc w:val="right"/>
            </w:pPr>
            <w:r>
              <w:rPr>
                <w:color w:val="000000"/>
                <w:spacing w:val="0"/>
                <w:w w:val="100"/>
                <w:position w:val="0"/>
              </w:rPr>
              <w:t>合计</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4,124,618.64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1,649,899.31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35,267.53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14,991,137.00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20,800,922.48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1,771,348.85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984,272.11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48,033.40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15,250,892.19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18,054,546.55</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564,602.04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284,670.83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849,272.87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325,395.01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619,901.94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945,296.95</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16,820.78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16,820.78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545,350.17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545,350.17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35,952.25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35,952.25</w:t>
            </w:r>
          </w:p>
        </w:tc>
      </w:tr>
      <w:tr>
        <w:trPr>
          <w:trHeight w:val="44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4,689,220.68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1,934,570.14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35,267.53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15,553,307.95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22,212,366.30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2,096,743.86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1,604,174.05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48,033.40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15,286,844.44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19,035,795.75</w:t>
            </w:r>
          </w:p>
        </w:tc>
      </w:tr>
    </w:tbl>
    <w:p>
      <w:pPr>
        <w:pStyle w:val="Style31"/>
        <w:keepNext w:val="0"/>
        <w:keepLines w:val="0"/>
        <w:widowControl w:val="0"/>
        <w:shd w:val="clear" w:color="auto" w:fill="auto"/>
        <w:bidi w:val="0"/>
        <w:spacing w:before="0" w:after="0" w:line="240" w:lineRule="auto"/>
        <w:ind w:left="82"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)流动性风险</w:t>
      </w:r>
    </w:p>
    <w:p>
      <w:pPr>
        <w:widowControl w:val="0"/>
        <w:spacing w:after="119" w:line="1" w:lineRule="exact"/>
      </w:pPr>
    </w:p>
    <w:p>
      <w:pPr>
        <w:pStyle w:val="Style33"/>
        <w:keepNext w:val="0"/>
        <w:keepLines w:val="0"/>
        <w:widowControl w:val="0"/>
        <w:shd w:val="clear" w:color="auto" w:fill="auto"/>
        <w:bidi w:val="0"/>
        <w:spacing w:before="0" w:after="0" w:line="240" w:lineRule="auto"/>
        <w:ind w:left="0" w:right="0" w:firstLine="300"/>
        <w:jc w:val="both"/>
      </w:pPr>
      <w:r>
        <w:rPr>
          <w:color w:val="000000"/>
          <w:spacing w:val="0"/>
          <w:w w:val="100"/>
          <w:position w:val="0"/>
        </w:rPr>
        <w:t>流动风险，是指企业在履行以交付现金或其他金融资产的方式结算的义务时发生资金短缺的风险。本公司的政策是确保拥有充足的现金以偿还到期债务。流动性风险由本公</w:t>
      </w:r>
    </w:p>
    <w:p>
      <w:pPr>
        <w:pStyle w:val="Style33"/>
        <w:keepNext w:val="0"/>
        <w:keepLines w:val="0"/>
        <w:widowControl w:val="0"/>
        <w:shd w:val="clear" w:color="auto" w:fill="auto"/>
        <w:bidi w:val="0"/>
        <w:spacing w:before="0" w:after="120" w:line="355" w:lineRule="exact"/>
        <w:ind w:left="300" w:right="0" w:hanging="300"/>
        <w:jc w:val="left"/>
      </w:pPr>
      <w:r>
        <w:rPr>
          <w:color w:val="000000"/>
          <w:spacing w:val="0"/>
          <w:w w:val="100"/>
          <w:position w:val="0"/>
        </w:rPr>
        <w:t>司的财务部门集中控制。财务部门通过监控现金余额、可随时变现的有价证券以及对未来现金流量的滚动预测，确保公司在所有合理预测的情况下拥有充足的资金偿还债务。 本公司各项金融负债以未折现的合同现金流量按到期日列示如下：</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单位：人民币元</w:t>
      </w:r>
    </w:p>
    <w:tbl>
      <w:tblPr>
        <w:tblOverlap w:val="never"/>
        <w:jc w:val="center"/>
        <w:tblLayout w:type="fixed"/>
      </w:tblPr>
      <w:tblGrid>
        <w:gridCol w:w="3283"/>
        <w:gridCol w:w="2674"/>
        <w:gridCol w:w="2150"/>
        <w:gridCol w:w="1910"/>
        <w:gridCol w:w="1934"/>
        <w:gridCol w:w="2016"/>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r>
              <w:rPr>
                <w:color w:val="000000"/>
                <w:spacing w:val="0"/>
                <w:w w:val="100"/>
                <w:position w:val="0"/>
              </w:rPr>
              <w:t>个月以内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142,277,974.80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142,277,974.80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38,312,793.17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38,312,793.17</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95,918,613.49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39,177,858.12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84,618,768.41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1,045,035.96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220,760,275.98</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13,156,155.79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13,156,155.79</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28,764,269.69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7,645,675.34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8,139,007.70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724,908.01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45,273,860.74</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100,461,866.26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100,461,866.26</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671,163.50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458,550,000.00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459,221,163.50</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319,100,970.44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147,285,399.72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551,307,776.11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1,769,943.97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1,019,464,090.24</w:t>
            </w:r>
          </w:p>
        </w:tc>
      </w:tr>
    </w:tbl>
    <w:p>
      <w:pPr>
        <w:sectPr>
          <w:headerReference w:type="default" r:id="rId47"/>
          <w:footerReference w:type="default" r:id="rId48"/>
          <w:footnotePr>
            <w:pos w:val="pageBottom"/>
            <w:numFmt w:val="decimal"/>
            <w:numRestart w:val="continuous"/>
          </w:footnotePr>
          <w:pgSz w:w="16840" w:h="11900" w:orient="landscape"/>
          <w:pgMar w:top="1172" w:right="1436" w:bottom="1172" w:left="1426" w:header="0" w:footer="3" w:gutter="0"/>
          <w:cols w:space="720"/>
          <w:noEndnote/>
          <w:rtlGutter w:val="0"/>
          <w:docGrid w:linePitch="360"/>
        </w:sectPr>
      </w:pPr>
    </w:p>
    <w:p>
      <w:pPr>
        <w:pStyle w:val="Style29"/>
        <w:keepNext/>
        <w:keepLines/>
        <w:widowControl w:val="0"/>
        <w:shd w:val="clear" w:color="auto" w:fill="auto"/>
        <w:bidi w:val="0"/>
        <w:spacing w:before="340" w:after="360" w:line="240" w:lineRule="auto"/>
        <w:ind w:left="0" w:right="0" w:firstLine="0"/>
        <w:jc w:val="left"/>
      </w:pPr>
      <w:bookmarkStart w:id="1542" w:name="bookmark1542"/>
      <w:bookmarkStart w:id="1543" w:name="bookmark1543"/>
      <w:bookmarkStart w:id="1544" w:name="bookmark1544"/>
      <w:r>
        <w:rPr>
          <w:color w:val="000000"/>
          <w:spacing w:val="0"/>
          <w:w w:val="100"/>
          <w:position w:val="0"/>
          <w:sz w:val="24"/>
          <w:szCs w:val="24"/>
        </w:rPr>
        <w:t>十一、公允价值的披露</w:t>
      </w:r>
      <w:bookmarkEnd w:id="1542"/>
      <w:bookmarkEnd w:id="1543"/>
      <w:bookmarkEnd w:id="1544"/>
    </w:p>
    <w:p>
      <w:pPr>
        <w:pStyle w:val="Style37"/>
        <w:keepNext/>
        <w:keepLines/>
        <w:widowControl w:val="0"/>
        <w:shd w:val="clear" w:color="auto" w:fill="auto"/>
        <w:bidi w:val="0"/>
        <w:spacing w:before="0" w:line="240" w:lineRule="auto"/>
        <w:ind w:left="0" w:right="0" w:firstLine="0"/>
        <w:jc w:val="left"/>
      </w:pPr>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45"/>
      <w:bookmarkEnd w:id="1546"/>
      <w:bookmarkEnd w:id="154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69"/>
        <w:gridCol w:w="1560"/>
        <w:gridCol w:w="1522"/>
        <w:gridCol w:w="1915"/>
        <w:gridCol w:w="192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 计量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第二层次公允价值 计量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76,568,291.68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66,940,000.00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143,508,291.68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151,726,800.00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151,726,800.00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151,726,800.00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151,726,800.00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持续以公允价值计量的资产总额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228,295,091.68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66,940,000.00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295,235,091.68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7"/>
        <w:keepNext/>
        <w:keepLines/>
        <w:widowControl w:val="0"/>
        <w:shd w:val="clear" w:color="auto" w:fill="auto"/>
        <w:tabs>
          <w:tab w:pos="378" w:val="left"/>
        </w:tabs>
        <w:bidi w:val="0"/>
        <w:spacing w:before="0" w:after="300" w:line="240" w:lineRule="auto"/>
        <w:ind w:left="0" w:right="0" w:firstLine="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2</w:t>
      </w:r>
      <w:bookmarkEnd w:id="1550"/>
      <w:r>
        <w:rPr>
          <w:color w:val="000000"/>
          <w:spacing w:val="0"/>
          <w:w w:val="100"/>
          <w:position w:val="0"/>
        </w:rPr>
        <w:t>、</w:t>
        <w:tab/>
        <w:t>持续和非持续第一层次公允价值计量项目市价的确定依据</w:t>
      </w:r>
      <w:bookmarkEnd w:id="1548"/>
      <w:bookmarkEnd w:id="1549"/>
      <w:bookmarkEnd w:id="1551"/>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第一层输入值是企业在计量日能够取得的相同资产或负债在活跃市场上未经调整的报价。活跃市场，是指相关资产或 负债交易量及交易量足以持续提供定价信息的市场。</w:t>
      </w:r>
    </w:p>
    <w:p>
      <w:pPr>
        <w:pStyle w:val="Style33"/>
        <w:keepNext w:val="0"/>
        <w:keepLines w:val="0"/>
        <w:widowControl w:val="0"/>
        <w:shd w:val="clear" w:color="auto" w:fill="auto"/>
        <w:bidi w:val="0"/>
        <w:spacing w:before="0" w:after="360" w:line="312" w:lineRule="exact"/>
        <w:ind w:left="0" w:right="0"/>
        <w:jc w:val="left"/>
      </w:pPr>
      <w:r>
        <w:rPr>
          <w:color w:val="000000"/>
          <w:spacing w:val="0"/>
          <w:w w:val="100"/>
          <w:position w:val="0"/>
        </w:rPr>
        <w:t>公司的交易性金融资产期末公允价值是基于上海证券交易所和深圳证券交易所</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日收盘价进行计量。</w:t>
      </w:r>
    </w:p>
    <w:p>
      <w:pPr>
        <w:pStyle w:val="Style37"/>
        <w:keepNext/>
        <w:keepLines/>
        <w:widowControl w:val="0"/>
        <w:shd w:val="clear" w:color="auto" w:fill="auto"/>
        <w:tabs>
          <w:tab w:pos="378" w:val="left"/>
        </w:tabs>
        <w:bidi w:val="0"/>
        <w:spacing w:before="0" w:after="30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3</w:t>
      </w:r>
      <w:bookmarkEnd w:id="1554"/>
      <w:r>
        <w:rPr>
          <w:color w:val="000000"/>
          <w:spacing w:val="0"/>
          <w:w w:val="100"/>
          <w:position w:val="0"/>
        </w:rPr>
        <w:t>、</w:t>
        <w:tab/>
        <w:t>持续和非持续第二层次公允价值计量项目，采用的估值技术和重要参数的定性及定量信息</w:t>
      </w:r>
      <w:bookmarkEnd w:id="1552"/>
      <w:bookmarkEnd w:id="1553"/>
      <w:bookmarkEnd w:id="1555"/>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第二层输入值是除第一层输入值外相关资产或负债直接或间接客户安插的输入值。对于具有特定期限</w:t>
      </w:r>
      <w:r>
        <w:rPr>
          <w:rFonts w:ascii="Times New Roman" w:eastAsia="Times New Roman" w:hAnsi="Times New Roman" w:cs="Times New Roman"/>
          <w:color w:val="000000"/>
          <w:spacing w:val="0"/>
          <w:w w:val="100"/>
          <w:position w:val="0"/>
        </w:rPr>
        <w:t>（</w:t>
      </w:r>
      <w:r>
        <w:rPr>
          <w:color w:val="000000"/>
          <w:spacing w:val="0"/>
          <w:w w:val="100"/>
          <w:position w:val="0"/>
        </w:rPr>
        <w:t>如合同期限</w:t>
      </w:r>
      <w:r>
        <w:rPr>
          <w:rFonts w:ascii="Times New Roman" w:eastAsia="Times New Roman" w:hAnsi="Times New Roman" w:cs="Times New Roman"/>
          <w:color w:val="000000"/>
          <w:spacing w:val="0"/>
          <w:w w:val="100"/>
          <w:position w:val="0"/>
        </w:rPr>
        <w:t>）</w:t>
      </w:r>
      <w:r>
        <w:rPr>
          <w:color w:val="000000"/>
          <w:spacing w:val="0"/>
          <w:w w:val="100"/>
          <w:position w:val="0"/>
        </w:rPr>
        <w:t>的 相关资产或负债，第二层输入值必须在其几乎整个期限内是可观察的。第二层输入值包括：</w:t>
      </w:r>
    </w:p>
    <w:p>
      <w:pPr>
        <w:pStyle w:val="Style33"/>
        <w:keepNext w:val="0"/>
        <w:keepLines w:val="0"/>
        <w:widowControl w:val="0"/>
        <w:shd w:val="clear" w:color="auto" w:fill="auto"/>
        <w:tabs>
          <w:tab w:pos="880" w:val="left"/>
        </w:tabs>
        <w:bidi w:val="0"/>
        <w:spacing w:before="0" w:after="0" w:line="312" w:lineRule="exact"/>
        <w:ind w:left="0" w:right="0" w:firstLine="440"/>
        <w:jc w:val="both"/>
      </w:pPr>
      <w:bookmarkStart w:id="1556" w:name="bookmark1556"/>
      <w:r>
        <w:rPr>
          <w:color w:val="000000"/>
          <w:spacing w:val="0"/>
          <w:w w:val="100"/>
          <w:position w:val="0"/>
        </w:rPr>
        <w:t>（</w:t>
      </w:r>
      <w:bookmarkEnd w:id="1556"/>
      <w:r>
        <w:rPr>
          <w:rFonts w:ascii="Times New Roman" w:eastAsia="Times New Roman" w:hAnsi="Times New Roman" w:cs="Times New Roman"/>
          <w:color w:val="000000"/>
          <w:spacing w:val="0"/>
          <w:w w:val="100"/>
          <w:position w:val="0"/>
        </w:rPr>
        <w:t>1</w:t>
      </w:r>
      <w:r>
        <w:rPr>
          <w:color w:val="000000"/>
          <w:spacing w:val="0"/>
          <w:w w:val="100"/>
          <w:position w:val="0"/>
        </w:rPr>
        <w:t>）</w:t>
        <w:tab/>
        <w:t>活跃市场中类似资产或负债的报价；</w:t>
      </w:r>
    </w:p>
    <w:p>
      <w:pPr>
        <w:pStyle w:val="Style33"/>
        <w:keepNext w:val="0"/>
        <w:keepLines w:val="0"/>
        <w:widowControl w:val="0"/>
        <w:shd w:val="clear" w:color="auto" w:fill="auto"/>
        <w:tabs>
          <w:tab w:pos="880" w:val="left"/>
        </w:tabs>
        <w:bidi w:val="0"/>
        <w:spacing w:before="0" w:after="0" w:line="312" w:lineRule="exact"/>
        <w:ind w:left="0" w:right="0" w:firstLine="440"/>
        <w:jc w:val="both"/>
      </w:pPr>
      <w:bookmarkStart w:id="1557" w:name="bookmark1557"/>
      <w:r>
        <w:rPr>
          <w:color w:val="000000"/>
          <w:spacing w:val="0"/>
          <w:w w:val="100"/>
          <w:position w:val="0"/>
        </w:rPr>
        <w:t>（</w:t>
      </w:r>
      <w:bookmarkEnd w:id="1557"/>
      <w:r>
        <w:rPr>
          <w:rFonts w:ascii="Times New Roman" w:eastAsia="Times New Roman" w:hAnsi="Times New Roman" w:cs="Times New Roman"/>
          <w:color w:val="000000"/>
          <w:spacing w:val="0"/>
          <w:w w:val="100"/>
          <w:position w:val="0"/>
        </w:rPr>
        <w:t>2</w:t>
      </w:r>
      <w:r>
        <w:rPr>
          <w:color w:val="000000"/>
          <w:spacing w:val="0"/>
          <w:w w:val="100"/>
          <w:position w:val="0"/>
        </w:rPr>
        <w:t>）</w:t>
        <w:tab/>
        <w:t>非活跃市场中相同或类似资产或负债的报价；</w:t>
      </w:r>
    </w:p>
    <w:p>
      <w:pPr>
        <w:pStyle w:val="Style33"/>
        <w:keepNext w:val="0"/>
        <w:keepLines w:val="0"/>
        <w:widowControl w:val="0"/>
        <w:shd w:val="clear" w:color="auto" w:fill="auto"/>
        <w:tabs>
          <w:tab w:pos="880" w:val="left"/>
        </w:tabs>
        <w:bidi w:val="0"/>
        <w:spacing w:before="0" w:after="0" w:line="312" w:lineRule="exact"/>
        <w:ind w:left="0" w:right="0" w:firstLine="440"/>
        <w:jc w:val="left"/>
      </w:pPr>
      <w:bookmarkStart w:id="1558" w:name="bookmark1558"/>
      <w:r>
        <w:rPr>
          <w:color w:val="000000"/>
          <w:spacing w:val="0"/>
          <w:w w:val="100"/>
          <w:position w:val="0"/>
        </w:rPr>
        <w:t>（</w:t>
      </w:r>
      <w:bookmarkEnd w:id="1558"/>
      <w:r>
        <w:rPr>
          <w:rFonts w:ascii="Times New Roman" w:eastAsia="Times New Roman" w:hAnsi="Times New Roman" w:cs="Times New Roman"/>
          <w:color w:val="000000"/>
          <w:spacing w:val="0"/>
          <w:w w:val="100"/>
          <w:position w:val="0"/>
        </w:rPr>
        <w:t>3</w:t>
      </w:r>
      <w:r>
        <w:rPr>
          <w:color w:val="000000"/>
          <w:spacing w:val="0"/>
          <w:w w:val="100"/>
          <w:position w:val="0"/>
        </w:rPr>
        <w:t>）</w:t>
        <w:tab/>
        <w:t>除报价以外的其他可观察输入值，包括在正常报价间隔期间内可观察的利率和收益率曲线等。</w:t>
      </w:r>
    </w:p>
    <w:tbl>
      <w:tblPr>
        <w:tblOverlap w:val="never"/>
        <w:jc w:val="center"/>
        <w:tblLayout w:type="fixed"/>
      </w:tblPr>
      <w:tblGrid>
        <w:gridCol w:w="3298"/>
        <w:gridCol w:w="2218"/>
        <w:gridCol w:w="4133"/>
      </w:tblGrid>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期末公允价值</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估值技术</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其他权益性工具投资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76,568,291.68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参考股转中心历史成交价</w:t>
            </w:r>
          </w:p>
        </w:tc>
      </w:tr>
      <w:tr>
        <w:trPr>
          <w:trHeight w:val="35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151,726,800.00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按照第三方估值机构提供的报价</w:t>
            </w:r>
          </w:p>
        </w:tc>
      </w:tr>
    </w:tbl>
    <w:p>
      <w:pPr>
        <w:widowControl w:val="0"/>
        <w:spacing w:after="619" w:line="1" w:lineRule="exact"/>
      </w:pPr>
    </w:p>
    <w:p>
      <w:pPr>
        <w:pStyle w:val="Style37"/>
        <w:keepNext/>
        <w:keepLines/>
        <w:widowControl w:val="0"/>
        <w:shd w:val="clear" w:color="auto" w:fill="auto"/>
        <w:bidi w:val="0"/>
        <w:spacing w:before="0" w:after="30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4</w:t>
      </w:r>
      <w:bookmarkEnd w:id="1561"/>
      <w:r>
        <w:rPr>
          <w:color w:val="000000"/>
          <w:spacing w:val="0"/>
          <w:w w:val="100"/>
          <w:position w:val="0"/>
        </w:rPr>
        <w:t>、持续和非持续第三层次公允价值计量项目，采用的估值技术和重要参数的定性及定量信息</w:t>
      </w:r>
      <w:bookmarkEnd w:id="1559"/>
      <w:bookmarkEnd w:id="1560"/>
      <w:bookmarkEnd w:id="1562"/>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第三层输入值是相关资产或负债的不可观察输入值。第三层输入值包括不能直接观察和无法由可观察市场数据验证的 利率、股票波动率、企业合并中承担的弃置义务的未来现金流量、企业使用给自身数据作出的财务预测等。</w:t>
      </w:r>
    </w:p>
    <w:tbl>
      <w:tblPr>
        <w:tblOverlap w:val="never"/>
        <w:jc w:val="center"/>
        <w:tblLayout w:type="fixed"/>
      </w:tblPr>
      <w:tblGrid>
        <w:gridCol w:w="3302"/>
        <w:gridCol w:w="2218"/>
        <w:gridCol w:w="2064"/>
        <w:gridCol w:w="2093"/>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期末公允价值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估值技术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输入值</w:t>
            </w:r>
          </w:p>
        </w:tc>
      </w:tr>
      <w:tr>
        <w:trPr>
          <w:trHeight w:val="37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其他权益性工具投资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66,940,000.00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净资产公允价值</w:t>
            </w:r>
          </w:p>
        </w:tc>
      </w:tr>
    </w:tbl>
    <w:p>
      <w:pPr>
        <w:pStyle w:val="Style29"/>
        <w:keepNext/>
        <w:keepLines/>
        <w:widowControl w:val="0"/>
        <w:shd w:val="clear" w:color="auto" w:fill="auto"/>
        <w:bidi w:val="0"/>
        <w:spacing w:before="0" w:after="380" w:line="240" w:lineRule="auto"/>
        <w:ind w:left="0" w:right="0" w:firstLine="0"/>
        <w:jc w:val="left"/>
      </w:pPr>
      <w:bookmarkStart w:id="1563" w:name="bookmark1563"/>
      <w:bookmarkStart w:id="1564" w:name="bookmark1564"/>
      <w:bookmarkStart w:id="1565" w:name="bookmark1565"/>
      <w:r>
        <w:rPr>
          <w:color w:val="000000"/>
          <w:spacing w:val="0"/>
          <w:w w:val="100"/>
          <w:position w:val="0"/>
          <w:sz w:val="24"/>
          <w:szCs w:val="24"/>
        </w:rPr>
        <w:t>十二、关联方及关联交易</w:t>
      </w:r>
      <w:bookmarkEnd w:id="1563"/>
      <w:bookmarkEnd w:id="1564"/>
      <w:bookmarkEnd w:id="1565"/>
    </w:p>
    <w:p>
      <w:pPr>
        <w:pStyle w:val="Style37"/>
        <w:keepNext/>
        <w:keepLines/>
        <w:widowControl w:val="0"/>
        <w:shd w:val="clear" w:color="auto" w:fill="auto"/>
        <w:bidi w:val="0"/>
        <w:spacing w:before="0" w:after="320" w:line="240" w:lineRule="auto"/>
        <w:ind w:left="0" w:right="0" w:firstLine="0"/>
        <w:jc w:val="left"/>
      </w:pPr>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566"/>
      <w:bookmarkEnd w:id="1567"/>
      <w:bookmarkEnd w:id="1568"/>
    </w:p>
    <w:tbl>
      <w:tblPr>
        <w:tblOverlap w:val="never"/>
        <w:jc w:val="center"/>
        <w:tblLayout w:type="fixed"/>
      </w:tblPr>
      <w:tblGrid>
        <w:gridCol w:w="2242"/>
        <w:gridCol w:w="955"/>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表决权比例</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中驰惠程企业管理有限公司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企业管理</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25,000.00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33"/>
        <w:keepNext w:val="0"/>
        <w:keepLines w:val="0"/>
        <w:widowControl w:val="0"/>
        <w:shd w:val="clear" w:color="auto" w:fill="auto"/>
        <w:bidi w:val="0"/>
        <w:spacing w:before="0" w:after="0" w:line="298" w:lineRule="exact"/>
        <w:ind w:left="0" w:right="0"/>
        <w:jc w:val="left"/>
      </w:pPr>
      <w:r>
        <w:rPr>
          <w:color w:val="000000"/>
          <w:spacing w:val="0"/>
          <w:w w:val="100"/>
          <w:position w:val="0"/>
        </w:rPr>
        <w:t>截止报告期末，公司母公司中驰惠程及其一致行动人共青城中源信投资管理合伙企业（有限合伙），合计持有公司股 份</w:t>
      </w:r>
      <w:r>
        <w:rPr>
          <w:rFonts w:ascii="Times New Roman" w:eastAsia="Times New Roman" w:hAnsi="Times New Roman" w:cs="Times New Roman"/>
          <w:color w:val="000000"/>
          <w:spacing w:val="0"/>
          <w:w w:val="100"/>
          <w:position w:val="0"/>
        </w:rPr>
        <w:t>87,684,684</w:t>
      </w:r>
      <w:r>
        <w:rPr>
          <w:color w:val="000000"/>
          <w:spacing w:val="0"/>
          <w:w w:val="100"/>
          <w:position w:val="0"/>
        </w:rPr>
        <w:t>股，占公司总股本的比例为</w:t>
      </w:r>
      <w:r>
        <w:rPr>
          <w:rFonts w:ascii="Times New Roman" w:eastAsia="Times New Roman" w:hAnsi="Times New Roman" w:cs="Times New Roman"/>
          <w:color w:val="000000"/>
          <w:spacing w:val="0"/>
          <w:w w:val="100"/>
          <w:position w:val="0"/>
        </w:rPr>
        <w:t>10.93%</w:t>
      </w:r>
      <w:r>
        <w:rPr>
          <w:color w:val="000000"/>
          <w:spacing w:val="0"/>
          <w:w w:val="100"/>
          <w:position w:val="0"/>
        </w:rPr>
        <w:t>。</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本企业最终控制方是汪超涌先生、李亦非女士。</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0" w:line="317" w:lineRule="exact"/>
        <w:ind w:left="0" w:right="0" w:firstLine="300"/>
        <w:jc w:val="left"/>
      </w:pPr>
      <w:r>
        <w:rPr>
          <w:color w:val="000000"/>
          <w:spacing w:val="0"/>
          <w:w w:val="100"/>
          <w:position w:val="0"/>
        </w:rPr>
        <w:t>中驰惠程企业管理有限公司成立于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日，注册资本为</w:t>
      </w:r>
      <w:r>
        <w:rPr>
          <w:rFonts w:ascii="Times New Roman" w:eastAsia="Times New Roman" w:hAnsi="Times New Roman" w:cs="Times New Roman"/>
          <w:color w:val="000000"/>
          <w:spacing w:val="0"/>
          <w:w w:val="100"/>
          <w:position w:val="0"/>
        </w:rPr>
        <w:t>25,000.00</w:t>
      </w:r>
      <w:r>
        <w:rPr>
          <w:color w:val="000000"/>
          <w:spacing w:val="0"/>
          <w:w w:val="100"/>
          <w:position w:val="0"/>
        </w:rPr>
        <w:t>万元，公司的经营范围为企业管理；企业营 销策划；企业管理咨询；技术开发、技术转让、技术咨询、技术服务。（企业依法自主选择经营项目，开展经营活动；依 法须经批准的项目，经相关部门批准后依批准的内容开展经营活动；不得从事本市产业政策禁止和限制类项目的经营活 动。）</w:t>
      </w:r>
    </w:p>
    <w:p>
      <w:pPr>
        <w:pStyle w:val="Style33"/>
        <w:keepNext w:val="0"/>
        <w:keepLines w:val="0"/>
        <w:widowControl w:val="0"/>
        <w:shd w:val="clear" w:color="auto" w:fill="auto"/>
        <w:bidi w:val="0"/>
        <w:spacing w:before="0" w:after="0" w:line="317" w:lineRule="exact"/>
        <w:ind w:left="0" w:right="0" w:firstLine="3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日，中驰惠程的母公司由北京信中利投资股份有限公司变更为重庆信发企业管理咨询有限公司（以下简称 </w:t>
      </w:r>
      <w:r>
        <w:rPr>
          <w:rFonts w:ascii="Times New Roman" w:eastAsia="Times New Roman" w:hAnsi="Times New Roman" w:cs="Times New Roman"/>
          <w:color w:val="000000"/>
          <w:spacing w:val="0"/>
          <w:w w:val="100"/>
          <w:position w:val="0"/>
        </w:rPr>
        <w:t>“</w:t>
      </w:r>
      <w:r>
        <w:rPr>
          <w:color w:val="000000"/>
          <w:spacing w:val="0"/>
          <w:w w:val="100"/>
          <w:position w:val="0"/>
        </w:rPr>
        <w:t>重庆信发</w:t>
      </w:r>
      <w:r>
        <w:rPr>
          <w:rFonts w:ascii="Times New Roman" w:eastAsia="Times New Roman" w:hAnsi="Times New Roman" w:cs="Times New Roman"/>
          <w:color w:val="000000"/>
          <w:spacing w:val="0"/>
          <w:w w:val="100"/>
          <w:position w:val="0"/>
        </w:rPr>
        <w:t>”</w:t>
      </w:r>
      <w:r>
        <w:rPr>
          <w:color w:val="000000"/>
          <w:spacing w:val="0"/>
          <w:w w:val="100"/>
          <w:position w:val="0"/>
        </w:rPr>
        <w:t>），并已完成工商变更登记手续。本次上层股权结构变动完成后，中驰惠程的母公司由信中利变更为重庆信发, 公司的控股股东及实际控制人未发生变化。</w:t>
      </w:r>
    </w:p>
    <w:p>
      <w:pPr>
        <w:pStyle w:val="Style33"/>
        <w:keepNext w:val="0"/>
        <w:keepLines w:val="0"/>
        <w:widowControl w:val="0"/>
        <w:shd w:val="clear" w:color="auto" w:fill="auto"/>
        <w:bidi w:val="0"/>
        <w:spacing w:before="0" w:after="380" w:line="317" w:lineRule="exact"/>
        <w:ind w:left="0" w:right="0" w:firstLine="300"/>
        <w:jc w:val="left"/>
      </w:pPr>
      <w:r>
        <w:rPr>
          <w:color w:val="000000"/>
          <w:spacing w:val="0"/>
          <w:w w:val="100"/>
          <w:position w:val="0"/>
        </w:rPr>
        <w:t>中驰惠程实际控制人为汪超涌先生与李亦非女士。</w:t>
      </w:r>
    </w:p>
    <w:p>
      <w:pPr>
        <w:pStyle w:val="Style37"/>
        <w:keepNext/>
        <w:keepLines/>
        <w:widowControl w:val="0"/>
        <w:shd w:val="clear" w:color="auto" w:fill="auto"/>
        <w:tabs>
          <w:tab w:pos="378" w:val="left"/>
        </w:tabs>
        <w:bidi w:val="0"/>
        <w:spacing w:before="0" w:after="26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2</w:t>
      </w:r>
      <w:bookmarkEnd w:id="1571"/>
      <w:r>
        <w:rPr>
          <w:color w:val="000000"/>
          <w:spacing w:val="0"/>
          <w:w w:val="100"/>
          <w:position w:val="0"/>
        </w:rPr>
        <w:t>、</w:t>
        <w:tab/>
        <w:t>本企业的子公司情况</w:t>
      </w:r>
      <w:bookmarkEnd w:id="1569"/>
      <w:bookmarkEnd w:id="1570"/>
      <w:bookmarkEnd w:id="1572"/>
    </w:p>
    <w:p>
      <w:pPr>
        <w:pStyle w:val="Style3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37"/>
        <w:keepNext/>
        <w:keepLines/>
        <w:widowControl w:val="0"/>
        <w:shd w:val="clear" w:color="auto" w:fill="auto"/>
        <w:tabs>
          <w:tab w:pos="378" w:val="left"/>
        </w:tabs>
        <w:bidi w:val="0"/>
        <w:spacing w:before="0" w:after="380" w:line="240" w:lineRule="auto"/>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3</w:t>
      </w:r>
      <w:bookmarkEnd w:id="1575"/>
      <w:r>
        <w:rPr>
          <w:color w:val="000000"/>
          <w:spacing w:val="0"/>
          <w:w w:val="100"/>
          <w:position w:val="0"/>
        </w:rPr>
        <w:t>、</w:t>
        <w:tab/>
        <w:t>本企业合营和联营企业情况</w:t>
      </w:r>
      <w:bookmarkEnd w:id="1573"/>
      <w:bookmarkEnd w:id="1574"/>
      <w:bookmarkEnd w:id="1576"/>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真机智能</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bl>
      <w:tblPr>
        <w:tblOverlap w:val="never"/>
        <w:jc w:val="center"/>
        <w:tblLayout w:type="fixed"/>
      </w:tblPr>
      <w:tblGrid>
        <w:gridCol w:w="2323"/>
        <w:gridCol w:w="2899"/>
        <w:gridCol w:w="2434"/>
        <w:gridCol w:w="2026"/>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期初余额（元）</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真机智能</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26,096.46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8,849.56</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4</w:t>
      </w:r>
      <w:bookmarkEnd w:id="1579"/>
      <w:r>
        <w:rPr>
          <w:color w:val="000000"/>
          <w:spacing w:val="0"/>
          <w:w w:val="100"/>
          <w:position w:val="0"/>
        </w:rPr>
        <w:t>、其他关联方情况</w:t>
      </w:r>
      <w:bookmarkEnd w:id="1577"/>
      <w:bookmarkEnd w:id="1578"/>
      <w:bookmarkEnd w:id="158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四川瑞美森国际教育咨询有限公司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公司副总裁寇汉先生配偶控制下的公司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成都启成投资发展有限公司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公司副总裁寇汉先生控制下的公司</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北京信中利投资股份有限公司</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同一控制下关联企业</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汪超涌</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实际控制人、董事长</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李亦非</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林嘉喜</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沈晓超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潘林武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王蔚</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公司董事、总裁</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叶陈刚</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公司独立董事</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钟晓林</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公司独立董事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Key Ke Liu </w:t>
            </w:r>
            <w:r>
              <w:rPr>
                <w:color w:val="000000"/>
                <w:spacing w:val="0"/>
                <w:w w:val="100"/>
                <w:position w:val="0"/>
              </w:rPr>
              <w:t>（中文名：刘科）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公司独立董事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梅绍华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公司监事会主席</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钟燕</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公司职工代表监事</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谭清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公司监事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赵红艳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公司原副总裁、财务总监</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寇汉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公司副总裁</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何金子</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公司副总裁</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贺庆华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公司副总裁</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付汝峰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公司董事会秘书、副总裁</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WAN XIAO YANG </w:t>
            </w:r>
            <w:r>
              <w:rPr>
                <w:color w:val="000000"/>
                <w:spacing w:val="0"/>
                <w:w w:val="100"/>
                <w:position w:val="0"/>
              </w:rPr>
              <w:t>（中文名：万晓阳）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公司原董事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赵丽</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公司原监事</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温秋萍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公司原职工代表监事</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5</w:t>
      </w:r>
      <w:bookmarkEnd w:id="1583"/>
      <w:r>
        <w:rPr>
          <w:color w:val="000000"/>
          <w:spacing w:val="0"/>
          <w:w w:val="100"/>
          <w:position w:val="0"/>
        </w:rPr>
        <w:t>、关联交易情况</w:t>
      </w:r>
      <w:bookmarkEnd w:id="1581"/>
      <w:bookmarkEnd w:id="1582"/>
      <w:bookmarkEnd w:id="1584"/>
    </w:p>
    <w:p>
      <w:pPr>
        <w:pStyle w:val="Style37"/>
        <w:keepNext/>
        <w:keepLines/>
        <w:widowControl w:val="0"/>
        <w:shd w:val="clear" w:color="auto" w:fill="auto"/>
        <w:bidi w:val="0"/>
        <w:spacing w:before="0" w:after="380" w:line="240" w:lineRule="auto"/>
        <w:ind w:left="0" w:right="0" w:firstLine="0"/>
        <w:jc w:val="left"/>
      </w:pPr>
      <w:bookmarkStart w:id="1581" w:name="bookmark1581"/>
      <w:bookmarkStart w:id="1582" w:name="bookmark1582"/>
      <w:bookmarkStart w:id="1585" w:name="bookmark15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81"/>
      <w:bookmarkEnd w:id="1582"/>
      <w:bookmarkEnd w:id="1585"/>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真机智能</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货物销售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748,332.74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326,409.43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pStyle w:val="Style33"/>
        <w:keepNext w:val="0"/>
        <w:keepLines w:val="0"/>
        <w:widowControl w:val="0"/>
        <w:shd w:val="clear" w:color="auto" w:fill="auto"/>
        <w:bidi w:val="0"/>
        <w:spacing w:before="0" w:after="260" w:line="310" w:lineRule="exact"/>
        <w:ind w:left="0" w:right="0"/>
        <w:jc w:val="left"/>
      </w:pPr>
      <w:r>
        <w:rPr>
          <w:color w:val="000000"/>
          <w:spacing w:val="0"/>
          <w:w w:val="100"/>
          <w:position w:val="0"/>
        </w:rPr>
        <w:t>购销商品、提供和接受劳务的关联交易说明：经公司总裁办公会批准，公司向真机智能投资人民币</w:t>
      </w:r>
      <w:r>
        <w:rPr>
          <w:rFonts w:ascii="Times New Roman" w:eastAsia="Times New Roman" w:hAnsi="Times New Roman" w:cs="Times New Roman"/>
          <w:color w:val="000000"/>
          <w:spacing w:val="0"/>
          <w:w w:val="100"/>
          <w:position w:val="0"/>
        </w:rPr>
        <w:t>1,500</w:t>
      </w:r>
      <w:r>
        <w:rPr>
          <w:color w:val="000000"/>
          <w:spacing w:val="0"/>
          <w:w w:val="100"/>
          <w:position w:val="0"/>
        </w:rPr>
        <w:t xml:space="preserve">万元，截止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日，公司实缴人民币</w:t>
      </w:r>
      <w:r>
        <w:rPr>
          <w:rFonts w:ascii="Times New Roman" w:eastAsia="Times New Roman" w:hAnsi="Times New Roman" w:cs="Times New Roman"/>
          <w:color w:val="000000"/>
          <w:spacing w:val="0"/>
          <w:w w:val="100"/>
          <w:position w:val="0"/>
        </w:rPr>
        <w:t>1,100</w:t>
      </w:r>
      <w:r>
        <w:rPr>
          <w:color w:val="000000"/>
          <w:spacing w:val="0"/>
          <w:w w:val="100"/>
          <w:position w:val="0"/>
        </w:rPr>
        <w:t>万元，公司持有真机智能</w:t>
      </w:r>
      <w:r>
        <w:rPr>
          <w:rFonts w:ascii="Times New Roman" w:eastAsia="Times New Roman" w:hAnsi="Times New Roman" w:cs="Times New Roman"/>
          <w:color w:val="000000"/>
          <w:spacing w:val="0"/>
          <w:w w:val="100"/>
          <w:position w:val="0"/>
        </w:rPr>
        <w:t>15%</w:t>
      </w:r>
      <w:r>
        <w:rPr>
          <w:color w:val="000000"/>
          <w:spacing w:val="0"/>
          <w:w w:val="100"/>
          <w:position w:val="0"/>
        </w:rPr>
        <w:t>的股权，公司亦成为真机智能研发和设计的无人配送 机器人及其他智能机器人的唯一生产制造商，因此报告期内公司与真机智能存在出售商品和提供劳务交易，根据中国证监 会和深圳证券交易所相关规定公司与真机智能相关交易不构成关联交易，但根据企业会计准则相关交易构成关联交易。</w:t>
      </w:r>
      <w:r>
        <w:br w:type="page"/>
      </w:r>
    </w:p>
    <w:p>
      <w:pPr>
        <w:pStyle w:val="Style37"/>
        <w:keepNext/>
        <w:keepLines/>
        <w:widowControl w:val="0"/>
        <w:shd w:val="clear" w:color="auto" w:fill="auto"/>
        <w:bidi w:val="0"/>
        <w:spacing w:before="0" w:after="380" w:line="240" w:lineRule="auto"/>
        <w:ind w:left="0" w:right="0" w:firstLine="0"/>
        <w:jc w:val="left"/>
      </w:pPr>
      <w:bookmarkStart w:id="1586" w:name="bookmark1586"/>
      <w:bookmarkStart w:id="1587" w:name="bookmark1587"/>
      <w:bookmarkStart w:id="1588" w:name="bookmark15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586"/>
      <w:bookmarkEnd w:id="1587"/>
      <w:bookmarkEnd w:id="1588"/>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8"/>
        <w:gridCol w:w="1982"/>
        <w:gridCol w:w="2390"/>
        <w:gridCol w:w="240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四川瑞美森国际教育咨询有限公司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747,514.16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170,267.10</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成都启成投资发展有限公司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747,514.16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170,267.10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25"/>
        <w:gridCol w:w="2266"/>
        <w:gridCol w:w="2395"/>
        <w:gridCol w:w="240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北京信中利投资股份有限公司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1,850,695.50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1,812,074.60</w:t>
            </w:r>
          </w:p>
        </w:tc>
      </w:tr>
    </w:tbl>
    <w:p>
      <w:pPr>
        <w:widowControl w:val="0"/>
        <w:spacing w:after="11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37"/>
        <w:keepNext/>
        <w:keepLines/>
        <w:widowControl w:val="0"/>
        <w:shd w:val="clear" w:color="auto" w:fill="auto"/>
        <w:bidi w:val="0"/>
        <w:spacing w:before="0" w:after="380" w:line="240" w:lineRule="auto"/>
        <w:ind w:left="0" w:right="0" w:firstLine="0"/>
        <w:jc w:val="left"/>
      </w:pPr>
      <w:bookmarkStart w:id="1589" w:name="bookmark1589"/>
      <w:bookmarkStart w:id="1590" w:name="bookmark1590"/>
      <w:bookmarkStart w:id="1591" w:name="bookmark1591"/>
      <w:bookmarkStart w:id="1592" w:name="bookmark1592"/>
      <w:r>
        <w:rPr>
          <w:color w:val="000000"/>
          <w:spacing w:val="0"/>
          <w:w w:val="100"/>
          <w:position w:val="0"/>
        </w:rPr>
        <w:t>（</w:t>
      </w:r>
      <w:bookmarkEnd w:id="1591"/>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589"/>
      <w:bookmarkEnd w:id="1590"/>
      <w:bookmarkEnd w:id="1592"/>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本公司作为被担保方</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25"/>
        <w:gridCol w:w="1421"/>
        <w:gridCol w:w="1805"/>
        <w:gridCol w:w="1915"/>
        <w:gridCol w:w="192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汪超涌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97,000,000.00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成都哆可梦网络科技有限公司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97,000,000.00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汪超涌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汪超涌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4,900,000,000.00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北京信中利投资股份有限公司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4,900,000,000.00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593" w:name="bookmark1593"/>
      <w:bookmarkStart w:id="1594" w:name="bookmark1594"/>
      <w:bookmarkStart w:id="1595" w:name="bookmark1595"/>
      <w:bookmarkStart w:id="1596" w:name="bookmark1596"/>
      <w:r>
        <w:rPr>
          <w:color w:val="000000"/>
          <w:spacing w:val="0"/>
          <w:w w:val="100"/>
          <w:position w:val="0"/>
        </w:rPr>
        <w:t>（</w:t>
      </w:r>
      <w:bookmarkEnd w:id="1595"/>
      <w:r>
        <w:rPr>
          <w:rFonts w:ascii="Times New Roman" w:eastAsia="Times New Roman" w:hAnsi="Times New Roman" w:cs="Times New Roman"/>
          <w:color w:val="000000"/>
          <w:spacing w:val="0"/>
          <w:w w:val="100"/>
          <w:position w:val="0"/>
        </w:rPr>
        <w:t>4</w:t>
      </w:r>
      <w:r>
        <w:rPr>
          <w:color w:val="000000"/>
          <w:spacing w:val="0"/>
          <w:w w:val="100"/>
          <w:position w:val="0"/>
        </w:rPr>
        <w:t>）关联方资金拆借</w:t>
      </w:r>
      <w:bookmarkEnd w:id="1593"/>
      <w:bookmarkEnd w:id="1594"/>
      <w:bookmarkEnd w:id="159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26"/>
        <w:gridCol w:w="1133"/>
        <w:gridCol w:w="1138"/>
        <w:gridCol w:w="1272"/>
        <w:gridCol w:w="521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起始日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中驰惠程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为支持公司经营发展，提高公司融资效率，经公司总裁办公会审 议通过，公司接受控股股东中驰惠程提供的</w:t>
            </w:r>
            <w:r>
              <w:rPr>
                <w:rFonts w:ascii="Times New Roman" w:eastAsia="Times New Roman" w:hAnsi="Times New Roman" w:cs="Times New Roman"/>
                <w:color w:val="000000"/>
                <w:spacing w:val="0"/>
                <w:w w:val="100"/>
                <w:position w:val="0"/>
              </w:rPr>
              <w:t>5,000.00</w:t>
            </w:r>
            <w:r>
              <w:rPr>
                <w:color w:val="000000"/>
                <w:spacing w:val="0"/>
                <w:w w:val="100"/>
                <w:position w:val="0"/>
              </w:rPr>
              <w:t>万元无息财 务资助，用于公司日常经营活动。本次财务资助无需公司提供保 证、抵押、质押等任何形式的担保，亦无其他协议安排。</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中驰惠程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为支持公司经营发展，提高公司融资效率，经公司总裁办公会审 议通过，公司接受控股股东中驰惠程提供的</w:t>
            </w:r>
            <w:r>
              <w:rPr>
                <w:rFonts w:ascii="Times New Roman" w:eastAsia="Times New Roman" w:hAnsi="Times New Roman" w:cs="Times New Roman"/>
                <w:color w:val="000000"/>
                <w:spacing w:val="0"/>
                <w:w w:val="100"/>
                <w:position w:val="0"/>
              </w:rPr>
              <w:t>2,000.00</w:t>
            </w:r>
            <w:r>
              <w:rPr>
                <w:color w:val="000000"/>
                <w:spacing w:val="0"/>
                <w:w w:val="100"/>
                <w:position w:val="0"/>
              </w:rPr>
              <w:t>万元无息财 务资助，用于公司日常经营活动。本次财务资助无需公司提供保 证、抵押、质押等任何形式的担保，亦无其他协议安排。</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14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w:t>
      </w:r>
      <w:bookmarkEnd w:id="1599"/>
      <w:r>
        <w:rPr>
          <w:rFonts w:ascii="Times New Roman" w:eastAsia="Times New Roman" w:hAnsi="Times New Roman" w:cs="Times New Roman"/>
          <w:color w:val="000000"/>
          <w:spacing w:val="0"/>
          <w:w w:val="100"/>
          <w:position w:val="0"/>
        </w:rPr>
        <w:t>5</w:t>
      </w:r>
      <w:r>
        <w:rPr>
          <w:color w:val="000000"/>
          <w:spacing w:val="0"/>
          <w:w w:val="100"/>
          <w:position w:val="0"/>
        </w:rPr>
        <w:t>）关键管理人员报酬</w:t>
      </w:r>
      <w:bookmarkEnd w:id="1597"/>
      <w:bookmarkEnd w:id="1598"/>
      <w:bookmarkEnd w:id="160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9,226,628.89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10,756,484.43</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6</w:t>
      </w:r>
      <w:bookmarkEnd w:id="1603"/>
      <w:r>
        <w:rPr>
          <w:color w:val="000000"/>
          <w:spacing w:val="0"/>
          <w:w w:val="100"/>
          <w:position w:val="0"/>
        </w:rPr>
        <w:t>、关联方应收应付款项</w:t>
      </w:r>
      <w:bookmarkEnd w:id="1601"/>
      <w:bookmarkEnd w:id="1602"/>
      <w:bookmarkEnd w:id="1604"/>
    </w:p>
    <w:p>
      <w:pPr>
        <w:pStyle w:val="Style37"/>
        <w:keepNext/>
        <w:keepLines/>
        <w:widowControl w:val="0"/>
        <w:shd w:val="clear" w:color="auto" w:fill="auto"/>
        <w:bidi w:val="0"/>
        <w:spacing w:before="0" w:after="380" w:line="240" w:lineRule="auto"/>
        <w:ind w:left="0" w:right="0" w:firstLine="0"/>
        <w:jc w:val="left"/>
      </w:pPr>
      <w:bookmarkStart w:id="1601" w:name="bookmark1601"/>
      <w:bookmarkStart w:id="1602" w:name="bookmark1602"/>
      <w:bookmarkStart w:id="1605" w:name="bookmark16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01"/>
      <w:bookmarkEnd w:id="1602"/>
      <w:bookmarkEnd w:id="160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8"/>
        <w:gridCol w:w="2837"/>
        <w:gridCol w:w="1277"/>
        <w:gridCol w:w="422"/>
        <w:gridCol w:w="1277"/>
        <w:gridCol w:w="96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坏账 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其他应收款：非经营性资金占用款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北京信中利投资股份有限公司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301,829,100.33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其他应收款：斗罗大陆诉讼赔偿金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寇汉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应收账款：房屋租赁款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四川瑞美森国际教育咨询有限公司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27,994.98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140"/>
        <w:jc w:val="left"/>
      </w:pPr>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06"/>
      <w:bookmarkEnd w:id="1607"/>
      <w:bookmarkEnd w:id="160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29"/>
        <w:gridCol w:w="2410"/>
        <w:gridCol w:w="1416"/>
        <w:gridCol w:w="1531"/>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尚未支付的哆可梦股权受让款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寇汉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86,048,592.95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146,048,592.95</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根据哆可梦前控股股东、实际控制人寇汉在公司 </w:t>
            </w:r>
            <w:r>
              <w:rPr>
                <w:rFonts w:ascii="Times New Roman" w:eastAsia="Times New Roman" w:hAnsi="Times New Roman" w:cs="Times New Roman"/>
                <w:color w:val="000000"/>
                <w:spacing w:val="0"/>
                <w:w w:val="100"/>
                <w:position w:val="0"/>
              </w:rPr>
              <w:t>2017</w:t>
            </w:r>
            <w:r>
              <w:rPr>
                <w:color w:val="000000"/>
                <w:spacing w:val="0"/>
                <w:w w:val="100"/>
                <w:position w:val="0"/>
              </w:rPr>
              <w:t>年重大资产重组时出具承诺，公司向寇汉预收 的诉讼赔偿保证金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寇汉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尚未支付的哆可梦股权受让款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林嘉喜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14,413,273.31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14,413,273.31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其他应付款：无息财务资助款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中驰惠程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其他应付款：房租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北京信中利投资股份有限公司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1,362,385.34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28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7</w:t>
      </w:r>
      <w:bookmarkEnd w:id="1611"/>
      <w:r>
        <w:rPr>
          <w:color w:val="000000"/>
          <w:spacing w:val="0"/>
          <w:w w:val="100"/>
          <w:position w:val="0"/>
        </w:rPr>
        <w:t>、关联方承诺</w:t>
      </w:r>
      <w:bookmarkEnd w:id="1609"/>
      <w:bookmarkEnd w:id="1610"/>
      <w:bookmarkEnd w:id="1612"/>
    </w:p>
    <w:p>
      <w:pPr>
        <w:pStyle w:val="Style33"/>
        <w:keepNext w:val="0"/>
        <w:keepLines w:val="0"/>
        <w:widowControl w:val="0"/>
        <w:shd w:val="clear" w:color="auto" w:fill="auto"/>
        <w:bidi w:val="0"/>
        <w:spacing w:before="0" w:after="0" w:line="316" w:lineRule="exact"/>
        <w:ind w:left="0" w:right="0" w:firstLine="440"/>
        <w:jc w:val="left"/>
      </w:pPr>
      <w:r>
        <w:rPr>
          <w:color w:val="000000"/>
          <w:spacing w:val="0"/>
          <w:w w:val="100"/>
          <w:position w:val="0"/>
        </w:rPr>
        <w:t>资产负债表日后存在的重要承诺</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针对公司发现的控股股东及其关联企业非经营性资金占用的事项，公司控股股东中驰惠程及实际控制人出具了《关于 解决资金占用情况的承诺函》，具体内容如下：</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T、</w:t>
      </w:r>
      <w:r>
        <w:rPr>
          <w:color w:val="000000"/>
          <w:spacing w:val="0"/>
          <w:w w:val="100"/>
          <w:position w:val="0"/>
        </w:rPr>
        <w:t>在惠程科技</w:t>
      </w:r>
      <w:r>
        <w:rPr>
          <w:rFonts w:ascii="Times New Roman" w:eastAsia="Times New Roman" w:hAnsi="Times New Roman" w:cs="Times New Roman"/>
          <w:color w:val="000000"/>
          <w:spacing w:val="0"/>
          <w:w w:val="100"/>
          <w:position w:val="0"/>
        </w:rPr>
        <w:t>2020</w:t>
      </w:r>
      <w:r>
        <w:rPr>
          <w:color w:val="000000"/>
          <w:spacing w:val="0"/>
          <w:w w:val="100"/>
          <w:position w:val="0"/>
        </w:rPr>
        <w:t>年年度报告披露前（</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sz w:val="22"/>
          <w:szCs w:val="22"/>
        </w:rPr>
        <w:t>S</w:t>
      </w:r>
      <w:r>
        <w:rPr>
          <w:color w:val="000000"/>
          <w:spacing w:val="0"/>
          <w:w w:val="100"/>
          <w:position w:val="0"/>
        </w:rPr>
        <w:t>之前），将尽快通过以现金、现金等价物或其它优质资产以资 抵债等多种形式积极解决资金占用问题，且尽量在一个月之内偿还上述占用资金；</w:t>
      </w:r>
    </w:p>
    <w:p>
      <w:pPr>
        <w:pStyle w:val="Style33"/>
        <w:keepNext w:val="0"/>
        <w:keepLines w:val="0"/>
        <w:widowControl w:val="0"/>
        <w:shd w:val="clear" w:color="auto" w:fill="auto"/>
        <w:bidi w:val="0"/>
        <w:spacing w:before="0" w:after="320" w:line="316" w:lineRule="exact"/>
        <w:ind w:left="0" w:right="0" w:firstLine="440"/>
        <w:jc w:val="both"/>
      </w:pPr>
      <w:bookmarkStart w:id="1613" w:name="bookmark1613"/>
      <w:r>
        <w:rPr>
          <w:rFonts w:ascii="Times New Roman" w:eastAsia="Times New Roman" w:hAnsi="Times New Roman" w:cs="Times New Roman"/>
          <w:color w:val="000000"/>
          <w:spacing w:val="0"/>
          <w:w w:val="100"/>
          <w:position w:val="0"/>
        </w:rPr>
        <w:t>2</w:t>
      </w:r>
      <w:bookmarkEnd w:id="1613"/>
      <w:r>
        <w:rPr>
          <w:color w:val="000000"/>
          <w:spacing w:val="0"/>
          <w:w w:val="100"/>
          <w:position w:val="0"/>
        </w:rPr>
        <w:t>、未来，将严格遵守《深圳证券交易所上市公司规范运作指引》、《关于规范上市公司与关联方资金往来及上市公司 对外担保若干问题的通知》（证监会公告</w:t>
      </w:r>
      <w:r>
        <w:rPr>
          <w:rFonts w:ascii="Times New Roman" w:eastAsia="Times New Roman" w:hAnsi="Times New Roman" w:cs="Times New Roman"/>
          <w:color w:val="000000"/>
          <w:spacing w:val="0"/>
          <w:w w:val="100"/>
          <w:position w:val="0"/>
        </w:rPr>
        <w:t>[2017]16</w:t>
      </w:r>
      <w:r>
        <w:rPr>
          <w:color w:val="000000"/>
          <w:spacing w:val="0"/>
          <w:w w:val="100"/>
          <w:position w:val="0"/>
        </w:rPr>
        <w:t>号）等相关法律法规和政策性文件，承诺不以任何形式占用惠程科技的资 金。</w:t>
      </w:r>
      <w:r>
        <w:rPr>
          <w:rFonts w:ascii="Times New Roman" w:eastAsia="Times New Roman" w:hAnsi="Times New Roman" w:cs="Times New Roman"/>
          <w:color w:val="000000"/>
          <w:spacing w:val="0"/>
          <w:w w:val="100"/>
          <w:position w:val="0"/>
        </w:rPr>
        <w:t>”</w:t>
      </w:r>
    </w:p>
    <w:p>
      <w:pPr>
        <w:pStyle w:val="Style33"/>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日，控股股东及其关联方已归还全部非经营性资金占用款，非经营性资金占用余额为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9"/>
        <w:keepNext/>
        <w:keepLines/>
        <w:widowControl w:val="0"/>
        <w:shd w:val="clear" w:color="auto" w:fill="auto"/>
        <w:bidi w:val="0"/>
        <w:spacing w:before="0" w:after="360" w:line="240" w:lineRule="auto"/>
        <w:ind w:left="0" w:right="0" w:firstLine="0"/>
        <w:jc w:val="left"/>
      </w:pPr>
      <w:bookmarkStart w:id="1614" w:name="bookmark1614"/>
      <w:bookmarkStart w:id="1615" w:name="bookmark1615"/>
      <w:bookmarkStart w:id="1616" w:name="bookmark1616"/>
      <w:r>
        <w:rPr>
          <w:color w:val="000000"/>
          <w:spacing w:val="0"/>
          <w:w w:val="100"/>
          <w:position w:val="0"/>
          <w:sz w:val="24"/>
          <w:szCs w:val="24"/>
        </w:rPr>
        <w:t>十三、股份支付</w:t>
      </w:r>
      <w:bookmarkEnd w:id="1614"/>
      <w:bookmarkEnd w:id="1615"/>
      <w:bookmarkEnd w:id="1616"/>
    </w:p>
    <w:p>
      <w:pPr>
        <w:pStyle w:val="Style37"/>
        <w:keepNext/>
        <w:keepLines/>
        <w:widowControl w:val="0"/>
        <w:shd w:val="clear" w:color="auto" w:fill="auto"/>
        <w:tabs>
          <w:tab w:pos="368" w:val="left"/>
        </w:tabs>
        <w:bidi w:val="0"/>
        <w:spacing w:before="0" w:after="28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1</w:t>
      </w:r>
      <w:bookmarkEnd w:id="1619"/>
      <w:r>
        <w:rPr>
          <w:color w:val="000000"/>
          <w:spacing w:val="0"/>
          <w:w w:val="100"/>
          <w:position w:val="0"/>
        </w:rPr>
        <w:t>、</w:t>
        <w:tab/>
        <w:t>股份支付总体情况</w:t>
      </w:r>
      <w:bookmarkEnd w:id="1617"/>
      <w:bookmarkEnd w:id="1618"/>
      <w:bookmarkEnd w:id="1620"/>
    </w:p>
    <w:p>
      <w:pPr>
        <w:pStyle w:val="Style33"/>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28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2</w:t>
      </w:r>
      <w:bookmarkEnd w:id="1623"/>
      <w:r>
        <w:rPr>
          <w:color w:val="000000"/>
          <w:spacing w:val="0"/>
          <w:w w:val="100"/>
          <w:position w:val="0"/>
        </w:rPr>
        <w:t>、</w:t>
        <w:tab/>
        <w:t>以权益结算的股份支付情况</w:t>
      </w:r>
      <w:bookmarkEnd w:id="1621"/>
      <w:bookmarkEnd w:id="1622"/>
      <w:bookmarkEnd w:id="1624"/>
    </w:p>
    <w:p>
      <w:pPr>
        <w:pStyle w:val="Style33"/>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28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3</w:t>
      </w:r>
      <w:bookmarkEnd w:id="1627"/>
      <w:r>
        <w:rPr>
          <w:color w:val="000000"/>
          <w:spacing w:val="0"/>
          <w:w w:val="100"/>
          <w:position w:val="0"/>
        </w:rPr>
        <w:t>、</w:t>
        <w:tab/>
        <w:t>以现金结算的股份支付情况</w:t>
      </w:r>
      <w:bookmarkEnd w:id="1625"/>
      <w:bookmarkEnd w:id="1626"/>
      <w:bookmarkEnd w:id="1628"/>
    </w:p>
    <w:p>
      <w:pPr>
        <w:pStyle w:val="Style33"/>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280" w:line="240"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4</w:t>
      </w:r>
      <w:bookmarkEnd w:id="1631"/>
      <w:r>
        <w:rPr>
          <w:color w:val="000000"/>
          <w:spacing w:val="0"/>
          <w:w w:val="100"/>
          <w:position w:val="0"/>
        </w:rPr>
        <w:t>、</w:t>
        <w:tab/>
        <w:t>股份支付的修改、终止情况</w:t>
      </w:r>
      <w:bookmarkEnd w:id="1629"/>
      <w:bookmarkEnd w:id="1630"/>
      <w:bookmarkEnd w:id="1632"/>
    </w:p>
    <w:p>
      <w:pPr>
        <w:pStyle w:val="Style33"/>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1633" w:name="bookmark1633"/>
      <w:bookmarkStart w:id="1634" w:name="bookmark1634"/>
      <w:bookmarkStart w:id="1635" w:name="bookmark1635"/>
      <w:r>
        <w:rPr>
          <w:color w:val="000000"/>
          <w:spacing w:val="0"/>
          <w:w w:val="100"/>
          <w:position w:val="0"/>
          <w:sz w:val="24"/>
          <w:szCs w:val="24"/>
        </w:rPr>
        <w:t>十四、承诺及或有事项</w:t>
      </w:r>
      <w:bookmarkEnd w:id="1633"/>
      <w:bookmarkEnd w:id="1634"/>
      <w:bookmarkEnd w:id="1635"/>
    </w:p>
    <w:p>
      <w:pPr>
        <w:pStyle w:val="Style37"/>
        <w:keepNext/>
        <w:keepLines/>
        <w:widowControl w:val="0"/>
        <w:shd w:val="clear" w:color="auto" w:fill="auto"/>
        <w:tabs>
          <w:tab w:pos="368" w:val="left"/>
        </w:tabs>
        <w:bidi w:val="0"/>
        <w:spacing w:before="0" w:after="28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1</w:t>
      </w:r>
      <w:bookmarkEnd w:id="1638"/>
      <w:r>
        <w:rPr>
          <w:color w:val="000000"/>
          <w:spacing w:val="0"/>
          <w:w w:val="100"/>
          <w:position w:val="0"/>
        </w:rPr>
        <w:t>、</w:t>
        <w:tab/>
        <w:t>重要承诺事项</w:t>
      </w:r>
      <w:bookmarkEnd w:id="1636"/>
      <w:bookmarkEnd w:id="1637"/>
      <w:bookmarkEnd w:id="1639"/>
    </w:p>
    <w:p>
      <w:pPr>
        <w:pStyle w:val="Style33"/>
        <w:keepNext w:val="0"/>
        <w:keepLines w:val="0"/>
        <w:widowControl w:val="0"/>
        <w:shd w:val="clear" w:color="auto" w:fill="auto"/>
        <w:bidi w:val="0"/>
        <w:spacing w:before="0" w:after="40" w:line="314" w:lineRule="exact"/>
        <w:ind w:left="0" w:right="0" w:firstLine="0"/>
        <w:jc w:val="left"/>
      </w:pPr>
      <w:r>
        <w:rPr>
          <w:color w:val="000000"/>
          <w:spacing w:val="0"/>
          <w:w w:val="100"/>
          <w:position w:val="0"/>
        </w:rPr>
        <w:t>资产负债表日存在的重要承诺</w:t>
      </w:r>
    </w:p>
    <w:p>
      <w:pPr>
        <w:pStyle w:val="Style33"/>
        <w:keepNext w:val="0"/>
        <w:keepLines w:val="0"/>
        <w:widowControl w:val="0"/>
        <w:shd w:val="clear" w:color="auto" w:fill="auto"/>
        <w:bidi w:val="0"/>
        <w:spacing w:before="0" w:after="700" w:line="314"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日，本公司不存在其他应披露的承诺事项。</w:t>
      </w:r>
    </w:p>
    <w:p>
      <w:pPr>
        <w:pStyle w:val="Style37"/>
        <w:keepNext/>
        <w:keepLines/>
        <w:widowControl w:val="0"/>
        <w:shd w:val="clear" w:color="auto" w:fill="auto"/>
        <w:tabs>
          <w:tab w:pos="378" w:val="left"/>
        </w:tabs>
        <w:bidi w:val="0"/>
        <w:spacing w:before="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2</w:t>
      </w:r>
      <w:bookmarkEnd w:id="1642"/>
      <w:r>
        <w:rPr>
          <w:color w:val="000000"/>
          <w:spacing w:val="0"/>
          <w:w w:val="100"/>
          <w:position w:val="0"/>
        </w:rPr>
        <w:t>、</w:t>
        <w:tab/>
        <w:t>或有事项</w:t>
      </w:r>
      <w:bookmarkEnd w:id="1640"/>
      <w:bookmarkEnd w:id="1641"/>
      <w:bookmarkEnd w:id="1643"/>
    </w:p>
    <w:p>
      <w:pPr>
        <w:pStyle w:val="Style37"/>
        <w:keepNext/>
        <w:keepLines/>
        <w:widowControl w:val="0"/>
        <w:shd w:val="clear" w:color="auto" w:fill="auto"/>
        <w:bidi w:val="0"/>
        <w:spacing w:before="0" w:after="280" w:line="240" w:lineRule="auto"/>
        <w:ind w:left="0" w:right="0" w:firstLine="0"/>
        <w:jc w:val="left"/>
      </w:pPr>
      <w:bookmarkStart w:id="1640" w:name="bookmark1640"/>
      <w:bookmarkStart w:id="1641" w:name="bookmark1641"/>
      <w:bookmarkStart w:id="1644" w:name="bookmark16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640"/>
      <w:bookmarkEnd w:id="1641"/>
      <w:bookmarkEnd w:id="1644"/>
    </w:p>
    <w:p>
      <w:pPr>
        <w:pStyle w:val="Style33"/>
        <w:keepNext w:val="0"/>
        <w:keepLines w:val="0"/>
        <w:widowControl w:val="0"/>
        <w:shd w:val="clear" w:color="auto" w:fill="auto"/>
        <w:bidi w:val="0"/>
        <w:spacing w:before="0" w:after="40" w:line="314" w:lineRule="exact"/>
        <w:ind w:left="0" w:right="0"/>
        <w:jc w:val="both"/>
      </w:pPr>
      <w:r>
        <w:rPr>
          <w:color w:val="000000"/>
          <w:spacing w:val="0"/>
          <w:w w:val="100"/>
          <w:position w:val="0"/>
        </w:rPr>
        <w:t>未决诉讼或仲裁形成的或有事项及其财务影响</w:t>
      </w:r>
    </w:p>
    <w:p>
      <w:pPr>
        <w:pStyle w:val="Style33"/>
        <w:keepNext w:val="0"/>
        <w:keepLines w:val="0"/>
        <w:widowControl w:val="0"/>
        <w:shd w:val="clear" w:color="auto" w:fill="auto"/>
        <w:tabs>
          <w:tab w:pos="714" w:val="left"/>
        </w:tabs>
        <w:bidi w:val="0"/>
        <w:spacing w:before="0" w:after="40" w:line="314" w:lineRule="exact"/>
        <w:ind w:left="0" w:right="0"/>
        <w:jc w:val="both"/>
      </w:pPr>
      <w:bookmarkStart w:id="1645" w:name="bookmark1645"/>
      <w:r>
        <w:rPr>
          <w:rFonts w:ascii="Times New Roman" w:eastAsia="Times New Roman" w:hAnsi="Times New Roman" w:cs="Times New Roman"/>
          <w:color w:val="000000"/>
          <w:spacing w:val="0"/>
          <w:w w:val="100"/>
          <w:position w:val="0"/>
        </w:rPr>
        <w:t>1</w:t>
      </w:r>
      <w:bookmarkEnd w:id="1645"/>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月，广州赤星信息科技有限公司因上海旭梅网络科技有限公司（以下简称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旭梅网络</w:t>
      </w:r>
      <w:r>
        <w:rPr>
          <w:rFonts w:ascii="Times New Roman" w:eastAsia="Times New Roman" w:hAnsi="Times New Roman" w:cs="Times New Roman"/>
          <w:color w:val="000000"/>
          <w:spacing w:val="0"/>
          <w:w w:val="100"/>
          <w:position w:val="0"/>
        </w:rPr>
        <w:t>”</w:t>
      </w:r>
      <w:r>
        <w:rPr>
          <w:color w:val="000000"/>
          <w:spacing w:val="0"/>
          <w:w w:val="100"/>
          <w:position w:val="0"/>
        </w:rPr>
        <w:t>）和上海聚市网络科技 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聚市网络</w:t>
      </w:r>
      <w:r>
        <w:rPr>
          <w:rFonts w:ascii="Times New Roman" w:eastAsia="Times New Roman" w:hAnsi="Times New Roman" w:cs="Times New Roman"/>
          <w:color w:val="000000"/>
          <w:spacing w:val="0"/>
          <w:w w:val="100"/>
          <w:position w:val="0"/>
        </w:rPr>
        <w:t>”</w:t>
      </w:r>
      <w:r>
        <w:rPr>
          <w:color w:val="000000"/>
          <w:spacing w:val="0"/>
          <w:w w:val="100"/>
          <w:position w:val="0"/>
        </w:rPr>
        <w:t>）拖欠绝世武林游戏分成款，将旭梅网络和聚市网络诉至广州知识产权法院，诉请旭梅网络 和聚市网络支付自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日暂计至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日的欠付分成款</w:t>
      </w:r>
      <w:r>
        <w:rPr>
          <w:rFonts w:ascii="Times New Roman" w:eastAsia="Times New Roman" w:hAnsi="Times New Roman" w:cs="Times New Roman"/>
          <w:color w:val="000000"/>
          <w:spacing w:val="0"/>
          <w:w w:val="100"/>
          <w:position w:val="0"/>
        </w:rPr>
        <w:t>113,380,835.25</w:t>
      </w:r>
      <w:r>
        <w:rPr>
          <w:color w:val="000000"/>
          <w:spacing w:val="0"/>
          <w:w w:val="100"/>
          <w:position w:val="0"/>
        </w:rPr>
        <w:t>元。同时申请法院冻结了旭梅网络银行账 户资金</w:t>
      </w:r>
      <w:r>
        <w:rPr>
          <w:rFonts w:ascii="Times New Roman" w:eastAsia="Times New Roman" w:hAnsi="Times New Roman" w:cs="Times New Roman"/>
          <w:color w:val="000000"/>
          <w:spacing w:val="0"/>
          <w:w w:val="100"/>
          <w:position w:val="0"/>
        </w:rPr>
        <w:t>113,380,835.25</w:t>
      </w:r>
      <w:r>
        <w:rPr>
          <w:color w:val="000000"/>
          <w:spacing w:val="0"/>
          <w:w w:val="100"/>
          <w:position w:val="0"/>
        </w:rPr>
        <w:t>元，截至资产负债表日实际冻结金额</w:t>
      </w:r>
      <w:r>
        <w:rPr>
          <w:rFonts w:ascii="Times New Roman" w:eastAsia="Times New Roman" w:hAnsi="Times New Roman" w:cs="Times New Roman"/>
          <w:color w:val="000000"/>
          <w:spacing w:val="0"/>
          <w:w w:val="100"/>
          <w:position w:val="0"/>
        </w:rPr>
        <w:t>17,931,961.17</w:t>
      </w:r>
      <w:r>
        <w:rPr>
          <w:color w:val="000000"/>
          <w:spacing w:val="0"/>
          <w:w w:val="100"/>
          <w:position w:val="0"/>
        </w:rPr>
        <w:t>元。因管辖权问题，广州知识产权法院于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w:t>
      </w:r>
      <w:r>
        <w:rPr>
          <w:color w:val="000000"/>
          <w:spacing w:val="0"/>
          <w:w w:val="100"/>
          <w:position w:val="0"/>
        </w:rPr>
        <w:t>日将案件裁定移送广东省高级人民法院。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日广东省高级人民法院立案，于</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日向旭梅网络发出应诉通知书， 截至本财务报告批准报出日，广东省高级人民法院尚未开庭审理。</w:t>
      </w:r>
    </w:p>
    <w:p>
      <w:pPr>
        <w:pStyle w:val="Style33"/>
        <w:keepNext w:val="0"/>
        <w:keepLines w:val="0"/>
        <w:widowControl w:val="0"/>
        <w:shd w:val="clear" w:color="auto" w:fill="auto"/>
        <w:tabs>
          <w:tab w:pos="704" w:val="left"/>
        </w:tabs>
        <w:bidi w:val="0"/>
        <w:spacing w:before="0" w:after="320" w:line="313" w:lineRule="exact"/>
        <w:ind w:left="0" w:right="0"/>
        <w:jc w:val="both"/>
      </w:pPr>
      <w:bookmarkStart w:id="1646" w:name="bookmark1646"/>
      <w:r>
        <w:rPr>
          <w:rFonts w:ascii="Times New Roman" w:eastAsia="Times New Roman" w:hAnsi="Times New Roman" w:cs="Times New Roman"/>
          <w:color w:val="000000"/>
          <w:spacing w:val="0"/>
          <w:w w:val="100"/>
          <w:position w:val="0"/>
        </w:rPr>
        <w:t>2</w:t>
      </w:r>
      <w:bookmarkEnd w:id="1646"/>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月，广州天拓网络技术有限公司（以下简称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广州天拓</w:t>
      </w:r>
      <w:r>
        <w:rPr>
          <w:rFonts w:ascii="Times New Roman" w:eastAsia="Times New Roman" w:hAnsi="Times New Roman" w:cs="Times New Roman"/>
          <w:color w:val="000000"/>
          <w:spacing w:val="0"/>
          <w:w w:val="100"/>
          <w:position w:val="0"/>
        </w:rPr>
        <w:t>”</w:t>
      </w:r>
      <w:r>
        <w:rPr>
          <w:color w:val="000000"/>
          <w:spacing w:val="0"/>
          <w:w w:val="100"/>
          <w:position w:val="0"/>
        </w:rPr>
        <w:t>）因哆可梦拖欠信息服务费，将哆可梦诉至广州市 天河区中级人民法院，诉请哆可梦支付信息服务费</w:t>
      </w:r>
      <w:r>
        <w:rPr>
          <w:rFonts w:ascii="Times New Roman" w:eastAsia="Times New Roman" w:hAnsi="Times New Roman" w:cs="Times New Roman"/>
          <w:color w:val="000000"/>
          <w:spacing w:val="0"/>
          <w:w w:val="100"/>
          <w:position w:val="0"/>
        </w:rPr>
        <w:t>15,210,000.00</w:t>
      </w:r>
      <w:r>
        <w:rPr>
          <w:color w:val="000000"/>
          <w:spacing w:val="0"/>
          <w:w w:val="100"/>
          <w:position w:val="0"/>
        </w:rPr>
        <w:t>元，同时申请法院冻结了哆可梦银行账户资金</w:t>
      </w:r>
      <w:r>
        <w:rPr>
          <w:rFonts w:ascii="Times New Roman" w:eastAsia="Times New Roman" w:hAnsi="Times New Roman" w:cs="Times New Roman"/>
          <w:color w:val="000000"/>
          <w:spacing w:val="0"/>
          <w:w w:val="100"/>
          <w:position w:val="0"/>
        </w:rPr>
        <w:t xml:space="preserve">15,600,310.00 </w:t>
      </w:r>
      <w:r>
        <w:rPr>
          <w:color w:val="000000"/>
          <w:spacing w:val="0"/>
          <w:w w:val="100"/>
          <w:position w:val="0"/>
        </w:rPr>
        <w:t>元，截止资产负债表日实际冻结金额</w:t>
      </w:r>
      <w:r>
        <w:rPr>
          <w:rFonts w:ascii="Times New Roman" w:eastAsia="Times New Roman" w:hAnsi="Times New Roman" w:cs="Times New Roman"/>
          <w:color w:val="000000"/>
          <w:spacing w:val="0"/>
          <w:w w:val="100"/>
          <w:position w:val="0"/>
        </w:rPr>
        <w:t>1,910,228.53</w:t>
      </w:r>
      <w:r>
        <w:rPr>
          <w:color w:val="000000"/>
          <w:spacing w:val="0"/>
          <w:w w:val="100"/>
          <w:position w:val="0"/>
        </w:rPr>
        <w:t>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日收到广州市天河区法院的传票要求</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日到庭应 诉。截止本财务报表批准报出日，哆可梦已向广州市天河区人民法院提出管辖权异议，新的开庭日期尚未确定。哆可梦账面 已记录相应的应付账款，无需计提预计负债。</w:t>
      </w:r>
    </w:p>
    <w:p>
      <w:pPr>
        <w:pStyle w:val="Style33"/>
        <w:keepNext w:val="0"/>
        <w:keepLines w:val="0"/>
        <w:widowControl w:val="0"/>
        <w:shd w:val="clear" w:color="auto" w:fill="auto"/>
        <w:tabs>
          <w:tab w:pos="644" w:val="left"/>
        </w:tabs>
        <w:bidi w:val="0"/>
        <w:spacing w:before="0" w:after="40" w:line="311" w:lineRule="exact"/>
        <w:ind w:left="0" w:right="0"/>
        <w:jc w:val="both"/>
      </w:pPr>
      <w:bookmarkStart w:id="1647" w:name="bookmark1647"/>
      <w:r>
        <w:rPr>
          <w:rFonts w:ascii="Times New Roman" w:eastAsia="Times New Roman" w:hAnsi="Times New Roman" w:cs="Times New Roman"/>
          <w:color w:val="000000"/>
          <w:spacing w:val="0"/>
          <w:w w:val="100"/>
          <w:position w:val="0"/>
        </w:rPr>
        <w:t>3</w:t>
      </w:r>
      <w:bookmarkEnd w:id="1647"/>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月，广州君海网络科技有限公司（以下简称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广州君海</w:t>
      </w:r>
      <w:r>
        <w:rPr>
          <w:rFonts w:ascii="Times New Roman" w:eastAsia="Times New Roman" w:hAnsi="Times New Roman" w:cs="Times New Roman"/>
          <w:color w:val="000000"/>
          <w:spacing w:val="0"/>
          <w:w w:val="100"/>
          <w:position w:val="0"/>
        </w:rPr>
        <w:t>”</w:t>
      </w:r>
      <w:r>
        <w:rPr>
          <w:color w:val="000000"/>
          <w:spacing w:val="0"/>
          <w:w w:val="100"/>
          <w:position w:val="0"/>
        </w:rPr>
        <w:t>）因旭梅网络和哆可梦、公司子公司上海季娱网络 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季娱网络</w:t>
      </w:r>
      <w:r>
        <w:rPr>
          <w:rFonts w:ascii="Times New Roman" w:eastAsia="Times New Roman" w:hAnsi="Times New Roman" w:cs="Times New Roman"/>
          <w:color w:val="000000"/>
          <w:spacing w:val="0"/>
          <w:w w:val="100"/>
          <w:position w:val="0"/>
        </w:rPr>
        <w:t>”</w:t>
      </w:r>
      <w:r>
        <w:rPr>
          <w:color w:val="000000"/>
          <w:spacing w:val="0"/>
          <w:w w:val="100"/>
          <w:position w:val="0"/>
        </w:rPr>
        <w:t>）拖欠太古封魔录游戏分成款的原因，将旭梅网络与哆可梦、季娱网络诉至广州知识产 权法院，诉请旭梅网络和哆可梦支付分成款</w:t>
      </w:r>
      <w:r>
        <w:rPr>
          <w:rFonts w:ascii="Times New Roman" w:eastAsia="Times New Roman" w:hAnsi="Times New Roman" w:cs="Times New Roman"/>
          <w:color w:val="000000"/>
          <w:spacing w:val="0"/>
          <w:w w:val="100"/>
          <w:position w:val="0"/>
        </w:rPr>
        <w:t>11,969,036.12</w:t>
      </w:r>
      <w:r>
        <w:rPr>
          <w:color w:val="000000"/>
          <w:spacing w:val="0"/>
          <w:w w:val="100"/>
          <w:position w:val="0"/>
        </w:rPr>
        <w:t>元，诉请季娱网络支付分成款</w:t>
      </w:r>
      <w:r>
        <w:rPr>
          <w:rFonts w:ascii="Times New Roman" w:eastAsia="Times New Roman" w:hAnsi="Times New Roman" w:cs="Times New Roman"/>
          <w:color w:val="000000"/>
          <w:spacing w:val="0"/>
          <w:w w:val="100"/>
          <w:position w:val="0"/>
        </w:rPr>
        <w:t>3,434,416.53</w:t>
      </w:r>
      <w:r>
        <w:rPr>
          <w:color w:val="000000"/>
          <w:spacing w:val="0"/>
          <w:w w:val="100"/>
          <w:position w:val="0"/>
        </w:rPr>
        <w:t>元。旭梅网络与哆可梦、 季娱网络于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日收到应诉通知书及财产保全通知书，广州君海申请冻结了哆可梦银行账户</w:t>
      </w:r>
      <w:r>
        <w:rPr>
          <w:rFonts w:ascii="Times New Roman" w:eastAsia="Times New Roman" w:hAnsi="Times New Roman" w:cs="Times New Roman"/>
          <w:color w:val="000000"/>
          <w:spacing w:val="0"/>
          <w:w w:val="100"/>
          <w:position w:val="0"/>
        </w:rPr>
        <w:t>11,969,036.12</w:t>
      </w:r>
      <w:r>
        <w:rPr>
          <w:color w:val="000000"/>
          <w:spacing w:val="0"/>
          <w:w w:val="100"/>
          <w:position w:val="0"/>
        </w:rPr>
        <w:t>元、季娱 网络银行账户</w:t>
      </w:r>
      <w:r>
        <w:rPr>
          <w:rFonts w:ascii="Times New Roman" w:eastAsia="Times New Roman" w:hAnsi="Times New Roman" w:cs="Times New Roman"/>
          <w:color w:val="000000"/>
          <w:spacing w:val="0"/>
          <w:w w:val="100"/>
          <w:position w:val="0"/>
        </w:rPr>
        <w:t>3,434,416.53</w:t>
      </w:r>
      <w:r>
        <w:rPr>
          <w:color w:val="000000"/>
          <w:spacing w:val="0"/>
          <w:w w:val="100"/>
          <w:position w:val="0"/>
        </w:rPr>
        <w:t>元。</w:t>
      </w:r>
    </w:p>
    <w:p>
      <w:pPr>
        <w:pStyle w:val="Style33"/>
        <w:keepNext w:val="0"/>
        <w:keepLines w:val="0"/>
        <w:widowControl w:val="0"/>
        <w:shd w:val="clear" w:color="auto" w:fill="auto"/>
        <w:bidi w:val="0"/>
        <w:spacing w:before="0" w:after="40" w:line="307" w:lineRule="exact"/>
        <w:ind w:left="0" w:right="0"/>
        <w:jc w:val="both"/>
      </w:pPr>
      <w:r>
        <w:rPr>
          <w:color w:val="000000"/>
          <w:spacing w:val="0"/>
          <w:w w:val="100"/>
          <w:position w:val="0"/>
        </w:rPr>
        <w:t>哆可梦作为旭梅网络的唯一股东，被旭梅网络的诉讼案件连带冻结的金额为</w:t>
      </w:r>
      <w:r>
        <w:rPr>
          <w:rFonts w:ascii="Times New Roman" w:eastAsia="Times New Roman" w:hAnsi="Times New Roman" w:cs="Times New Roman"/>
          <w:color w:val="000000"/>
          <w:spacing w:val="0"/>
          <w:w w:val="100"/>
          <w:position w:val="0"/>
        </w:rPr>
        <w:t>133,078,157.3</w:t>
      </w:r>
      <w:r>
        <w:rPr>
          <w:rFonts w:ascii="Times New Roman" w:eastAsia="Times New Roman" w:hAnsi="Times New Roman" w:cs="Times New Roman"/>
          <w:color w:val="000000"/>
          <w:spacing w:val="0"/>
          <w:w w:val="100"/>
          <w:position w:val="0"/>
        </w:rPr>
        <w:t>0</w:t>
      </w:r>
      <w:r>
        <w:rPr>
          <w:color w:val="000000"/>
          <w:spacing w:val="0"/>
          <w:w w:val="100"/>
          <w:position w:val="0"/>
        </w:rPr>
        <w:t>元，截至资产负债表日实际 冻结金额为</w:t>
      </w:r>
      <w:r>
        <w:rPr>
          <w:rFonts w:ascii="Times New Roman" w:eastAsia="Times New Roman" w:hAnsi="Times New Roman" w:cs="Times New Roman"/>
          <w:color w:val="000000"/>
          <w:spacing w:val="0"/>
          <w:w w:val="100"/>
          <w:position w:val="0"/>
        </w:rPr>
        <w:t>434,952.34</w:t>
      </w:r>
      <w:r>
        <w:rPr>
          <w:color w:val="000000"/>
          <w:spacing w:val="0"/>
          <w:w w:val="100"/>
          <w:position w:val="0"/>
        </w:rPr>
        <w:t>元。</w:t>
      </w:r>
    </w:p>
    <w:p>
      <w:pPr>
        <w:pStyle w:val="Style33"/>
        <w:keepNext w:val="0"/>
        <w:keepLines w:val="0"/>
        <w:widowControl w:val="0"/>
        <w:shd w:val="clear" w:color="auto" w:fill="auto"/>
        <w:tabs>
          <w:tab w:pos="649" w:val="left"/>
        </w:tabs>
        <w:bidi w:val="0"/>
        <w:spacing w:before="0" w:after="40" w:line="312" w:lineRule="exact"/>
        <w:ind w:left="0" w:right="0"/>
        <w:jc w:val="both"/>
      </w:pPr>
      <w:bookmarkStart w:id="1648" w:name="bookmark1648"/>
      <w:r>
        <w:rPr>
          <w:rFonts w:ascii="Times New Roman" w:eastAsia="Times New Roman" w:hAnsi="Times New Roman" w:cs="Times New Roman"/>
          <w:color w:val="000000"/>
          <w:spacing w:val="0"/>
          <w:w w:val="100"/>
          <w:position w:val="0"/>
        </w:rPr>
        <w:t>4</w:t>
      </w:r>
      <w:bookmarkEnd w:id="1648"/>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月，因证券虚假陈述责任纠纷，公司全资子公司喀什中汇联银向湖南省长沙市中级人民法院起诉中兵红箭股 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中兵红箭</w:t>
      </w:r>
      <w:r>
        <w:rPr>
          <w:rFonts w:ascii="Times New Roman" w:eastAsia="Times New Roman" w:hAnsi="Times New Roman" w:cs="Times New Roman"/>
          <w:color w:val="000000"/>
          <w:spacing w:val="0"/>
          <w:w w:val="100"/>
          <w:position w:val="0"/>
        </w:rPr>
        <w:t>”</w:t>
      </w:r>
      <w:r>
        <w:rPr>
          <w:color w:val="000000"/>
          <w:spacing w:val="0"/>
          <w:w w:val="100"/>
          <w:position w:val="0"/>
        </w:rPr>
        <w:t>），要求中兵红箭赔偿喀什中汇联银的投资损失，并承担本案全部诉讼费用，涉诉金额总 计</w:t>
      </w:r>
      <w:r>
        <w:rPr>
          <w:rFonts w:ascii="Times New Roman" w:eastAsia="Times New Roman" w:hAnsi="Times New Roman" w:cs="Times New Roman"/>
          <w:color w:val="000000"/>
          <w:spacing w:val="0"/>
          <w:w w:val="100"/>
          <w:position w:val="0"/>
        </w:rPr>
        <w:t>2,408.65</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日，湖南省长沙市中级人民法院出具了（</w:t>
      </w:r>
      <w:r>
        <w:rPr>
          <w:rFonts w:ascii="Times New Roman" w:eastAsia="Times New Roman" w:hAnsi="Times New Roman" w:cs="Times New Roman"/>
          <w:color w:val="000000"/>
          <w:spacing w:val="0"/>
          <w:w w:val="100"/>
          <w:position w:val="0"/>
        </w:rPr>
        <w:t>2020</w:t>
      </w:r>
      <w:r>
        <w:rPr>
          <w:color w:val="000000"/>
          <w:spacing w:val="0"/>
          <w:w w:val="100"/>
          <w:position w:val="0"/>
        </w:rPr>
        <w:t>）湘</w:t>
      </w:r>
      <w:r>
        <w:rPr>
          <w:rFonts w:ascii="Times New Roman" w:eastAsia="Times New Roman" w:hAnsi="Times New Roman" w:cs="Times New Roman"/>
          <w:color w:val="000000"/>
          <w:spacing w:val="0"/>
          <w:w w:val="100"/>
          <w:position w:val="0"/>
        </w:rPr>
        <w:t>01</w:t>
      </w:r>
      <w:r>
        <w:rPr>
          <w:color w:val="000000"/>
          <w:spacing w:val="0"/>
          <w:w w:val="100"/>
          <w:position w:val="0"/>
        </w:rPr>
        <w:t>民初</w:t>
      </w:r>
      <w:r>
        <w:rPr>
          <w:rFonts w:ascii="Times New Roman" w:eastAsia="Times New Roman" w:hAnsi="Times New Roman" w:cs="Times New Roman"/>
          <w:color w:val="000000"/>
          <w:spacing w:val="0"/>
          <w:w w:val="100"/>
          <w:position w:val="0"/>
        </w:rPr>
        <w:t>1781</w:t>
      </w:r>
      <w:r>
        <w:rPr>
          <w:color w:val="000000"/>
          <w:spacing w:val="0"/>
          <w:w w:val="100"/>
          <w:position w:val="0"/>
        </w:rPr>
        <w:t>号的一审判决，判令中兵红箭 向原告喀什中汇联银支付投资差额损失、佣金、印花税、利息共计</w:t>
      </w:r>
      <w:r>
        <w:rPr>
          <w:rFonts w:ascii="Times New Roman" w:eastAsia="Times New Roman" w:hAnsi="Times New Roman" w:cs="Times New Roman"/>
          <w:color w:val="000000"/>
          <w:spacing w:val="0"/>
          <w:w w:val="100"/>
          <w:position w:val="0"/>
        </w:rPr>
        <w:t>1,473.86</w:t>
      </w:r>
      <w:r>
        <w:rPr>
          <w:color w:val="000000"/>
          <w:spacing w:val="0"/>
          <w:w w:val="100"/>
          <w:position w:val="0"/>
        </w:rPr>
        <w:t>万元，本案案件受理费</w:t>
      </w:r>
      <w:r>
        <w:rPr>
          <w:rFonts w:ascii="Times New Roman" w:eastAsia="Times New Roman" w:hAnsi="Times New Roman" w:cs="Times New Roman"/>
          <w:color w:val="000000"/>
          <w:spacing w:val="0"/>
          <w:w w:val="100"/>
          <w:position w:val="0"/>
        </w:rPr>
        <w:t>16.14</w:t>
      </w:r>
      <w:r>
        <w:rPr>
          <w:color w:val="000000"/>
          <w:spacing w:val="0"/>
          <w:w w:val="100"/>
          <w:position w:val="0"/>
        </w:rPr>
        <w:t>万元，由原告喀什中 汇联银承担</w:t>
      </w:r>
      <w:r>
        <w:rPr>
          <w:rFonts w:ascii="Times New Roman" w:eastAsia="Times New Roman" w:hAnsi="Times New Roman" w:cs="Times New Roman"/>
          <w:color w:val="000000"/>
          <w:spacing w:val="0"/>
          <w:w w:val="100"/>
          <w:position w:val="0"/>
        </w:rPr>
        <w:t>6.20</w:t>
      </w:r>
      <w:r>
        <w:rPr>
          <w:color w:val="000000"/>
          <w:spacing w:val="0"/>
          <w:w w:val="100"/>
          <w:position w:val="0"/>
        </w:rPr>
        <w:t>万元，由被告中兵红箭承担</w:t>
      </w:r>
      <w:r>
        <w:rPr>
          <w:rFonts w:ascii="Times New Roman" w:eastAsia="Times New Roman" w:hAnsi="Times New Roman" w:cs="Times New Roman"/>
          <w:color w:val="000000"/>
          <w:spacing w:val="0"/>
          <w:w w:val="100"/>
          <w:position w:val="0"/>
        </w:rPr>
        <w:t>9.94</w:t>
      </w:r>
      <w:r>
        <w:rPr>
          <w:color w:val="000000"/>
          <w:spacing w:val="0"/>
          <w:w w:val="100"/>
          <w:position w:val="0"/>
        </w:rPr>
        <w:t>万元。</w:t>
      </w:r>
    </w:p>
    <w:p>
      <w:pPr>
        <w:pStyle w:val="Style33"/>
        <w:keepNext w:val="0"/>
        <w:keepLines w:val="0"/>
        <w:widowControl w:val="0"/>
        <w:shd w:val="clear" w:color="auto" w:fill="auto"/>
        <w:bidi w:val="0"/>
        <w:spacing w:before="0" w:after="40" w:line="307" w:lineRule="exact"/>
        <w:ind w:left="0" w:right="0"/>
        <w:jc w:val="both"/>
      </w:pPr>
      <w:r>
        <w:rPr>
          <w:color w:val="000000"/>
          <w:spacing w:val="0"/>
          <w:w w:val="100"/>
          <w:position w:val="0"/>
        </w:rPr>
        <w:t>一审判决后，喀什中汇联银及中兵红箭均不服一审民事判决，喀什中汇联银于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日向湖南省高级人民法院提 起上诉。上述事项已进入受理程序，但尚未开庭审理和判决。</w:t>
      </w:r>
    </w:p>
    <w:p>
      <w:pPr>
        <w:pStyle w:val="Style33"/>
        <w:keepNext w:val="0"/>
        <w:keepLines w:val="0"/>
        <w:widowControl w:val="0"/>
        <w:shd w:val="clear" w:color="auto" w:fill="auto"/>
        <w:tabs>
          <w:tab w:pos="658" w:val="left"/>
        </w:tabs>
        <w:bidi w:val="0"/>
        <w:spacing w:before="0" w:after="360" w:line="313" w:lineRule="exact"/>
        <w:ind w:left="0" w:right="0"/>
        <w:jc w:val="both"/>
      </w:pPr>
      <w:bookmarkStart w:id="1649" w:name="bookmark1649"/>
      <w:r>
        <w:rPr>
          <w:rFonts w:ascii="Times New Roman" w:eastAsia="Times New Roman" w:hAnsi="Times New Roman" w:cs="Times New Roman"/>
          <w:color w:val="000000"/>
          <w:spacing w:val="0"/>
          <w:w w:val="100"/>
          <w:position w:val="0"/>
        </w:rPr>
        <w:t>5</w:t>
      </w:r>
      <w:bookmarkEnd w:id="1649"/>
      <w:r>
        <w:rPr>
          <w:color w:val="000000"/>
          <w:spacing w:val="0"/>
          <w:w w:val="100"/>
          <w:position w:val="0"/>
        </w:rPr>
        <w:t>、</w:t>
        <w:tab/>
        <w:t>上海旭梅因广州热血信息技术有限公司（以下简称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广州热血</w:t>
      </w:r>
      <w:r>
        <w:rPr>
          <w:rFonts w:ascii="Times New Roman" w:eastAsia="Times New Roman" w:hAnsi="Times New Roman" w:cs="Times New Roman"/>
          <w:color w:val="000000"/>
          <w:spacing w:val="0"/>
          <w:w w:val="100"/>
          <w:position w:val="0"/>
        </w:rPr>
        <w:t>”</w:t>
      </w:r>
      <w:r>
        <w:rPr>
          <w:color w:val="000000"/>
          <w:spacing w:val="0"/>
          <w:w w:val="100"/>
          <w:position w:val="0"/>
        </w:rPr>
        <w:t>）拖欠绝世武林游戏分成款的原因，将广州热血诉至 广州仲裁委员会，诉请广州热血支付</w:t>
      </w:r>
      <w:r>
        <w:rPr>
          <w:rFonts w:ascii="Times New Roman" w:eastAsia="Times New Roman" w:hAnsi="Times New Roman" w:cs="Times New Roman"/>
          <w:color w:val="000000"/>
          <w:spacing w:val="0"/>
          <w:w w:val="100"/>
          <w:position w:val="0"/>
        </w:rPr>
        <w:t>4,575,840.00</w:t>
      </w:r>
      <w:r>
        <w:rPr>
          <w:color w:val="000000"/>
          <w:spacing w:val="0"/>
          <w:w w:val="100"/>
          <w:position w:val="0"/>
        </w:rPr>
        <w:t>元游戏分成款以及承担诉讼引起的律师费</w:t>
      </w:r>
      <w:r>
        <w:rPr>
          <w:rFonts w:ascii="Times New Roman" w:eastAsia="Times New Roman" w:hAnsi="Times New Roman" w:cs="Times New Roman"/>
          <w:color w:val="000000"/>
          <w:spacing w:val="0"/>
          <w:w w:val="100"/>
          <w:position w:val="0"/>
        </w:rPr>
        <w:t>50,000.00</w:t>
      </w:r>
      <w:r>
        <w:rPr>
          <w:color w:val="000000"/>
          <w:spacing w:val="0"/>
          <w:w w:val="100"/>
          <w:position w:val="0"/>
        </w:rPr>
        <w:t>元并承担诉讼受理费、 执行费用、保全费用、诉讼保全担保函费用。广州热血以仲裁协议无效为由诉至广州市中级人民法院，但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日广 州市中级人民法院作出裁定驳回广州热血的诉讼请求。目前案件移送广州仲裁委员会预计于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日开庭审理。公司 账面已记录相应的应收账款。</w:t>
      </w:r>
    </w:p>
    <w:p>
      <w:pPr>
        <w:pStyle w:val="Style37"/>
        <w:keepNext/>
        <w:keepLines/>
        <w:widowControl w:val="0"/>
        <w:shd w:val="clear" w:color="auto" w:fill="auto"/>
        <w:bidi w:val="0"/>
        <w:spacing w:before="0" w:after="280" w:line="240" w:lineRule="auto"/>
        <w:ind w:left="0" w:right="0" w:firstLine="0"/>
        <w:jc w:val="left"/>
      </w:pPr>
      <w:bookmarkStart w:id="1650" w:name="bookmark1650"/>
      <w:bookmarkStart w:id="1651" w:name="bookmark1651"/>
      <w:bookmarkStart w:id="1652" w:name="bookmark16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650"/>
      <w:bookmarkEnd w:id="1651"/>
      <w:bookmarkEnd w:id="1652"/>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公司不存在需要披露的重要或有事项。</w:t>
      </w:r>
    </w:p>
    <w:p>
      <w:pPr>
        <w:pStyle w:val="Style29"/>
        <w:keepNext/>
        <w:keepLines/>
        <w:widowControl w:val="0"/>
        <w:shd w:val="clear" w:color="auto" w:fill="auto"/>
        <w:bidi w:val="0"/>
        <w:spacing w:before="0" w:after="360" w:line="240" w:lineRule="auto"/>
        <w:ind w:left="0" w:right="0" w:firstLine="0"/>
        <w:jc w:val="left"/>
      </w:pPr>
      <w:bookmarkStart w:id="1653" w:name="bookmark1653"/>
      <w:bookmarkStart w:id="1654" w:name="bookmark1654"/>
      <w:bookmarkStart w:id="1655" w:name="bookmark1655"/>
      <w:r>
        <w:rPr>
          <w:color w:val="000000"/>
          <w:spacing w:val="0"/>
          <w:w w:val="100"/>
          <w:position w:val="0"/>
          <w:sz w:val="24"/>
          <w:szCs w:val="24"/>
        </w:rPr>
        <w:t>十五、资产负债表日后事项</w:t>
      </w:r>
      <w:bookmarkEnd w:id="1653"/>
      <w:bookmarkEnd w:id="1654"/>
      <w:bookmarkEnd w:id="1655"/>
    </w:p>
    <w:p>
      <w:pPr>
        <w:pStyle w:val="Style37"/>
        <w:keepNext/>
        <w:keepLines/>
        <w:widowControl w:val="0"/>
        <w:shd w:val="clear" w:color="auto" w:fill="auto"/>
        <w:bidi w:val="0"/>
        <w:spacing w:before="0" w:line="240" w:lineRule="auto"/>
        <w:ind w:left="0" w:right="0" w:firstLine="0"/>
        <w:jc w:val="left"/>
      </w:pPr>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656"/>
      <w:bookmarkEnd w:id="1657"/>
      <w:bookmarkEnd w:id="165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59" w:line="1" w:lineRule="exact"/>
      </w:pPr>
    </w:p>
    <w:p>
      <w:pPr>
        <w:pStyle w:val="Style37"/>
        <w:keepNext/>
        <w:keepLines/>
        <w:widowControl w:val="0"/>
        <w:shd w:val="clear" w:color="auto" w:fill="auto"/>
        <w:bidi w:val="0"/>
        <w:spacing w:before="0" w:after="280" w:line="240" w:lineRule="auto"/>
        <w:ind w:left="0" w:right="0" w:firstLine="0"/>
        <w:jc w:val="left"/>
      </w:pPr>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659"/>
      <w:bookmarkEnd w:id="1660"/>
      <w:bookmarkEnd w:id="1661"/>
    </w:p>
    <w:p>
      <w:pPr>
        <w:pStyle w:val="Style33"/>
        <w:keepNext w:val="0"/>
        <w:keepLines w:val="0"/>
        <w:widowControl w:val="0"/>
        <w:shd w:val="clear" w:color="auto" w:fill="auto"/>
        <w:bidi w:val="0"/>
        <w:spacing w:before="0" w:after="320" w:line="311" w:lineRule="exact"/>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、公司在自查中发现控股股东中驰惠程企业管理有限公司及其关联方存在非经营性占用公司资金的情形，经初步统计 核查，截至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日，公司控股股东及其关联方累计已归还公司非经营性占用资金</w:t>
      </w:r>
      <w:r>
        <w:rPr>
          <w:rFonts w:ascii="Times New Roman" w:eastAsia="Times New Roman" w:hAnsi="Times New Roman" w:cs="Times New Roman"/>
          <w:color w:val="000000"/>
          <w:spacing w:val="0"/>
          <w:w w:val="100"/>
          <w:position w:val="0"/>
        </w:rPr>
        <w:t xml:space="preserve">31,015.4 </w:t>
      </w:r>
      <w:r>
        <w:rPr>
          <w:rFonts w:ascii="Times New Roman" w:eastAsia="Times New Roman" w:hAnsi="Times New Roman" w:cs="Times New Roman"/>
          <w:color w:val="000000"/>
          <w:spacing w:val="0"/>
          <w:w w:val="100"/>
          <w:position w:val="0"/>
        </w:rPr>
        <w:t>2</w:t>
      </w:r>
      <w:r>
        <w:rPr>
          <w:color w:val="000000"/>
          <w:spacing w:val="0"/>
          <w:w w:val="100"/>
          <w:position w:val="0"/>
        </w:rPr>
        <w:t>万元，非经营性资金占用 余额为</w:t>
      </w:r>
      <w:r>
        <w:rPr>
          <w:rFonts w:ascii="Times New Roman" w:eastAsia="Times New Roman" w:hAnsi="Times New Roman" w:cs="Times New Roman"/>
          <w:color w:val="000000"/>
          <w:spacing w:val="0"/>
          <w:w w:val="100"/>
          <w:position w:val="0"/>
        </w:rPr>
        <w:t>6,067.49</w:t>
      </w:r>
      <w:r>
        <w:rPr>
          <w:color w:val="000000"/>
          <w:spacing w:val="0"/>
          <w:w w:val="100"/>
          <w:position w:val="0"/>
        </w:rPr>
        <w:t>万元。公司控股股东及其关联方因未能在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日前完成占用资金归还事宜，根据《股票上市规则》第 </w:t>
      </w:r>
      <w:r>
        <w:rPr>
          <w:rFonts w:ascii="Times New Roman" w:eastAsia="Times New Roman" w:hAnsi="Times New Roman" w:cs="Times New Roman"/>
          <w:color w:val="000000"/>
          <w:spacing w:val="0"/>
          <w:w w:val="100"/>
          <w:position w:val="0"/>
        </w:rPr>
        <w:t>13.3</w:t>
      </w:r>
      <w:r>
        <w:rPr>
          <w:color w:val="000000"/>
          <w:spacing w:val="0"/>
          <w:w w:val="100"/>
          <w:position w:val="0"/>
        </w:rPr>
        <w:t>条的规定，上述事项触发了</w:t>
      </w:r>
      <w:r>
        <w:rPr>
          <w:rFonts w:ascii="Times New Roman" w:eastAsia="Times New Roman" w:hAnsi="Times New Roman" w:cs="Times New Roman"/>
          <w:color w:val="000000"/>
          <w:spacing w:val="0"/>
          <w:w w:val="100"/>
          <w:position w:val="0"/>
        </w:rPr>
        <w:t>“</w:t>
      </w:r>
      <w:r>
        <w:rPr>
          <w:color w:val="000000"/>
          <w:spacing w:val="0"/>
          <w:w w:val="100"/>
          <w:position w:val="0"/>
        </w:rPr>
        <w:t>公司股票被实施其他风险警示</w:t>
      </w:r>
      <w:r>
        <w:rPr>
          <w:rFonts w:ascii="Times New Roman" w:eastAsia="Times New Roman" w:hAnsi="Times New Roman" w:cs="Times New Roman"/>
          <w:color w:val="000000"/>
          <w:spacing w:val="0"/>
          <w:w w:val="100"/>
          <w:position w:val="0"/>
        </w:rPr>
        <w:t>”</w:t>
      </w:r>
      <w:r>
        <w:rPr>
          <w:color w:val="000000"/>
          <w:spacing w:val="0"/>
          <w:w w:val="100"/>
          <w:position w:val="0"/>
        </w:rPr>
        <w:t>的情形，公司股票自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日（星期三）开市起被实 施其他风险警示。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日，公司收到控股股东委托方通过银行转账方式归还的非经营性占用资金</w:t>
      </w:r>
      <w:r>
        <w:rPr>
          <w:rFonts w:ascii="Times New Roman" w:eastAsia="Times New Roman" w:hAnsi="Times New Roman" w:cs="Times New Roman"/>
          <w:color w:val="000000"/>
          <w:spacing w:val="0"/>
          <w:w w:val="100"/>
          <w:position w:val="0"/>
        </w:rPr>
        <w:t>6,067.49</w:t>
      </w:r>
      <w:r>
        <w:rPr>
          <w:color w:val="000000"/>
          <w:spacing w:val="0"/>
          <w:w w:val="100"/>
          <w:position w:val="0"/>
        </w:rPr>
        <w:t>万元。控 股股东及其关联方已按照出具的承诺切实执行相关还款计划，截至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日，公司控股股东及其关联方已全部归还非 经营性资金占用款，非经营性资金占用余额为</w:t>
      </w:r>
      <w:r>
        <w:rPr>
          <w:rFonts w:ascii="Times New Roman" w:eastAsia="Times New Roman" w:hAnsi="Times New Roman" w:cs="Times New Roman"/>
          <w:color w:val="000000"/>
          <w:spacing w:val="0"/>
          <w:w w:val="100"/>
          <w:position w:val="0"/>
        </w:rPr>
        <w:t>0</w:t>
      </w:r>
      <w:r>
        <w:rPr>
          <w:color w:val="000000"/>
          <w:spacing w:val="0"/>
          <w:w w:val="100"/>
          <w:position w:val="0"/>
        </w:rPr>
        <w:t>元。经公司第七届董事会第四次会议审议同意，公司于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日向深 圳证券交易所提交了撤销公司股票其他风险警示的申请。经深圳证券交易所审核同意，自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日（星期五）起撤销 对公司股票实施的其他风险警示。</w:t>
      </w:r>
    </w:p>
    <w:p>
      <w:pPr>
        <w:pStyle w:val="Style33"/>
        <w:keepNext w:val="0"/>
        <w:keepLines w:val="0"/>
        <w:widowControl w:val="0"/>
        <w:shd w:val="clear" w:color="auto" w:fill="auto"/>
        <w:tabs>
          <w:tab w:pos="717" w:val="left"/>
        </w:tabs>
        <w:bidi w:val="0"/>
        <w:spacing w:before="0" w:after="0" w:line="316" w:lineRule="exact"/>
        <w:ind w:left="0" w:right="0"/>
        <w:jc w:val="left"/>
      </w:pPr>
      <w:bookmarkStart w:id="1662" w:name="bookmark1662"/>
      <w:r>
        <w:rPr>
          <w:rFonts w:ascii="Times New Roman" w:eastAsia="Times New Roman" w:hAnsi="Times New Roman" w:cs="Times New Roman"/>
          <w:color w:val="000000"/>
          <w:spacing w:val="0"/>
          <w:w w:val="100"/>
          <w:position w:val="0"/>
        </w:rPr>
        <w:t>2</w:t>
      </w:r>
      <w:bookmarkEnd w:id="1662"/>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月，公司陆续接到控股股东中驰惠程及其一致行动人关于部分股份质押的函告，至本财务报告批准报出</w:t>
      </w:r>
    </w:p>
    <w:p>
      <w:pPr>
        <w:pStyle w:val="Style33"/>
        <w:keepNext w:val="0"/>
        <w:keepLines w:val="0"/>
        <w:widowControl w:val="0"/>
        <w:shd w:val="clear" w:color="auto" w:fill="auto"/>
        <w:bidi w:val="0"/>
        <w:spacing w:before="0" w:after="0" w:line="316" w:lineRule="exact"/>
        <w:ind w:left="0" w:right="0" w:firstLine="0"/>
        <w:jc w:val="left"/>
      </w:pPr>
      <w:r>
        <w:rPr>
          <w:color w:val="000000"/>
          <w:spacing w:val="0"/>
          <w:w w:val="100"/>
          <w:position w:val="0"/>
        </w:rPr>
        <w:t>日，中驰惠程所持有公司全部</w:t>
      </w:r>
      <w:r>
        <w:rPr>
          <w:rFonts w:ascii="Times New Roman" w:eastAsia="Times New Roman" w:hAnsi="Times New Roman" w:cs="Times New Roman"/>
          <w:color w:val="000000"/>
          <w:spacing w:val="0"/>
          <w:w w:val="100"/>
          <w:position w:val="0"/>
        </w:rPr>
        <w:t>70,336,166</w:t>
      </w:r>
      <w:r>
        <w:rPr>
          <w:color w:val="000000"/>
          <w:spacing w:val="0"/>
          <w:w w:val="100"/>
          <w:position w:val="0"/>
        </w:rPr>
        <w:t>股股份被质押给重庆绿发资产经营管理有限公司，用于融资归还资金占用款。控股 股东的一致行动人中源信将所持有的</w:t>
      </w:r>
      <w:r>
        <w:rPr>
          <w:rFonts w:ascii="Times New Roman" w:eastAsia="Times New Roman" w:hAnsi="Times New Roman" w:cs="Times New Roman"/>
          <w:color w:val="000000"/>
          <w:spacing w:val="0"/>
          <w:w w:val="100"/>
          <w:position w:val="0"/>
        </w:rPr>
        <w:t>3,127,318</w:t>
      </w:r>
      <w:r>
        <w:rPr>
          <w:color w:val="000000"/>
          <w:spacing w:val="0"/>
          <w:w w:val="100"/>
          <w:position w:val="0"/>
        </w:rPr>
        <w:t>股质押给中航信托股份有限公司，用于为关联方债务提供质押担保。</w:t>
      </w:r>
    </w:p>
    <w:p>
      <w:pPr>
        <w:pStyle w:val="Style33"/>
        <w:keepNext w:val="0"/>
        <w:keepLines w:val="0"/>
        <w:widowControl w:val="0"/>
        <w:shd w:val="clear" w:color="auto" w:fill="auto"/>
        <w:tabs>
          <w:tab w:pos="708" w:val="left"/>
        </w:tabs>
        <w:bidi w:val="0"/>
        <w:spacing w:before="0" w:after="0" w:line="316" w:lineRule="exact"/>
        <w:ind w:left="0" w:right="0"/>
        <w:jc w:val="left"/>
      </w:pPr>
      <w:bookmarkStart w:id="1663" w:name="bookmark1663"/>
      <w:r>
        <w:rPr>
          <w:rFonts w:ascii="Times New Roman" w:eastAsia="Times New Roman" w:hAnsi="Times New Roman" w:cs="Times New Roman"/>
          <w:color w:val="000000"/>
          <w:spacing w:val="0"/>
          <w:w w:val="100"/>
          <w:position w:val="0"/>
        </w:rPr>
        <w:t>3</w:t>
      </w:r>
      <w:bookmarkEnd w:id="1663"/>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月，公司收到间接控股股东重庆信发的通知：重庆信发收到重庆市第一中级人民法院的民事裁定书</w:t>
      </w:r>
    </w:p>
    <w:p>
      <w:pPr>
        <w:pStyle w:val="Style33"/>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）渝</w:t>
      </w:r>
      <w:r>
        <w:rPr>
          <w:rFonts w:ascii="Times New Roman" w:eastAsia="Times New Roman" w:hAnsi="Times New Roman" w:cs="Times New Roman"/>
          <w:color w:val="000000"/>
          <w:spacing w:val="0"/>
          <w:w w:val="100"/>
          <w:position w:val="0"/>
        </w:rPr>
        <w:t>01</w:t>
      </w:r>
      <w:r>
        <w:rPr>
          <w:color w:val="000000"/>
          <w:spacing w:val="0"/>
          <w:w w:val="100"/>
          <w:position w:val="0"/>
        </w:rPr>
        <w:t>民初</w:t>
      </w:r>
      <w:r>
        <w:rPr>
          <w:rFonts w:ascii="Times New Roman" w:eastAsia="Times New Roman" w:hAnsi="Times New Roman" w:cs="Times New Roman"/>
          <w:color w:val="000000"/>
          <w:spacing w:val="0"/>
          <w:w w:val="100"/>
          <w:position w:val="0"/>
        </w:rPr>
        <w:t>127</w:t>
      </w:r>
      <w:r>
        <w:rPr>
          <w:color w:val="000000"/>
          <w:spacing w:val="0"/>
          <w:w w:val="100"/>
          <w:position w:val="0"/>
        </w:rPr>
        <w:t>号】，重庆绿发资产经营管理有限公司因与重庆信发借款合同纠纷，向重庆市第一中级人民法院申 请财产保全，请求保全被申请人重庆信发名下价值人民币</w:t>
      </w:r>
      <w:r>
        <w:rPr>
          <w:rFonts w:ascii="Times New Roman" w:eastAsia="Times New Roman" w:hAnsi="Times New Roman" w:cs="Times New Roman"/>
          <w:color w:val="000000"/>
          <w:spacing w:val="0"/>
          <w:w w:val="100"/>
          <w:position w:val="0"/>
        </w:rPr>
        <w:t>25,000</w:t>
      </w:r>
      <w:r>
        <w:rPr>
          <w:color w:val="000000"/>
          <w:spacing w:val="0"/>
          <w:w w:val="100"/>
          <w:position w:val="0"/>
        </w:rPr>
        <w:t>万元的财产。根据裁定结果，重庆市第一中级人民法院裁 定：冻结被申请人重庆信发持有的中驰惠程</w:t>
      </w:r>
      <w:r>
        <w:rPr>
          <w:rFonts w:ascii="Times New Roman" w:eastAsia="Times New Roman" w:hAnsi="Times New Roman" w:cs="Times New Roman"/>
          <w:color w:val="000000"/>
          <w:spacing w:val="0"/>
          <w:w w:val="100"/>
          <w:position w:val="0"/>
        </w:rPr>
        <w:t>100%</w:t>
      </w:r>
      <w:r>
        <w:rPr>
          <w:color w:val="000000"/>
          <w:spacing w:val="0"/>
          <w:w w:val="100"/>
          <w:position w:val="0"/>
        </w:rPr>
        <w:t>的股权（出资额</w:t>
      </w:r>
      <w:r>
        <w:rPr>
          <w:rFonts w:ascii="Times New Roman" w:eastAsia="Times New Roman" w:hAnsi="Times New Roman" w:cs="Times New Roman"/>
          <w:color w:val="000000"/>
          <w:spacing w:val="0"/>
          <w:w w:val="100"/>
          <w:position w:val="0"/>
        </w:rPr>
        <w:t>25,000</w:t>
      </w:r>
      <w:r>
        <w:rPr>
          <w:color w:val="000000"/>
          <w:spacing w:val="0"/>
          <w:w w:val="100"/>
          <w:position w:val="0"/>
        </w:rPr>
        <w:t>万元）。冻结期限为</w:t>
      </w:r>
      <w:r>
        <w:rPr>
          <w:rFonts w:ascii="Times New Roman" w:eastAsia="Times New Roman" w:hAnsi="Times New Roman" w:cs="Times New Roman"/>
          <w:color w:val="000000"/>
          <w:spacing w:val="0"/>
          <w:w w:val="100"/>
          <w:position w:val="0"/>
        </w:rPr>
        <w:t>3</w:t>
      </w:r>
      <w:r>
        <w:rPr>
          <w:color w:val="000000"/>
          <w:spacing w:val="0"/>
          <w:w w:val="100"/>
          <w:position w:val="0"/>
        </w:rPr>
        <w:t>年，自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月，公司间接控股股东重庆信发收到重庆市第一中级人民法院民事判决书【（</w:t>
      </w:r>
      <w:r>
        <w:rPr>
          <w:rFonts w:ascii="Times New Roman" w:eastAsia="Times New Roman" w:hAnsi="Times New Roman" w:cs="Times New Roman"/>
          <w:color w:val="000000"/>
          <w:spacing w:val="0"/>
          <w:w w:val="100"/>
          <w:position w:val="0"/>
        </w:rPr>
        <w:t>2021</w:t>
      </w:r>
      <w:r>
        <w:rPr>
          <w:color w:val="000000"/>
          <w:spacing w:val="0"/>
          <w:w w:val="100"/>
          <w:position w:val="0"/>
        </w:rPr>
        <w:t>）渝</w:t>
      </w:r>
      <w:r>
        <w:rPr>
          <w:rFonts w:ascii="Times New Roman" w:eastAsia="Times New Roman" w:hAnsi="Times New Roman" w:cs="Times New Roman"/>
          <w:color w:val="000000"/>
          <w:spacing w:val="0"/>
          <w:w w:val="100"/>
          <w:position w:val="0"/>
        </w:rPr>
        <w:t>01</w:t>
      </w:r>
      <w:r>
        <w:rPr>
          <w:color w:val="000000"/>
          <w:spacing w:val="0"/>
          <w:w w:val="100"/>
          <w:position w:val="0"/>
        </w:rPr>
        <w:t>民初</w:t>
      </w:r>
      <w:r>
        <w:rPr>
          <w:rFonts w:ascii="Times New Roman" w:eastAsia="Times New Roman" w:hAnsi="Times New Roman" w:cs="Times New Roman"/>
          <w:color w:val="000000"/>
          <w:spacing w:val="0"/>
          <w:w w:val="100"/>
          <w:position w:val="0"/>
        </w:rPr>
        <w:t xml:space="preserve">127 </w:t>
      </w:r>
      <w:r>
        <w:rPr>
          <w:color w:val="000000"/>
          <w:spacing w:val="0"/>
          <w:w w:val="100"/>
          <w:position w:val="0"/>
        </w:rPr>
        <w:t>号】，重庆市第一中级人民法院对原告重庆绿发与被告重庆信发民间借贷纠纷一案，判决原告重庆绿发资产经营管理有限 公司有权对被告重庆信发企业管理咨询有限公司出质的中驰惠程企业管理有限公司</w:t>
      </w:r>
      <w:r>
        <w:rPr>
          <w:rFonts w:ascii="Times New Roman" w:eastAsia="Times New Roman" w:hAnsi="Times New Roman" w:cs="Times New Roman"/>
          <w:color w:val="000000"/>
          <w:spacing w:val="0"/>
          <w:w w:val="100"/>
          <w:position w:val="0"/>
        </w:rPr>
        <w:t>100%</w:t>
      </w:r>
      <w:r>
        <w:rPr>
          <w:color w:val="000000"/>
          <w:spacing w:val="0"/>
          <w:w w:val="100"/>
          <w:position w:val="0"/>
        </w:rPr>
        <w:t>股权在判决所定债权范围内享有优 先受偿权。</w:t>
      </w:r>
    </w:p>
    <w:p>
      <w:pPr>
        <w:pStyle w:val="Style33"/>
        <w:keepNext w:val="0"/>
        <w:keepLines w:val="0"/>
        <w:widowControl w:val="0"/>
        <w:shd w:val="clear" w:color="auto" w:fill="auto"/>
        <w:bidi w:val="0"/>
        <w:spacing w:before="0" w:after="0" w:line="316"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月，重庆信发收到重庆市第一中级人民法院执行裁定书【（</w:t>
      </w:r>
      <w:r>
        <w:rPr>
          <w:rFonts w:ascii="Times New Roman" w:eastAsia="Times New Roman" w:hAnsi="Times New Roman" w:cs="Times New Roman"/>
          <w:color w:val="000000"/>
          <w:spacing w:val="0"/>
          <w:w w:val="100"/>
          <w:position w:val="0"/>
        </w:rPr>
        <w:t>2021</w:t>
      </w:r>
      <w:r>
        <w:rPr>
          <w:color w:val="000000"/>
          <w:spacing w:val="0"/>
          <w:w w:val="100"/>
          <w:position w:val="0"/>
        </w:rPr>
        <w:t>）渝</w:t>
      </w:r>
      <w:r>
        <w:rPr>
          <w:rFonts w:ascii="Times New Roman" w:eastAsia="Times New Roman" w:hAnsi="Times New Roman" w:cs="Times New Roman"/>
          <w:color w:val="000000"/>
          <w:spacing w:val="0"/>
          <w:w w:val="100"/>
          <w:position w:val="0"/>
        </w:rPr>
        <w:t>01</w:t>
      </w:r>
      <w:r>
        <w:rPr>
          <w:color w:val="000000"/>
          <w:spacing w:val="0"/>
          <w:w w:val="100"/>
          <w:position w:val="0"/>
        </w:rPr>
        <w:t>执</w:t>
      </w:r>
      <w:r>
        <w:rPr>
          <w:rFonts w:ascii="Times New Roman" w:eastAsia="Times New Roman" w:hAnsi="Times New Roman" w:cs="Times New Roman"/>
          <w:color w:val="000000"/>
          <w:spacing w:val="0"/>
          <w:w w:val="100"/>
          <w:position w:val="0"/>
        </w:rPr>
        <w:t>999</w:t>
      </w:r>
      <w:r>
        <w:rPr>
          <w:color w:val="000000"/>
          <w:spacing w:val="0"/>
          <w:w w:val="100"/>
          <w:position w:val="0"/>
        </w:rPr>
        <w:t>号】，裁定保证人中驰惠程在保 证责任范围内向申请执行人重庆绿发承担质押担保责任。</w:t>
      </w:r>
    </w:p>
    <w:p>
      <w:pPr>
        <w:pStyle w:val="Style33"/>
        <w:keepNext w:val="0"/>
        <w:keepLines w:val="0"/>
        <w:widowControl w:val="0"/>
        <w:shd w:val="clear" w:color="auto" w:fill="auto"/>
        <w:bidi w:val="0"/>
        <w:spacing w:before="0" w:after="340" w:line="322" w:lineRule="exact"/>
        <w:ind w:left="0" w:right="0"/>
        <w:jc w:val="left"/>
      </w:pPr>
      <w:bookmarkStart w:id="1664" w:name="bookmark1664"/>
      <w:r>
        <w:rPr>
          <w:rFonts w:ascii="Times New Roman" w:eastAsia="Times New Roman" w:hAnsi="Times New Roman" w:cs="Times New Roman"/>
          <w:color w:val="000000"/>
          <w:spacing w:val="0"/>
          <w:w w:val="100"/>
          <w:position w:val="0"/>
        </w:rPr>
        <w:t>4</w:t>
      </w:r>
      <w:bookmarkEnd w:id="1664"/>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日公司第七届董事会第六次会议和第七届监事会第三次会议决议审议通过了</w:t>
      </w:r>
      <w:r>
        <w:rPr>
          <w:rFonts w:ascii="Times New Roman" w:eastAsia="Times New Roman" w:hAnsi="Times New Roman" w:cs="Times New Roman"/>
          <w:color w:val="000000"/>
          <w:spacing w:val="0"/>
          <w:w w:val="100"/>
          <w:position w:val="0"/>
        </w:rPr>
        <w:t>＜2021</w:t>
      </w:r>
      <w:r>
        <w:rPr>
          <w:color w:val="000000"/>
          <w:spacing w:val="0"/>
          <w:w w:val="100"/>
          <w:position w:val="0"/>
        </w:rPr>
        <w:t>年股票期权与限制 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，尚需提交公司</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w:t>
      </w:r>
    </w:p>
    <w:p>
      <w:pPr>
        <w:pStyle w:val="Style29"/>
        <w:keepNext/>
        <w:keepLines/>
        <w:widowControl w:val="0"/>
        <w:shd w:val="clear" w:color="auto" w:fill="auto"/>
        <w:bidi w:val="0"/>
        <w:spacing w:before="0" w:line="240" w:lineRule="auto"/>
        <w:ind w:left="0" w:right="0" w:firstLine="0"/>
        <w:jc w:val="left"/>
      </w:pPr>
      <w:bookmarkStart w:id="1665" w:name="bookmark1665"/>
      <w:bookmarkStart w:id="1666" w:name="bookmark1666"/>
      <w:bookmarkStart w:id="1667" w:name="bookmark1667"/>
      <w:r>
        <w:rPr>
          <w:color w:val="000000"/>
          <w:spacing w:val="0"/>
          <w:w w:val="100"/>
          <w:position w:val="0"/>
          <w:sz w:val="24"/>
          <w:szCs w:val="24"/>
        </w:rPr>
        <w:t>十六、其他重要事项</w:t>
      </w:r>
      <w:bookmarkEnd w:id="1665"/>
      <w:bookmarkEnd w:id="1666"/>
      <w:bookmarkEnd w:id="1667"/>
    </w:p>
    <w:p>
      <w:pPr>
        <w:pStyle w:val="Style37"/>
        <w:keepNext/>
        <w:keepLines/>
        <w:widowControl w:val="0"/>
        <w:shd w:val="clear" w:color="auto" w:fill="auto"/>
        <w:bidi w:val="0"/>
        <w:spacing w:before="0" w:after="340" w:line="240" w:lineRule="auto"/>
        <w:ind w:left="0" w:right="0" w:firstLine="0"/>
        <w:jc w:val="left"/>
      </w:pPr>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668"/>
      <w:bookmarkEnd w:id="1669"/>
      <w:bookmarkEnd w:id="1670"/>
    </w:p>
    <w:p>
      <w:pPr>
        <w:pStyle w:val="Style37"/>
        <w:keepNext/>
        <w:keepLines/>
        <w:widowControl w:val="0"/>
        <w:shd w:val="clear" w:color="auto" w:fill="auto"/>
        <w:bidi w:val="0"/>
        <w:spacing w:before="0" w:after="340" w:line="240" w:lineRule="auto"/>
        <w:ind w:left="0" w:right="0" w:firstLine="0"/>
        <w:jc w:val="left"/>
      </w:pPr>
      <w:bookmarkStart w:id="1668" w:name="bookmark1668"/>
      <w:bookmarkStart w:id="1669" w:name="bookmark1669"/>
      <w:bookmarkStart w:id="1671" w:name="bookmark16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668"/>
      <w:bookmarkEnd w:id="1669"/>
      <w:bookmarkEnd w:id="167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3571"/>
        <w:gridCol w:w="1982"/>
        <w:gridCol w:w="1531"/>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受影响的各个比较期间 报表项目名称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累积影响数</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控股股东及其关联方非经营资 金占用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年第七届董事会第七次会议及第七届监 事会第四次会议审议通过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246,000,000.00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控股股东及其关联方非经营资 金占用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年第七届董事会第七次会议及第七届监 事会第四次会议审议通过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135,000,000.00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控股股东及其关联方非经营资 金占用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年第七届董事会第七次会议及第七届监 事会第四次会议审议通过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-111,000,000.00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控股股东及其关联方非经营资 金占用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年第七届董事会第七次会议及第七届监 事会第四次会议审议通过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购买商品、接受劳务支</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付的现金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-135,000,000.00</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控股股东及其关联方非经营资 金占用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年第七届董事会第七次会议及第七届监 事会第四次会议审议通过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投资支付的现金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-111,000,000.00</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控股股东及其关联方非经营资 金占用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年第七届董事会第七次会议及第七届监 事会第四次会议审议通过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支付其他与经营活动有 关的现金</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246,000,000.00</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140"/>
        <w:jc w:val="left"/>
      </w:pPr>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672"/>
      <w:bookmarkEnd w:id="1673"/>
      <w:bookmarkEnd w:id="1674"/>
    </w:p>
    <w:tbl>
      <w:tblPr>
        <w:tblOverlap w:val="never"/>
        <w:jc w:val="center"/>
        <w:tblLayout w:type="fixed"/>
      </w:tblPr>
      <w:tblGrid>
        <w:gridCol w:w="4368"/>
        <w:gridCol w:w="2021"/>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r>
        <w:trPr>
          <w:trHeight w:val="37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公司孙公司成都吉乾科技有限公司前期确认海外游戏</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年第七届董事会第</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该会计差错对公司历史损益影响金额占</w:t>
            </w:r>
          </w:p>
        </w:tc>
      </w:tr>
    </w:tbl>
    <w:p>
      <w:pPr>
        <w:spacing w:lineRule="exact" w:line="1"/>
        <w:rPr>
          <w:sz w:val="2"/>
          <w:szCs w:val="2"/>
        </w:rPr>
      </w:pPr>
      <w:r>
        <w:br w:type="page"/>
      </w:r>
    </w:p>
    <w:tbl>
      <w:tblPr>
        <w:tblOverlap w:val="never"/>
        <w:jc w:val="center"/>
        <w:tblLayout w:type="fixed"/>
      </w:tblPr>
      <w:tblGrid>
        <w:gridCol w:w="6389"/>
        <w:gridCol w:w="3197"/>
      </w:tblGrid>
      <w:tr>
        <w:trPr>
          <w:trHeight w:val="443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tabs>
                <w:tab w:pos="4330" w:val="left"/>
              </w:tabs>
              <w:bidi w:val="0"/>
              <w:spacing w:before="0" w:after="0" w:line="310" w:lineRule="exact"/>
              <w:ind w:left="0" w:right="0" w:firstLine="0"/>
              <w:jc w:val="left"/>
            </w:pPr>
            <w:r>
              <w:rPr>
                <w:color w:val="000000"/>
                <w:spacing w:val="0"/>
                <w:w w:val="100"/>
                <w:position w:val="0"/>
              </w:rPr>
              <w:t>收入时，未按正确的渠道费率计算渠道费，且未按实</w:t>
              <w:tab/>
              <w:t>七次会议及第七届监事</w:t>
            </w:r>
          </w:p>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际收到款项时按实际对账收款额调整与计提收入的差会第四次会议审议通过 异，至</w:t>
            </w:r>
            <w:r>
              <w:rPr>
                <w:rFonts w:ascii="Times New Roman" w:eastAsia="Times New Roman" w:hAnsi="Times New Roman" w:cs="Times New Roman"/>
                <w:color w:val="000000"/>
                <w:spacing w:val="0"/>
                <w:w w:val="100"/>
                <w:position w:val="0"/>
              </w:rPr>
              <w:t>2020</w:t>
            </w:r>
            <w:r>
              <w:rPr>
                <w:color w:val="000000"/>
                <w:spacing w:val="0"/>
                <w:w w:val="100"/>
                <w:position w:val="0"/>
              </w:rPr>
              <w:t>年末，累计使账面营业收入和应收账款账 面余额多出</w:t>
            </w:r>
            <w:r>
              <w:rPr>
                <w:rFonts w:ascii="Times New Roman" w:eastAsia="Times New Roman" w:hAnsi="Times New Roman" w:cs="Times New Roman"/>
                <w:color w:val="000000"/>
                <w:spacing w:val="0"/>
                <w:w w:val="100"/>
                <w:position w:val="0"/>
              </w:rPr>
              <w:t>830.03</w:t>
            </w:r>
            <w:r>
              <w:rPr>
                <w:color w:val="000000"/>
                <w:spacing w:val="0"/>
                <w:w w:val="100"/>
                <w:position w:val="0"/>
              </w:rPr>
              <w:t>万元（已计提坏账准备</w:t>
            </w:r>
            <w:r>
              <w:rPr>
                <w:rFonts w:ascii="Times New Roman" w:eastAsia="Times New Roman" w:hAnsi="Times New Roman" w:cs="Times New Roman"/>
                <w:color w:val="000000"/>
                <w:spacing w:val="0"/>
                <w:w w:val="100"/>
                <w:position w:val="0"/>
              </w:rPr>
              <w:t>78.43</w:t>
            </w:r>
            <w:r>
              <w:rPr>
                <w:color w:val="000000"/>
                <w:spacing w:val="0"/>
                <w:w w:val="100"/>
                <w:position w:val="0"/>
              </w:rPr>
              <w:t>万 元哆可梦前期将支付给第三方研发商的预付分成款</w:t>
            </w:r>
          </w:p>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误确认为广告费用，导致多计了销售费用</w:t>
            </w:r>
            <w:r>
              <w:rPr>
                <w:rFonts w:ascii="Times New Roman" w:eastAsia="Times New Roman" w:hAnsi="Times New Roman" w:cs="Times New Roman"/>
                <w:color w:val="000000"/>
                <w:spacing w:val="0"/>
                <w:w w:val="100"/>
                <w:position w:val="0"/>
              </w:rPr>
              <w:t>455.38</w:t>
            </w:r>
            <w:r>
              <w:rPr>
                <w:color w:val="000000"/>
                <w:spacing w:val="0"/>
                <w:w w:val="100"/>
                <w:position w:val="0"/>
              </w:rPr>
              <w:t>万 元，少计预付款项</w:t>
            </w:r>
            <w:r>
              <w:rPr>
                <w:rFonts w:ascii="Times New Roman" w:eastAsia="Times New Roman" w:hAnsi="Times New Roman" w:cs="Times New Roman"/>
                <w:color w:val="000000"/>
                <w:spacing w:val="0"/>
                <w:w w:val="100"/>
                <w:position w:val="0"/>
              </w:rPr>
              <w:t>455.38</w:t>
            </w:r>
            <w:r>
              <w:rPr>
                <w:color w:val="000000"/>
                <w:spacing w:val="0"/>
                <w:w w:val="100"/>
                <w:position w:val="0"/>
              </w:rPr>
              <w:t>万元。</w:t>
            </w:r>
          </w:p>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因上述会计差错对公司历史损益影响金额占比低，不 影响财务报表使用者对公司经营业绩和关键财务指标 的判断，属于不重要的前期差错。按《企业会计准则 第</w:t>
            </w:r>
            <w:r>
              <w:rPr>
                <w:rFonts w:ascii="Times New Roman" w:eastAsia="Times New Roman" w:hAnsi="Times New Roman" w:cs="Times New Roman"/>
                <w:color w:val="000000"/>
                <w:spacing w:val="0"/>
                <w:w w:val="100"/>
                <w:position w:val="0"/>
              </w:rPr>
              <w:t>28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会计政策、会计估计变更和差错更正》的规 定，采用未来适用法进行处理，在</w:t>
            </w:r>
            <w:r>
              <w:rPr>
                <w:rFonts w:ascii="Times New Roman" w:eastAsia="Times New Roman" w:hAnsi="Times New Roman" w:cs="Times New Roman"/>
                <w:color w:val="000000"/>
                <w:spacing w:val="0"/>
                <w:w w:val="100"/>
                <w:position w:val="0"/>
              </w:rPr>
              <w:t>2020</w:t>
            </w:r>
            <w:r>
              <w:rPr>
                <w:color w:val="000000"/>
                <w:spacing w:val="0"/>
                <w:w w:val="100"/>
                <w:position w:val="0"/>
              </w:rPr>
              <w:t>年度调减营业 收入</w:t>
            </w:r>
            <w:r>
              <w:rPr>
                <w:rFonts w:ascii="Times New Roman" w:eastAsia="Times New Roman" w:hAnsi="Times New Roman" w:cs="Times New Roman"/>
                <w:color w:val="000000"/>
                <w:spacing w:val="0"/>
                <w:w w:val="100"/>
                <w:position w:val="0"/>
              </w:rPr>
              <w:t>830.03</w:t>
            </w:r>
            <w:r>
              <w:rPr>
                <w:color w:val="000000"/>
                <w:spacing w:val="0"/>
                <w:w w:val="100"/>
                <w:position w:val="0"/>
              </w:rPr>
              <w:t>万元，调减销售费用</w:t>
            </w:r>
            <w:r>
              <w:rPr>
                <w:rFonts w:ascii="Times New Roman" w:eastAsia="Times New Roman" w:hAnsi="Times New Roman" w:cs="Times New Roman"/>
                <w:color w:val="000000"/>
                <w:spacing w:val="0"/>
                <w:w w:val="100"/>
                <w:position w:val="0"/>
              </w:rPr>
              <w:t>455.38</w:t>
            </w:r>
            <w:r>
              <w:rPr>
                <w:color w:val="000000"/>
                <w:spacing w:val="0"/>
                <w:w w:val="100"/>
                <w:position w:val="0"/>
              </w:rPr>
              <w:t>万元，调增信 用减值损失</w:t>
            </w:r>
            <w:r>
              <w:rPr>
                <w:rFonts w:ascii="Times New Roman" w:eastAsia="Times New Roman" w:hAnsi="Times New Roman" w:cs="Times New Roman"/>
                <w:color w:val="000000"/>
                <w:spacing w:val="0"/>
                <w:w w:val="100"/>
                <w:position w:val="0"/>
              </w:rPr>
              <w:t>78.43</w:t>
            </w:r>
            <w:r>
              <w:rPr>
                <w:color w:val="000000"/>
                <w:spacing w:val="0"/>
                <w:w w:val="100"/>
                <w:position w:val="0"/>
              </w:rPr>
              <w:t>万元。</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比低，不影响财务报表使用者对公司经 营业绩和关键财务指标的判断，属于不 重要的前期差错。按《企业会计准则第 </w:t>
            </w:r>
            <w:r>
              <w:rPr>
                <w:rFonts w:ascii="Times New Roman" w:eastAsia="Times New Roman" w:hAnsi="Times New Roman" w:cs="Times New Roman"/>
                <w:color w:val="000000"/>
                <w:spacing w:val="0"/>
                <w:w w:val="100"/>
                <w:position w:val="0"/>
              </w:rPr>
              <w:t>28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会计政策、会计估计变更和差错 更正》的规定，采用未来适用法进行处 理。</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2</w:t>
      </w:r>
      <w:r>
        <w:rPr>
          <w:color w:val="000000"/>
          <w:spacing w:val="0"/>
          <w:w w:val="100"/>
          <w:position w:val="0"/>
        </w:rPr>
        <w:t>、分部信息</w:t>
      </w:r>
      <w:bookmarkEnd w:id="1675"/>
      <w:bookmarkEnd w:id="1676"/>
      <w:bookmarkEnd w:id="1677"/>
    </w:p>
    <w:p>
      <w:pPr>
        <w:pStyle w:val="Style37"/>
        <w:keepNext/>
        <w:keepLines/>
        <w:widowControl w:val="0"/>
        <w:shd w:val="clear" w:color="auto" w:fill="auto"/>
        <w:tabs>
          <w:tab w:pos="493" w:val="left"/>
        </w:tabs>
        <w:bidi w:val="0"/>
        <w:spacing w:before="0" w:after="240" w:line="240" w:lineRule="auto"/>
        <w:ind w:left="0" w:right="0" w:firstLine="0"/>
        <w:jc w:val="left"/>
      </w:pPr>
      <w:bookmarkStart w:id="1675" w:name="bookmark1675"/>
      <w:bookmarkStart w:id="1676" w:name="bookmark1676"/>
      <w:bookmarkStart w:id="1678" w:name="bookmark1678"/>
      <w:bookmarkStart w:id="1679" w:name="bookmark1679"/>
      <w:r>
        <w:rPr>
          <w:color w:val="000000"/>
          <w:spacing w:val="0"/>
          <w:w w:val="100"/>
          <w:position w:val="0"/>
        </w:rPr>
        <w:t>（</w:t>
      </w:r>
      <w:bookmarkEnd w:id="1678"/>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675"/>
      <w:bookmarkEnd w:id="1676"/>
      <w:bookmarkEnd w:id="1679"/>
    </w:p>
    <w:p>
      <w:pPr>
        <w:pStyle w:val="Style33"/>
        <w:keepNext w:val="0"/>
        <w:keepLines w:val="0"/>
        <w:widowControl w:val="0"/>
        <w:shd w:val="clear" w:color="auto" w:fill="auto"/>
        <w:bidi w:val="0"/>
        <w:spacing w:before="0" w:after="360" w:line="314" w:lineRule="exact"/>
        <w:ind w:left="0" w:right="0" w:firstLine="540"/>
        <w:jc w:val="both"/>
      </w:pPr>
      <w:r>
        <w:rPr>
          <w:color w:val="000000"/>
          <w:spacing w:val="0"/>
          <w:w w:val="100"/>
          <w:position w:val="0"/>
        </w:rPr>
        <w:t>根据本公司的内部组织结构、管理要求及内部报告制度，本公司的经营业务划分为两个经营分部，本公司的管理层定 期评价这些分部的经营成果，以决定向其分配资源及评价其业绩。在经营分部的基础上本公司确定了两个报告分部，分别为 电气业务分部、游戏业务分部。这些报告分部是以行业分部为基础确定的。</w:t>
      </w:r>
    </w:p>
    <w:p>
      <w:pPr>
        <w:pStyle w:val="Style37"/>
        <w:keepNext/>
        <w:keepLines/>
        <w:widowControl w:val="0"/>
        <w:shd w:val="clear" w:color="auto" w:fill="auto"/>
        <w:tabs>
          <w:tab w:pos="493" w:val="left"/>
        </w:tabs>
        <w:bidi w:val="0"/>
        <w:spacing w:before="0" w:line="240" w:lineRule="auto"/>
        <w:ind w:left="0" w:right="0" w:firstLine="0"/>
        <w:jc w:val="left"/>
      </w:pPr>
      <w:bookmarkStart w:id="1680" w:name="bookmark1680"/>
      <w:bookmarkStart w:id="1681" w:name="bookmark1681"/>
      <w:bookmarkStart w:id="1682" w:name="bookmark1682"/>
      <w:bookmarkStart w:id="1683" w:name="bookmark1683"/>
      <w:r>
        <w:rPr>
          <w:color w:val="000000"/>
          <w:spacing w:val="0"/>
          <w:w w:val="100"/>
          <w:position w:val="0"/>
        </w:rPr>
        <w:t>（</w:t>
      </w:r>
      <w:bookmarkEnd w:id="1682"/>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680"/>
      <w:bookmarkEnd w:id="1681"/>
      <w:bookmarkEnd w:id="168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电气业务分部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游戏业务分部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225,563,848.02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548,955,410.33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774,519,258.35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164,924,899.04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115,546,924.68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280,471,823.72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三、资产总额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3,573,170,043.92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854,386,550.04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-2,422,106,819.64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2,005,449,774.32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四、负债总额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2,294,739,970.98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280,560,652.93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-1,529,378,366.40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1,045,922,257.51</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1684" w:name="bookmark1684"/>
      <w:bookmarkStart w:id="1685" w:name="bookmark1685"/>
      <w:bookmarkStart w:id="1686" w:name="bookmark1686"/>
      <w:r>
        <w:rPr>
          <w:color w:val="000000"/>
          <w:spacing w:val="0"/>
          <w:w w:val="100"/>
          <w:position w:val="0"/>
          <w:sz w:val="24"/>
          <w:szCs w:val="24"/>
        </w:rPr>
        <w:t>十七、母公司财务报表主要项目注释</w:t>
      </w:r>
      <w:bookmarkEnd w:id="1684"/>
      <w:bookmarkEnd w:id="1685"/>
      <w:bookmarkEnd w:id="1686"/>
    </w:p>
    <w:p>
      <w:pPr>
        <w:pStyle w:val="Style37"/>
        <w:keepNext/>
        <w:keepLines/>
        <w:widowControl w:val="0"/>
        <w:shd w:val="clear" w:color="auto" w:fill="auto"/>
        <w:bidi w:val="0"/>
        <w:spacing w:before="0" w:line="240" w:lineRule="auto"/>
        <w:ind w:left="0" w:right="0" w:firstLine="0"/>
        <w:jc w:val="left"/>
      </w:pPr>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87"/>
      <w:bookmarkEnd w:id="1688"/>
      <w:bookmarkEnd w:id="1689"/>
    </w:p>
    <w:p>
      <w:pPr>
        <w:pStyle w:val="Style37"/>
        <w:keepNext/>
        <w:keepLines/>
        <w:widowControl w:val="0"/>
        <w:shd w:val="clear" w:color="auto" w:fill="auto"/>
        <w:bidi w:val="0"/>
        <w:spacing w:before="0" w:line="240" w:lineRule="auto"/>
        <w:ind w:left="0" w:right="0" w:firstLine="140"/>
        <w:jc w:val="left"/>
        <w:sectPr>
          <w:headerReference w:type="default" r:id="rId49"/>
          <w:footerReference w:type="default" r:id="rId50"/>
          <w:footnotePr>
            <w:pos w:val="pageBottom"/>
            <w:numFmt w:val="decimal"/>
            <w:numRestart w:val="continuous"/>
          </w:footnotePr>
          <w:pgSz w:w="11900" w:h="16840"/>
          <w:pgMar w:top="1383" w:right="1051" w:bottom="1460" w:left="1075" w:header="0" w:footer="3" w:gutter="0"/>
          <w:cols w:space="720"/>
          <w:noEndnote/>
          <w:rtlGutter w:val="0"/>
          <w:docGrid w:linePitch="360"/>
        </w:sectPr>
      </w:pPr>
      <w:bookmarkStart w:id="1687" w:name="bookmark1687"/>
      <w:bookmarkStart w:id="1688" w:name="bookmark1688"/>
      <w:bookmarkStart w:id="1690" w:name="bookmark1690"/>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87"/>
      <w:bookmarkEnd w:id="1688"/>
      <w:bookmarkEnd w:id="1690"/>
    </w:p>
    <w:p>
      <w:pPr>
        <w:pStyle w:val="Style31"/>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2376"/>
        <w:gridCol w:w="1181"/>
        <w:gridCol w:w="1099"/>
        <w:gridCol w:w="1094"/>
        <w:gridCol w:w="1104"/>
        <w:gridCol w:w="1133"/>
        <w:gridCol w:w="1181"/>
        <w:gridCol w:w="1152"/>
        <w:gridCol w:w="1152"/>
        <w:gridCol w:w="1138"/>
        <w:gridCol w:w="135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按组合计提坏账准备的应收 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108,832,865.64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13,807,113.01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95,025,752.63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129,503,146.92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21,719,555.16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107,783,591.76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合并范围内关联方之间的往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3,345,810.87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3,345,810.87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105,487,054.77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96.93%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13,807,113.01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91,679,941.76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129,503,146.92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21,719,555.16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107,783,591.76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108,832,865.64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13,807,113.01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12.69%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95,025,752.63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129,503,146.92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21,719,555.16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107,783,591.76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0.00</w:t>
      </w:r>
    </w:p>
    <w:p>
      <w:pPr>
        <w:widowControl w:val="0"/>
        <w:spacing w:after="79" w:line="1" w:lineRule="exact"/>
      </w:pPr>
    </w:p>
    <w:p>
      <w:pPr>
        <w:pStyle w:val="Style31"/>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4714"/>
        <w:gridCol w:w="2270"/>
        <w:gridCol w:w="3485"/>
        <w:gridCol w:w="3499"/>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合并范围内关联方之间的往来款项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3,345,810.87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3,345,810.87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20" w:line="240" w:lineRule="auto"/>
        <w:ind w:left="0" w:right="0" w:firstLine="0"/>
        <w:jc w:val="left"/>
        <w:sectPr>
          <w:headerReference w:type="default" r:id="rId51"/>
          <w:footerReference w:type="default" r:id="rId52"/>
          <w:footnotePr>
            <w:pos w:val="pageBottom"/>
            <w:numFmt w:val="decimal"/>
            <w:numRestart w:val="continuous"/>
          </w:footnotePr>
          <w:pgSz w:w="16840" w:h="11900" w:orient="landscape"/>
          <w:pgMar w:top="1172" w:right="1417" w:bottom="1172" w:left="1422" w:header="0" w:footer="3" w:gutter="0"/>
          <w:cols w:space="720"/>
          <w:noEndnote/>
          <w:rtlGutter w:val="0"/>
          <w:docGrid w:linePitch="360"/>
        </w:sectPr>
      </w:pPr>
      <w:r>
        <w:rPr>
          <w:color w:val="000000"/>
          <w:spacing w:val="0"/>
          <w:w w:val="100"/>
          <w:position w:val="0"/>
        </w:rPr>
        <w:t>合并范围内关联方之间的往来款项</w:t>
      </w:r>
    </w:p>
    <w:p>
      <w:pPr>
        <w:pStyle w:val="Style54"/>
        <w:keepNext w:val="0"/>
        <w:keepLines w:val="0"/>
        <w:widowControl w:val="0"/>
        <w:shd w:val="clear" w:color="auto" w:fill="auto"/>
        <w:bidi w:val="0"/>
        <w:spacing w:before="80" w:line="240" w:lineRule="auto"/>
        <w:ind w:left="0" w:right="0" w:firstLine="0"/>
        <w:jc w:val="left"/>
      </w:pPr>
      <w:r>
        <w:rPr>
          <w:rFonts w:ascii="SimSun" w:eastAsia="SimSun" w:hAnsi="SimSun" w:cs="SimSun"/>
          <w:color w:val="000000"/>
          <w:spacing w:val="0"/>
          <w:w w:val="100"/>
          <w:position w:val="0"/>
        </w:rPr>
        <w:t>按组合计提坏账准备：</w:t>
      </w:r>
      <w:r>
        <w:rPr>
          <w:color w:val="000000"/>
          <w:spacing w:val="0"/>
          <w:w w:val="100"/>
          <w:position w:val="0"/>
        </w:rPr>
        <w:t>13,807,113.01</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44,346,791.74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693,480.66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21,737,569.37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1,350,034.95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25,732,755.25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2,206,551.84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13,669,938.41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9,557,045.56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5,227,683.56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1,175,060.53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22.48%</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164,948.42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104,678.60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8,277,306.43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8,277,306.43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105,487,054.77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13,807,113.01</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按账龄组合</w:t>
      </w:r>
    </w:p>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20" w:line="341" w:lineRule="exact"/>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47,692,602.61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21,737,569.37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25,732,755.25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13,669,938.41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5,227,683.56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164,948.42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8,277,306.43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108,832,865.64</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691" w:name="bookmark1691"/>
      <w:bookmarkStart w:id="1692" w:name="bookmark1692"/>
      <w:bookmarkStart w:id="1693" w:name="bookmark16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91"/>
      <w:bookmarkEnd w:id="1692"/>
      <w:bookmarkEnd w:id="1693"/>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86"/>
        <w:gridCol w:w="1699"/>
        <w:gridCol w:w="1277"/>
        <w:gridCol w:w="1277"/>
        <w:gridCol w:w="1133"/>
        <w:gridCol w:w="566"/>
        <w:gridCol w:w="1253"/>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按账龄组合计提坏账准备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21,719,555.16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-7,713,859.67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198,582.48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13,807,113.01</w:t>
            </w:r>
          </w:p>
        </w:tc>
      </w:tr>
    </w:tbl>
    <w:p>
      <w:pPr>
        <w:spacing w:lineRule="exact" w:line="1"/>
        <w:rPr>
          <w:sz w:val="2"/>
          <w:szCs w:val="2"/>
        </w:rPr>
      </w:pPr>
      <w:r>
        <w:br w:type="page"/>
      </w:r>
    </w:p>
    <w:tbl>
      <w:tblPr>
        <w:tblOverlap w:val="never"/>
        <w:jc w:val="center"/>
        <w:tblLayout w:type="fixed"/>
      </w:tblPr>
      <w:tblGrid>
        <w:gridCol w:w="2386"/>
        <w:gridCol w:w="1699"/>
        <w:gridCol w:w="1277"/>
        <w:gridCol w:w="1277"/>
        <w:gridCol w:w="1133"/>
        <w:gridCol w:w="566"/>
        <w:gridCol w:w="1253"/>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21,719,555.16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-7,713,859.67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198,582.48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13,807,113.01</w:t>
            </w:r>
          </w:p>
        </w:tc>
      </w:tr>
    </w:tbl>
    <w:p>
      <w:pPr>
        <w:widowControl w:val="0"/>
        <w:spacing w:after="639" w:line="1" w:lineRule="exact"/>
      </w:pPr>
    </w:p>
    <w:p>
      <w:pPr>
        <w:pStyle w:val="Style37"/>
        <w:keepNext/>
        <w:keepLines/>
        <w:widowControl w:val="0"/>
        <w:shd w:val="clear" w:color="auto" w:fill="auto"/>
        <w:bidi w:val="0"/>
        <w:spacing w:before="0" w:after="380" w:line="240" w:lineRule="auto"/>
        <w:ind w:left="0" w:right="0" w:firstLine="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w:t>
      </w:r>
      <w:bookmarkEnd w:id="169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694"/>
      <w:bookmarkEnd w:id="1695"/>
      <w:bookmarkEnd w:id="169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198,582.48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5"/>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3,770.48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放弃税金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内部审批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194,812.00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内部审批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198,582.48</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w:t>
      </w:r>
      <w:bookmarkEnd w:id="170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698"/>
      <w:bookmarkEnd w:id="1699"/>
      <w:bookmarkEnd w:id="170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1968"/>
        <w:gridCol w:w="2818"/>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both"/>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r>
              <w:rPr>
                <w:rFonts w:ascii="Times New Roman" w:eastAsia="Times New Roman" w:hAnsi="Times New Roman" w:cs="Times New Roman"/>
                <w:color w:val="000000"/>
                <w:spacing w:val="0"/>
                <w:w w:val="100"/>
                <w:position w:val="0"/>
              </w:rPr>
              <w:t>（</w:t>
            </w:r>
            <w:r>
              <w:rPr>
                <w:color w:val="000000"/>
                <w:spacing w:val="0"/>
                <w:w w:val="100"/>
                <w:position w:val="0"/>
              </w:rPr>
              <w:t>非关联方</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13,969,826.24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1,097,755.77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r>
              <w:rPr>
                <w:rFonts w:ascii="Times New Roman" w:eastAsia="Times New Roman" w:hAnsi="Times New Roman" w:cs="Times New Roman"/>
                <w:color w:val="000000"/>
                <w:spacing w:val="0"/>
                <w:w w:val="100"/>
                <w:position w:val="0"/>
              </w:rPr>
              <w:t>（</w:t>
            </w:r>
            <w:r>
              <w:rPr>
                <w:color w:val="000000"/>
                <w:spacing w:val="0"/>
                <w:w w:val="100"/>
                <w:position w:val="0"/>
              </w:rPr>
              <w:t>非关联方</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8,514,432.00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649,155.57</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r>
              <w:rPr>
                <w:rFonts w:ascii="Times New Roman" w:eastAsia="Times New Roman" w:hAnsi="Times New Roman" w:cs="Times New Roman"/>
                <w:color w:val="000000"/>
                <w:spacing w:val="0"/>
                <w:w w:val="100"/>
                <w:position w:val="0"/>
              </w:rPr>
              <w:t>（</w:t>
            </w:r>
            <w:r>
              <w:rPr>
                <w:color w:val="000000"/>
                <w:spacing w:val="0"/>
                <w:w w:val="100"/>
                <w:position w:val="0"/>
              </w:rPr>
              <w:t>非关联方</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5,724,574.52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90,554.54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r>
              <w:rPr>
                <w:rFonts w:ascii="Times New Roman" w:eastAsia="Times New Roman" w:hAnsi="Times New Roman" w:cs="Times New Roman"/>
                <w:color w:val="000000"/>
                <w:spacing w:val="0"/>
                <w:w w:val="100"/>
                <w:position w:val="0"/>
              </w:rPr>
              <w:t>（</w:t>
            </w:r>
            <w:r>
              <w:rPr>
                <w:color w:val="000000"/>
                <w:spacing w:val="0"/>
                <w:w w:val="100"/>
                <w:position w:val="0"/>
              </w:rPr>
              <w:t>非关联方</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4,911,334.25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143,703.83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r>
              <w:rPr>
                <w:rFonts w:ascii="Times New Roman" w:eastAsia="Times New Roman" w:hAnsi="Times New Roman" w:cs="Times New Roman"/>
                <w:color w:val="000000"/>
                <w:spacing w:val="0"/>
                <w:w w:val="100"/>
                <w:position w:val="0"/>
              </w:rPr>
              <w:t>（</w:t>
            </w:r>
            <w:r>
              <w:rPr>
                <w:color w:val="000000"/>
                <w:spacing w:val="0"/>
                <w:w w:val="100"/>
                <w:position w:val="0"/>
              </w:rPr>
              <w:t>非关联方</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4,615,732.40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72,613.10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37,735,899.41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02"/>
      <w:bookmarkEnd w:id="1703"/>
      <w:bookmarkEnd w:id="170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40,901.92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47,638.36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567,075,439.91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594,616,328.33</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567,116,341.83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594,663,966.69</w:t>
            </w:r>
          </w:p>
        </w:tc>
      </w:tr>
    </w:tbl>
    <w:p>
      <w:pPr>
        <w:spacing w:lineRule="exact" w:line="1"/>
        <w:rPr>
          <w:sz w:val="2"/>
          <w:szCs w:val="2"/>
        </w:rPr>
      </w:pPr>
      <w:r>
        <w:br w:type="page"/>
      </w:r>
    </w:p>
    <w:p>
      <w:pPr>
        <w:pStyle w:val="Style37"/>
        <w:keepNext/>
        <w:keepLines/>
        <w:widowControl w:val="0"/>
        <w:shd w:val="clear" w:color="auto" w:fill="auto"/>
        <w:bidi w:val="0"/>
        <w:spacing w:before="0" w:line="240" w:lineRule="auto"/>
        <w:ind w:left="0" w:right="0" w:firstLine="0"/>
        <w:jc w:val="left"/>
      </w:pPr>
      <w:bookmarkStart w:id="1705" w:name="bookmark1705"/>
      <w:bookmarkStart w:id="1706" w:name="bookmark1706"/>
      <w:bookmarkStart w:id="1707" w:name="bookmark17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705"/>
      <w:bookmarkEnd w:id="1706"/>
      <w:bookmarkEnd w:id="1707"/>
    </w:p>
    <w:p>
      <w:pPr>
        <w:pStyle w:val="Style37"/>
        <w:keepNext/>
        <w:keepLines/>
        <w:widowControl w:val="0"/>
        <w:shd w:val="clear" w:color="auto" w:fill="auto"/>
        <w:bidi w:val="0"/>
        <w:spacing w:before="0" w:line="240" w:lineRule="auto"/>
        <w:ind w:left="0" w:right="0" w:firstLine="0"/>
        <w:jc w:val="left"/>
      </w:pPr>
      <w:bookmarkStart w:id="1705" w:name="bookmark1705"/>
      <w:bookmarkStart w:id="1706" w:name="bookmark1706"/>
      <w:bookmarkStart w:id="1708" w:name="bookmark1708"/>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705"/>
      <w:bookmarkEnd w:id="1706"/>
      <w:bookmarkEnd w:id="170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40,901.92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47,638.36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40,901.92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47,638.36</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09"/>
      <w:bookmarkEnd w:id="1710"/>
      <w:bookmarkEnd w:id="1711"/>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1712" w:name="bookmark1712"/>
      <w:bookmarkStart w:id="1713" w:name="bookmark1713"/>
      <w:bookmarkStart w:id="1714" w:name="bookmark17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12"/>
      <w:bookmarkEnd w:id="1713"/>
      <w:bookmarkEnd w:id="1714"/>
    </w:p>
    <w:p>
      <w:pPr>
        <w:pStyle w:val="Style37"/>
        <w:keepNext/>
        <w:keepLines/>
        <w:widowControl w:val="0"/>
        <w:shd w:val="clear" w:color="auto" w:fill="auto"/>
        <w:bidi w:val="0"/>
        <w:spacing w:before="0" w:line="240" w:lineRule="auto"/>
        <w:ind w:left="0" w:right="0" w:firstLine="0"/>
        <w:jc w:val="left"/>
      </w:pPr>
      <w:bookmarkStart w:id="1712" w:name="bookmark1712"/>
      <w:bookmarkStart w:id="1713" w:name="bookmark1713"/>
      <w:bookmarkStart w:id="1715" w:name="bookmark171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712"/>
      <w:bookmarkEnd w:id="1713"/>
      <w:bookmarkEnd w:id="171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股权转让诚意金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546,733,501.20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592,527,290.59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565,863.33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2,686,156.51</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442,025.09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298,990.00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其他保证金、押金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685,103.07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617,050.03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339,669.10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349,526.95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356,455.22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352,041.51</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569,122,617.01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596,835,055.59</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16"/>
      <w:bookmarkEnd w:id="1717"/>
      <w:bookmarkEnd w:id="171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2,218,727.26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2,218,727.26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37,047.47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37,047.47</w:t>
            </w:r>
          </w:p>
        </w:tc>
      </w:tr>
    </w:tbl>
    <w:p>
      <w:pPr>
        <w:spacing w:lineRule="exact" w:line="1"/>
        <w:rPr>
          <w:sz w:val="2"/>
          <w:szCs w:val="2"/>
        </w:rPr>
      </w:pPr>
      <w:r>
        <w:br w:type="page"/>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104,684.71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104,684.71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103,912.92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103,912.92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2,047,177.10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2,047,177.10</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566,425,095.62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237,755.43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543,675.85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1,916,090.11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41,679.52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22,796.00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1,851,614.59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569,122,617.01</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3</w:t>
      </w:r>
      <w:bookmarkEnd w:id="1721"/>
      <w:r>
        <w:rPr>
          <w:color w:val="000000"/>
          <w:spacing w:val="0"/>
          <w:w w:val="100"/>
          <w:position w:val="0"/>
        </w:rPr>
        <w:t>）本期计提、收回或转回的坏账准备情况</w:t>
      </w:r>
      <w:bookmarkEnd w:id="1719"/>
      <w:bookmarkEnd w:id="1720"/>
      <w:bookmarkEnd w:id="1722"/>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96"/>
        <w:gridCol w:w="1699"/>
        <w:gridCol w:w="994"/>
        <w:gridCol w:w="1133"/>
        <w:gridCol w:w="994"/>
        <w:gridCol w:w="566"/>
        <w:gridCol w:w="1104"/>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收回或转回</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r>
              <w:rPr>
                <w:rFonts w:ascii="Times New Roman" w:eastAsia="Times New Roman" w:hAnsi="Times New Roman" w:cs="Times New Roman"/>
                <w:color w:val="000000"/>
                <w:spacing w:val="0"/>
                <w:w w:val="100"/>
                <w:position w:val="0"/>
              </w:rPr>
              <w:t>-</w:t>
            </w:r>
            <w:r>
              <w:rPr>
                <w:color w:val="000000"/>
                <w:spacing w:val="0"/>
                <w:w w:val="100"/>
                <w:position w:val="0"/>
              </w:rPr>
              <w:t>第一阶段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2,218,727.26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37,047.47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104,684.71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103,912.92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2,047,177.10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r>
              <w:rPr>
                <w:rFonts w:ascii="Times New Roman" w:eastAsia="Times New Roman" w:hAnsi="Times New Roman" w:cs="Times New Roman"/>
                <w:color w:val="000000"/>
                <w:spacing w:val="0"/>
                <w:w w:val="100"/>
                <w:position w:val="0"/>
              </w:rPr>
              <w:t>-</w:t>
            </w:r>
            <w:r>
              <w:rPr>
                <w:color w:val="000000"/>
                <w:spacing w:val="0"/>
                <w:w w:val="100"/>
                <w:position w:val="0"/>
              </w:rPr>
              <w:t>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r>
              <w:rPr>
                <w:rFonts w:ascii="Times New Roman" w:eastAsia="Times New Roman" w:hAnsi="Times New Roman" w:cs="Times New Roman"/>
                <w:color w:val="000000"/>
                <w:spacing w:val="0"/>
                <w:w w:val="100"/>
                <w:position w:val="0"/>
              </w:rPr>
              <w:t>-</w:t>
            </w:r>
            <w:r>
              <w:rPr>
                <w:color w:val="000000"/>
                <w:spacing w:val="0"/>
                <w:w w:val="100"/>
                <w:position w:val="0"/>
              </w:rPr>
              <w:t>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2,218,727.26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37,047.47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104,684.71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103,912.92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2,047,177.10</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4</w:t>
      </w:r>
      <w:bookmarkEnd w:id="1725"/>
      <w:r>
        <w:rPr>
          <w:color w:val="000000"/>
          <w:spacing w:val="0"/>
          <w:w w:val="100"/>
          <w:position w:val="0"/>
        </w:rPr>
        <w:t>）本期实际核销的其他应收款情况</w:t>
      </w:r>
      <w:bookmarkEnd w:id="1723"/>
      <w:bookmarkEnd w:id="1724"/>
      <w:bookmarkEnd w:id="172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103,912.92</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因对方单位已注销，经公司审批流程批准，核销相关货款。</w:t>
      </w:r>
      <w:r>
        <w:br w:type="page"/>
      </w:r>
    </w:p>
    <w:p>
      <w:pPr>
        <w:pStyle w:val="Style37"/>
        <w:keepNext/>
        <w:keepLines/>
        <w:widowControl w:val="0"/>
        <w:shd w:val="clear" w:color="auto" w:fill="auto"/>
        <w:bidi w:val="0"/>
        <w:spacing w:before="0" w:after="340" w:line="240" w:lineRule="auto"/>
        <w:ind w:left="0" w:right="0" w:firstLine="0"/>
        <w:jc w:val="left"/>
      </w:pPr>
      <w:bookmarkStart w:id="1727" w:name="bookmark1727"/>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rPr>
        <w:t>5</w:t>
      </w:r>
      <w:bookmarkEnd w:id="1729"/>
      <w:r>
        <w:rPr>
          <w:color w:val="000000"/>
          <w:spacing w:val="0"/>
          <w:w w:val="100"/>
          <w:position w:val="0"/>
        </w:rPr>
        <w:t>）按欠款方归集的期末余额前五名的其他应收款情况</w:t>
      </w:r>
      <w:bookmarkEnd w:id="1727"/>
      <w:bookmarkEnd w:id="1728"/>
      <w:bookmarkEnd w:id="173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9"/>
        <w:gridCol w:w="1272"/>
        <w:gridCol w:w="1277"/>
        <w:gridCol w:w="1133"/>
        <w:gridCol w:w="1560"/>
        <w:gridCol w:w="965"/>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坏账准备</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中汇联银投资管理（北京）有限公司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259,692,377.24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喀什中汇联银创业投资有限公司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136,148,488.44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深圳市惠程智能电力设备有限公司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80,957,683.55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深圳市一零电力设备有限责任公司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24,008,080.04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深圳市零玖电力设备有限责任公司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23,005,132.96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523,811,762.23</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3</w:t>
      </w:r>
      <w:bookmarkEnd w:id="1733"/>
      <w:r>
        <w:rPr>
          <w:color w:val="000000"/>
          <w:spacing w:val="0"/>
          <w:w w:val="100"/>
          <w:position w:val="0"/>
        </w:rPr>
        <w:t>、长期股权投资</w:t>
      </w:r>
      <w:bookmarkEnd w:id="1731"/>
      <w:bookmarkEnd w:id="1732"/>
      <w:bookmarkEnd w:id="173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58"/>
        <w:gridCol w:w="1421"/>
        <w:gridCol w:w="1272"/>
        <w:gridCol w:w="1421"/>
        <w:gridCol w:w="1416"/>
        <w:gridCol w:w="725"/>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1,754,060,471.00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632,182,265.21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1,121,878,205.79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1,643,060,471.00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1,643,060,471.00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13,161,055.18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13,161,055.18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9,228,777.71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9,228,777.71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1,767,221,526.18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632,182,265.21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1,135,039,260.97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1,652,289,248.71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1,652,289,248.71</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35"/>
      <w:bookmarkEnd w:id="1736"/>
      <w:bookmarkEnd w:id="173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392"/>
        <w:gridCol w:w="1277"/>
        <w:gridCol w:w="422"/>
        <w:gridCol w:w="1277"/>
        <w:gridCol w:w="994"/>
        <w:gridCol w:w="1416"/>
        <w:gridCol w:w="1531"/>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北京中汇联银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中汇联鑫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哆可梦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1,383,460,950.00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632,182,265.21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751,278,684.79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632,182,265.21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香港惠程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1,709,525.00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1,709,525.00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惠程智能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喀什中汇联银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上海季娱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116,100,000.00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铁匣电力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一零电力</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392"/>
        <w:gridCol w:w="1277"/>
        <w:gridCol w:w="422"/>
        <w:gridCol w:w="1277"/>
        <w:gridCol w:w="994"/>
        <w:gridCol w:w="1416"/>
        <w:gridCol w:w="1531"/>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零玖电力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链接世界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15,489,996.00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15,489,996.00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1,643,060,471.00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632,182,265.21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1,121,878,205.79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632,182,265.21</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38"/>
      <w:bookmarkEnd w:id="1739"/>
      <w:bookmarkEnd w:id="174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1018"/>
        <w:gridCol w:w="1133"/>
        <w:gridCol w:w="245"/>
        <w:gridCol w:w="1032"/>
        <w:gridCol w:w="562"/>
        <w:gridCol w:w="802"/>
        <w:gridCol w:w="797"/>
        <w:gridCol w:w="797"/>
        <w:gridCol w:w="446"/>
        <w:gridCol w:w="1152"/>
        <w:gridCol w:w="806"/>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期初余额</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账面价值</w:t>
            </w:r>
            <w:r>
              <w:rPr>
                <w:color w:val="000000"/>
                <w:spacing w:val="0"/>
                <w:w w:val="100"/>
                <w:position w:val="0"/>
              </w:rPr>
              <w:t>）</w:t>
            </w:r>
          </w:p>
        </w:tc>
        <w:tc>
          <w:tcPr>
            <w:gridSpan w:val="8"/>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减值准备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减 少 投 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权益法下确 认的投资损 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6" w:lineRule="exact"/>
              <w:ind w:left="0" w:right="0" w:firstLine="0"/>
              <w:jc w:val="both"/>
            </w:pPr>
            <w:r>
              <w:rPr>
                <w:color w:val="000000"/>
                <w:spacing w:val="0"/>
                <w:w w:val="100"/>
                <w:position w:val="0"/>
              </w:rPr>
              <w:t>其他 综合 收益 调整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宁波永耀 惠程电力 科技有限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3,236,302.71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256,572.60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3,492,875.31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北京真机 智能科技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5,992,475.00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-324,295.13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9,668,179.87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9,228,777.71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-67,722.53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13,161,055.18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9,228,777.71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-67,722.53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13,161,055.18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4</w:t>
      </w:r>
      <w:bookmarkEnd w:id="1743"/>
      <w:r>
        <w:rPr>
          <w:color w:val="000000"/>
          <w:spacing w:val="0"/>
          <w:w w:val="100"/>
          <w:position w:val="0"/>
        </w:rPr>
        <w:t>、营业收入和营业成本</w:t>
      </w:r>
      <w:bookmarkEnd w:id="1741"/>
      <w:bookmarkEnd w:id="1742"/>
      <w:bookmarkEnd w:id="174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225,458,253.69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164,924,899.04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279,877,006.52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196,728,573.24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4,959,550.00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1,524,518.19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24,803,552.54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9,441,314.64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230,417,803.69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166,449,417.23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304,680,559.06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206,169,887.88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21"/>
        <w:gridCol w:w="3206"/>
        <w:gridCol w:w="3221"/>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电气事业部</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电气业务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225,458,253.69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225,458,253.69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4,959,550.00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4,959,550.00</w:t>
            </w:r>
          </w:p>
        </w:tc>
      </w:tr>
    </w:tbl>
    <w:p>
      <w:pPr>
        <w:spacing w:lineRule="exact" w:line="1"/>
        <w:rPr>
          <w:sz w:val="2"/>
          <w:szCs w:val="2"/>
        </w:rPr>
      </w:pPr>
      <w:r>
        <w:br w:type="page"/>
      </w:r>
    </w:p>
    <w:tbl>
      <w:tblPr>
        <w:tblOverlap w:val="never"/>
        <w:jc w:val="center"/>
        <w:tblLayout w:type="fixed"/>
      </w:tblPr>
      <w:tblGrid>
        <w:gridCol w:w="3221"/>
        <w:gridCol w:w="3206"/>
        <w:gridCol w:w="3221"/>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230,417,803.69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230,417,803.69</w:t>
            </w:r>
          </w:p>
        </w:tc>
      </w:tr>
    </w:tbl>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与履约义务相关的信息：</w:t>
      </w:r>
    </w:p>
    <w:p>
      <w:pPr>
        <w:pStyle w:val="Style33"/>
        <w:keepNext w:val="0"/>
        <w:keepLines w:val="0"/>
        <w:widowControl w:val="0"/>
        <w:shd w:val="clear" w:color="auto" w:fill="auto"/>
        <w:bidi w:val="0"/>
        <w:spacing w:before="0" w:after="340" w:line="312" w:lineRule="exact"/>
        <w:ind w:left="0" w:right="0"/>
        <w:jc w:val="left"/>
      </w:pPr>
      <w:r>
        <w:rPr>
          <w:color w:val="000000"/>
          <w:spacing w:val="0"/>
          <w:w w:val="100"/>
          <w:position w:val="0"/>
        </w:rPr>
        <w:t>公司与客户的销售合同一般是在取得客户提供的验收合格证明时确认销售收入，除非合同明确约定有可以取代验收合 格证明的其他条款，则根据合同约定条款确认销售收入。</w:t>
      </w:r>
    </w:p>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与分摊至剩余履约义务的交易价格相关的信息：</w:t>
      </w:r>
    </w:p>
    <w:p>
      <w:pPr>
        <w:pStyle w:val="Style33"/>
        <w:keepNext w:val="0"/>
        <w:keepLines w:val="0"/>
        <w:widowControl w:val="0"/>
        <w:shd w:val="clear" w:color="auto" w:fill="auto"/>
        <w:bidi w:val="0"/>
        <w:spacing w:before="0" w:after="0" w:line="322" w:lineRule="exact"/>
        <w:ind w:left="0" w:right="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53,287,492.44</w:t>
      </w:r>
      <w:r>
        <w:rPr>
          <w:color w:val="000000"/>
          <w:spacing w:val="0"/>
          <w:w w:val="100"/>
          <w:position w:val="0"/>
        </w:rPr>
        <w:t>元，其中，</w:t>
      </w:r>
    </w:p>
    <w:p>
      <w:pPr>
        <w:pStyle w:val="Style54"/>
        <w:keepNext w:val="0"/>
        <w:keepLines w:val="0"/>
        <w:widowControl w:val="0"/>
        <w:shd w:val="clear" w:color="auto" w:fill="auto"/>
        <w:bidi w:val="0"/>
        <w:spacing w:before="0" w:after="380" w:line="331" w:lineRule="exact"/>
        <w:ind w:left="0" w:right="0" w:firstLine="0"/>
        <w:jc w:val="left"/>
      </w:pPr>
      <w:r>
        <w:rPr>
          <w:color w:val="000000"/>
          <w:spacing w:val="0"/>
          <w:w w:val="100"/>
          <w:position w:val="0"/>
        </w:rPr>
        <w:t>41,556,580.17</w:t>
      </w:r>
      <w:r>
        <w:rPr>
          <w:rFonts w:ascii="SimSun" w:eastAsia="SimSun" w:hAnsi="SimSun" w:cs="SimSun"/>
          <w:color w:val="000000"/>
          <w:spacing w:val="0"/>
          <w:w w:val="100"/>
          <w:position w:val="0"/>
        </w:rPr>
        <w:t>元预计将于</w:t>
      </w:r>
      <w:r>
        <w:rPr>
          <w:color w:val="000000"/>
          <w:spacing w:val="0"/>
          <w:w w:val="100"/>
          <w:position w:val="0"/>
        </w:rPr>
        <w:t>2021</w:t>
      </w:r>
      <w:r>
        <w:rPr>
          <w:rFonts w:ascii="SimSun" w:eastAsia="SimSun" w:hAnsi="SimSun" w:cs="SimSun"/>
          <w:color w:val="000000"/>
          <w:spacing w:val="0"/>
          <w:w w:val="100"/>
          <w:position w:val="0"/>
        </w:rPr>
        <w:t>年度确认收入</w:t>
      </w:r>
      <w:r>
        <w:rPr>
          <w:rFonts w:ascii="SimSun" w:eastAsia="SimSun" w:hAnsi="SimSun" w:cs="SimSun"/>
          <w:color w:val="000000"/>
          <w:spacing w:val="0"/>
          <w:w w:val="100"/>
          <w:position w:val="0"/>
        </w:rPr>
        <w:t>，</w:t>
      </w:r>
      <w:r>
        <w:rPr>
          <w:color w:val="000000"/>
          <w:spacing w:val="0"/>
          <w:w w:val="100"/>
          <w:position w:val="0"/>
        </w:rPr>
        <w:t>11,730,912.27</w:t>
      </w:r>
      <w:r>
        <w:rPr>
          <w:rFonts w:ascii="SimSun" w:eastAsia="SimSun" w:hAnsi="SimSun" w:cs="SimSun"/>
          <w:color w:val="000000"/>
          <w:spacing w:val="0"/>
          <w:w w:val="100"/>
          <w:position w:val="0"/>
        </w:rPr>
        <w:t>元预计将于</w:t>
      </w:r>
      <w:r>
        <w:rPr>
          <w:color w:val="000000"/>
          <w:spacing w:val="0"/>
          <w:w w:val="100"/>
          <w:position w:val="0"/>
        </w:rPr>
        <w:t>2022</w:t>
      </w:r>
      <w:r>
        <w:rPr>
          <w:rFonts w:ascii="SimSun" w:eastAsia="SimSun" w:hAnsi="SimSun" w:cs="SimSun"/>
          <w:color w:val="000000"/>
          <w:spacing w:val="0"/>
          <w:w w:val="100"/>
          <w:position w:val="0"/>
        </w:rPr>
        <w:t>年度确认收入，</w:t>
      </w:r>
      <w:r>
        <w:rPr>
          <w:color w:val="000000"/>
          <w:spacing w:val="0"/>
          <w:w w:val="100"/>
          <w:position w:val="0"/>
        </w:rPr>
        <w:t>0.00</w:t>
      </w:r>
      <w:r>
        <w:rPr>
          <w:rFonts w:ascii="SimSun" w:eastAsia="SimSun" w:hAnsi="SimSun" w:cs="SimSun"/>
          <w:color w:val="000000"/>
          <w:spacing w:val="0"/>
          <w:w w:val="100"/>
          <w:position w:val="0"/>
        </w:rPr>
        <w:t>元预计将于</w:t>
      </w:r>
      <w:r>
        <w:rPr>
          <w:color w:val="000000"/>
          <w:spacing w:val="0"/>
          <w:w w:val="100"/>
          <w:position w:val="0"/>
        </w:rPr>
        <w:t>0</w:t>
      </w:r>
      <w:r>
        <w:rPr>
          <w:rFonts w:ascii="SimSun" w:eastAsia="SimSun" w:hAnsi="SimSun" w:cs="SimSun"/>
          <w:color w:val="000000"/>
          <w:spacing w:val="0"/>
          <w:w w:val="100"/>
          <w:position w:val="0"/>
        </w:rPr>
        <w:t>年度确认 收入。</w:t>
      </w:r>
    </w:p>
    <w:p>
      <w:pPr>
        <w:pStyle w:val="Style37"/>
        <w:keepNext/>
        <w:keepLines/>
        <w:widowControl w:val="0"/>
        <w:shd w:val="clear" w:color="auto" w:fill="auto"/>
        <w:bidi w:val="0"/>
        <w:spacing w:before="0" w:after="380" w:line="240" w:lineRule="auto"/>
        <w:ind w:left="0" w:right="0" w:firstLine="0"/>
        <w:jc w:val="left"/>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5</w:t>
      </w:r>
      <w:bookmarkEnd w:id="1747"/>
      <w:r>
        <w:rPr>
          <w:color w:val="000000"/>
          <w:spacing w:val="0"/>
          <w:w w:val="100"/>
          <w:position w:val="0"/>
        </w:rPr>
        <w:t>、投资收益</w:t>
      </w:r>
      <w:bookmarkEnd w:id="1745"/>
      <w:bookmarkEnd w:id="1746"/>
      <w:bookmarkEnd w:id="174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46"/>
        <w:gridCol w:w="2443"/>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124,376,666.66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-67,722.53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-576,505.78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5,485.27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54,519.48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-384,875.76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20,643,491.38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123,978,587.85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105,072,470.87</w:t>
            </w:r>
          </w:p>
        </w:tc>
      </w:tr>
    </w:tbl>
    <w:p>
      <w:pPr>
        <w:widowControl w:val="0"/>
        <w:spacing w:after="339" w:line="1" w:lineRule="exact"/>
      </w:pPr>
    </w:p>
    <w:p>
      <w:pPr>
        <w:pStyle w:val="Style29"/>
        <w:keepNext/>
        <w:keepLines/>
        <w:widowControl w:val="0"/>
        <w:shd w:val="clear" w:color="auto" w:fill="auto"/>
        <w:bidi w:val="0"/>
        <w:spacing w:before="0" w:line="240" w:lineRule="auto"/>
        <w:ind w:left="0" w:right="0" w:firstLine="0"/>
        <w:jc w:val="left"/>
      </w:pPr>
      <w:bookmarkStart w:id="1749" w:name="bookmark1749"/>
      <w:bookmarkStart w:id="1750" w:name="bookmark1750"/>
      <w:bookmarkStart w:id="1751" w:name="bookmark1751"/>
      <w:r>
        <w:rPr>
          <w:color w:val="000000"/>
          <w:spacing w:val="0"/>
          <w:w w:val="100"/>
          <w:position w:val="0"/>
          <w:sz w:val="24"/>
          <w:szCs w:val="24"/>
        </w:rPr>
        <w:t>十八、补充资料</w:t>
      </w:r>
      <w:bookmarkEnd w:id="1749"/>
      <w:bookmarkEnd w:id="1750"/>
      <w:bookmarkEnd w:id="1751"/>
    </w:p>
    <w:p>
      <w:pPr>
        <w:pStyle w:val="Style37"/>
        <w:keepNext/>
        <w:keepLines/>
        <w:widowControl w:val="0"/>
        <w:shd w:val="clear" w:color="auto" w:fill="auto"/>
        <w:bidi w:val="0"/>
        <w:spacing w:before="0" w:after="340" w:line="240" w:lineRule="auto"/>
        <w:ind w:left="0" w:right="0" w:firstLine="0"/>
        <w:jc w:val="left"/>
      </w:pPr>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52"/>
      <w:bookmarkEnd w:id="1753"/>
      <w:bookmarkEnd w:id="1754"/>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2030"/>
        <w:gridCol w:w="422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-155,172.32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13,588,816.13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主要系符合地方政府招商引资等地方性扶持政策而获 得的补助、增值税进项税加计扣除及个税返还所致</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-12,656,300.00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主要系报告期内公司所持投资性房地产估值降低所致</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468,940.70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-677,319.72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600,072.03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1,323,532.20</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w:t>
      </w:r>
    </w:p>
    <w:p>
      <w:pPr>
        <w:pStyle w:val="Style33"/>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 目，应说明原因。</w:t>
      </w:r>
    </w:p>
    <w:p>
      <w:pPr>
        <w:pStyle w:val="Style3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08"/>
        <w:gridCol w:w="1704"/>
        <w:gridCol w:w="507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惠程本部、中汇同盈理财产品收益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-381,767.05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公司理财业务属于经常性业务，未来将持续进行，收益可持续 且稳定；符合经常性损益与主营业务相关且持续稳定的特性。</w:t>
            </w:r>
          </w:p>
        </w:tc>
      </w:tr>
      <w:tr>
        <w:trPr>
          <w:trHeight w:val="134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北京中汇联银、中汇联鑫、喀什中 汇联银证券、股权、理财投资收益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11,538,919.65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北京中汇联银、中汇联鑫、喀什中汇联银作为公司设立的专门 投资业务平台，主要从事投资类业务，证券、股权、理财投资 系三家子公司经常性发生的业务，具有持续性；符合经常性损 益与主营业务相关且持续稳定的特性。</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left"/>
      </w:pPr>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55"/>
      <w:bookmarkEnd w:id="1756"/>
      <w:bookmarkEnd w:id="1757"/>
    </w:p>
    <w:tbl>
      <w:tblPr>
        <w:tblOverlap w:val="never"/>
        <w:jc w:val="center"/>
        <w:tblLayout w:type="fixed"/>
      </w:tblPr>
      <w:tblGrid>
        <w:gridCol w:w="2669"/>
        <w:gridCol w:w="3082"/>
        <w:gridCol w:w="1910"/>
        <w:gridCol w:w="19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w:t>
            </w:r>
          </w:p>
        </w:tc>
      </w:tr>
    </w:tbl>
    <w:p>
      <w:pPr>
        <w:widowControl w:val="0"/>
        <w:spacing w:after="239" w:line="1" w:lineRule="exact"/>
      </w:pPr>
    </w:p>
    <w:p>
      <w:pPr>
        <w:pStyle w:val="Style37"/>
        <w:keepNext/>
        <w:keepLines/>
        <w:widowControl w:val="0"/>
        <w:shd w:val="clear" w:color="auto" w:fill="auto"/>
        <w:bidi w:val="0"/>
        <w:spacing w:before="0" w:after="300" w:line="326" w:lineRule="exact"/>
        <w:ind w:left="0" w:right="0" w:firstLine="0"/>
        <w:jc w:val="left"/>
      </w:pPr>
      <w:bookmarkStart w:id="1758" w:name="bookmark1758"/>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3</w:t>
      </w:r>
      <w:bookmarkEnd w:id="1760"/>
      <w:r>
        <w:rPr>
          <w:color w:val="000000"/>
          <w:spacing w:val="0"/>
          <w:w w:val="100"/>
          <w:position w:val="0"/>
        </w:rPr>
        <w:t>、境内外会计准则下会计数据差异</w:t>
      </w:r>
      <w:bookmarkEnd w:id="1758"/>
      <w:bookmarkEnd w:id="1759"/>
      <w:bookmarkEnd w:id="1761"/>
    </w:p>
    <w:p>
      <w:pPr>
        <w:pStyle w:val="Style37"/>
        <w:keepNext/>
        <w:keepLines/>
        <w:widowControl w:val="0"/>
        <w:shd w:val="clear" w:color="auto" w:fill="auto"/>
        <w:tabs>
          <w:tab w:pos="493" w:val="left"/>
        </w:tabs>
        <w:bidi w:val="0"/>
        <w:spacing w:before="0" w:line="326" w:lineRule="exact"/>
        <w:ind w:left="0" w:right="0" w:firstLine="0"/>
        <w:jc w:val="left"/>
      </w:pPr>
      <w:bookmarkStart w:id="1758" w:name="bookmark1758"/>
      <w:bookmarkStart w:id="1759" w:name="bookmark1759"/>
      <w:bookmarkStart w:id="1762" w:name="bookmark1762"/>
      <w:bookmarkStart w:id="1763" w:name="bookmark1763"/>
      <w:r>
        <w:rPr>
          <w:color w:val="000000"/>
          <w:spacing w:val="0"/>
          <w:w w:val="100"/>
          <w:position w:val="0"/>
        </w:rPr>
        <w:t>（</w:t>
      </w:r>
      <w:bookmarkEnd w:id="1762"/>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758"/>
      <w:bookmarkEnd w:id="1759"/>
      <w:bookmarkEnd w:id="1763"/>
    </w:p>
    <w:p>
      <w:pPr>
        <w:pStyle w:val="Style33"/>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493" w:val="left"/>
        </w:tabs>
        <w:bidi w:val="0"/>
        <w:spacing w:before="0" w:line="326" w:lineRule="exact"/>
        <w:ind w:left="0" w:right="0" w:firstLine="0"/>
        <w:jc w:val="left"/>
      </w:pPr>
      <w:bookmarkStart w:id="1764" w:name="bookmark1764"/>
      <w:bookmarkStart w:id="1765" w:name="bookmark1765"/>
      <w:bookmarkStart w:id="1766" w:name="bookmark1766"/>
      <w:bookmarkStart w:id="1767" w:name="bookmark1767"/>
      <w:r>
        <w:rPr>
          <w:color w:val="000000"/>
          <w:spacing w:val="0"/>
          <w:w w:val="100"/>
          <w:position w:val="0"/>
        </w:rPr>
        <w:t>（</w:t>
      </w:r>
      <w:bookmarkEnd w:id="1766"/>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764"/>
      <w:bookmarkEnd w:id="1765"/>
      <w:bookmarkEnd w:id="1767"/>
    </w:p>
    <w:p>
      <w:pPr>
        <w:pStyle w:val="Style33"/>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after="300" w:line="326" w:lineRule="exact"/>
        <w:ind w:left="0" w:right="0" w:firstLine="0"/>
        <w:jc w:val="left"/>
        <w:sectPr>
          <w:headerReference w:type="default" r:id="rId53"/>
          <w:footerReference w:type="default" r:id="rId54"/>
          <w:footnotePr>
            <w:pos w:val="pageBottom"/>
            <w:numFmt w:val="decimal"/>
            <w:numRestart w:val="continuous"/>
          </w:footnotePr>
          <w:pgSz w:w="11900" w:h="16840"/>
          <w:pgMar w:top="1393" w:right="1104" w:bottom="1518" w:left="1106" w:header="0" w:footer="3" w:gutter="0"/>
          <w:cols w:space="720"/>
          <w:noEndnote/>
          <w:rtlGutter w:val="0"/>
          <w:docGrid w:linePitch="360"/>
        </w:sectPr>
      </w:pPr>
      <w:bookmarkStart w:id="1768" w:name="bookmark1768"/>
      <w:bookmarkStart w:id="1769" w:name="bookmark1769"/>
      <w:bookmarkStart w:id="1770" w:name="bookmark1770"/>
      <w:bookmarkStart w:id="1771" w:name="bookmark1771"/>
      <w:r>
        <w:rPr>
          <w:color w:val="000000"/>
          <w:spacing w:val="0"/>
          <w:w w:val="100"/>
          <w:position w:val="0"/>
        </w:rPr>
        <w:t>（</w:t>
      </w:r>
      <w:bookmarkEnd w:id="1770"/>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768"/>
      <w:bookmarkEnd w:id="1769"/>
      <w:bookmarkEnd w:id="1771"/>
    </w:p>
    <w:p>
      <w:pPr>
        <w:pStyle w:val="Style18"/>
        <w:keepNext/>
        <w:keepLines/>
        <w:widowControl w:val="0"/>
        <w:shd w:val="clear" w:color="auto" w:fill="auto"/>
        <w:bidi w:val="0"/>
        <w:spacing w:before="0" w:after="580" w:line="240" w:lineRule="auto"/>
        <w:ind w:left="0" w:right="0" w:firstLine="0"/>
        <w:jc w:val="center"/>
      </w:pPr>
      <w:bookmarkStart w:id="1772" w:name="bookmark1772"/>
      <w:bookmarkStart w:id="1773" w:name="bookmark1773"/>
      <w:bookmarkStart w:id="1774" w:name="bookmark1774"/>
      <w:r>
        <w:rPr>
          <w:color w:val="000000"/>
          <w:spacing w:val="0"/>
          <w:w w:val="100"/>
          <w:position w:val="0"/>
        </w:rPr>
        <w:t>第十三节备查文件目录</w:t>
      </w:r>
      <w:bookmarkEnd w:id="1772"/>
      <w:bookmarkEnd w:id="1773"/>
      <w:bookmarkEnd w:id="1774"/>
    </w:p>
    <w:p>
      <w:pPr>
        <w:pStyle w:val="Style33"/>
        <w:keepNext w:val="0"/>
        <w:keepLines w:val="0"/>
        <w:widowControl w:val="0"/>
        <w:shd w:val="clear" w:color="auto" w:fill="auto"/>
        <w:tabs>
          <w:tab w:pos="531" w:val="left"/>
        </w:tabs>
        <w:bidi w:val="0"/>
        <w:spacing w:before="0" w:after="100" w:line="240" w:lineRule="auto"/>
        <w:ind w:left="0" w:right="0" w:firstLine="0"/>
        <w:jc w:val="left"/>
      </w:pPr>
      <w:bookmarkStart w:id="1775" w:name="bookmark1775"/>
      <w:bookmarkStart w:id="1776" w:name="bookmark1776"/>
      <w:r>
        <w:rPr>
          <w:color w:val="000000"/>
          <w:spacing w:val="0"/>
          <w:w w:val="100"/>
          <w:position w:val="0"/>
        </w:rPr>
        <w:t>（</w:t>
      </w:r>
      <w:bookmarkEnd w:id="1776"/>
      <w:r>
        <w:rPr>
          <w:color w:val="000000"/>
          <w:spacing w:val="0"/>
          <w:w w:val="100"/>
          <w:position w:val="0"/>
        </w:rPr>
        <w:t>一）</w:t>
        <w:tab/>
        <w:t>载有公司法定代表人、主管会计负责人、会计机构负责人（会计主管人员）签名并盖章的财务报表。</w:t>
      </w:r>
      <w:bookmarkEnd w:id="1775"/>
    </w:p>
    <w:p>
      <w:pPr>
        <w:pStyle w:val="Style33"/>
        <w:keepNext w:val="0"/>
        <w:keepLines w:val="0"/>
        <w:widowControl w:val="0"/>
        <w:shd w:val="clear" w:color="auto" w:fill="auto"/>
        <w:tabs>
          <w:tab w:pos="531" w:val="left"/>
        </w:tabs>
        <w:bidi w:val="0"/>
        <w:spacing w:before="0" w:after="100" w:line="240" w:lineRule="auto"/>
        <w:ind w:left="0" w:right="0" w:firstLine="0"/>
        <w:jc w:val="left"/>
      </w:pPr>
      <w:bookmarkStart w:id="1777" w:name="bookmark1777"/>
      <w:r>
        <w:rPr>
          <w:color w:val="000000"/>
          <w:spacing w:val="0"/>
          <w:w w:val="100"/>
          <w:position w:val="0"/>
        </w:rPr>
        <w:t>（</w:t>
      </w:r>
      <w:bookmarkEnd w:id="1777"/>
      <w:r>
        <w:rPr>
          <w:color w:val="000000"/>
          <w:spacing w:val="0"/>
          <w:w w:val="100"/>
          <w:position w:val="0"/>
        </w:rPr>
        <w:t>二）</w:t>
        <w:tab/>
        <w:t>载有会计师事务所盖章、注册会计师签名并盖章的审计报告原件。</w:t>
      </w:r>
    </w:p>
    <w:p>
      <w:pPr>
        <w:pStyle w:val="Style33"/>
        <w:keepNext w:val="0"/>
        <w:keepLines w:val="0"/>
        <w:widowControl w:val="0"/>
        <w:shd w:val="clear" w:color="auto" w:fill="auto"/>
        <w:tabs>
          <w:tab w:pos="531" w:val="left"/>
        </w:tabs>
        <w:bidi w:val="0"/>
        <w:spacing w:before="0" w:after="100" w:line="240" w:lineRule="auto"/>
        <w:ind w:left="0" w:right="0" w:firstLine="0"/>
        <w:jc w:val="left"/>
      </w:pPr>
      <w:bookmarkStart w:id="1778" w:name="bookmark1778"/>
      <w:r>
        <w:rPr>
          <w:color w:val="000000"/>
          <w:spacing w:val="0"/>
          <w:w w:val="100"/>
          <w:position w:val="0"/>
        </w:rPr>
        <w:t>（</w:t>
      </w:r>
      <w:bookmarkEnd w:id="1778"/>
      <w:r>
        <w:rPr>
          <w:color w:val="000000"/>
          <w:spacing w:val="0"/>
          <w:w w:val="100"/>
          <w:position w:val="0"/>
        </w:rPr>
        <w:t>三）</w:t>
        <w:tab/>
        <w:t>报告期内在中国证监会指定报纸上公开披露过的所有公司文件的正本及公告的原稿。</w:t>
      </w:r>
    </w:p>
    <w:p>
      <w:pPr>
        <w:pStyle w:val="Style33"/>
        <w:keepNext w:val="0"/>
        <w:keepLines w:val="0"/>
        <w:widowControl w:val="0"/>
        <w:shd w:val="clear" w:color="auto" w:fill="auto"/>
        <w:tabs>
          <w:tab w:pos="531" w:val="left"/>
        </w:tabs>
        <w:bidi w:val="0"/>
        <w:spacing w:before="0" w:after="100" w:line="240" w:lineRule="auto"/>
        <w:ind w:left="0" w:right="0" w:firstLine="0"/>
        <w:jc w:val="left"/>
      </w:pPr>
      <w:bookmarkStart w:id="1779" w:name="bookmark1779"/>
      <w:r>
        <w:rPr>
          <w:color w:val="000000"/>
          <w:spacing w:val="0"/>
          <w:w w:val="100"/>
          <w:position w:val="0"/>
        </w:rPr>
        <w:t>（</w:t>
      </w:r>
      <w:bookmarkEnd w:id="1779"/>
      <w:r>
        <w:rPr>
          <w:color w:val="000000"/>
          <w:spacing w:val="0"/>
          <w:w w:val="100"/>
          <w:position w:val="0"/>
        </w:rPr>
        <w:t>四）</w:t>
        <w:tab/>
        <w:t>载有董事长汪超涌先生签名的</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p>
      <w:pPr>
        <w:pStyle w:val="Style33"/>
        <w:keepNext w:val="0"/>
        <w:keepLines w:val="0"/>
        <w:widowControl w:val="0"/>
        <w:shd w:val="clear" w:color="auto" w:fill="auto"/>
        <w:tabs>
          <w:tab w:pos="531" w:val="left"/>
        </w:tabs>
        <w:bidi w:val="0"/>
        <w:spacing w:before="0" w:after="100" w:line="240" w:lineRule="auto"/>
        <w:ind w:left="0" w:right="0" w:firstLine="0"/>
        <w:jc w:val="left"/>
      </w:pPr>
      <w:bookmarkStart w:id="1780" w:name="bookmark1780"/>
      <w:r>
        <w:rPr>
          <w:color w:val="000000"/>
          <w:spacing w:val="0"/>
          <w:w w:val="100"/>
          <w:position w:val="0"/>
        </w:rPr>
        <w:t>（</w:t>
      </w:r>
      <w:bookmarkEnd w:id="1780"/>
      <w:r>
        <w:rPr>
          <w:color w:val="000000"/>
          <w:spacing w:val="0"/>
          <w:w w:val="100"/>
          <w:position w:val="0"/>
        </w:rPr>
        <w:t>五）</w:t>
        <w:tab/>
        <w:t>以上备查文件的置放地点：公司证券部办公室。</w:t>
      </w:r>
    </w:p>
    <w:p>
      <w:pPr>
        <w:pStyle w:val="Style33"/>
        <w:keepNext w:val="0"/>
        <w:keepLines w:val="0"/>
        <w:widowControl w:val="0"/>
        <w:shd w:val="clear" w:color="auto" w:fill="auto"/>
        <w:bidi w:val="0"/>
        <w:spacing w:before="0" w:after="400" w:line="240" w:lineRule="auto"/>
        <w:ind w:left="0" w:right="0" w:firstLine="0"/>
        <w:jc w:val="right"/>
      </w:pPr>
      <w:r>
        <w:rPr>
          <w:color w:val="000000"/>
          <w:spacing w:val="0"/>
          <w:w w:val="100"/>
          <w:position w:val="0"/>
        </w:rPr>
        <w:t>深圳市惠程信息科技股份有限公司董事会</w:t>
      </w:r>
    </w:p>
    <w:p>
      <w:pPr>
        <w:pStyle w:val="Style33"/>
        <w:keepNext w:val="0"/>
        <w:keepLines w:val="0"/>
        <w:widowControl w:val="0"/>
        <w:shd w:val="clear" w:color="auto" w:fill="auto"/>
        <w:bidi w:val="0"/>
        <w:spacing w:before="0" w:after="400" w:line="240" w:lineRule="auto"/>
        <w:ind w:left="0" w:right="0" w:firstLine="0"/>
        <w:jc w:val="right"/>
      </w:pPr>
      <w:r>
        <w:rPr>
          <w:color w:val="000000"/>
          <w:spacing w:val="0"/>
          <w:w w:val="100"/>
          <w:position w:val="0"/>
        </w:rPr>
        <w:t>董事长：汪超涌</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二。二一年四月二十九日</w:t>
      </w:r>
    </w:p>
    <w:sectPr>
      <w:footnotePr>
        <w:pos w:val="pageBottom"/>
        <w:numFmt w:val="decimal"/>
        <w:numRestart w:val="continuous"/>
      </w:footnotePr>
      <w:pgSz w:w="11900" w:h="16840"/>
      <w:pgMar w:top="1662" w:right="1109" w:bottom="1662" w:left="120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6721475</wp:posOffset>
              </wp:positionH>
              <wp:positionV relativeFrom="page">
                <wp:posOffset>9958070</wp:posOffset>
              </wp:positionV>
              <wp:extent cx="103505" cy="82550"/>
              <wp:wrapNone/>
              <wp:docPr id="49" name="Shape 49"/>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5" type="#_x0000_t202" style="position:absolute;margin-left:529.25pt;margin-top:784.10000000000002pt;width:8.1500000000000004pt;height:6.5pt;z-index:-18874402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9660255</wp:posOffset>
              </wp:positionH>
              <wp:positionV relativeFrom="page">
                <wp:posOffset>6849745</wp:posOffset>
              </wp:positionV>
              <wp:extent cx="106680" cy="79375"/>
              <wp:wrapNone/>
              <wp:docPr id="54" name="Shape 5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0" type="#_x0000_t202" style="position:absolute;margin-left:760.64999999999998pt;margin-top:539.35000000000002pt;width:8.4000000000000004pt;height:6.25pt;z-index:-18874402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6721475</wp:posOffset>
              </wp:positionH>
              <wp:positionV relativeFrom="page">
                <wp:posOffset>9958070</wp:posOffset>
              </wp:positionV>
              <wp:extent cx="103505" cy="82550"/>
              <wp:wrapNone/>
              <wp:docPr id="59" name="Shape 59"/>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5" type="#_x0000_t202" style="position:absolute;margin-left:529.25pt;margin-top:784.10000000000002pt;width:8.1500000000000004pt;height:6.5pt;z-index:-18874401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9621520</wp:posOffset>
              </wp:positionH>
              <wp:positionV relativeFrom="page">
                <wp:posOffset>6826250</wp:posOffset>
              </wp:positionV>
              <wp:extent cx="155575" cy="79375"/>
              <wp:wrapNone/>
              <wp:docPr id="73" name="Shape 7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9" type="#_x0000_t202" style="position:absolute;margin-left:757.60000000000002pt;margin-top:537.5pt;width:12.25pt;height:6.25pt;z-index:-18874401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6686550</wp:posOffset>
              </wp:positionH>
              <wp:positionV relativeFrom="page">
                <wp:posOffset>9961245</wp:posOffset>
              </wp:positionV>
              <wp:extent cx="155575" cy="79375"/>
              <wp:wrapNone/>
              <wp:docPr id="78" name="Shape 7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4" type="#_x0000_t202" style="position:absolute;margin-left:526.5pt;margin-top:784.35000000000002pt;width:12.25pt;height:6.25pt;z-index:-18874400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9620250</wp:posOffset>
              </wp:positionH>
              <wp:positionV relativeFrom="page">
                <wp:posOffset>6824980</wp:posOffset>
              </wp:positionV>
              <wp:extent cx="155575" cy="79375"/>
              <wp:wrapNone/>
              <wp:docPr id="83" name="Shape 8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9" type="#_x0000_t202" style="position:absolute;margin-left:757.5pt;margin-top:537.39999999999998pt;width:12.25pt;height:6.25pt;z-index:-18874400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6686550</wp:posOffset>
              </wp:positionH>
              <wp:positionV relativeFrom="page">
                <wp:posOffset>9961245</wp:posOffset>
              </wp:positionV>
              <wp:extent cx="155575" cy="79375"/>
              <wp:wrapNone/>
              <wp:docPr id="88" name="Shape 8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4" type="#_x0000_t202" style="position:absolute;margin-left:526.5pt;margin-top:784.35000000000002pt;width:12.25pt;height:6.25pt;z-index:-18874400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9620250</wp:posOffset>
              </wp:positionH>
              <wp:positionV relativeFrom="page">
                <wp:posOffset>6824980</wp:posOffset>
              </wp:positionV>
              <wp:extent cx="155575" cy="79375"/>
              <wp:wrapNone/>
              <wp:docPr id="93" name="Shape 9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9" type="#_x0000_t202" style="position:absolute;margin-left:757.5pt;margin-top:537.39999999999998pt;width:12.25pt;height:6.25pt;z-index:-18874399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6686550</wp:posOffset>
              </wp:positionH>
              <wp:positionV relativeFrom="page">
                <wp:posOffset>9961245</wp:posOffset>
              </wp:positionV>
              <wp:extent cx="155575" cy="79375"/>
              <wp:wrapNone/>
              <wp:docPr id="98" name="Shape 9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4" type="#_x0000_t202" style="position:absolute;margin-left:526.5pt;margin-top:784.35000000000002pt;width:12.25pt;height:6.25pt;z-index:-18874399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9620250</wp:posOffset>
              </wp:positionH>
              <wp:positionV relativeFrom="page">
                <wp:posOffset>6824980</wp:posOffset>
              </wp:positionV>
              <wp:extent cx="155575" cy="79375"/>
              <wp:wrapNone/>
              <wp:docPr id="103" name="Shape 10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9" type="#_x0000_t202" style="position:absolute;margin-left:757.5pt;margin-top:537.39999999999998pt;width:12.25pt;height:6.25pt;z-index:-18874398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6721475</wp:posOffset>
              </wp:positionH>
              <wp:positionV relativeFrom="page">
                <wp:posOffset>9958070</wp:posOffset>
              </wp:positionV>
              <wp:extent cx="103505" cy="82550"/>
              <wp:wrapNone/>
              <wp:docPr id="9" name="Shape 9"/>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9.25pt;margin-top:784.10000000000002pt;width:8.1500000000000004pt;height:6.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6686550</wp:posOffset>
              </wp:positionH>
              <wp:positionV relativeFrom="page">
                <wp:posOffset>9961245</wp:posOffset>
              </wp:positionV>
              <wp:extent cx="155575" cy="79375"/>
              <wp:wrapNone/>
              <wp:docPr id="108" name="Shape 10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4" type="#_x0000_t202" style="position:absolute;margin-left:526.5pt;margin-top:784.35000000000002pt;width:12.25pt;height:6.25pt;z-index:-18874398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9620250</wp:posOffset>
              </wp:positionH>
              <wp:positionV relativeFrom="page">
                <wp:posOffset>6824980</wp:posOffset>
              </wp:positionV>
              <wp:extent cx="155575" cy="79375"/>
              <wp:wrapNone/>
              <wp:docPr id="113" name="Shape 11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9" type="#_x0000_t202" style="position:absolute;margin-left:757.5pt;margin-top:537.39999999999998pt;width:12.25pt;height:6.25pt;z-index:-18874398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6686550</wp:posOffset>
              </wp:positionH>
              <wp:positionV relativeFrom="page">
                <wp:posOffset>9961245</wp:posOffset>
              </wp:positionV>
              <wp:extent cx="155575" cy="79375"/>
              <wp:wrapNone/>
              <wp:docPr id="118" name="Shape 11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4" type="#_x0000_t202" style="position:absolute;margin-left:526.5pt;margin-top:784.35000000000002pt;width:12.25pt;height:6.25pt;z-index:-18874397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9620250</wp:posOffset>
              </wp:positionH>
              <wp:positionV relativeFrom="page">
                <wp:posOffset>6824980</wp:posOffset>
              </wp:positionV>
              <wp:extent cx="155575" cy="79375"/>
              <wp:wrapNone/>
              <wp:docPr id="123" name="Shape 12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9" type="#_x0000_t202" style="position:absolute;margin-left:757.5pt;margin-top:537.39999999999998pt;width:12.25pt;height:6.25pt;z-index:-18874397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6686550</wp:posOffset>
              </wp:positionH>
              <wp:positionV relativeFrom="page">
                <wp:posOffset>9961245</wp:posOffset>
              </wp:positionV>
              <wp:extent cx="155575" cy="79375"/>
              <wp:wrapNone/>
              <wp:docPr id="128" name="Shape 12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4" type="#_x0000_t202" style="position:absolute;margin-left:526.5pt;margin-top:784.35000000000002pt;width:12.25pt;height:6.25pt;z-index:-18874396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9660255</wp:posOffset>
              </wp:positionH>
              <wp:positionV relativeFrom="page">
                <wp:posOffset>6849745</wp:posOffset>
              </wp:positionV>
              <wp:extent cx="106680" cy="79375"/>
              <wp:wrapNone/>
              <wp:docPr id="14" name="Shape 1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760.64999999999998pt;margin-top:539.35000000000002pt;width:8.4000000000000004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6721475</wp:posOffset>
              </wp:positionH>
              <wp:positionV relativeFrom="page">
                <wp:posOffset>9958070</wp:posOffset>
              </wp:positionV>
              <wp:extent cx="103505" cy="82550"/>
              <wp:wrapNone/>
              <wp:docPr id="19" name="Shape 19"/>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29.25pt;margin-top:784.10000000000002pt;width:8.1500000000000004pt;height:6.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9660255</wp:posOffset>
              </wp:positionH>
              <wp:positionV relativeFrom="page">
                <wp:posOffset>6849745</wp:posOffset>
              </wp:positionV>
              <wp:extent cx="106680" cy="79375"/>
              <wp:wrapNone/>
              <wp:docPr id="24" name="Shape 2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0" type="#_x0000_t202" style="position:absolute;margin-left:760.64999999999998pt;margin-top:539.35000000000002pt;width:8.4000000000000004pt;height:6.25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6721475</wp:posOffset>
              </wp:positionH>
              <wp:positionV relativeFrom="page">
                <wp:posOffset>9958070</wp:posOffset>
              </wp:positionV>
              <wp:extent cx="103505" cy="82550"/>
              <wp:wrapNone/>
              <wp:docPr id="29" name="Shape 29"/>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529.25pt;margin-top:784.10000000000002pt;width:8.1500000000000004pt;height:6.5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9660255</wp:posOffset>
              </wp:positionH>
              <wp:positionV relativeFrom="page">
                <wp:posOffset>6849745</wp:posOffset>
              </wp:positionV>
              <wp:extent cx="106680" cy="79375"/>
              <wp:wrapNone/>
              <wp:docPr id="34" name="Shape 3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760.64999999999998pt;margin-top:539.35000000000002pt;width:8.4000000000000004pt;height:6.25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6721475</wp:posOffset>
              </wp:positionH>
              <wp:positionV relativeFrom="page">
                <wp:posOffset>9958070</wp:posOffset>
              </wp:positionV>
              <wp:extent cx="103505" cy="82550"/>
              <wp:wrapNone/>
              <wp:docPr id="39" name="Shape 39"/>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529.25pt;margin-top:784.10000000000002pt;width:8.1500000000000004pt;height:6.5pt;z-index:-1887440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9660255</wp:posOffset>
              </wp:positionH>
              <wp:positionV relativeFrom="page">
                <wp:posOffset>6849745</wp:posOffset>
              </wp:positionV>
              <wp:extent cx="106680" cy="79375"/>
              <wp:wrapNone/>
              <wp:docPr id="44" name="Shape 4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0" type="#_x0000_t202" style="position:absolute;margin-left:760.64999999999998pt;margin-top:539.35000000000002pt;width:8.4000000000000004pt;height:6.25pt;z-index:-1887440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4041775</wp:posOffset>
              </wp:positionH>
              <wp:positionV relativeFrom="page">
                <wp:posOffset>478790</wp:posOffset>
              </wp:positionV>
              <wp:extent cx="2788920" cy="106680"/>
              <wp:wrapNone/>
              <wp:docPr id="1" name="Shape 1"/>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8.25pt;margin-top:37.700000000000003pt;width:219.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4032885</wp:posOffset>
              </wp:positionH>
              <wp:positionV relativeFrom="page">
                <wp:posOffset>564515</wp:posOffset>
              </wp:positionV>
              <wp:extent cx="2788920" cy="106680"/>
              <wp:wrapNone/>
              <wp:docPr id="46" name="Shape 46"/>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72" type="#_x0000_t202" style="position:absolute;margin-left:317.55000000000001pt;margin-top:44.450000000000003pt;width:219.59999999999999pt;height:8.4000000000000004pt;z-index:-18874402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48" name="Shape 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6978015</wp:posOffset>
              </wp:positionH>
              <wp:positionV relativeFrom="page">
                <wp:posOffset>544830</wp:posOffset>
              </wp:positionV>
              <wp:extent cx="2788920" cy="106680"/>
              <wp:wrapNone/>
              <wp:docPr id="51" name="Shape 51"/>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77" type="#_x0000_t202" style="position:absolute;margin-left:549.45000000000005pt;margin-top:42.899999999999999pt;width:219.59999999999999pt;height:8.4000000000000004pt;z-index:-18874402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888365</wp:posOffset>
              </wp:positionH>
              <wp:positionV relativeFrom="page">
                <wp:posOffset>702945</wp:posOffset>
              </wp:positionV>
              <wp:extent cx="8906510" cy="0"/>
              <wp:wrapNone/>
              <wp:docPr id="53" name="Shape 5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9.950000000000003pt;margin-top:55.350000000000001pt;width:701.30000000000007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4032885</wp:posOffset>
              </wp:positionH>
              <wp:positionV relativeFrom="page">
                <wp:posOffset>564515</wp:posOffset>
              </wp:positionV>
              <wp:extent cx="2788920" cy="106680"/>
              <wp:wrapNone/>
              <wp:docPr id="56" name="Shape 56"/>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82" type="#_x0000_t202" style="position:absolute;margin-left:317.55000000000001pt;margin-top:44.450000000000003pt;width:219.59999999999999pt;height:8.4000000000000004pt;z-index:-18874401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58" name="Shape 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6978650</wp:posOffset>
              </wp:positionH>
              <wp:positionV relativeFrom="page">
                <wp:posOffset>560705</wp:posOffset>
              </wp:positionV>
              <wp:extent cx="2788920" cy="106680"/>
              <wp:wrapNone/>
              <wp:docPr id="70" name="Shape 70"/>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深圳市惠程信息科技股份有限公司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6" type="#_x0000_t202" style="position:absolute;margin-left:549.5pt;margin-top:44.149999999999999pt;width:219.59999999999999pt;height:8.4000000000000004pt;z-index:-18874401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深圳市惠程信息科技股份有限公司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889000</wp:posOffset>
              </wp:positionH>
              <wp:positionV relativeFrom="page">
                <wp:posOffset>702310</wp:posOffset>
              </wp:positionV>
              <wp:extent cx="8906510" cy="0"/>
              <wp:wrapNone/>
              <wp:docPr id="72" name="Shape 7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pt;margin-top:55.300000000000004pt;width:701.30000000000007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4050030</wp:posOffset>
              </wp:positionH>
              <wp:positionV relativeFrom="page">
                <wp:posOffset>564515</wp:posOffset>
              </wp:positionV>
              <wp:extent cx="2788920" cy="106680"/>
              <wp:wrapNone/>
              <wp:docPr id="75" name="Shape 75"/>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深圳市惠程信息科技股份有限公司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1" type="#_x0000_t202" style="position:absolute;margin-left:318.90000000000003pt;margin-top:44.450000000000003pt;width:219.59999999999999pt;height:8.4000000000000004pt;z-index:-18874401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深圳市惠程信息科技股份有限公司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706120</wp:posOffset>
              </wp:positionV>
              <wp:extent cx="6163310" cy="0"/>
              <wp:wrapNone/>
              <wp:docPr id="77" name="Shape 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99999999999999pt;margin-top:55.600000000000001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6983730</wp:posOffset>
              </wp:positionH>
              <wp:positionV relativeFrom="page">
                <wp:posOffset>561340</wp:posOffset>
              </wp:positionV>
              <wp:extent cx="2788920" cy="106680"/>
              <wp:wrapNone/>
              <wp:docPr id="80" name="Shape 80"/>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深圳市惠程信息科技股份有限公司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6" type="#_x0000_t202" style="position:absolute;margin-left:549.89999999999998pt;margin-top:44.200000000000003pt;width:219.59999999999999pt;height:8.4000000000000004pt;z-index:-18874400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深圳市惠程信息科技股份有限公司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82" name="Shape 8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4050030</wp:posOffset>
              </wp:positionH>
              <wp:positionV relativeFrom="page">
                <wp:posOffset>564515</wp:posOffset>
              </wp:positionV>
              <wp:extent cx="2788920" cy="106680"/>
              <wp:wrapNone/>
              <wp:docPr id="85" name="Shape 85"/>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深圳市惠程信息科技股份有限公司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1" type="#_x0000_t202" style="position:absolute;margin-left:318.90000000000003pt;margin-top:44.450000000000003pt;width:219.59999999999999pt;height:8.4000000000000004pt;z-index:-18874400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深圳市惠程信息科技股份有限公司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706120</wp:posOffset>
              </wp:positionV>
              <wp:extent cx="6163310" cy="0"/>
              <wp:wrapNone/>
              <wp:docPr id="87" name="Shape 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99999999999999pt;margin-top:55.600000000000001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6983730</wp:posOffset>
              </wp:positionH>
              <wp:positionV relativeFrom="page">
                <wp:posOffset>561340</wp:posOffset>
              </wp:positionV>
              <wp:extent cx="2788920" cy="106680"/>
              <wp:wrapNone/>
              <wp:docPr id="90" name="Shape 90"/>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深圳市惠程信息科技股份有限公司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6" type="#_x0000_t202" style="position:absolute;margin-left:549.89999999999998pt;margin-top:44.200000000000003pt;width:219.59999999999999pt;height:8.4000000000000004pt;z-index:-18874399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深圳市惠程信息科技股份有限公司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92" name="Shape 9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4050030</wp:posOffset>
              </wp:positionH>
              <wp:positionV relativeFrom="page">
                <wp:posOffset>564515</wp:posOffset>
              </wp:positionV>
              <wp:extent cx="2788920" cy="106680"/>
              <wp:wrapNone/>
              <wp:docPr id="95" name="Shape 95"/>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深圳市惠程信息科技股份有限公司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1" type="#_x0000_t202" style="position:absolute;margin-left:318.90000000000003pt;margin-top:44.450000000000003pt;width:219.59999999999999pt;height:8.4000000000000004pt;z-index:-18874399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深圳市惠程信息科技股份有限公司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706120</wp:posOffset>
              </wp:positionV>
              <wp:extent cx="6163310" cy="0"/>
              <wp:wrapNone/>
              <wp:docPr id="97" name="Shape 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99999999999999pt;margin-top:55.600000000000001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6983730</wp:posOffset>
              </wp:positionH>
              <wp:positionV relativeFrom="page">
                <wp:posOffset>561340</wp:posOffset>
              </wp:positionV>
              <wp:extent cx="2788920" cy="106680"/>
              <wp:wrapNone/>
              <wp:docPr id="100" name="Shape 100"/>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深圳市惠程信息科技股份有限公司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6" type="#_x0000_t202" style="position:absolute;margin-left:549.89999999999998pt;margin-top:44.200000000000003pt;width:219.59999999999999pt;height:8.4000000000000004pt;z-index:-18874399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深圳市惠程信息科技股份有限公司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102" name="Shape 10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4032885</wp:posOffset>
              </wp:positionH>
              <wp:positionV relativeFrom="page">
                <wp:posOffset>564515</wp:posOffset>
              </wp:positionV>
              <wp:extent cx="2788920" cy="106680"/>
              <wp:wrapNone/>
              <wp:docPr id="6" name="Shape 6"/>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2" type="#_x0000_t202" style="position:absolute;margin-left:317.55000000000001pt;margin-top:44.450000000000003pt;width:219.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4050030</wp:posOffset>
              </wp:positionH>
              <wp:positionV relativeFrom="page">
                <wp:posOffset>564515</wp:posOffset>
              </wp:positionV>
              <wp:extent cx="2788920" cy="106680"/>
              <wp:wrapNone/>
              <wp:docPr id="105" name="Shape 105"/>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深圳市惠程信息科技股份有限公司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1" type="#_x0000_t202" style="position:absolute;margin-left:318.90000000000003pt;margin-top:44.450000000000003pt;width:219.59999999999999pt;height:8.4000000000000004pt;z-index:-18874398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深圳市惠程信息科技股份有限公司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706120</wp:posOffset>
              </wp:positionV>
              <wp:extent cx="6163310" cy="0"/>
              <wp:wrapNone/>
              <wp:docPr id="107" name="Shape 1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99999999999999pt;margin-top:55.600000000000001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6983730</wp:posOffset>
              </wp:positionH>
              <wp:positionV relativeFrom="page">
                <wp:posOffset>561340</wp:posOffset>
              </wp:positionV>
              <wp:extent cx="2788920" cy="106680"/>
              <wp:wrapNone/>
              <wp:docPr id="110" name="Shape 110"/>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深圳市惠程信息科技股份有限公司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6" type="#_x0000_t202" style="position:absolute;margin-left:549.89999999999998pt;margin-top:44.200000000000003pt;width:219.59999999999999pt;height:8.4000000000000004pt;z-index:-18874398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深圳市惠程信息科技股份有限公司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112" name="Shape 11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4050030</wp:posOffset>
              </wp:positionH>
              <wp:positionV relativeFrom="page">
                <wp:posOffset>564515</wp:posOffset>
              </wp:positionV>
              <wp:extent cx="2788920" cy="106680"/>
              <wp:wrapNone/>
              <wp:docPr id="115" name="Shape 115"/>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深圳市惠程信息科技股份有限公司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1" type="#_x0000_t202" style="position:absolute;margin-left:318.90000000000003pt;margin-top:44.450000000000003pt;width:219.59999999999999pt;height:8.4000000000000004pt;z-index:-18874397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深圳市惠程信息科技股份有限公司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706120</wp:posOffset>
              </wp:positionV>
              <wp:extent cx="6163310" cy="0"/>
              <wp:wrapNone/>
              <wp:docPr id="117" name="Shape 1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99999999999999pt;margin-top:55.600000000000001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6983730</wp:posOffset>
              </wp:positionH>
              <wp:positionV relativeFrom="page">
                <wp:posOffset>561340</wp:posOffset>
              </wp:positionV>
              <wp:extent cx="2788920" cy="106680"/>
              <wp:wrapNone/>
              <wp:docPr id="120" name="Shape 120"/>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深圳市惠程信息科技股份有限公司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6" type="#_x0000_t202" style="position:absolute;margin-left:549.89999999999998pt;margin-top:44.200000000000003pt;width:219.59999999999999pt;height:8.4000000000000004pt;z-index:-18874397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深圳市惠程信息科技股份有限公司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122" name="Shape 12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4050030</wp:posOffset>
              </wp:positionH>
              <wp:positionV relativeFrom="page">
                <wp:posOffset>564515</wp:posOffset>
              </wp:positionV>
              <wp:extent cx="2788920" cy="106680"/>
              <wp:wrapNone/>
              <wp:docPr id="125" name="Shape 125"/>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深圳市惠程信息科技股份有限公司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1" type="#_x0000_t202" style="position:absolute;margin-left:318.90000000000003pt;margin-top:44.450000000000003pt;width:219.59999999999999pt;height:8.4000000000000004pt;z-index:-18874397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深圳市惠程信息科技股份有限公司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706120</wp:posOffset>
              </wp:positionV>
              <wp:extent cx="6163310" cy="0"/>
              <wp:wrapNone/>
              <wp:docPr id="127" name="Shape 1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99999999999999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6978015</wp:posOffset>
              </wp:positionH>
              <wp:positionV relativeFrom="page">
                <wp:posOffset>544830</wp:posOffset>
              </wp:positionV>
              <wp:extent cx="2788920" cy="106680"/>
              <wp:wrapNone/>
              <wp:docPr id="11" name="Shape 11"/>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7" type="#_x0000_t202" style="position:absolute;margin-left:549.45000000000005pt;margin-top:42.899999999999999pt;width:219.59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888365</wp:posOffset>
              </wp:positionH>
              <wp:positionV relativeFrom="page">
                <wp:posOffset>702945</wp:posOffset>
              </wp:positionV>
              <wp:extent cx="8906510" cy="0"/>
              <wp:wrapNone/>
              <wp:docPr id="13" name="Shape 1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9.950000000000003pt;margin-top:55.350000000000001pt;width:701.30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4032885</wp:posOffset>
              </wp:positionH>
              <wp:positionV relativeFrom="page">
                <wp:posOffset>564515</wp:posOffset>
              </wp:positionV>
              <wp:extent cx="2788920" cy="106680"/>
              <wp:wrapNone/>
              <wp:docPr id="16" name="Shape 16"/>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2" type="#_x0000_t202" style="position:absolute;margin-left:317.55000000000001pt;margin-top:44.450000000000003pt;width:219.59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18" name="Shape 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6978015</wp:posOffset>
              </wp:positionH>
              <wp:positionV relativeFrom="page">
                <wp:posOffset>544830</wp:posOffset>
              </wp:positionV>
              <wp:extent cx="2788920" cy="106680"/>
              <wp:wrapNone/>
              <wp:docPr id="21" name="Shape 21"/>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7" type="#_x0000_t202" style="position:absolute;margin-left:549.45000000000005pt;margin-top:42.899999999999999pt;width:219.59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888365</wp:posOffset>
              </wp:positionH>
              <wp:positionV relativeFrom="page">
                <wp:posOffset>702945</wp:posOffset>
              </wp:positionV>
              <wp:extent cx="8906510" cy="0"/>
              <wp:wrapNone/>
              <wp:docPr id="23" name="Shape 2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9.950000000000003pt;margin-top:55.350000000000001pt;width:701.30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4032885</wp:posOffset>
              </wp:positionH>
              <wp:positionV relativeFrom="page">
                <wp:posOffset>564515</wp:posOffset>
              </wp:positionV>
              <wp:extent cx="2788920" cy="106680"/>
              <wp:wrapNone/>
              <wp:docPr id="26" name="Shape 26"/>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52" type="#_x0000_t202" style="position:absolute;margin-left:317.55000000000001pt;margin-top:44.450000000000003pt;width:219.59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28" name="Shape 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6978015</wp:posOffset>
              </wp:positionH>
              <wp:positionV relativeFrom="page">
                <wp:posOffset>544830</wp:posOffset>
              </wp:positionV>
              <wp:extent cx="2788920" cy="106680"/>
              <wp:wrapNone/>
              <wp:docPr id="31" name="Shape 31"/>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57" type="#_x0000_t202" style="position:absolute;margin-left:549.45000000000005pt;margin-top:42.899999999999999pt;width:219.59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888365</wp:posOffset>
              </wp:positionH>
              <wp:positionV relativeFrom="page">
                <wp:posOffset>702945</wp:posOffset>
              </wp:positionV>
              <wp:extent cx="8906510" cy="0"/>
              <wp:wrapNone/>
              <wp:docPr id="33" name="Shape 3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9.950000000000003pt;margin-top:55.350000000000001pt;width:701.30000000000007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4032885</wp:posOffset>
              </wp:positionH>
              <wp:positionV relativeFrom="page">
                <wp:posOffset>564515</wp:posOffset>
              </wp:positionV>
              <wp:extent cx="2788920" cy="106680"/>
              <wp:wrapNone/>
              <wp:docPr id="36" name="Shape 36"/>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62" type="#_x0000_t202" style="position:absolute;margin-left:317.55000000000001pt;margin-top:44.450000000000003pt;width:219.59999999999999pt;height:8.4000000000000004pt;z-index:-1887440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38" name="Shape 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6978015</wp:posOffset>
              </wp:positionH>
              <wp:positionV relativeFrom="page">
                <wp:posOffset>544830</wp:posOffset>
              </wp:positionV>
              <wp:extent cx="2788920" cy="106680"/>
              <wp:wrapNone/>
              <wp:docPr id="41" name="Shape 41"/>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67" type="#_x0000_t202" style="position:absolute;margin-left:549.45000000000005pt;margin-top:42.899999999999999pt;width:219.59999999999999pt;height:8.4000000000000004pt;z-index:-1887440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深圳市惠程信息科技股份有限公司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888365</wp:posOffset>
              </wp:positionH>
              <wp:positionV relativeFrom="page">
                <wp:posOffset>702945</wp:posOffset>
              </wp:positionV>
              <wp:extent cx="8906510" cy="0"/>
              <wp:wrapNone/>
              <wp:docPr id="43" name="Shape 4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9.950000000000003pt;margin-top:55.350000000000001pt;width:701.30000000000007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FFFFFF"/>
      </w:rPr>
    </w:lvl>
  </w:abstractNum>
  <w:abstractNum w:abstractNumId="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FFFFFF"/>
      </w:rPr>
    </w:lvl>
  </w:abstractNum>
  <w:abstractNum w:abstractNumId="9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Hei" w:eastAsia="SimHei" w:hAnsi="SimHei" w:cs="SimHei"/>
      <w:b w:val="0"/>
      <w:bCs w:val="0"/>
      <w:i w:val="0"/>
      <w:iCs w:val="0"/>
      <w:smallCaps w:val="0"/>
      <w:strike w:val="0"/>
      <w:sz w:val="56"/>
      <w:szCs w:val="5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标题 #2_"/>
    <w:basedOn w:val="DefaultParagraphFont"/>
    <w:link w:val="Style8"/>
    <w:rPr>
      <w:rFonts w:ascii="Arial" w:eastAsia="Arial" w:hAnsi="Arial" w:cs="Arial"/>
      <w:b w:val="0"/>
      <w:bCs w:val="0"/>
      <w:i w:val="0"/>
      <w:iCs w:val="0"/>
      <w:smallCaps w:val="0"/>
      <w:strike w:val="0"/>
      <w:color w:val="8B8B8B"/>
      <w:sz w:val="34"/>
      <w:szCs w:val="34"/>
      <w:u w:val="none"/>
      <w:shd w:val="clear" w:color="auto" w:fill="auto"/>
    </w:rPr>
  </w:style>
  <w:style w:type="character" w:customStyle="1" w:styleId="CharStyle11">
    <w:name w:val="正文文本 (3)_"/>
    <w:basedOn w:val="DefaultParagraphFont"/>
    <w:link w:val="Style10"/>
    <w:rPr>
      <w:rFonts w:ascii="SimSun" w:eastAsia="SimSun" w:hAnsi="SimSun" w:cs="SimSun"/>
      <w:b/>
      <w:bCs/>
      <w:i w:val="0"/>
      <w:iCs w:val="0"/>
      <w:smallCaps w:val="0"/>
      <w:strike w:val="0"/>
      <w:sz w:val="36"/>
      <w:szCs w:val="36"/>
      <w:u w:val="none"/>
      <w:shd w:val="clear" w:color="auto" w:fill="auto"/>
    </w:rPr>
  </w:style>
  <w:style w:type="character" w:customStyle="1" w:styleId="CharStyle13">
    <w:name w:val="正文文本 (4)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5)_"/>
    <w:basedOn w:val="DefaultParagraphFont"/>
    <w:link w:val="Style15"/>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9">
    <w:name w:val="标题 #3_"/>
    <w:basedOn w:val="DefaultParagraphFont"/>
    <w:link w:val="Style18"/>
    <w:rPr>
      <w:rFonts w:ascii="SimSun" w:eastAsia="SimSun" w:hAnsi="SimSun" w:cs="SimSun"/>
      <w:b/>
      <w:bCs/>
      <w:i w:val="0"/>
      <w:iCs w:val="0"/>
      <w:smallCaps w:val="0"/>
      <w:strike w:val="0"/>
      <w:sz w:val="32"/>
      <w:szCs w:val="32"/>
      <w:u w:val="none"/>
      <w:shd w:val="clear" w:color="auto" w:fill="auto"/>
    </w:rPr>
  </w:style>
  <w:style w:type="character" w:customStyle="1" w:styleId="CharStyle21">
    <w:name w:val="正文文本 (2)_"/>
    <w:basedOn w:val="DefaultParagraphFont"/>
    <w:link w:val="Style20"/>
    <w:rPr>
      <w:rFonts w:ascii="SimSun" w:eastAsia="SimSun" w:hAnsi="SimSun" w:cs="SimSun"/>
      <w:b/>
      <w:bCs/>
      <w:i w:val="0"/>
      <w:iCs w:val="0"/>
      <w:smallCaps w:val="0"/>
      <w:strike w:val="0"/>
      <w:sz w:val="28"/>
      <w:szCs w:val="28"/>
      <w:u w:val="none"/>
      <w:shd w:val="clear" w:color="auto" w:fill="auto"/>
    </w:rPr>
  </w:style>
  <w:style w:type="character" w:customStyle="1" w:styleId="CharStyle24">
    <w:name w:val="目录_"/>
    <w:basedOn w:val="DefaultParagraphFont"/>
    <w:link w:val="Style23"/>
    <w:rPr>
      <w:rFonts w:ascii="SimSun" w:eastAsia="SimSun" w:hAnsi="SimSun" w:cs="SimSun"/>
      <w:b/>
      <w:bCs/>
      <w:i w:val="0"/>
      <w:iCs w:val="0"/>
      <w:smallCaps w:val="0"/>
      <w:strike w:val="0"/>
      <w:sz w:val="22"/>
      <w:szCs w:val="22"/>
      <w:u w:val="none"/>
      <w:shd w:val="clear" w:color="auto" w:fill="auto"/>
    </w:rPr>
  </w:style>
  <w:style w:type="character" w:customStyle="1" w:styleId="CharStyle27">
    <w:name w:val="其他_"/>
    <w:basedOn w:val="DefaultParagraphFont"/>
    <w:link w:val="Style26"/>
    <w:rPr>
      <w:rFonts w:ascii="SimSun" w:eastAsia="SimSun" w:hAnsi="SimSun" w:cs="SimSun"/>
      <w:b w:val="0"/>
      <w:bCs w:val="0"/>
      <w:i w:val="0"/>
      <w:iCs w:val="0"/>
      <w:smallCaps w:val="0"/>
      <w:strike w:val="0"/>
      <w:sz w:val="18"/>
      <w:szCs w:val="18"/>
      <w:u w:val="none"/>
      <w:shd w:val="clear" w:color="auto" w:fill="auto"/>
    </w:rPr>
  </w:style>
  <w:style w:type="character" w:customStyle="1" w:styleId="CharStyle30">
    <w:name w:val="标题 #4_"/>
    <w:basedOn w:val="DefaultParagraphFont"/>
    <w:link w:val="Style29"/>
    <w:rPr>
      <w:rFonts w:ascii="SimSun" w:eastAsia="SimSun" w:hAnsi="SimSun" w:cs="SimSun"/>
      <w:b/>
      <w:bCs/>
      <w:i w:val="0"/>
      <w:iCs w:val="0"/>
      <w:smallCaps w:val="0"/>
      <w:strike w:val="0"/>
      <w:u w:val="none"/>
      <w:shd w:val="clear" w:color="auto" w:fill="auto"/>
    </w:rPr>
  </w:style>
  <w:style w:type="character" w:customStyle="1" w:styleId="CharStyle32">
    <w:name w:val="表格标题_"/>
    <w:basedOn w:val="DefaultParagraphFont"/>
    <w:link w:val="Style31"/>
    <w:rPr>
      <w:rFonts w:ascii="SimSun" w:eastAsia="SimSun" w:hAnsi="SimSun" w:cs="SimSun"/>
      <w:b w:val="0"/>
      <w:bCs w:val="0"/>
      <w:i w:val="0"/>
      <w:iCs w:val="0"/>
      <w:smallCaps w:val="0"/>
      <w:strike w:val="0"/>
      <w:sz w:val="18"/>
      <w:szCs w:val="18"/>
      <w:u w:val="none"/>
      <w:shd w:val="clear" w:color="auto" w:fill="auto"/>
    </w:rPr>
  </w:style>
  <w:style w:type="character" w:customStyle="1" w:styleId="CharStyle34">
    <w:name w:val="正文文本_"/>
    <w:basedOn w:val="DefaultParagraphFont"/>
    <w:link w:val="Style33"/>
    <w:rPr>
      <w:rFonts w:ascii="SimSun" w:eastAsia="SimSun" w:hAnsi="SimSun" w:cs="SimSun"/>
      <w:b w:val="0"/>
      <w:bCs w:val="0"/>
      <w:i w:val="0"/>
      <w:iCs w:val="0"/>
      <w:smallCaps w:val="0"/>
      <w:strike w:val="0"/>
      <w:sz w:val="18"/>
      <w:szCs w:val="18"/>
      <w:u w:val="none"/>
      <w:shd w:val="clear" w:color="auto" w:fill="auto"/>
    </w:rPr>
  </w:style>
  <w:style w:type="character" w:customStyle="1" w:styleId="CharStyle38">
    <w:name w:val="标题 #5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55">
    <w:name w:val="正文文本 (8)_"/>
    <w:basedOn w:val="DefaultParagraphFont"/>
    <w:link w:val="Style5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8">
    <w:name w:val="页眉或页脚_"/>
    <w:basedOn w:val="DefaultParagraphFont"/>
    <w:link w:val="Style57"/>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标题 #1"/>
    <w:basedOn w:val="Normal"/>
    <w:link w:val="CharStyle3"/>
    <w:pPr>
      <w:widowControl w:val="0"/>
      <w:shd w:val="clear" w:color="auto" w:fill="auto"/>
      <w:ind w:left="4260"/>
      <w:outlineLvl w:val="0"/>
    </w:pPr>
    <w:rPr>
      <w:rFonts w:ascii="SimHei" w:eastAsia="SimHei" w:hAnsi="SimHei" w:cs="SimHei"/>
      <w:b w:val="0"/>
      <w:bCs w:val="0"/>
      <w:i w:val="0"/>
      <w:iCs w:val="0"/>
      <w:smallCaps w:val="0"/>
      <w:strike w:val="0"/>
      <w:sz w:val="56"/>
      <w:szCs w:val="5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标题 #2"/>
    <w:basedOn w:val="Normal"/>
    <w:link w:val="CharStyle9"/>
    <w:pPr>
      <w:widowControl w:val="0"/>
      <w:shd w:val="clear" w:color="auto" w:fill="auto"/>
      <w:spacing w:after="960" w:line="211" w:lineRule="auto"/>
      <w:ind w:left="4260"/>
      <w:outlineLvl w:val="1"/>
    </w:pPr>
    <w:rPr>
      <w:rFonts w:ascii="Arial" w:eastAsia="Arial" w:hAnsi="Arial" w:cs="Arial"/>
      <w:b w:val="0"/>
      <w:bCs w:val="0"/>
      <w:i w:val="0"/>
      <w:iCs w:val="0"/>
      <w:smallCaps w:val="0"/>
      <w:strike w:val="0"/>
      <w:color w:val="8B8B8B"/>
      <w:sz w:val="34"/>
      <w:szCs w:val="34"/>
      <w:u w:val="none"/>
      <w:shd w:val="clear" w:color="auto" w:fill="auto"/>
    </w:rPr>
  </w:style>
  <w:style w:type="paragraph" w:customStyle="1" w:styleId="Style10">
    <w:name w:val="正文文本 (3)"/>
    <w:basedOn w:val="Normal"/>
    <w:link w:val="CharStyle11"/>
    <w:pPr>
      <w:widowControl w:val="0"/>
      <w:shd w:val="clear" w:color="auto" w:fill="auto"/>
      <w:spacing w:before="740" w:after="102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2">
    <w:name w:val="正文文本 (4)"/>
    <w:basedOn w:val="Normal"/>
    <w:link w:val="CharStyle13"/>
    <w:pPr>
      <w:widowControl w:val="0"/>
      <w:shd w:val="clear" w:color="auto" w:fill="auto"/>
      <w:spacing w:after="60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5)"/>
    <w:basedOn w:val="Normal"/>
    <w:link w:val="CharStyle16"/>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8">
    <w:name w:val="标题 #3"/>
    <w:basedOn w:val="Normal"/>
    <w:link w:val="CharStyle19"/>
    <w:pPr>
      <w:widowControl w:val="0"/>
      <w:shd w:val="clear" w:color="auto" w:fill="auto"/>
      <w:spacing w:before="240" w:after="54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20">
    <w:name w:val="正文文本 (2)"/>
    <w:basedOn w:val="Normal"/>
    <w:link w:val="CharStyle21"/>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3">
    <w:name w:val="目录"/>
    <w:basedOn w:val="Normal"/>
    <w:link w:val="CharStyle24"/>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26">
    <w:name w:val="其他"/>
    <w:basedOn w:val="Normal"/>
    <w:link w:val="CharStyle2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9">
    <w:name w:val="标题 #4"/>
    <w:basedOn w:val="Normal"/>
    <w:link w:val="CharStyle30"/>
    <w:pPr>
      <w:widowControl w:val="0"/>
      <w:shd w:val="clear" w:color="auto" w:fill="auto"/>
      <w:spacing w:after="340"/>
      <w:outlineLvl w:val="3"/>
    </w:pPr>
    <w:rPr>
      <w:rFonts w:ascii="SimSun" w:eastAsia="SimSun" w:hAnsi="SimSun" w:cs="SimSun"/>
      <w:b/>
      <w:bCs/>
      <w:i w:val="0"/>
      <w:iCs w:val="0"/>
      <w:smallCaps w:val="0"/>
      <w:strike w:val="0"/>
      <w:u w:val="none"/>
      <w:shd w:val="clear" w:color="auto" w:fill="auto"/>
    </w:rPr>
  </w:style>
  <w:style w:type="paragraph" w:customStyle="1" w:styleId="Style31">
    <w:name w:val="表格标题"/>
    <w:basedOn w:val="Normal"/>
    <w:link w:val="CharStyle32"/>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33">
    <w:name w:val="正文文本"/>
    <w:basedOn w:val="Normal"/>
    <w:link w:val="CharStyle34"/>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37">
    <w:name w:val="标题 #5"/>
    <w:basedOn w:val="Normal"/>
    <w:link w:val="CharStyle38"/>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54">
    <w:name w:val="正文文本 (8)"/>
    <w:basedOn w:val="Normal"/>
    <w:link w:val="CharStyle55"/>
    <w:pPr>
      <w:widowControl w:val="0"/>
      <w:shd w:val="clear" w:color="auto" w:fill="auto"/>
      <w:spacing w:after="12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7">
    <w:name w:val="页眉或页脚"/>
    <w:basedOn w:val="Normal"/>
    <w:link w:val="CharStyle58"/>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image" Target="media/image1.jpeg"/><Relationship Id="rId30" Type="http://schemas.openxmlformats.org/officeDocument/2006/relationships/image" Target="media/image1.jpeg" TargetMode="Externa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s>
</file>

<file path=docProps/core.xml><?xml version="1.0" encoding="utf-8"?>
<cp:coreProperties xmlns:cp="http://schemas.openxmlformats.org/package/2006/metadata/core-properties" xmlns:dc="http://purl.org/dc/elements/1.1/">
  <dc:title>深圳市惠程信息科技股份有限公司2020年年度报告全文</dc:title>
  <dc:subject/>
  <dc:creator>深圳市惠程信息科技股份有限公司</dc:creator>
  <cp:keywords/>
</cp:coreProperties>
</file>