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tabs>
          <w:tab w:pos="6016" w:val="left" w:leader="none"/>
        </w:tabs>
        <w:spacing w:before="175"/>
        <w:ind w:left="0" w:right="125" w:firstLine="0"/>
        <w:jc w:val="center"/>
        <w:rPr>
          <w:rFonts w:ascii="宋体" w:hAnsi="宋体" w:cs="宋体" w:eastAsia="宋体" w:hint="default"/>
          <w:sz w:val="28"/>
          <w:szCs w:val="28"/>
        </w:rPr>
      </w:pPr>
      <w:r>
        <w:rPr>
          <w:rFonts w:ascii="宋体" w:hAnsi="宋体" w:cs="宋体" w:eastAsia="宋体" w:hint="default"/>
          <w:spacing w:val="-1"/>
          <w:sz w:val="28"/>
          <w:szCs w:val="28"/>
        </w:rPr>
        <w:t>证券代码：</w:t>
      </w:r>
      <w:r>
        <w:rPr>
          <w:rFonts w:ascii="Times New Roman" w:hAnsi="Times New Roman" w:cs="Times New Roman" w:eastAsia="Times New Roman" w:hint="default"/>
          <w:spacing w:val="-1"/>
          <w:sz w:val="28"/>
          <w:szCs w:val="28"/>
        </w:rPr>
        <w:t>002177</w:t>
        <w:tab/>
      </w:r>
      <w:r>
        <w:rPr>
          <w:rFonts w:ascii="宋体" w:hAnsi="宋体" w:cs="宋体" w:eastAsia="宋体" w:hint="default"/>
          <w:sz w:val="28"/>
          <w:szCs w:val="28"/>
        </w:rPr>
        <w:t>证券简称：御银股份</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331" w:lineRule="auto" w:before="238"/>
        <w:ind w:left="153" w:right="125" w:firstLine="0"/>
        <w:jc w:val="center"/>
        <w:rPr>
          <w:rFonts w:ascii="宋体" w:hAnsi="宋体" w:cs="宋体" w:eastAsia="宋体" w:hint="default"/>
          <w:sz w:val="52"/>
          <w:szCs w:val="52"/>
        </w:rPr>
      </w:pPr>
      <w:r>
        <w:rPr>
          <w:rFonts w:ascii="宋体" w:hAnsi="宋体" w:cs="宋体" w:eastAsia="宋体" w:hint="default"/>
          <w:b/>
          <w:bCs/>
          <w:spacing w:val="2"/>
          <w:w w:val="95"/>
          <w:sz w:val="52"/>
          <w:szCs w:val="52"/>
        </w:rPr>
        <w:t>广州御银科技股份有限公司</w:t>
      </w:r>
      <w:r>
        <w:rPr>
          <w:rFonts w:ascii="宋体" w:hAnsi="宋体" w:cs="宋体" w:eastAsia="宋体" w:hint="default"/>
          <w:b/>
          <w:bCs/>
          <w:spacing w:val="28"/>
          <w:w w:val="95"/>
          <w:sz w:val="52"/>
          <w:szCs w:val="52"/>
        </w:rPr>
        <w:t> </w:t>
      </w:r>
      <w:r>
        <w:rPr>
          <w:rFonts w:ascii="宋体" w:hAnsi="宋体" w:cs="宋体" w:eastAsia="宋体" w:hint="default"/>
          <w:b/>
          <w:bCs/>
          <w:sz w:val="52"/>
          <w:szCs w:val="52"/>
        </w:rPr>
        <w:t>二○一一年度报告</w:t>
      </w:r>
      <w:r>
        <w:rPr>
          <w:rFonts w:ascii="宋体" w:hAnsi="宋体" w:cs="宋体" w:eastAsia="宋体" w:hint="default"/>
          <w:sz w:val="52"/>
          <w:szCs w:val="5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4"/>
          <w:szCs w:val="24"/>
        </w:rPr>
      </w:pPr>
    </w:p>
    <w:p>
      <w:pPr>
        <w:spacing w:line="1644" w:lineRule="exact"/>
        <w:ind w:left="3156" w:right="0" w:firstLine="0"/>
        <w:rPr>
          <w:rFonts w:ascii="宋体" w:hAnsi="宋体" w:cs="宋体" w:eastAsia="宋体" w:hint="default"/>
          <w:sz w:val="20"/>
          <w:szCs w:val="20"/>
        </w:rPr>
      </w:pPr>
      <w:r>
        <w:rPr>
          <w:rFonts w:ascii="宋体" w:hAnsi="宋体" w:cs="宋体" w:eastAsia="宋体" w:hint="default"/>
          <w:position w:val="-32"/>
          <w:sz w:val="20"/>
          <w:szCs w:val="20"/>
        </w:rPr>
        <w:drawing>
          <wp:inline distT="0" distB="0" distL="0" distR="0">
            <wp:extent cx="1679721" cy="1044130"/>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1679721" cy="1044130"/>
                    </a:xfrm>
                    <a:prstGeom prst="rect">
                      <a:avLst/>
                    </a:prstGeom>
                  </pic:spPr>
                </pic:pic>
              </a:graphicData>
            </a:graphic>
          </wp:inline>
        </w:drawing>
      </w:r>
      <w:r>
        <w:rPr>
          <w:rFonts w:ascii="宋体" w:hAnsi="宋体" w:cs="宋体" w:eastAsia="宋体" w:hint="default"/>
          <w:position w:val="-32"/>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2"/>
          <w:szCs w:val="22"/>
        </w:rPr>
      </w:pPr>
    </w:p>
    <w:p>
      <w:pPr>
        <w:spacing w:line="540" w:lineRule="exact" w:before="0"/>
        <w:ind w:left="2939" w:right="104" w:firstLine="0"/>
        <w:jc w:val="left"/>
        <w:rPr>
          <w:rFonts w:ascii="宋体" w:hAnsi="宋体" w:cs="宋体" w:eastAsia="宋体" w:hint="default"/>
          <w:sz w:val="44"/>
          <w:szCs w:val="44"/>
        </w:rPr>
      </w:pPr>
      <w:r>
        <w:rPr>
          <w:rFonts w:ascii="宋体" w:hAnsi="宋体" w:cs="宋体" w:eastAsia="宋体" w:hint="default"/>
          <w:b/>
          <w:bCs/>
          <w:sz w:val="44"/>
          <w:szCs w:val="44"/>
        </w:rPr>
        <w:t>二○一二年二月</w:t>
      </w:r>
      <w:r>
        <w:rPr>
          <w:rFonts w:ascii="宋体" w:hAnsi="宋体" w:cs="宋体" w:eastAsia="宋体" w:hint="default"/>
          <w:sz w:val="44"/>
          <w:szCs w:val="44"/>
        </w:rPr>
      </w:r>
    </w:p>
    <w:p>
      <w:pPr>
        <w:spacing w:after="0" w:line="540" w:lineRule="exact"/>
        <w:jc w:val="left"/>
        <w:rPr>
          <w:rFonts w:ascii="宋体" w:hAnsi="宋体" w:cs="宋体" w:eastAsia="宋体" w:hint="default"/>
          <w:sz w:val="44"/>
          <w:szCs w:val="44"/>
        </w:rPr>
        <w:sectPr>
          <w:headerReference w:type="default" r:id="rId5"/>
          <w:footerReference w:type="default" r:id="rId6"/>
          <w:type w:val="continuous"/>
          <w:pgSz w:w="11910" w:h="16840"/>
          <w:pgMar w:header="877" w:footer="1048" w:top="1100" w:bottom="1240" w:left="1660" w:right="1300"/>
          <w:pgNumType w:start="1"/>
        </w:sectPr>
      </w:pPr>
    </w:p>
    <w:p>
      <w:pPr>
        <w:spacing w:line="240" w:lineRule="auto" w:before="5"/>
        <w:rPr>
          <w:rFonts w:ascii="宋体" w:hAnsi="宋体" w:cs="宋体" w:eastAsia="宋体" w:hint="default"/>
          <w:b/>
          <w:bCs/>
          <w:sz w:val="28"/>
          <w:szCs w:val="28"/>
        </w:rPr>
      </w:pPr>
    </w:p>
    <w:p>
      <w:pPr>
        <w:spacing w:before="1"/>
        <w:ind w:left="3842" w:right="104" w:firstLine="0"/>
        <w:jc w:val="left"/>
        <w:rPr>
          <w:rFonts w:ascii="宋体" w:hAnsi="宋体" w:cs="宋体" w:eastAsia="宋体" w:hint="default"/>
          <w:sz w:val="32"/>
          <w:szCs w:val="32"/>
        </w:rPr>
      </w:pPr>
      <w:r>
        <w:rPr>
          <w:rFonts w:ascii="宋体" w:hAnsi="宋体" w:cs="宋体" w:eastAsia="宋体" w:hint="default"/>
          <w:b/>
          <w:bCs/>
          <w:sz w:val="32"/>
          <w:szCs w:val="32"/>
        </w:rPr>
        <w:t>重要提示</w:t>
      </w:r>
      <w:r>
        <w:rPr>
          <w:rFonts w:ascii="宋体" w:hAnsi="宋体" w:cs="宋体" w:eastAsia="宋体" w:hint="default"/>
          <w:sz w:val="32"/>
          <w:szCs w:val="32"/>
        </w:rPr>
      </w:r>
    </w:p>
    <w:p>
      <w:pPr>
        <w:spacing w:line="240" w:lineRule="auto" w:before="0"/>
        <w:rPr>
          <w:rFonts w:ascii="宋体" w:hAnsi="宋体" w:cs="宋体" w:eastAsia="宋体" w:hint="default"/>
          <w:b/>
          <w:bCs/>
          <w:sz w:val="32"/>
          <w:szCs w:val="32"/>
        </w:rPr>
      </w:pPr>
    </w:p>
    <w:p>
      <w:pPr>
        <w:spacing w:line="240" w:lineRule="auto" w:before="11"/>
        <w:rPr>
          <w:rFonts w:ascii="宋体" w:hAnsi="宋体" w:cs="宋体" w:eastAsia="宋体" w:hint="default"/>
          <w:b/>
          <w:bCs/>
          <w:sz w:val="33"/>
          <w:szCs w:val="33"/>
        </w:rPr>
      </w:pPr>
    </w:p>
    <w:p>
      <w:pPr>
        <w:spacing w:line="408" w:lineRule="auto" w:before="0"/>
        <w:ind w:left="139" w:right="124" w:firstLine="560"/>
        <w:jc w:val="both"/>
        <w:rPr>
          <w:rFonts w:ascii="宋体" w:hAnsi="宋体" w:cs="宋体" w:eastAsia="宋体" w:hint="default"/>
          <w:sz w:val="28"/>
          <w:szCs w:val="28"/>
        </w:rPr>
      </w:pPr>
      <w:r>
        <w:rPr>
          <w:rFonts w:ascii="宋体" w:hAnsi="宋体" w:cs="宋体" w:eastAsia="宋体" w:hint="default"/>
          <w:sz w:val="28"/>
          <w:szCs w:val="28"/>
        </w:rPr>
        <w:t>本公司董事会、监事会及董事、监事、高级管理人员保证本报告所</w:t>
      </w:r>
      <w:r>
        <w:rPr>
          <w:rFonts w:ascii="宋体" w:hAnsi="宋体" w:cs="宋体" w:eastAsia="宋体" w:hint="default"/>
          <w:w w:val="99"/>
          <w:sz w:val="28"/>
          <w:szCs w:val="28"/>
        </w:rPr>
        <w:t> </w:t>
      </w:r>
      <w:r>
        <w:rPr>
          <w:rFonts w:ascii="宋体" w:hAnsi="宋体" w:cs="宋体" w:eastAsia="宋体" w:hint="default"/>
          <w:sz w:val="28"/>
          <w:szCs w:val="28"/>
        </w:rPr>
        <w:t>载资料不存在任何虚假记载、误导性陈述或者重大遗漏，并对其内容的</w:t>
      </w:r>
      <w:r>
        <w:rPr>
          <w:rFonts w:ascii="宋体" w:hAnsi="宋体" w:cs="宋体" w:eastAsia="宋体" w:hint="default"/>
          <w:w w:val="99"/>
          <w:sz w:val="28"/>
          <w:szCs w:val="28"/>
        </w:rPr>
        <w:t> </w:t>
      </w:r>
      <w:r>
        <w:rPr>
          <w:rFonts w:ascii="宋体" w:hAnsi="宋体" w:cs="宋体" w:eastAsia="宋体" w:hint="default"/>
          <w:sz w:val="28"/>
          <w:szCs w:val="28"/>
        </w:rPr>
        <w:t>真实性、准确性和完整性承担个别及连带责任。</w:t>
      </w:r>
    </w:p>
    <w:p>
      <w:pPr>
        <w:spacing w:line="408" w:lineRule="auto" w:before="61"/>
        <w:ind w:left="139" w:right="124" w:firstLine="560"/>
        <w:jc w:val="both"/>
        <w:rPr>
          <w:rFonts w:ascii="宋体" w:hAnsi="宋体" w:cs="宋体" w:eastAsia="宋体" w:hint="default"/>
          <w:sz w:val="28"/>
          <w:szCs w:val="28"/>
        </w:rPr>
      </w:pPr>
      <w:r>
        <w:rPr>
          <w:rFonts w:ascii="宋体" w:hAnsi="宋体" w:cs="宋体" w:eastAsia="宋体" w:hint="default"/>
          <w:sz w:val="28"/>
          <w:szCs w:val="28"/>
        </w:rPr>
        <w:t>没有董事、监事、高级管理人员对本报告内容的真实性、准确性、</w:t>
      </w:r>
      <w:r>
        <w:rPr>
          <w:rFonts w:ascii="宋体" w:hAnsi="宋体" w:cs="宋体" w:eastAsia="宋体" w:hint="default"/>
          <w:w w:val="99"/>
          <w:sz w:val="28"/>
          <w:szCs w:val="28"/>
        </w:rPr>
        <w:t> </w:t>
      </w:r>
      <w:r>
        <w:rPr>
          <w:rFonts w:ascii="宋体" w:hAnsi="宋体" w:cs="宋体" w:eastAsia="宋体" w:hint="default"/>
          <w:sz w:val="28"/>
          <w:szCs w:val="28"/>
        </w:rPr>
        <w:t>完整性无法保证或存在异议。</w:t>
      </w:r>
    </w:p>
    <w:p>
      <w:pPr>
        <w:spacing w:line="408" w:lineRule="auto" w:before="61"/>
        <w:ind w:left="700" w:right="104" w:firstLine="0"/>
        <w:jc w:val="left"/>
        <w:rPr>
          <w:rFonts w:ascii="宋体" w:hAnsi="宋体" w:cs="宋体" w:eastAsia="宋体" w:hint="default"/>
          <w:sz w:val="28"/>
          <w:szCs w:val="28"/>
        </w:rPr>
      </w:pPr>
      <w:r>
        <w:rPr>
          <w:rFonts w:ascii="宋体" w:hAnsi="宋体" w:cs="宋体" w:eastAsia="宋体" w:hint="default"/>
          <w:sz w:val="28"/>
          <w:szCs w:val="28"/>
        </w:rPr>
        <w:t>公司全体董事出席董事会会议。</w:t>
      </w:r>
      <w:r>
        <w:rPr>
          <w:rFonts w:ascii="宋体" w:hAnsi="宋体" w:cs="宋体" w:eastAsia="宋体" w:hint="default"/>
          <w:w w:val="99"/>
          <w:sz w:val="28"/>
          <w:szCs w:val="28"/>
        </w:rPr>
        <w:t> </w:t>
      </w:r>
      <w:r>
        <w:rPr>
          <w:rFonts w:ascii="宋体" w:hAnsi="宋体" w:cs="宋体" w:eastAsia="宋体" w:hint="default"/>
          <w:w w:val="95"/>
          <w:sz w:val="28"/>
          <w:szCs w:val="28"/>
        </w:rPr>
        <w:t>立信会计师事务所（特殊普通合伙）为本公司</w:t>
      </w:r>
      <w:r>
        <w:rPr>
          <w:rFonts w:ascii="Times New Roman" w:hAnsi="Times New Roman" w:cs="Times New Roman" w:eastAsia="Times New Roman" w:hint="default"/>
          <w:w w:val="95"/>
          <w:sz w:val="28"/>
          <w:szCs w:val="28"/>
        </w:rPr>
        <w:t>2011</w:t>
      </w:r>
      <w:r>
        <w:rPr>
          <w:rFonts w:ascii="宋体" w:hAnsi="宋体" w:cs="宋体" w:eastAsia="宋体" w:hint="default"/>
          <w:w w:val="95"/>
          <w:sz w:val="28"/>
          <w:szCs w:val="28"/>
        </w:rPr>
        <w:t>年度财务报告出</w:t>
      </w:r>
      <w:r>
        <w:rPr>
          <w:rFonts w:ascii="宋体" w:hAnsi="宋体" w:cs="宋体" w:eastAsia="宋体" w:hint="default"/>
          <w:sz w:val="28"/>
          <w:szCs w:val="28"/>
        </w:rPr>
      </w:r>
    </w:p>
    <w:p>
      <w:pPr>
        <w:spacing w:line="408" w:lineRule="auto" w:before="19"/>
        <w:ind w:left="700" w:right="104" w:hanging="561"/>
        <w:jc w:val="left"/>
        <w:rPr>
          <w:rFonts w:ascii="宋体" w:hAnsi="宋体" w:cs="宋体" w:eastAsia="宋体" w:hint="default"/>
          <w:sz w:val="28"/>
          <w:szCs w:val="28"/>
        </w:rPr>
      </w:pPr>
      <w:r>
        <w:rPr>
          <w:rFonts w:ascii="宋体" w:hAnsi="宋体" w:cs="宋体" w:eastAsia="宋体" w:hint="default"/>
          <w:sz w:val="28"/>
          <w:szCs w:val="28"/>
        </w:rPr>
        <w:t>具了标准无保留意见的审计报告。</w:t>
      </w:r>
      <w:r>
        <w:rPr>
          <w:rFonts w:ascii="宋体" w:hAnsi="宋体" w:cs="宋体" w:eastAsia="宋体" w:hint="default"/>
          <w:w w:val="99"/>
          <w:sz w:val="28"/>
          <w:szCs w:val="28"/>
        </w:rPr>
        <w:t> </w:t>
      </w:r>
      <w:r>
        <w:rPr>
          <w:rFonts w:ascii="宋体" w:hAnsi="宋体" w:cs="宋体" w:eastAsia="宋体" w:hint="default"/>
          <w:sz w:val="28"/>
          <w:szCs w:val="28"/>
        </w:rPr>
        <w:t>公司董事长杨文江先生、财务负责人王志杰先生、会计机构负责人</w:t>
      </w:r>
    </w:p>
    <w:p>
      <w:pPr>
        <w:spacing w:before="61"/>
        <w:ind w:left="140" w:right="104" w:firstLine="0"/>
        <w:jc w:val="left"/>
        <w:rPr>
          <w:rFonts w:ascii="宋体" w:hAnsi="宋体" w:cs="宋体" w:eastAsia="宋体" w:hint="default"/>
          <w:sz w:val="28"/>
          <w:szCs w:val="28"/>
        </w:rPr>
      </w:pPr>
      <w:r>
        <w:rPr>
          <w:rFonts w:ascii="宋体" w:hAnsi="宋体" w:cs="宋体" w:eastAsia="宋体" w:hint="default"/>
          <w:sz w:val="28"/>
          <w:szCs w:val="28"/>
        </w:rPr>
        <w:t>陈国军先生声明：保证本年度报告中财务报告的真实、准确、完整。</w:t>
      </w:r>
    </w:p>
    <w:p>
      <w:pPr>
        <w:spacing w:after="0"/>
        <w:jc w:val="left"/>
        <w:rPr>
          <w:rFonts w:ascii="宋体" w:hAnsi="宋体" w:cs="宋体" w:eastAsia="宋体" w:hint="default"/>
          <w:sz w:val="28"/>
          <w:szCs w:val="28"/>
        </w:rPr>
        <w:sectPr>
          <w:pgSz w:w="11910" w:h="16840"/>
          <w:pgMar w:header="877" w:footer="1048" w:top="1100" w:bottom="1240" w:left="1660" w:right="1300"/>
        </w:sectPr>
      </w:pPr>
    </w:p>
    <w:p>
      <w:pPr>
        <w:spacing w:line="240" w:lineRule="auto" w:before="12"/>
        <w:rPr>
          <w:rFonts w:ascii="宋体" w:hAnsi="宋体" w:cs="宋体" w:eastAsia="宋体" w:hint="default"/>
          <w:sz w:val="26"/>
          <w:szCs w:val="26"/>
        </w:rPr>
      </w:pPr>
    </w:p>
    <w:p>
      <w:pPr>
        <w:spacing w:line="460" w:lineRule="exact" w:before="0"/>
        <w:ind w:left="569" w:right="125" w:firstLine="0"/>
        <w:jc w:val="center"/>
        <w:rPr>
          <w:rFonts w:ascii="宋体" w:hAnsi="宋体" w:cs="宋体" w:eastAsia="宋体" w:hint="default"/>
          <w:sz w:val="36"/>
          <w:szCs w:val="36"/>
        </w:rPr>
      </w:pPr>
      <w:r>
        <w:rPr>
          <w:rFonts w:ascii="宋体" w:hAnsi="宋体" w:cs="宋体" w:eastAsia="宋体" w:hint="default"/>
          <w:b/>
          <w:bCs/>
          <w:sz w:val="36"/>
          <w:szCs w:val="36"/>
        </w:rPr>
        <w:t>释</w:t>
      </w:r>
      <w:r>
        <w:rPr>
          <w:rFonts w:ascii="宋体" w:hAnsi="宋体" w:cs="宋体" w:eastAsia="宋体" w:hint="default"/>
          <w:b/>
          <w:bCs/>
          <w:spacing w:val="-2"/>
          <w:sz w:val="36"/>
          <w:szCs w:val="36"/>
        </w:rPr>
        <w:t> </w:t>
      </w:r>
      <w:r>
        <w:rPr>
          <w:rFonts w:ascii="宋体" w:hAnsi="宋体" w:cs="宋体" w:eastAsia="宋体" w:hint="default"/>
          <w:b/>
          <w:bCs/>
          <w:sz w:val="36"/>
          <w:szCs w:val="36"/>
        </w:rPr>
        <w:t>义</w:t>
      </w:r>
      <w:r>
        <w:rPr>
          <w:rFonts w:ascii="宋体" w:hAnsi="宋体" w:cs="宋体" w:eastAsia="宋体" w:hint="default"/>
          <w:sz w:val="36"/>
          <w:szCs w:val="36"/>
        </w:rPr>
      </w:r>
    </w:p>
    <w:p>
      <w:pPr>
        <w:spacing w:line="240" w:lineRule="auto" w:before="1"/>
        <w:rPr>
          <w:rFonts w:ascii="宋体" w:hAnsi="宋体" w:cs="宋体" w:eastAsia="宋体" w:hint="default"/>
          <w:b/>
          <w:bCs/>
          <w:sz w:val="25"/>
          <w:szCs w:val="25"/>
        </w:rPr>
      </w:pPr>
    </w:p>
    <w:p>
      <w:pPr>
        <w:pStyle w:val="BodyText"/>
        <w:spacing w:line="240" w:lineRule="auto" w:before="0"/>
        <w:ind w:left="0" w:right="982"/>
        <w:jc w:val="center"/>
      </w:pPr>
      <w:r>
        <w:rPr/>
        <w:t>在本年度报告内，除非文义另有所指，下列词语具有下述涵义：</w:t>
      </w:r>
    </w:p>
    <w:p>
      <w:pPr>
        <w:spacing w:line="240" w:lineRule="auto" w:before="1"/>
        <w:rPr>
          <w:rFonts w:ascii="宋体" w:hAnsi="宋体" w:cs="宋体" w:eastAsia="宋体" w:hint="default"/>
          <w:sz w:val="18"/>
          <w:szCs w:val="18"/>
        </w:rPr>
      </w:pPr>
    </w:p>
    <w:p>
      <w:pPr>
        <w:tabs>
          <w:tab w:pos="2047" w:val="left" w:leader="none"/>
        </w:tabs>
        <w:spacing w:before="0"/>
        <w:ind w:left="140" w:right="104" w:firstLine="0"/>
        <w:jc w:val="left"/>
        <w:rPr>
          <w:rFonts w:ascii="宋体" w:hAnsi="宋体" w:cs="宋体" w:eastAsia="宋体" w:hint="default"/>
          <w:sz w:val="21"/>
          <w:szCs w:val="21"/>
        </w:rPr>
      </w:pPr>
      <w:r>
        <w:rPr>
          <w:rFonts w:ascii="宋体" w:hAnsi="宋体" w:cs="宋体" w:eastAsia="宋体" w:hint="default"/>
          <w:sz w:val="21"/>
          <w:szCs w:val="21"/>
        </w:rPr>
        <w:t>公司、本公司</w:t>
        <w:tab/>
        <w:t>广州御银科技股份有限公司</w:t>
      </w:r>
    </w:p>
    <w:p>
      <w:pPr>
        <w:spacing w:line="240" w:lineRule="auto" w:before="8"/>
        <w:rPr>
          <w:rFonts w:ascii="宋体" w:hAnsi="宋体" w:cs="宋体" w:eastAsia="宋体" w:hint="default"/>
          <w:sz w:val="18"/>
          <w:szCs w:val="18"/>
        </w:rPr>
      </w:pPr>
    </w:p>
    <w:p>
      <w:pPr>
        <w:tabs>
          <w:tab w:pos="2047" w:val="left" w:leader="none"/>
        </w:tabs>
        <w:spacing w:line="451" w:lineRule="auto" w:before="0"/>
        <w:ind w:left="140" w:right="1434" w:firstLine="0"/>
        <w:jc w:val="left"/>
        <w:rPr>
          <w:rFonts w:ascii="宋体" w:hAnsi="宋体" w:cs="宋体" w:eastAsia="宋体" w:hint="default"/>
          <w:sz w:val="21"/>
          <w:szCs w:val="21"/>
        </w:rPr>
      </w:pPr>
      <w:r>
        <w:rPr>
          <w:rFonts w:ascii="宋体" w:hAnsi="宋体" w:cs="宋体" w:eastAsia="宋体" w:hint="default"/>
          <w:sz w:val="21"/>
          <w:szCs w:val="21"/>
        </w:rPr>
        <w:t>御银有限</w:t>
        <w:tab/>
        <w:t>广州御银科技有限公司，公司改组为股份有限公司前的主体 元</w:t>
        <w:tab/>
        <w:t>中华人民共和国法定货币人民币元</w:t>
      </w:r>
    </w:p>
    <w:p>
      <w:pPr>
        <w:tabs>
          <w:tab w:pos="2047" w:val="left" w:leader="none"/>
        </w:tabs>
        <w:spacing w:before="59"/>
        <w:ind w:left="140" w:right="104" w:firstLine="0"/>
        <w:jc w:val="left"/>
        <w:rPr>
          <w:rFonts w:ascii="宋体" w:hAnsi="宋体" w:cs="宋体" w:eastAsia="宋体" w:hint="default"/>
          <w:sz w:val="21"/>
          <w:szCs w:val="21"/>
        </w:rPr>
      </w:pPr>
      <w:r>
        <w:rPr>
          <w:rFonts w:ascii="宋体" w:hAnsi="宋体" w:cs="宋体" w:eastAsia="宋体" w:hint="default"/>
          <w:sz w:val="21"/>
          <w:szCs w:val="21"/>
        </w:rPr>
        <w:t>广州御新</w:t>
        <w:tab/>
        <w:t>广州御新软件有限公司，公司下属全资子公司，持有其</w:t>
      </w:r>
      <w:r>
        <w:rPr>
          <w:rFonts w:ascii="Times New Roman" w:hAnsi="Times New Roman" w:cs="Times New Roman" w:eastAsia="Times New Roman" w:hint="default"/>
          <w:sz w:val="21"/>
          <w:szCs w:val="21"/>
        </w:rPr>
        <w:t>100%</w:t>
      </w:r>
      <w:r>
        <w:rPr>
          <w:rFonts w:ascii="宋体" w:hAnsi="宋体" w:cs="宋体" w:eastAsia="宋体" w:hint="default"/>
          <w:sz w:val="21"/>
          <w:szCs w:val="21"/>
        </w:rPr>
        <w:t>股权</w:t>
      </w:r>
    </w:p>
    <w:p>
      <w:pPr>
        <w:spacing w:line="240" w:lineRule="auto" w:before="9"/>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pgSz w:w="11910" w:h="16840"/>
          <w:pgMar w:header="877" w:footer="1048" w:top="1100" w:bottom="1240" w:left="1660" w:right="1300"/>
        </w:sectPr>
      </w:pPr>
    </w:p>
    <w:p>
      <w:pPr>
        <w:spacing w:line="240" w:lineRule="auto" w:before="5"/>
        <w:rPr>
          <w:rFonts w:ascii="宋体" w:hAnsi="宋体" w:cs="宋体" w:eastAsia="宋体" w:hint="default"/>
          <w:sz w:val="22"/>
          <w:szCs w:val="22"/>
        </w:rPr>
      </w:pPr>
    </w:p>
    <w:p>
      <w:pPr>
        <w:spacing w:before="0"/>
        <w:ind w:left="140" w:right="-20" w:firstLine="0"/>
        <w:jc w:val="left"/>
        <w:rPr>
          <w:rFonts w:ascii="宋体" w:hAnsi="宋体" w:cs="宋体" w:eastAsia="宋体" w:hint="default"/>
          <w:sz w:val="21"/>
          <w:szCs w:val="21"/>
        </w:rPr>
      </w:pPr>
      <w:r>
        <w:rPr>
          <w:rFonts w:ascii="宋体" w:hAnsi="宋体" w:cs="宋体" w:eastAsia="宋体" w:hint="default"/>
          <w:sz w:val="21"/>
          <w:szCs w:val="21"/>
        </w:rPr>
        <w:t>御银自动柜员机</w:t>
      </w:r>
    </w:p>
    <w:p>
      <w:pPr>
        <w:spacing w:line="264" w:lineRule="auto" w:before="35"/>
        <w:ind w:left="140" w:right="448" w:firstLine="0"/>
        <w:jc w:val="both"/>
        <w:rPr>
          <w:rFonts w:ascii="宋体" w:hAnsi="宋体" w:cs="宋体" w:eastAsia="宋体" w:hint="default"/>
          <w:sz w:val="21"/>
          <w:szCs w:val="21"/>
        </w:rPr>
      </w:pPr>
      <w:r>
        <w:rPr/>
        <w:br w:type="column"/>
      </w:r>
      <w:r>
        <w:rPr>
          <w:rFonts w:ascii="Times New Roman" w:hAnsi="Times New Roman" w:cs="Times New Roman" w:eastAsia="Times New Roman" w:hint="default"/>
          <w:sz w:val="21"/>
          <w:szCs w:val="21"/>
        </w:rPr>
        <w:t>2009</w:t>
      </w:r>
      <w:r>
        <w:rPr>
          <w:rFonts w:ascii="宋体" w:hAnsi="宋体" w:cs="宋体" w:eastAsia="宋体" w:hint="default"/>
          <w:sz w:val="21"/>
          <w:szCs w:val="21"/>
        </w:rPr>
        <w:t>年</w:t>
      </w:r>
      <w:r>
        <w:rPr>
          <w:rFonts w:ascii="Times New Roman" w:hAnsi="Times New Roman" w:cs="Times New Roman" w:eastAsia="Times New Roman" w:hint="default"/>
          <w:sz w:val="21"/>
          <w:szCs w:val="21"/>
        </w:rPr>
        <w:t>7</w:t>
      </w:r>
      <w:r>
        <w:rPr>
          <w:rFonts w:ascii="宋体" w:hAnsi="宋体" w:cs="宋体" w:eastAsia="宋体" w:hint="default"/>
          <w:sz w:val="21"/>
          <w:szCs w:val="21"/>
        </w:rPr>
        <w:t>月</w:t>
      </w:r>
      <w:r>
        <w:rPr>
          <w:rFonts w:ascii="Times New Roman" w:hAnsi="Times New Roman" w:cs="Times New Roman" w:eastAsia="Times New Roman" w:hint="default"/>
          <w:sz w:val="21"/>
          <w:szCs w:val="21"/>
        </w:rPr>
        <w:t>10</w:t>
      </w:r>
      <w:r>
        <w:rPr>
          <w:rFonts w:ascii="宋体" w:hAnsi="宋体" w:cs="宋体" w:eastAsia="宋体" w:hint="default"/>
          <w:sz w:val="21"/>
          <w:szCs w:val="21"/>
        </w:rPr>
        <w:t>日“广州毅盟电子科技发展有限公司”变更为“广州御银</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3"/>
          <w:sz w:val="21"/>
          <w:szCs w:val="21"/>
        </w:rPr>
        <w:t>自动柜员机技术有限公司”，公司下属全资子公司，通过广州御新持有</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其</w:t>
      </w:r>
      <w:r>
        <w:rPr>
          <w:rFonts w:ascii="Times New Roman" w:hAnsi="Times New Roman" w:cs="Times New Roman" w:eastAsia="Times New Roman" w:hint="default"/>
          <w:sz w:val="21"/>
          <w:szCs w:val="21"/>
        </w:rPr>
        <w:t>100%</w:t>
      </w:r>
      <w:r>
        <w:rPr>
          <w:rFonts w:ascii="宋体" w:hAnsi="宋体" w:cs="宋体" w:eastAsia="宋体" w:hint="default"/>
          <w:sz w:val="21"/>
          <w:szCs w:val="21"/>
        </w:rPr>
        <w:t>股权</w:t>
      </w:r>
    </w:p>
    <w:p>
      <w:pPr>
        <w:spacing w:after="0" w:line="264" w:lineRule="auto"/>
        <w:jc w:val="both"/>
        <w:rPr>
          <w:rFonts w:ascii="宋体" w:hAnsi="宋体" w:cs="宋体" w:eastAsia="宋体" w:hint="default"/>
          <w:sz w:val="21"/>
          <w:szCs w:val="21"/>
        </w:rPr>
        <w:sectPr>
          <w:type w:val="continuous"/>
          <w:pgSz w:w="11910" w:h="16840"/>
          <w:pgMar w:top="1100" w:bottom="1240" w:left="1660" w:right="1300"/>
          <w:cols w:num="2" w:equalWidth="0">
            <w:col w:w="1611" w:space="297"/>
            <w:col w:w="7042"/>
          </w:cols>
        </w:sectPr>
      </w:pPr>
    </w:p>
    <w:p>
      <w:pPr>
        <w:spacing w:line="240" w:lineRule="auto" w:before="11"/>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type w:val="continuous"/>
          <w:pgSz w:w="11910" w:h="16840"/>
          <w:pgMar w:top="1100" w:bottom="1240" w:left="1660" w:right="1300"/>
        </w:sectPr>
      </w:pPr>
    </w:p>
    <w:p>
      <w:pPr>
        <w:spacing w:line="240" w:lineRule="auto" w:before="8"/>
        <w:rPr>
          <w:rFonts w:ascii="宋体" w:hAnsi="宋体" w:cs="宋体" w:eastAsia="宋体" w:hint="default"/>
          <w:sz w:val="14"/>
          <w:szCs w:val="14"/>
        </w:rPr>
      </w:pPr>
    </w:p>
    <w:p>
      <w:pPr>
        <w:spacing w:before="0"/>
        <w:ind w:left="140" w:right="-20" w:firstLine="0"/>
        <w:jc w:val="left"/>
        <w:rPr>
          <w:rFonts w:ascii="宋体" w:hAnsi="宋体" w:cs="宋体" w:eastAsia="宋体" w:hint="default"/>
          <w:sz w:val="21"/>
          <w:szCs w:val="21"/>
        </w:rPr>
      </w:pPr>
      <w:r>
        <w:rPr>
          <w:rFonts w:ascii="宋体" w:hAnsi="宋体" w:cs="宋体" w:eastAsia="宋体" w:hint="default"/>
          <w:sz w:val="21"/>
          <w:szCs w:val="21"/>
        </w:rPr>
        <w:t>珠海御银</w:t>
      </w:r>
    </w:p>
    <w:p>
      <w:pPr>
        <w:spacing w:line="256" w:lineRule="auto" w:before="35"/>
        <w:ind w:left="140" w:right="433" w:firstLine="0"/>
        <w:jc w:val="left"/>
        <w:rPr>
          <w:rFonts w:ascii="宋体" w:hAnsi="宋体" w:cs="宋体" w:eastAsia="宋体" w:hint="default"/>
          <w:sz w:val="21"/>
          <w:szCs w:val="21"/>
        </w:rPr>
      </w:pPr>
      <w:r>
        <w:rPr/>
        <w:br w:type="column"/>
      </w:r>
      <w:r>
        <w:rPr>
          <w:rFonts w:ascii="宋体" w:hAnsi="宋体" w:cs="宋体" w:eastAsia="宋体" w:hint="default"/>
          <w:sz w:val="21"/>
          <w:szCs w:val="21"/>
        </w:rPr>
        <w:t>珠海市御银电子科技有限公司，公司下属全资子公司，持有其</w:t>
      </w:r>
      <w:r>
        <w:rPr>
          <w:rFonts w:ascii="Times New Roman" w:hAnsi="Times New Roman" w:cs="Times New Roman" w:eastAsia="Times New Roman" w:hint="default"/>
          <w:sz w:val="21"/>
          <w:szCs w:val="21"/>
        </w:rPr>
        <w:t>100%</w:t>
      </w:r>
      <w:r>
        <w:rPr>
          <w:rFonts w:ascii="宋体" w:hAnsi="宋体" w:cs="宋体" w:eastAsia="宋体" w:hint="default"/>
          <w:sz w:val="21"/>
          <w:szCs w:val="21"/>
        </w:rPr>
        <w:t>股</w:t>
      </w:r>
      <w:r>
        <w:rPr>
          <w:rFonts w:ascii="宋体" w:hAnsi="宋体" w:cs="宋体" w:eastAsia="宋体" w:hint="default"/>
          <w:spacing w:val="-45"/>
          <w:sz w:val="21"/>
          <w:szCs w:val="21"/>
        </w:rPr>
        <w:t> </w:t>
      </w:r>
      <w:r>
        <w:rPr>
          <w:rFonts w:ascii="宋体" w:hAnsi="宋体" w:cs="宋体" w:eastAsia="宋体" w:hint="default"/>
          <w:sz w:val="21"/>
          <w:szCs w:val="21"/>
        </w:rPr>
        <w:t>权</w:t>
      </w:r>
    </w:p>
    <w:p>
      <w:pPr>
        <w:spacing w:after="0" w:line="256" w:lineRule="auto"/>
        <w:jc w:val="left"/>
        <w:rPr>
          <w:rFonts w:ascii="宋体" w:hAnsi="宋体" w:cs="宋体" w:eastAsia="宋体" w:hint="default"/>
          <w:sz w:val="21"/>
          <w:szCs w:val="21"/>
        </w:rPr>
        <w:sectPr>
          <w:type w:val="continuous"/>
          <w:pgSz w:w="11910" w:h="16840"/>
          <w:pgMar w:top="1100" w:bottom="1240" w:left="1660" w:right="1300"/>
          <w:cols w:num="2" w:equalWidth="0">
            <w:col w:w="981" w:space="927"/>
            <w:col w:w="7042"/>
          </w:cols>
        </w:sectPr>
      </w:pPr>
    </w:p>
    <w:p>
      <w:pPr>
        <w:spacing w:line="240" w:lineRule="auto" w:before="11"/>
        <w:rPr>
          <w:rFonts w:ascii="宋体" w:hAnsi="宋体" w:cs="宋体" w:eastAsia="宋体" w:hint="default"/>
          <w:sz w:val="22"/>
          <w:szCs w:val="22"/>
        </w:rPr>
      </w:pPr>
    </w:p>
    <w:p>
      <w:pPr>
        <w:tabs>
          <w:tab w:pos="2047" w:val="left" w:leader="none"/>
        </w:tabs>
        <w:spacing w:before="35"/>
        <w:ind w:left="139" w:right="104" w:firstLine="0"/>
        <w:jc w:val="left"/>
        <w:rPr>
          <w:rFonts w:ascii="宋体" w:hAnsi="宋体" w:cs="宋体" w:eastAsia="宋体" w:hint="default"/>
          <w:sz w:val="21"/>
          <w:szCs w:val="21"/>
        </w:rPr>
      </w:pPr>
      <w:r>
        <w:rPr>
          <w:rFonts w:ascii="宋体" w:hAnsi="宋体" w:cs="宋体" w:eastAsia="宋体" w:hint="default"/>
          <w:sz w:val="21"/>
          <w:szCs w:val="21"/>
        </w:rPr>
        <w:t>安徽御银</w:t>
        <w:tab/>
        <w:t>安徽御银电子科技有限公司，公司下属全资子公司，持有其</w:t>
      </w:r>
      <w:r>
        <w:rPr>
          <w:rFonts w:ascii="Times New Roman" w:hAnsi="Times New Roman" w:cs="Times New Roman" w:eastAsia="Times New Roman" w:hint="default"/>
          <w:sz w:val="21"/>
          <w:szCs w:val="21"/>
        </w:rPr>
        <w:t>100%</w:t>
      </w:r>
      <w:r>
        <w:rPr>
          <w:rFonts w:ascii="宋体" w:hAnsi="宋体" w:cs="宋体" w:eastAsia="宋体" w:hint="default"/>
          <w:sz w:val="21"/>
          <w:szCs w:val="21"/>
        </w:rPr>
        <w:t>股权</w:t>
      </w:r>
    </w:p>
    <w:p>
      <w:pPr>
        <w:spacing w:line="240" w:lineRule="auto" w:before="10"/>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100" w:bottom="1240" w:left="1660" w:right="1300"/>
        </w:sectPr>
      </w:pPr>
    </w:p>
    <w:p>
      <w:pPr>
        <w:spacing w:line="240" w:lineRule="auto" w:before="8"/>
        <w:rPr>
          <w:rFonts w:ascii="宋体" w:hAnsi="宋体" w:cs="宋体" w:eastAsia="宋体" w:hint="default"/>
          <w:sz w:val="14"/>
          <w:szCs w:val="14"/>
        </w:rPr>
      </w:pPr>
    </w:p>
    <w:p>
      <w:pPr>
        <w:spacing w:before="0"/>
        <w:ind w:left="140" w:right="-20" w:firstLine="0"/>
        <w:jc w:val="left"/>
        <w:rPr>
          <w:rFonts w:ascii="宋体" w:hAnsi="宋体" w:cs="宋体" w:eastAsia="宋体" w:hint="default"/>
          <w:sz w:val="21"/>
          <w:szCs w:val="21"/>
        </w:rPr>
      </w:pPr>
      <w:r>
        <w:rPr>
          <w:rFonts w:ascii="宋体" w:hAnsi="宋体" w:cs="宋体" w:eastAsia="宋体" w:hint="default"/>
          <w:sz w:val="21"/>
          <w:szCs w:val="21"/>
        </w:rPr>
        <w:t>御银金融</w:t>
      </w:r>
    </w:p>
    <w:p>
      <w:pPr>
        <w:spacing w:line="256" w:lineRule="auto" w:before="35"/>
        <w:ind w:left="140" w:right="433" w:firstLine="0"/>
        <w:jc w:val="left"/>
        <w:rPr>
          <w:rFonts w:ascii="宋体" w:hAnsi="宋体" w:cs="宋体" w:eastAsia="宋体" w:hint="default"/>
          <w:sz w:val="21"/>
          <w:szCs w:val="21"/>
        </w:rPr>
      </w:pPr>
      <w:r>
        <w:rPr>
          <w:spacing w:val="-1"/>
        </w:rPr>
        <w:br w:type="column"/>
      </w:r>
      <w:r>
        <w:rPr>
          <w:rFonts w:ascii="宋体" w:hAnsi="宋体" w:cs="宋体" w:eastAsia="宋体" w:hint="default"/>
          <w:spacing w:val="-1"/>
          <w:sz w:val="21"/>
          <w:szCs w:val="21"/>
        </w:rPr>
        <w:t>广州御银金融服务有限公司，公司下属全资子公司，直接持有其</w:t>
      </w:r>
      <w:r>
        <w:rPr>
          <w:rFonts w:ascii="Times New Roman" w:hAnsi="Times New Roman" w:cs="Times New Roman" w:eastAsia="Times New Roman" w:hint="default"/>
          <w:spacing w:val="-1"/>
          <w:sz w:val="21"/>
          <w:szCs w:val="21"/>
        </w:rPr>
        <w:t>80%</w:t>
      </w:r>
      <w:r>
        <w:rPr>
          <w:rFonts w:ascii="宋体" w:hAnsi="宋体" w:cs="宋体" w:eastAsia="宋体" w:hint="default"/>
          <w:spacing w:val="-1"/>
          <w:sz w:val="21"/>
          <w:szCs w:val="21"/>
        </w:rPr>
        <w:t>股</w:t>
      </w:r>
      <w:r>
        <w:rPr>
          <w:rFonts w:ascii="宋体" w:hAnsi="宋体" w:cs="宋体" w:eastAsia="宋体" w:hint="default"/>
          <w:sz w:val="21"/>
          <w:szCs w:val="21"/>
        </w:rPr>
        <w:t> 权，通过广州御新持有其</w:t>
      </w:r>
      <w:r>
        <w:rPr>
          <w:rFonts w:ascii="Times New Roman" w:hAnsi="Times New Roman" w:cs="Times New Roman" w:eastAsia="Times New Roman" w:hint="default"/>
          <w:sz w:val="21"/>
          <w:szCs w:val="21"/>
        </w:rPr>
        <w:t>20%</w:t>
      </w:r>
      <w:r>
        <w:rPr>
          <w:rFonts w:ascii="宋体" w:hAnsi="宋体" w:cs="宋体" w:eastAsia="宋体" w:hint="default"/>
          <w:sz w:val="21"/>
          <w:szCs w:val="21"/>
        </w:rPr>
        <w:t>股权，公司合共持有其</w:t>
      </w:r>
      <w:r>
        <w:rPr>
          <w:rFonts w:ascii="Times New Roman" w:hAnsi="Times New Roman" w:cs="Times New Roman" w:eastAsia="Times New Roman" w:hint="default"/>
          <w:sz w:val="21"/>
          <w:szCs w:val="21"/>
        </w:rPr>
        <w:t>100%</w:t>
      </w:r>
      <w:r>
        <w:rPr>
          <w:rFonts w:ascii="宋体" w:hAnsi="宋体" w:cs="宋体" w:eastAsia="宋体" w:hint="default"/>
          <w:sz w:val="21"/>
          <w:szCs w:val="21"/>
        </w:rPr>
        <w:t>股权</w:t>
      </w:r>
    </w:p>
    <w:p>
      <w:pPr>
        <w:spacing w:after="0" w:line="256" w:lineRule="auto"/>
        <w:jc w:val="left"/>
        <w:rPr>
          <w:rFonts w:ascii="宋体" w:hAnsi="宋体" w:cs="宋体" w:eastAsia="宋体" w:hint="default"/>
          <w:sz w:val="21"/>
          <w:szCs w:val="21"/>
        </w:rPr>
        <w:sectPr>
          <w:type w:val="continuous"/>
          <w:pgSz w:w="11910" w:h="16840"/>
          <w:pgMar w:top="1100" w:bottom="1240" w:left="1660" w:right="1300"/>
          <w:cols w:num="2" w:equalWidth="0">
            <w:col w:w="981" w:space="927"/>
            <w:col w:w="7042"/>
          </w:cols>
        </w:sectPr>
      </w:pPr>
    </w:p>
    <w:p>
      <w:pPr>
        <w:spacing w:line="240" w:lineRule="auto" w:before="7"/>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type w:val="continuous"/>
          <w:pgSz w:w="11910" w:h="16840"/>
          <w:pgMar w:top="1100" w:bottom="1240" w:left="1660" w:right="1300"/>
        </w:sectPr>
      </w:pPr>
    </w:p>
    <w:p>
      <w:pPr>
        <w:spacing w:line="240" w:lineRule="auto" w:before="8"/>
        <w:rPr>
          <w:rFonts w:ascii="宋体" w:hAnsi="宋体" w:cs="宋体" w:eastAsia="宋体" w:hint="default"/>
          <w:sz w:val="14"/>
          <w:szCs w:val="14"/>
        </w:rPr>
      </w:pPr>
    </w:p>
    <w:p>
      <w:pPr>
        <w:spacing w:before="0"/>
        <w:ind w:left="140" w:right="-20" w:firstLine="0"/>
        <w:jc w:val="left"/>
        <w:rPr>
          <w:rFonts w:ascii="宋体" w:hAnsi="宋体" w:cs="宋体" w:eastAsia="宋体" w:hint="default"/>
          <w:sz w:val="21"/>
          <w:szCs w:val="21"/>
        </w:rPr>
      </w:pPr>
      <w:r>
        <w:rPr>
          <w:rFonts w:ascii="宋体" w:hAnsi="宋体" w:cs="宋体" w:eastAsia="宋体" w:hint="default"/>
          <w:sz w:val="21"/>
          <w:szCs w:val="21"/>
        </w:rPr>
        <w:t>御银国际</w:t>
      </w:r>
    </w:p>
    <w:p>
      <w:pPr>
        <w:spacing w:line="256" w:lineRule="auto" w:before="35"/>
        <w:ind w:left="140" w:right="433" w:firstLine="0"/>
        <w:jc w:val="left"/>
        <w:rPr>
          <w:rFonts w:ascii="宋体" w:hAnsi="宋体" w:cs="宋体" w:eastAsia="宋体" w:hint="default"/>
          <w:sz w:val="21"/>
          <w:szCs w:val="21"/>
        </w:rPr>
      </w:pPr>
      <w:r>
        <w:rPr/>
        <w:br w:type="column"/>
      </w:r>
      <w:r>
        <w:rPr>
          <w:rFonts w:ascii="宋体" w:hAnsi="宋体" w:cs="宋体" w:eastAsia="宋体" w:hint="default"/>
          <w:sz w:val="21"/>
          <w:szCs w:val="21"/>
        </w:rPr>
        <w:t>御银（中国）科技国际有限公司，公司下属全资子公司，持有其</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股权</w:t>
      </w:r>
    </w:p>
    <w:p>
      <w:pPr>
        <w:spacing w:after="0" w:line="256" w:lineRule="auto"/>
        <w:jc w:val="left"/>
        <w:rPr>
          <w:rFonts w:ascii="宋体" w:hAnsi="宋体" w:cs="宋体" w:eastAsia="宋体" w:hint="default"/>
          <w:sz w:val="21"/>
          <w:szCs w:val="21"/>
        </w:rPr>
        <w:sectPr>
          <w:type w:val="continuous"/>
          <w:pgSz w:w="11910" w:h="16840"/>
          <w:pgMar w:top="1100" w:bottom="1240" w:left="1660" w:right="1300"/>
          <w:cols w:num="2" w:equalWidth="0">
            <w:col w:w="981" w:space="927"/>
            <w:col w:w="7042"/>
          </w:cols>
        </w:sectPr>
      </w:pPr>
    </w:p>
    <w:p>
      <w:pPr>
        <w:spacing w:line="240" w:lineRule="auto" w:before="11"/>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100" w:bottom="1240" w:left="1660" w:right="1300"/>
        </w:sectPr>
      </w:pPr>
    </w:p>
    <w:p>
      <w:pPr>
        <w:spacing w:line="240" w:lineRule="auto" w:before="8"/>
        <w:rPr>
          <w:rFonts w:ascii="宋体" w:hAnsi="宋体" w:cs="宋体" w:eastAsia="宋体" w:hint="default"/>
          <w:sz w:val="14"/>
          <w:szCs w:val="14"/>
        </w:rPr>
      </w:pPr>
    </w:p>
    <w:p>
      <w:pPr>
        <w:spacing w:before="0"/>
        <w:ind w:left="140" w:right="-20" w:firstLine="0"/>
        <w:jc w:val="left"/>
        <w:rPr>
          <w:rFonts w:ascii="宋体" w:hAnsi="宋体" w:cs="宋体" w:eastAsia="宋体" w:hint="default"/>
          <w:sz w:val="21"/>
          <w:szCs w:val="21"/>
        </w:rPr>
      </w:pPr>
      <w:r>
        <w:rPr>
          <w:rFonts w:ascii="宋体" w:hAnsi="宋体" w:cs="宋体" w:eastAsia="宋体" w:hint="default"/>
          <w:sz w:val="21"/>
          <w:szCs w:val="21"/>
        </w:rPr>
        <w:t>先端科技</w:t>
      </w:r>
    </w:p>
    <w:p>
      <w:pPr>
        <w:spacing w:line="256" w:lineRule="auto" w:before="35"/>
        <w:ind w:left="140" w:right="433" w:firstLine="0"/>
        <w:jc w:val="left"/>
        <w:rPr>
          <w:rFonts w:ascii="宋体" w:hAnsi="宋体" w:cs="宋体" w:eastAsia="宋体" w:hint="default"/>
          <w:sz w:val="21"/>
          <w:szCs w:val="21"/>
        </w:rPr>
      </w:pPr>
      <w:r>
        <w:rPr/>
        <w:br w:type="column"/>
      </w:r>
      <w:r>
        <w:rPr>
          <w:rFonts w:ascii="宋体" w:hAnsi="宋体" w:cs="宋体" w:eastAsia="宋体" w:hint="default"/>
          <w:sz w:val="21"/>
          <w:szCs w:val="21"/>
        </w:rPr>
        <w:t>广州御银先端电子科技有限公司，公司下属全资子公司，持有其</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股权</w:t>
      </w:r>
    </w:p>
    <w:p>
      <w:pPr>
        <w:spacing w:after="0" w:line="256" w:lineRule="auto"/>
        <w:jc w:val="left"/>
        <w:rPr>
          <w:rFonts w:ascii="宋体" w:hAnsi="宋体" w:cs="宋体" w:eastAsia="宋体" w:hint="default"/>
          <w:sz w:val="21"/>
          <w:szCs w:val="21"/>
        </w:rPr>
        <w:sectPr>
          <w:type w:val="continuous"/>
          <w:pgSz w:w="11910" w:h="16840"/>
          <w:pgMar w:top="1100" w:bottom="1240" w:left="1660" w:right="1300"/>
          <w:cols w:num="2" w:equalWidth="0">
            <w:col w:w="981" w:space="927"/>
            <w:col w:w="7042"/>
          </w:cols>
        </w:sectPr>
      </w:pPr>
    </w:p>
    <w:p>
      <w:pPr>
        <w:spacing w:line="240" w:lineRule="auto" w:before="11"/>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100" w:bottom="1240" w:left="1660" w:right="1300"/>
        </w:sectPr>
      </w:pPr>
    </w:p>
    <w:p>
      <w:pPr>
        <w:spacing w:line="240" w:lineRule="auto" w:before="8"/>
        <w:rPr>
          <w:rFonts w:ascii="宋体" w:hAnsi="宋体" w:cs="宋体" w:eastAsia="宋体" w:hint="default"/>
          <w:sz w:val="14"/>
          <w:szCs w:val="14"/>
        </w:rPr>
      </w:pPr>
    </w:p>
    <w:p>
      <w:pPr>
        <w:spacing w:before="0"/>
        <w:ind w:left="140" w:right="-20" w:firstLine="0"/>
        <w:jc w:val="left"/>
        <w:rPr>
          <w:rFonts w:ascii="宋体" w:hAnsi="宋体" w:cs="宋体" w:eastAsia="宋体" w:hint="default"/>
          <w:sz w:val="21"/>
          <w:szCs w:val="21"/>
        </w:rPr>
      </w:pPr>
      <w:r>
        <w:rPr>
          <w:rFonts w:ascii="宋体" w:hAnsi="宋体" w:cs="宋体" w:eastAsia="宋体" w:hint="default"/>
          <w:sz w:val="21"/>
          <w:szCs w:val="21"/>
        </w:rPr>
        <w:t>御银香港</w:t>
      </w:r>
    </w:p>
    <w:p>
      <w:pPr>
        <w:spacing w:line="273" w:lineRule="auto" w:before="35"/>
        <w:ind w:left="140" w:right="433" w:firstLine="0"/>
        <w:jc w:val="left"/>
        <w:rPr>
          <w:rFonts w:ascii="宋体" w:hAnsi="宋体" w:cs="宋体" w:eastAsia="宋体" w:hint="default"/>
          <w:sz w:val="21"/>
          <w:szCs w:val="21"/>
        </w:rPr>
      </w:pPr>
      <w:r>
        <w:rPr>
          <w:spacing w:val="-3"/>
        </w:rPr>
        <w:br w:type="column"/>
      </w:r>
      <w:r>
        <w:rPr>
          <w:rFonts w:ascii="宋体" w:hAnsi="宋体" w:cs="宋体" w:eastAsia="宋体" w:hint="default"/>
          <w:spacing w:val="-3"/>
          <w:sz w:val="21"/>
          <w:szCs w:val="21"/>
        </w:rPr>
        <w:t>御银科技（香港）有限公司，公司下属全资子公司，通过御银国际持有</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其</w:t>
      </w:r>
      <w:r>
        <w:rPr>
          <w:rFonts w:ascii="Times New Roman" w:hAnsi="Times New Roman" w:cs="Times New Roman" w:eastAsia="Times New Roman" w:hint="default"/>
          <w:sz w:val="21"/>
          <w:szCs w:val="21"/>
        </w:rPr>
        <w:t>100%</w:t>
      </w:r>
      <w:r>
        <w:rPr>
          <w:rFonts w:ascii="宋体" w:hAnsi="宋体" w:cs="宋体" w:eastAsia="宋体" w:hint="default"/>
          <w:sz w:val="21"/>
          <w:szCs w:val="21"/>
        </w:rPr>
        <w:t>股权</w:t>
      </w:r>
    </w:p>
    <w:p>
      <w:pPr>
        <w:spacing w:after="0" w:line="273" w:lineRule="auto"/>
        <w:jc w:val="left"/>
        <w:rPr>
          <w:rFonts w:ascii="宋体" w:hAnsi="宋体" w:cs="宋体" w:eastAsia="宋体" w:hint="default"/>
          <w:sz w:val="21"/>
          <w:szCs w:val="21"/>
        </w:rPr>
        <w:sectPr>
          <w:type w:val="continuous"/>
          <w:pgSz w:w="11910" w:h="16840"/>
          <w:pgMar w:top="1100" w:bottom="1240" w:left="1660" w:right="1300"/>
          <w:cols w:num="2" w:equalWidth="0">
            <w:col w:w="981" w:space="927"/>
            <w:col w:w="7042"/>
          </w:cols>
        </w:sectPr>
      </w:pPr>
    </w:p>
    <w:p>
      <w:pPr>
        <w:spacing w:line="240" w:lineRule="auto" w:before="4"/>
        <w:rPr>
          <w:rFonts w:ascii="宋体" w:hAnsi="宋体" w:cs="宋体" w:eastAsia="宋体" w:hint="default"/>
          <w:sz w:val="20"/>
          <w:szCs w:val="20"/>
        </w:rPr>
      </w:pPr>
    </w:p>
    <w:p>
      <w:pPr>
        <w:tabs>
          <w:tab w:pos="2047" w:val="left" w:leader="none"/>
        </w:tabs>
        <w:spacing w:line="516" w:lineRule="auto" w:before="35"/>
        <w:ind w:left="140" w:right="1678" w:firstLine="0"/>
        <w:jc w:val="left"/>
        <w:rPr>
          <w:rFonts w:ascii="宋体" w:hAnsi="宋体" w:cs="宋体" w:eastAsia="宋体" w:hint="default"/>
          <w:sz w:val="21"/>
          <w:szCs w:val="21"/>
        </w:rPr>
      </w:pPr>
      <w:r>
        <w:rPr>
          <w:rFonts w:ascii="宋体" w:hAnsi="宋体" w:cs="宋体" w:eastAsia="宋体" w:hint="default"/>
          <w:sz w:val="21"/>
          <w:szCs w:val="21"/>
        </w:rPr>
        <w:t>青年御银</w:t>
        <w:tab/>
        <w:t>北京青年御银科技有限公司，参股公司，持有其</w:t>
      </w:r>
      <w:r>
        <w:rPr>
          <w:rFonts w:ascii="Times New Roman" w:hAnsi="Times New Roman" w:cs="Times New Roman" w:eastAsia="Times New Roman" w:hint="default"/>
          <w:sz w:val="21"/>
          <w:szCs w:val="21"/>
        </w:rPr>
        <w:t>20%</w:t>
      </w:r>
      <w:r>
        <w:rPr>
          <w:rFonts w:ascii="宋体" w:hAnsi="宋体" w:cs="宋体" w:eastAsia="宋体" w:hint="default"/>
          <w:sz w:val="21"/>
          <w:szCs w:val="21"/>
        </w:rPr>
        <w:t>股权 深圳信威</w:t>
        <w:tab/>
        <w:t>深圳市信威电子有限公司，参股公司，持有其</w:t>
      </w:r>
      <w:r>
        <w:rPr>
          <w:rFonts w:ascii="Times New Roman" w:hAnsi="Times New Roman" w:cs="Times New Roman" w:eastAsia="Times New Roman" w:hint="default"/>
          <w:sz w:val="21"/>
          <w:szCs w:val="21"/>
        </w:rPr>
        <w:t>16%</w:t>
      </w:r>
      <w:r>
        <w:rPr>
          <w:rFonts w:ascii="宋体" w:hAnsi="宋体" w:cs="宋体" w:eastAsia="宋体" w:hint="default"/>
          <w:sz w:val="21"/>
          <w:szCs w:val="21"/>
        </w:rPr>
        <w:t>股权</w:t>
      </w:r>
    </w:p>
    <w:p>
      <w:pPr>
        <w:spacing w:after="0" w:line="516" w:lineRule="auto"/>
        <w:jc w:val="left"/>
        <w:rPr>
          <w:rFonts w:ascii="宋体" w:hAnsi="宋体" w:cs="宋体" w:eastAsia="宋体" w:hint="default"/>
          <w:sz w:val="21"/>
          <w:szCs w:val="21"/>
        </w:rPr>
        <w:sectPr>
          <w:type w:val="continuous"/>
          <w:pgSz w:w="11910" w:h="16840"/>
          <w:pgMar w:top="1100" w:bottom="1240" w:left="1660" w:right="1300"/>
        </w:sectPr>
      </w:pPr>
    </w:p>
    <w:p>
      <w:pPr>
        <w:spacing w:line="240" w:lineRule="auto" w:before="12"/>
        <w:rPr>
          <w:rFonts w:ascii="宋体" w:hAnsi="宋体" w:cs="宋体" w:eastAsia="宋体" w:hint="default"/>
          <w:sz w:val="16"/>
          <w:szCs w:val="16"/>
        </w:rPr>
      </w:pPr>
    </w:p>
    <w:p>
      <w:pPr>
        <w:spacing w:before="0"/>
        <w:ind w:left="140" w:right="-20" w:firstLine="0"/>
        <w:jc w:val="left"/>
        <w:rPr>
          <w:rFonts w:ascii="宋体" w:hAnsi="宋体" w:cs="宋体" w:eastAsia="宋体" w:hint="default"/>
          <w:sz w:val="21"/>
          <w:szCs w:val="21"/>
        </w:rPr>
      </w:pPr>
      <w:r>
        <w:rPr>
          <w:rFonts w:ascii="宋体" w:hAnsi="宋体" w:cs="宋体" w:eastAsia="宋体" w:hint="default"/>
          <w:sz w:val="21"/>
          <w:szCs w:val="21"/>
        </w:rPr>
        <w:t>星河生物</w:t>
      </w:r>
    </w:p>
    <w:p>
      <w:pPr>
        <w:spacing w:line="256" w:lineRule="auto" w:before="66"/>
        <w:ind w:left="140" w:right="448" w:hanging="1"/>
        <w:jc w:val="left"/>
        <w:rPr>
          <w:rFonts w:ascii="宋体" w:hAnsi="宋体" w:cs="宋体" w:eastAsia="宋体" w:hint="default"/>
          <w:sz w:val="21"/>
          <w:szCs w:val="21"/>
        </w:rPr>
      </w:pPr>
      <w:r>
        <w:rPr>
          <w:spacing w:val="-6"/>
        </w:rPr>
        <w:br w:type="column"/>
      </w:r>
      <w:r>
        <w:rPr>
          <w:rFonts w:ascii="宋体" w:hAnsi="宋体" w:cs="宋体" w:eastAsia="宋体" w:hint="default"/>
          <w:spacing w:val="-6"/>
          <w:sz w:val="21"/>
          <w:szCs w:val="21"/>
        </w:rPr>
        <w:t>广东星河生物科技股份有限公司，参股公司，通过广州御新持有其</w:t>
      </w:r>
      <w:r>
        <w:rPr>
          <w:rFonts w:ascii="Times New Roman" w:hAnsi="Times New Roman" w:cs="Times New Roman" w:eastAsia="Times New Roman" w:hint="default"/>
          <w:spacing w:val="-6"/>
          <w:sz w:val="21"/>
          <w:szCs w:val="21"/>
        </w:rPr>
        <w:t>7.07%</w:t>
      </w:r>
      <w:r>
        <w:rPr>
          <w:rFonts w:ascii="Times New Roman" w:hAnsi="Times New Roman" w:cs="Times New Roman" w:eastAsia="Times New Roman" w:hint="default"/>
          <w:spacing w:val="-40"/>
          <w:sz w:val="21"/>
          <w:szCs w:val="21"/>
        </w:rPr>
        <w:t> </w:t>
      </w:r>
      <w:r>
        <w:rPr>
          <w:rFonts w:ascii="Times New Roman" w:hAnsi="Times New Roman" w:cs="Times New Roman" w:eastAsia="Times New Roman" w:hint="default"/>
          <w:spacing w:val="-40"/>
          <w:sz w:val="21"/>
          <w:szCs w:val="21"/>
        </w:rPr>
      </w:r>
      <w:r>
        <w:rPr>
          <w:rFonts w:ascii="宋体" w:hAnsi="宋体" w:cs="宋体" w:eastAsia="宋体" w:hint="default"/>
          <w:sz w:val="21"/>
          <w:szCs w:val="21"/>
        </w:rPr>
        <w:t>股权</w:t>
      </w:r>
    </w:p>
    <w:p>
      <w:pPr>
        <w:spacing w:after="0" w:line="256" w:lineRule="auto"/>
        <w:jc w:val="left"/>
        <w:rPr>
          <w:rFonts w:ascii="宋体" w:hAnsi="宋体" w:cs="宋体" w:eastAsia="宋体" w:hint="default"/>
          <w:sz w:val="21"/>
          <w:szCs w:val="21"/>
        </w:rPr>
        <w:sectPr>
          <w:type w:val="continuous"/>
          <w:pgSz w:w="11910" w:h="16840"/>
          <w:pgMar w:top="1100" w:bottom="1240" w:left="1660" w:right="1300"/>
          <w:cols w:num="2" w:equalWidth="0">
            <w:col w:w="981" w:space="927"/>
            <w:col w:w="7042"/>
          </w:cols>
        </w:sectPr>
      </w:pPr>
    </w:p>
    <w:p>
      <w:pPr>
        <w:spacing w:line="240" w:lineRule="auto" w:before="11"/>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100" w:bottom="1240" w:left="1660" w:right="1300"/>
        </w:sectPr>
      </w:pPr>
    </w:p>
    <w:p>
      <w:pPr>
        <w:spacing w:line="240" w:lineRule="auto" w:before="8"/>
        <w:rPr>
          <w:rFonts w:ascii="宋体" w:hAnsi="宋体" w:cs="宋体" w:eastAsia="宋体" w:hint="default"/>
          <w:sz w:val="14"/>
          <w:szCs w:val="14"/>
        </w:rPr>
      </w:pPr>
    </w:p>
    <w:p>
      <w:pPr>
        <w:spacing w:before="0"/>
        <w:ind w:left="140" w:right="-20" w:firstLine="0"/>
        <w:jc w:val="left"/>
        <w:rPr>
          <w:rFonts w:ascii="宋体" w:hAnsi="宋体" w:cs="宋体" w:eastAsia="宋体" w:hint="default"/>
          <w:sz w:val="21"/>
          <w:szCs w:val="21"/>
        </w:rPr>
      </w:pPr>
      <w:r>
        <w:rPr>
          <w:rFonts w:ascii="宋体" w:hAnsi="宋体" w:cs="宋体" w:eastAsia="宋体" w:hint="default"/>
          <w:sz w:val="21"/>
          <w:szCs w:val="21"/>
        </w:rPr>
        <w:t>上海博科</w:t>
      </w:r>
    </w:p>
    <w:p>
      <w:pPr>
        <w:spacing w:line="256" w:lineRule="auto" w:before="35"/>
        <w:ind w:left="140" w:right="433" w:firstLine="0"/>
        <w:jc w:val="left"/>
        <w:rPr>
          <w:rFonts w:ascii="宋体" w:hAnsi="宋体" w:cs="宋体" w:eastAsia="宋体" w:hint="default"/>
          <w:sz w:val="21"/>
          <w:szCs w:val="21"/>
        </w:rPr>
      </w:pPr>
      <w:r>
        <w:rPr>
          <w:spacing w:val="-3"/>
        </w:rPr>
        <w:br w:type="column"/>
      </w:r>
      <w:r>
        <w:rPr>
          <w:rFonts w:ascii="宋体" w:hAnsi="宋体" w:cs="宋体" w:eastAsia="宋体" w:hint="default"/>
          <w:spacing w:val="-3"/>
          <w:sz w:val="21"/>
          <w:szCs w:val="21"/>
        </w:rPr>
        <w:t>上海博科资讯股份有限公司，参股公司，通过广州御新持有其</w:t>
      </w:r>
      <w:r>
        <w:rPr>
          <w:rFonts w:ascii="Times New Roman" w:hAnsi="Times New Roman" w:cs="Times New Roman" w:eastAsia="Times New Roman" w:hint="default"/>
          <w:spacing w:val="-3"/>
          <w:sz w:val="21"/>
          <w:szCs w:val="21"/>
        </w:rPr>
        <w:t>1.647%</w:t>
      </w:r>
      <w:r>
        <w:rPr>
          <w:rFonts w:ascii="宋体" w:hAnsi="宋体" w:cs="宋体" w:eastAsia="宋体" w:hint="default"/>
          <w:spacing w:val="-3"/>
          <w:sz w:val="21"/>
          <w:szCs w:val="21"/>
        </w:rPr>
        <w:t>股</w:t>
      </w:r>
      <w:r>
        <w:rPr>
          <w:rFonts w:ascii="宋体" w:hAnsi="宋体" w:cs="宋体" w:eastAsia="宋体" w:hint="default"/>
          <w:spacing w:val="-89"/>
          <w:sz w:val="21"/>
          <w:szCs w:val="21"/>
        </w:rPr>
        <w:t> </w:t>
      </w:r>
      <w:r>
        <w:rPr>
          <w:rFonts w:ascii="宋体" w:hAnsi="宋体" w:cs="宋体" w:eastAsia="宋体" w:hint="default"/>
          <w:sz w:val="21"/>
          <w:szCs w:val="21"/>
        </w:rPr>
        <w:t>权</w:t>
      </w:r>
    </w:p>
    <w:p>
      <w:pPr>
        <w:spacing w:after="0" w:line="256" w:lineRule="auto"/>
        <w:jc w:val="left"/>
        <w:rPr>
          <w:rFonts w:ascii="宋体" w:hAnsi="宋体" w:cs="宋体" w:eastAsia="宋体" w:hint="default"/>
          <w:sz w:val="21"/>
          <w:szCs w:val="21"/>
        </w:rPr>
        <w:sectPr>
          <w:type w:val="continuous"/>
          <w:pgSz w:w="11910" w:h="16840"/>
          <w:pgMar w:top="1100" w:bottom="1240" w:left="1660" w:right="1300"/>
          <w:cols w:num="2" w:equalWidth="0">
            <w:col w:w="981" w:space="927"/>
            <w:col w:w="7042"/>
          </w:cols>
        </w:sectPr>
      </w:pPr>
    </w:p>
    <w:p>
      <w:pPr>
        <w:spacing w:line="240" w:lineRule="auto" w:before="11"/>
        <w:rPr>
          <w:rFonts w:ascii="宋体" w:hAnsi="宋体" w:cs="宋体" w:eastAsia="宋体" w:hint="default"/>
          <w:sz w:val="22"/>
          <w:szCs w:val="22"/>
        </w:rPr>
      </w:pPr>
    </w:p>
    <w:p>
      <w:pPr>
        <w:tabs>
          <w:tab w:pos="2134" w:val="left" w:leader="none"/>
        </w:tabs>
        <w:spacing w:before="35"/>
        <w:ind w:left="140" w:right="104" w:firstLine="0"/>
        <w:jc w:val="left"/>
        <w:rPr>
          <w:rFonts w:ascii="宋体" w:hAnsi="宋体" w:cs="宋体" w:eastAsia="宋体" w:hint="default"/>
          <w:sz w:val="21"/>
          <w:szCs w:val="21"/>
        </w:rPr>
      </w:pPr>
      <w:r>
        <w:rPr>
          <w:rFonts w:ascii="宋体" w:hAnsi="宋体" w:cs="宋体" w:eastAsia="宋体" w:hint="default"/>
          <w:sz w:val="21"/>
          <w:szCs w:val="21"/>
        </w:rPr>
        <w:t>花都村镇银行</w:t>
        <w:tab/>
        <w:t>广州花都稠州村镇银行股份有限公司，参股公司，持有其10%股权</w:t>
      </w:r>
    </w:p>
    <w:p>
      <w:pPr>
        <w:spacing w:after="0"/>
        <w:jc w:val="left"/>
        <w:rPr>
          <w:rFonts w:ascii="宋体" w:hAnsi="宋体" w:cs="宋体" w:eastAsia="宋体" w:hint="default"/>
          <w:sz w:val="21"/>
          <w:szCs w:val="21"/>
        </w:rPr>
        <w:sectPr>
          <w:type w:val="continuous"/>
          <w:pgSz w:w="11910" w:h="16840"/>
          <w:pgMar w:top="1100" w:bottom="1240" w:left="1660" w:right="13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spacing w:before="1"/>
        <w:ind w:left="4065" w:right="4059" w:firstLine="0"/>
        <w:jc w:val="center"/>
        <w:rPr>
          <w:rFonts w:ascii="宋体" w:hAnsi="宋体" w:cs="宋体" w:eastAsia="宋体" w:hint="default"/>
          <w:sz w:val="32"/>
          <w:szCs w:val="32"/>
        </w:rPr>
      </w:pPr>
      <w:r>
        <w:rPr>
          <w:rFonts w:ascii="宋体" w:hAnsi="宋体" w:cs="宋体" w:eastAsia="宋体" w:hint="default"/>
          <w:sz w:val="32"/>
          <w:szCs w:val="32"/>
        </w:rPr>
        <w:t>目 录</w:t>
      </w:r>
    </w:p>
    <w:sdt>
      <w:sdtPr>
        <w:docPartObj>
          <w:docPartGallery w:val="Table of Contents"/>
          <w:docPartUnique/>
        </w:docPartObj>
      </w:sdtPr>
      <w:sdtEndPr/>
      <w:sdtContent>
        <w:p>
          <w:pPr>
            <w:pStyle w:val="TOC1"/>
            <w:tabs>
              <w:tab w:pos="8841" w:val="right" w:leader="dot"/>
            </w:tabs>
            <w:spacing w:line="240" w:lineRule="auto" w:before="271"/>
            <w:ind w:right="0"/>
            <w:jc w:val="left"/>
            <w:rPr>
              <w:rFonts w:ascii="Times New Roman" w:hAnsi="Times New Roman" w:cs="Times New Roman" w:eastAsia="Times New Roman" w:hint="default"/>
            </w:rPr>
          </w:pPr>
          <w:hyperlink w:history="true" w:anchor="_TOC_250008">
            <w:r>
              <w:rPr>
                <w:spacing w:val="8"/>
              </w:rPr>
              <w:t>第一节</w:t>
            </w:r>
            <w:r>
              <w:rPr>
                <w:spacing w:val="25"/>
              </w:rPr>
              <w:t> </w:t>
            </w:r>
            <w:r>
              <w:rPr>
                <w:spacing w:val="12"/>
              </w:rPr>
              <w:t>公司基本情况简介</w:t>
            </w:r>
            <w:r>
              <w:rPr>
                <w:rFonts w:ascii="Times New Roman" w:hAnsi="Times New Roman" w:cs="Times New Roman" w:eastAsia="Times New Roman" w:hint="default"/>
                <w:spacing w:val="12"/>
              </w:rPr>
              <w:tab/>
              <w:t>5</w:t>
            </w:r>
            <w:r>
              <w:rPr>
                <w:rFonts w:ascii="Times New Roman" w:hAnsi="Times New Roman" w:cs="Times New Roman" w:eastAsia="Times New Roman" w:hint="default"/>
              </w:rPr>
            </w:r>
          </w:hyperlink>
        </w:p>
        <w:p>
          <w:pPr>
            <w:pStyle w:val="TOC1"/>
            <w:tabs>
              <w:tab w:pos="8840" w:val="right" w:leader="dot"/>
            </w:tabs>
            <w:spacing w:line="240" w:lineRule="auto"/>
            <w:ind w:right="0"/>
            <w:jc w:val="left"/>
            <w:rPr>
              <w:rFonts w:ascii="Times New Roman" w:hAnsi="Times New Roman" w:cs="Times New Roman" w:eastAsia="Times New Roman" w:hint="default"/>
            </w:rPr>
          </w:pPr>
          <w:hyperlink w:history="true" w:anchor="_TOC_250007">
            <w:r>
              <w:rPr>
                <w:spacing w:val="8"/>
              </w:rPr>
              <w:t>第二节</w:t>
            </w:r>
            <w:r>
              <w:rPr>
                <w:spacing w:val="25"/>
              </w:rPr>
              <w:t> </w:t>
            </w:r>
            <w:r>
              <w:rPr>
                <w:spacing w:val="12"/>
              </w:rPr>
              <w:t>会计数据和业务数据摘要</w:t>
            </w:r>
            <w:r>
              <w:rPr>
                <w:rFonts w:ascii="Times New Roman" w:hAnsi="Times New Roman" w:cs="Times New Roman" w:eastAsia="Times New Roman" w:hint="default"/>
                <w:spacing w:val="12"/>
              </w:rPr>
              <w:tab/>
              <w:t>7</w:t>
            </w:r>
            <w:r>
              <w:rPr>
                <w:rFonts w:ascii="Times New Roman" w:hAnsi="Times New Roman" w:cs="Times New Roman" w:eastAsia="Times New Roman" w:hint="default"/>
              </w:rPr>
            </w:r>
          </w:hyperlink>
        </w:p>
        <w:p>
          <w:pPr>
            <w:pStyle w:val="TOC1"/>
            <w:tabs>
              <w:tab w:pos="8845" w:val="right" w:leader="dot"/>
            </w:tabs>
            <w:spacing w:line="240" w:lineRule="auto"/>
            <w:ind w:right="0"/>
            <w:jc w:val="left"/>
            <w:rPr>
              <w:rFonts w:ascii="Times New Roman" w:hAnsi="Times New Roman" w:cs="Times New Roman" w:eastAsia="Times New Roman" w:hint="default"/>
            </w:rPr>
          </w:pPr>
          <w:r>
            <w:rPr>
              <w:spacing w:val="10"/>
            </w:rPr>
            <w:t>第三节</w:t>
          </w:r>
          <w:r>
            <w:rPr>
              <w:spacing w:val="32"/>
            </w:rPr>
            <w:t> </w:t>
          </w:r>
          <w:r>
            <w:rPr>
              <w:spacing w:val="16"/>
            </w:rPr>
            <w:t>股本变动及股东情况</w:t>
          </w:r>
          <w:r>
            <w:rPr>
              <w:rFonts w:ascii="Times New Roman" w:hAnsi="Times New Roman" w:cs="Times New Roman" w:eastAsia="Times New Roman" w:hint="default"/>
              <w:spacing w:val="16"/>
            </w:rPr>
            <w:tab/>
          </w:r>
          <w:r>
            <w:rPr>
              <w:rFonts w:ascii="Times New Roman" w:hAnsi="Times New Roman" w:cs="Times New Roman" w:eastAsia="Times New Roman" w:hint="default"/>
              <w:spacing w:val="15"/>
            </w:rPr>
            <w:t>10</w:t>
          </w:r>
          <w:r>
            <w:rPr>
              <w:rFonts w:ascii="Times New Roman" w:hAnsi="Times New Roman" w:cs="Times New Roman" w:eastAsia="Times New Roman" w:hint="default"/>
            </w:rPr>
          </w:r>
        </w:p>
        <w:p>
          <w:pPr>
            <w:pStyle w:val="TOC1"/>
            <w:tabs>
              <w:tab w:pos="8845" w:val="right" w:leader="dot"/>
            </w:tabs>
            <w:spacing w:line="240" w:lineRule="auto"/>
            <w:ind w:right="0"/>
            <w:jc w:val="left"/>
            <w:rPr>
              <w:rFonts w:ascii="Times New Roman" w:hAnsi="Times New Roman" w:cs="Times New Roman" w:eastAsia="Times New Roman" w:hint="default"/>
            </w:rPr>
          </w:pPr>
          <w:hyperlink w:history="true" w:anchor="_TOC_250006">
            <w:r>
              <w:rPr>
                <w:spacing w:val="10"/>
              </w:rPr>
              <w:t>第四节</w:t>
            </w:r>
            <w:r>
              <w:rPr>
                <w:spacing w:val="32"/>
              </w:rPr>
              <w:t> </w:t>
            </w:r>
            <w:r>
              <w:rPr>
                <w:spacing w:val="15"/>
              </w:rPr>
              <w:t>董事、监事、高级管理人员和员工情况</w:t>
            </w:r>
            <w:r>
              <w:rPr>
                <w:rFonts w:ascii="Times New Roman" w:hAnsi="Times New Roman" w:cs="Times New Roman" w:eastAsia="Times New Roman" w:hint="default"/>
                <w:spacing w:val="15"/>
              </w:rPr>
              <w:tab/>
              <w:t>13</w:t>
            </w:r>
            <w:r>
              <w:rPr>
                <w:rFonts w:ascii="Times New Roman" w:hAnsi="Times New Roman" w:cs="Times New Roman" w:eastAsia="Times New Roman" w:hint="default"/>
              </w:rPr>
            </w:r>
          </w:hyperlink>
        </w:p>
        <w:p>
          <w:pPr>
            <w:pStyle w:val="TOC1"/>
            <w:tabs>
              <w:tab w:pos="8845" w:val="right" w:leader="dot"/>
            </w:tabs>
            <w:spacing w:line="240" w:lineRule="auto"/>
            <w:ind w:right="0"/>
            <w:jc w:val="left"/>
            <w:rPr>
              <w:rFonts w:ascii="Times New Roman" w:hAnsi="Times New Roman" w:cs="Times New Roman" w:eastAsia="Times New Roman" w:hint="default"/>
            </w:rPr>
          </w:pPr>
          <w:r>
            <w:rPr>
              <w:spacing w:val="10"/>
            </w:rPr>
            <w:t>第五节</w:t>
          </w:r>
          <w:r>
            <w:rPr>
              <w:spacing w:val="32"/>
            </w:rPr>
            <w:t> </w:t>
          </w:r>
          <w:r>
            <w:rPr>
              <w:spacing w:val="16"/>
            </w:rPr>
            <w:t>公司治理结构</w:t>
          </w:r>
          <w:r>
            <w:rPr>
              <w:rFonts w:ascii="Times New Roman" w:hAnsi="Times New Roman" w:cs="Times New Roman" w:eastAsia="Times New Roman" w:hint="default"/>
              <w:spacing w:val="16"/>
            </w:rPr>
            <w:tab/>
          </w:r>
          <w:r>
            <w:rPr>
              <w:rFonts w:ascii="Times New Roman" w:hAnsi="Times New Roman" w:cs="Times New Roman" w:eastAsia="Times New Roman" w:hint="default"/>
              <w:spacing w:val="15"/>
            </w:rPr>
            <w:t>19</w:t>
          </w:r>
          <w:r>
            <w:rPr>
              <w:rFonts w:ascii="Times New Roman" w:hAnsi="Times New Roman" w:cs="Times New Roman" w:eastAsia="Times New Roman" w:hint="default"/>
            </w:rPr>
          </w:r>
        </w:p>
        <w:p>
          <w:pPr>
            <w:pStyle w:val="TOC1"/>
            <w:tabs>
              <w:tab w:pos="8853" w:val="right" w:leader="dot"/>
            </w:tabs>
            <w:spacing w:line="240" w:lineRule="auto"/>
            <w:ind w:right="0"/>
            <w:jc w:val="left"/>
            <w:rPr>
              <w:rFonts w:ascii="Times New Roman" w:hAnsi="Times New Roman" w:cs="Times New Roman" w:eastAsia="Times New Roman" w:hint="default"/>
            </w:rPr>
          </w:pPr>
          <w:hyperlink w:history="true" w:anchor="_TOC_250005">
            <w:r>
              <w:rPr>
                <w:spacing w:val="16"/>
              </w:rPr>
              <w:t>第六节</w:t>
            </w:r>
            <w:r>
              <w:rPr>
                <w:spacing w:val="48"/>
              </w:rPr>
              <w:t> </w:t>
            </w:r>
            <w:r>
              <w:rPr>
                <w:spacing w:val="24"/>
              </w:rPr>
              <w:t>内部控制</w:t>
            </w:r>
            <w:r>
              <w:rPr>
                <w:rFonts w:ascii="Times New Roman" w:hAnsi="Times New Roman" w:cs="Times New Roman" w:eastAsia="Times New Roman" w:hint="default"/>
                <w:spacing w:val="24"/>
              </w:rPr>
              <w:tab/>
            </w:r>
            <w:r>
              <w:rPr>
                <w:rFonts w:ascii="Times New Roman" w:hAnsi="Times New Roman" w:cs="Times New Roman" w:eastAsia="Times New Roman" w:hint="default"/>
                <w:spacing w:val="12"/>
              </w:rPr>
              <w:t>29</w:t>
            </w:r>
            <w:r>
              <w:rPr>
                <w:rFonts w:ascii="Times New Roman" w:hAnsi="Times New Roman" w:cs="Times New Roman" w:eastAsia="Times New Roman" w:hint="default"/>
                <w:spacing w:val="-36"/>
              </w:rPr>
              <w:t> </w:t>
            </w:r>
            <w:r>
              <w:rPr>
                <w:rFonts w:ascii="Times New Roman" w:hAnsi="Times New Roman" w:cs="Times New Roman" w:eastAsia="Times New Roman" w:hint="default"/>
              </w:rPr>
            </w:r>
          </w:hyperlink>
        </w:p>
        <w:p>
          <w:pPr>
            <w:pStyle w:val="TOC1"/>
            <w:tabs>
              <w:tab w:pos="8845" w:val="right" w:leader="dot"/>
            </w:tabs>
            <w:spacing w:line="240" w:lineRule="auto"/>
            <w:ind w:right="0"/>
            <w:jc w:val="left"/>
            <w:rPr>
              <w:rFonts w:ascii="Times New Roman" w:hAnsi="Times New Roman" w:cs="Times New Roman" w:eastAsia="Times New Roman" w:hint="default"/>
            </w:rPr>
          </w:pPr>
          <w:hyperlink w:history="true" w:anchor="_TOC_250004">
            <w:r>
              <w:rPr>
                <w:spacing w:val="10"/>
              </w:rPr>
              <w:t>第七节</w:t>
            </w:r>
            <w:r>
              <w:rPr>
                <w:spacing w:val="32"/>
              </w:rPr>
              <w:t> </w:t>
            </w:r>
            <w:r>
              <w:rPr>
                <w:spacing w:val="16"/>
              </w:rPr>
              <w:t>股东大会情况简介</w:t>
            </w:r>
            <w:r>
              <w:rPr>
                <w:rFonts w:ascii="Times New Roman" w:hAnsi="Times New Roman" w:cs="Times New Roman" w:eastAsia="Times New Roman" w:hint="default"/>
                <w:spacing w:val="16"/>
              </w:rPr>
              <w:tab/>
              <w:t>32</w:t>
            </w:r>
            <w:r>
              <w:rPr>
                <w:rFonts w:ascii="Times New Roman" w:hAnsi="Times New Roman" w:cs="Times New Roman" w:eastAsia="Times New Roman" w:hint="default"/>
              </w:rPr>
            </w:r>
          </w:hyperlink>
        </w:p>
        <w:p>
          <w:pPr>
            <w:pStyle w:val="TOC1"/>
            <w:tabs>
              <w:tab w:pos="8845" w:val="right" w:leader="dot"/>
            </w:tabs>
            <w:spacing w:line="240" w:lineRule="auto"/>
            <w:ind w:right="0"/>
            <w:jc w:val="left"/>
            <w:rPr>
              <w:rFonts w:ascii="Times New Roman" w:hAnsi="Times New Roman" w:cs="Times New Roman" w:eastAsia="Times New Roman" w:hint="default"/>
            </w:rPr>
          </w:pPr>
          <w:hyperlink w:history="true" w:anchor="_TOC_250003">
            <w:r>
              <w:rPr>
                <w:spacing w:val="10"/>
              </w:rPr>
              <w:t>第八节</w:t>
            </w:r>
            <w:r>
              <w:rPr>
                <w:spacing w:val="32"/>
              </w:rPr>
              <w:t> </w:t>
            </w:r>
            <w:r>
              <w:rPr>
                <w:spacing w:val="16"/>
              </w:rPr>
              <w:t>董事会报告</w:t>
            </w:r>
            <w:r>
              <w:rPr>
                <w:rFonts w:ascii="Times New Roman" w:hAnsi="Times New Roman" w:cs="Times New Roman" w:eastAsia="Times New Roman" w:hint="default"/>
                <w:spacing w:val="16"/>
              </w:rPr>
              <w:tab/>
            </w:r>
            <w:r>
              <w:rPr>
                <w:rFonts w:ascii="Times New Roman" w:hAnsi="Times New Roman" w:cs="Times New Roman" w:eastAsia="Times New Roman" w:hint="default"/>
                <w:spacing w:val="15"/>
              </w:rPr>
              <w:t>35</w:t>
            </w:r>
            <w:r>
              <w:rPr>
                <w:rFonts w:ascii="Times New Roman" w:hAnsi="Times New Roman" w:cs="Times New Roman" w:eastAsia="Times New Roman" w:hint="default"/>
              </w:rPr>
            </w:r>
          </w:hyperlink>
        </w:p>
        <w:p>
          <w:pPr>
            <w:pStyle w:val="TOC1"/>
            <w:tabs>
              <w:tab w:pos="8845" w:val="right" w:leader="dot"/>
            </w:tabs>
            <w:spacing w:line="240" w:lineRule="auto"/>
            <w:ind w:right="0"/>
            <w:jc w:val="left"/>
            <w:rPr>
              <w:rFonts w:ascii="Times New Roman" w:hAnsi="Times New Roman" w:cs="Times New Roman" w:eastAsia="Times New Roman" w:hint="default"/>
            </w:rPr>
          </w:pPr>
          <w:hyperlink w:history="true" w:anchor="_TOC_250002">
            <w:r>
              <w:rPr>
                <w:spacing w:val="10"/>
              </w:rPr>
              <w:t>第九节</w:t>
            </w:r>
            <w:r>
              <w:rPr>
                <w:spacing w:val="32"/>
              </w:rPr>
              <w:t> </w:t>
            </w:r>
            <w:r>
              <w:rPr>
                <w:spacing w:val="16"/>
              </w:rPr>
              <w:t>监事会报告</w:t>
            </w:r>
            <w:r>
              <w:rPr>
                <w:rFonts w:ascii="Times New Roman" w:hAnsi="Times New Roman" w:cs="Times New Roman" w:eastAsia="Times New Roman" w:hint="default"/>
                <w:spacing w:val="16"/>
              </w:rPr>
              <w:tab/>
            </w:r>
            <w:r>
              <w:rPr>
                <w:rFonts w:ascii="Times New Roman" w:hAnsi="Times New Roman" w:cs="Times New Roman" w:eastAsia="Times New Roman" w:hint="default"/>
                <w:spacing w:val="15"/>
              </w:rPr>
              <w:t>73</w:t>
            </w:r>
            <w:r>
              <w:rPr>
                <w:rFonts w:ascii="Times New Roman" w:hAnsi="Times New Roman" w:cs="Times New Roman" w:eastAsia="Times New Roman" w:hint="default"/>
              </w:rPr>
            </w:r>
          </w:hyperlink>
        </w:p>
        <w:p>
          <w:pPr>
            <w:pStyle w:val="TOC1"/>
            <w:tabs>
              <w:tab w:pos="8845" w:val="right" w:leader="dot"/>
            </w:tabs>
            <w:spacing w:line="240" w:lineRule="auto"/>
            <w:ind w:right="0"/>
            <w:jc w:val="left"/>
            <w:rPr>
              <w:rFonts w:ascii="Times New Roman" w:hAnsi="Times New Roman" w:cs="Times New Roman" w:eastAsia="Times New Roman" w:hint="default"/>
            </w:rPr>
          </w:pPr>
          <w:hyperlink w:history="true" w:anchor="_TOC_250001">
            <w:r>
              <w:rPr>
                <w:spacing w:val="10"/>
              </w:rPr>
              <w:t>第十节</w:t>
            </w:r>
            <w:r>
              <w:rPr>
                <w:spacing w:val="32"/>
              </w:rPr>
              <w:t> </w:t>
            </w:r>
            <w:r>
              <w:rPr>
                <w:spacing w:val="15"/>
              </w:rPr>
              <w:t>重要事项</w:t>
            </w:r>
            <w:r>
              <w:rPr>
                <w:rFonts w:ascii="Times New Roman" w:hAnsi="Times New Roman" w:cs="Times New Roman" w:eastAsia="Times New Roman" w:hint="default"/>
                <w:spacing w:val="15"/>
              </w:rPr>
              <w:tab/>
            </w:r>
            <w:r>
              <w:rPr>
                <w:rFonts w:ascii="Times New Roman" w:hAnsi="Times New Roman" w:cs="Times New Roman" w:eastAsia="Times New Roman" w:hint="default"/>
                <w:spacing w:val="16"/>
              </w:rPr>
              <w:t>77</w:t>
            </w:r>
            <w:r>
              <w:rPr>
                <w:rFonts w:ascii="Times New Roman" w:hAnsi="Times New Roman" w:cs="Times New Roman" w:eastAsia="Times New Roman" w:hint="default"/>
              </w:rPr>
            </w:r>
          </w:hyperlink>
        </w:p>
        <w:p>
          <w:pPr>
            <w:pStyle w:val="TOC1"/>
            <w:tabs>
              <w:tab w:pos="8838" w:val="right" w:leader="dot"/>
            </w:tabs>
            <w:spacing w:line="240" w:lineRule="auto"/>
            <w:ind w:right="0"/>
            <w:jc w:val="left"/>
            <w:rPr>
              <w:rFonts w:ascii="Times New Roman" w:hAnsi="Times New Roman" w:cs="Times New Roman" w:eastAsia="Times New Roman" w:hint="default"/>
            </w:rPr>
          </w:pPr>
          <w:r>
            <w:rPr>
              <w:spacing w:val="6"/>
            </w:rPr>
            <w:t>第十一节</w:t>
          </w:r>
          <w:r>
            <w:rPr>
              <w:spacing w:val="18"/>
            </w:rPr>
            <w:t> </w:t>
          </w:r>
          <w:r>
            <w:rPr>
              <w:spacing w:val="8"/>
            </w:rPr>
            <w:t>财务报告</w:t>
          </w:r>
          <w:r>
            <w:rPr>
              <w:rFonts w:ascii="Times New Roman" w:hAnsi="Times New Roman" w:cs="Times New Roman" w:eastAsia="Times New Roman" w:hint="default"/>
              <w:spacing w:val="8"/>
            </w:rPr>
            <w:tab/>
            <w:t>82</w:t>
          </w:r>
          <w:r>
            <w:rPr>
              <w:rFonts w:ascii="Times New Roman" w:hAnsi="Times New Roman" w:cs="Times New Roman" w:eastAsia="Times New Roman" w:hint="default"/>
            </w:rPr>
          </w:r>
        </w:p>
        <w:p>
          <w:pPr>
            <w:pStyle w:val="TOC1"/>
            <w:tabs>
              <w:tab w:pos="8839" w:val="right" w:leader="dot"/>
            </w:tabs>
            <w:spacing w:line="240" w:lineRule="auto"/>
            <w:ind w:left="499" w:right="0"/>
            <w:jc w:val="left"/>
            <w:rPr>
              <w:rFonts w:ascii="Times New Roman" w:hAnsi="Times New Roman" w:cs="Times New Roman" w:eastAsia="Times New Roman" w:hint="default"/>
            </w:rPr>
          </w:pPr>
          <w:hyperlink w:history="true" w:anchor="_TOC_250000">
            <w:r>
              <w:rPr>
                <w:spacing w:val="6"/>
              </w:rPr>
              <w:t>第十二节</w:t>
            </w:r>
            <w:r>
              <w:rPr>
                <w:spacing w:val="15"/>
              </w:rPr>
              <w:t> </w:t>
            </w:r>
            <w:r>
              <w:rPr>
                <w:spacing w:val="8"/>
              </w:rPr>
              <w:t>备查文件目录</w:t>
            </w:r>
            <w:r>
              <w:rPr>
                <w:rFonts w:ascii="Times New Roman" w:hAnsi="Times New Roman" w:cs="Times New Roman" w:eastAsia="Times New Roman" w:hint="default"/>
                <w:spacing w:val="8"/>
              </w:rPr>
              <w:tab/>
              <w:t>172</w:t>
            </w:r>
            <w:r>
              <w:rPr>
                <w:rFonts w:ascii="Times New Roman" w:hAnsi="Times New Roman" w:cs="Times New Roman" w:eastAsia="Times New Roman" w:hint="default"/>
              </w:rPr>
            </w:r>
          </w:hyperlink>
        </w:p>
      </w:sdtContent>
    </w:sdt>
    <w:p>
      <w:pPr>
        <w:spacing w:after="0" w:line="240" w:lineRule="auto"/>
        <w:jc w:val="left"/>
        <w:rPr>
          <w:rFonts w:ascii="Times New Roman" w:hAnsi="Times New Roman" w:cs="Times New Roman" w:eastAsia="Times New Roman" w:hint="default"/>
        </w:rPr>
        <w:sectPr>
          <w:pgSz w:w="11910" w:h="16840"/>
          <w:pgMar w:header="877" w:footer="1048" w:top="1100" w:bottom="1240" w:left="1660" w:right="1280"/>
        </w:sectPr>
      </w:pPr>
    </w:p>
    <w:p>
      <w:pPr>
        <w:spacing w:line="240" w:lineRule="auto" w:before="0"/>
        <w:rPr>
          <w:rFonts w:ascii="Times New Roman" w:hAnsi="Times New Roman" w:cs="Times New Roman" w:eastAsia="Times New Roman" w:hint="default"/>
          <w:sz w:val="32"/>
          <w:szCs w:val="32"/>
        </w:rPr>
      </w:pPr>
    </w:p>
    <w:p>
      <w:pPr>
        <w:pStyle w:val="Heading1"/>
        <w:spacing w:line="240" w:lineRule="auto" w:before="265"/>
        <w:ind w:left="2718" w:right="2306"/>
        <w:jc w:val="left"/>
        <w:rPr>
          <w:b w:val="0"/>
          <w:bCs w:val="0"/>
        </w:rPr>
      </w:pPr>
      <w:bookmarkStart w:name="_TOC_250008" w:id="1"/>
      <w:r>
        <w:rPr/>
        <w:t>第一节</w:t>
      </w:r>
      <w:r>
        <w:rPr>
          <w:spacing w:val="-9"/>
        </w:rPr>
        <w:t> </w:t>
      </w:r>
      <w:r>
        <w:rPr/>
        <w:t>公司基本情况简介</w:t>
      </w:r>
      <w:bookmarkEnd w:id="1"/>
      <w:r>
        <w:rPr>
          <w:b w:val="0"/>
          <w:bCs w:val="0"/>
        </w:rPr>
      </w:r>
    </w:p>
    <w:p>
      <w:pPr>
        <w:spacing w:line="240" w:lineRule="auto" w:before="4"/>
        <w:rPr>
          <w:rFonts w:ascii="宋体" w:hAnsi="宋体" w:cs="宋体" w:eastAsia="宋体" w:hint="default"/>
          <w:b/>
          <w:bCs/>
          <w:sz w:val="35"/>
          <w:szCs w:val="35"/>
        </w:rPr>
      </w:pPr>
    </w:p>
    <w:p>
      <w:pPr>
        <w:pStyle w:val="BodyText"/>
        <w:spacing w:line="297" w:lineRule="auto" w:before="0"/>
        <w:ind w:left="700" w:right="2306" w:hanging="480"/>
        <w:jc w:val="left"/>
      </w:pPr>
      <w:r>
        <w:rPr/>
        <w:t>一、公司法定中文名称：广州御银科技股份有限公司 公司法定英文名称：</w:t>
      </w:r>
      <w:r>
        <w:rPr>
          <w:rFonts w:ascii="Times New Roman" w:hAnsi="Times New Roman" w:cs="Times New Roman" w:eastAsia="Times New Roman" w:hint="default"/>
        </w:rPr>
        <w:t>Guangzhou Kingteller Technology</w:t>
      </w:r>
      <w:r>
        <w:rPr>
          <w:rFonts w:ascii="Times New Roman" w:hAnsi="Times New Roman" w:cs="Times New Roman" w:eastAsia="Times New Roman" w:hint="default"/>
          <w:spacing w:val="-1"/>
        </w:rPr>
        <w:t> </w:t>
      </w:r>
      <w:r>
        <w:rPr>
          <w:rFonts w:ascii="Times New Roman" w:hAnsi="Times New Roman" w:cs="Times New Roman" w:eastAsia="Times New Roman" w:hint="default"/>
        </w:rPr>
        <w:t>Co.,Ltd.</w:t>
      </w:r>
      <w:r>
        <w:rPr>
          <w:rFonts w:ascii="Times New Roman" w:hAnsi="Times New Roman" w:cs="Times New Roman" w:eastAsia="Times New Roman" w:hint="default"/>
        </w:rPr>
        <w:t> </w:t>
      </w:r>
      <w:r>
        <w:rPr/>
        <w:t>中文名称缩写：御银股份</w:t>
      </w:r>
    </w:p>
    <w:p>
      <w:pPr>
        <w:pStyle w:val="BodyText"/>
        <w:spacing w:line="595" w:lineRule="auto" w:before="28"/>
        <w:ind w:left="220" w:right="5491" w:firstLine="480"/>
        <w:jc w:val="left"/>
      </w:pPr>
      <w:r>
        <w:rPr/>
        <w:pict>
          <v:shape style="position:absolute;margin-left:84.360001pt;margin-top:98.935959pt;width:458.55pt;height:99.5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36"/>
                    <w:gridCol w:w="3960"/>
                    <w:gridCol w:w="3960"/>
                  </w:tblGrid>
                  <w:tr>
                    <w:trPr>
                      <w:trHeight w:val="330" w:hRule="exact"/>
                    </w:trPr>
                    <w:tc>
                      <w:tcPr>
                        <w:tcW w:w="1236" w:type="dxa"/>
                        <w:tcBorders>
                          <w:top w:val="single" w:sz="4" w:space="0" w:color="000000"/>
                          <w:left w:val="single" w:sz="4" w:space="0" w:color="000000"/>
                          <w:bottom w:val="single" w:sz="4" w:space="0" w:color="000000"/>
                          <w:right w:val="single" w:sz="4" w:space="0" w:color="000000"/>
                        </w:tcBorders>
                        <w:shd w:val="clear" w:color="auto" w:fill="C0C0C0"/>
                      </w:tcPr>
                      <w:p>
                        <w:pPr/>
                      </w:p>
                    </w:tc>
                    <w:tc>
                      <w:tcPr>
                        <w:tcW w:w="39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9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330"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tabs>
                            <w:tab w:pos="793" w:val="left" w:leader="none"/>
                          </w:tabs>
                          <w:spacing w:line="240" w:lineRule="auto" w:before="56"/>
                          <w:ind w:left="253" w:right="0"/>
                          <w:jc w:val="left"/>
                          <w:rPr>
                            <w:rFonts w:ascii="宋体" w:hAnsi="宋体" w:cs="宋体" w:eastAsia="宋体" w:hint="default"/>
                            <w:sz w:val="18"/>
                            <w:szCs w:val="18"/>
                          </w:rPr>
                        </w:pPr>
                        <w:r>
                          <w:rPr>
                            <w:rFonts w:ascii="宋体" w:hAnsi="宋体" w:cs="宋体" w:eastAsia="宋体" w:hint="default"/>
                            <w:sz w:val="18"/>
                            <w:szCs w:val="18"/>
                          </w:rPr>
                          <w:t>姓</w:t>
                          <w:tab/>
                          <w:t>名</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谭  骅</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皮  静</w:t>
                        </w:r>
                      </w:p>
                    </w:tc>
                  </w:tr>
                  <w:tr>
                    <w:trPr>
                      <w:trHeight w:val="330"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53"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广东省广州市五山路</w:t>
                        </w:r>
                        <w:r>
                          <w:rPr>
                            <w:rFonts w:ascii="Times New Roman" w:hAnsi="Times New Roman" w:cs="Times New Roman" w:eastAsia="Times New Roman" w:hint="default"/>
                            <w:sz w:val="18"/>
                            <w:szCs w:val="18"/>
                          </w:rPr>
                          <w:t>248</w:t>
                        </w:r>
                        <w:r>
                          <w:rPr>
                            <w:rFonts w:ascii="宋体" w:hAnsi="宋体" w:cs="宋体" w:eastAsia="宋体" w:hint="default"/>
                            <w:sz w:val="18"/>
                            <w:szCs w:val="18"/>
                          </w:rPr>
                          <w:t>号金山大厦</w:t>
                        </w:r>
                        <w:r>
                          <w:rPr>
                            <w:rFonts w:ascii="Times New Roman" w:hAnsi="Times New Roman" w:cs="Times New Roman" w:eastAsia="Times New Roman" w:hint="default"/>
                            <w:sz w:val="18"/>
                            <w:szCs w:val="18"/>
                          </w:rPr>
                          <w:t>26</w:t>
                        </w:r>
                        <w:r>
                          <w:rPr>
                            <w:rFonts w:ascii="宋体" w:hAnsi="宋体" w:cs="宋体" w:eastAsia="宋体" w:hint="default"/>
                            <w:sz w:val="18"/>
                            <w:szCs w:val="18"/>
                          </w:rPr>
                          <w:t>楼</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广东省广州市五山路</w:t>
                        </w:r>
                        <w:r>
                          <w:rPr>
                            <w:rFonts w:ascii="Times New Roman" w:hAnsi="Times New Roman" w:cs="Times New Roman" w:eastAsia="Times New Roman" w:hint="default"/>
                            <w:sz w:val="18"/>
                            <w:szCs w:val="18"/>
                          </w:rPr>
                          <w:t>248</w:t>
                        </w:r>
                        <w:r>
                          <w:rPr>
                            <w:rFonts w:ascii="宋体" w:hAnsi="宋体" w:cs="宋体" w:eastAsia="宋体" w:hint="default"/>
                            <w:sz w:val="18"/>
                            <w:szCs w:val="18"/>
                          </w:rPr>
                          <w:t>号金山大厦</w:t>
                        </w:r>
                        <w:r>
                          <w:rPr>
                            <w:rFonts w:ascii="Times New Roman" w:hAnsi="Times New Roman" w:cs="Times New Roman" w:eastAsia="Times New Roman" w:hint="default"/>
                            <w:sz w:val="18"/>
                            <w:szCs w:val="18"/>
                          </w:rPr>
                          <w:t>26</w:t>
                        </w:r>
                        <w:r>
                          <w:rPr>
                            <w:rFonts w:ascii="宋体" w:hAnsi="宋体" w:cs="宋体" w:eastAsia="宋体" w:hint="default"/>
                            <w:sz w:val="18"/>
                            <w:szCs w:val="18"/>
                          </w:rPr>
                          <w:t>楼</w:t>
                        </w:r>
                      </w:p>
                    </w:tc>
                  </w:tr>
                  <w:tr>
                    <w:trPr>
                      <w:trHeight w:val="330"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tabs>
                            <w:tab w:pos="793" w:val="left" w:leader="none"/>
                          </w:tabs>
                          <w:spacing w:line="240" w:lineRule="auto" w:before="56"/>
                          <w:ind w:left="253" w:right="0"/>
                          <w:jc w:val="left"/>
                          <w:rPr>
                            <w:rFonts w:ascii="宋体" w:hAnsi="宋体" w:cs="宋体" w:eastAsia="宋体" w:hint="default"/>
                            <w:sz w:val="18"/>
                            <w:szCs w:val="18"/>
                          </w:rPr>
                        </w:pPr>
                        <w:r>
                          <w:rPr>
                            <w:rFonts w:ascii="宋体" w:hAnsi="宋体" w:cs="宋体" w:eastAsia="宋体" w:hint="default"/>
                            <w:sz w:val="18"/>
                            <w:szCs w:val="18"/>
                          </w:rPr>
                          <w:t>电</w:t>
                          <w:tab/>
                          <w:t>话</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020-38468722</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020-38468722</w:t>
                        </w:r>
                      </w:p>
                    </w:tc>
                  </w:tr>
                  <w:tr>
                    <w:trPr>
                      <w:trHeight w:val="330"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tabs>
                            <w:tab w:pos="793" w:val="left" w:leader="none"/>
                          </w:tabs>
                          <w:spacing w:line="240" w:lineRule="auto" w:before="56"/>
                          <w:ind w:left="253" w:right="0"/>
                          <w:jc w:val="left"/>
                          <w:rPr>
                            <w:rFonts w:ascii="宋体" w:hAnsi="宋体" w:cs="宋体" w:eastAsia="宋体" w:hint="default"/>
                            <w:sz w:val="18"/>
                            <w:szCs w:val="18"/>
                          </w:rPr>
                        </w:pPr>
                        <w:r>
                          <w:rPr>
                            <w:rFonts w:ascii="宋体" w:hAnsi="宋体" w:cs="宋体" w:eastAsia="宋体" w:hint="default"/>
                            <w:sz w:val="18"/>
                            <w:szCs w:val="18"/>
                          </w:rPr>
                          <w:t>传</w:t>
                          <w:tab/>
                          <w:t>真</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020-85588349</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020-85588349</w:t>
                        </w:r>
                      </w:p>
                    </w:tc>
                  </w:tr>
                  <w:tr>
                    <w:trPr>
                      <w:trHeight w:val="330"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53" w:right="0"/>
                          <w:jc w:val="left"/>
                          <w:rPr>
                            <w:rFonts w:ascii="宋体" w:hAnsi="宋体" w:cs="宋体" w:eastAsia="宋体" w:hint="default"/>
                            <w:sz w:val="18"/>
                            <w:szCs w:val="18"/>
                          </w:rPr>
                        </w:pPr>
                        <w:r>
                          <w:rPr>
                            <w:rFonts w:ascii="宋体" w:hAnsi="宋体" w:cs="宋体" w:eastAsia="宋体" w:hint="default"/>
                            <w:sz w:val="18"/>
                            <w:szCs w:val="18"/>
                          </w:rPr>
                          <w:t>电子邮箱</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22" w:right="0"/>
                          <w:jc w:val="left"/>
                          <w:rPr>
                            <w:rFonts w:ascii="Times New Roman" w:hAnsi="Times New Roman" w:cs="Times New Roman" w:eastAsia="Times New Roman" w:hint="default"/>
                            <w:sz w:val="18"/>
                            <w:szCs w:val="18"/>
                          </w:rPr>
                        </w:pPr>
                        <w:hyperlink r:id="rId8">
                          <w:r>
                            <w:rPr>
                              <w:rFonts w:ascii="Times New Roman"/>
                              <w:sz w:val="18"/>
                            </w:rPr>
                            <w:t>tanhua@kingteller.com.cn</w:t>
                          </w:r>
                        </w:hyperlink>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132" w:right="0"/>
                          <w:jc w:val="left"/>
                          <w:rPr>
                            <w:rFonts w:ascii="Times New Roman" w:hAnsi="Times New Roman" w:cs="Times New Roman" w:eastAsia="Times New Roman" w:hint="default"/>
                            <w:sz w:val="18"/>
                            <w:szCs w:val="18"/>
                          </w:rPr>
                        </w:pPr>
                        <w:hyperlink r:id="rId9">
                          <w:r>
                            <w:rPr>
                              <w:rFonts w:ascii="Times New Roman"/>
                              <w:sz w:val="18"/>
                            </w:rPr>
                            <w:t>zqb@kingteller.com.cn</w:t>
                          </w:r>
                        </w:hyperlink>
                      </w:p>
                    </w:tc>
                  </w:tr>
                </w:tbl>
                <w:p>
                  <w:pPr/>
                </w:p>
              </w:txbxContent>
            </v:textbox>
            <w10:wrap type="none"/>
          </v:shape>
        </w:pict>
      </w:r>
      <w:r>
        <w:rPr/>
        <w:t>英文名称缩写：</w:t>
      </w:r>
      <w:r>
        <w:rPr>
          <w:rFonts w:ascii="Times New Roman" w:hAnsi="Times New Roman" w:cs="Times New Roman" w:eastAsia="Times New Roman" w:hint="default"/>
        </w:rPr>
        <w:t>KINGTELLER</w:t>
      </w:r>
      <w:r>
        <w:rPr>
          <w:rFonts w:ascii="Times New Roman" w:hAnsi="Times New Roman" w:cs="Times New Roman" w:eastAsia="Times New Roman" w:hint="default"/>
          <w:spacing w:val="-1"/>
        </w:rPr>
        <w:t> </w:t>
      </w:r>
      <w:r>
        <w:rPr/>
        <w:t>二、公司法定代表人：杨文江 三、公司联系人和联系方式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spacing w:line="288" w:lineRule="auto" w:before="26"/>
        <w:ind w:left="700" w:right="1824" w:hanging="480"/>
        <w:jc w:val="left"/>
        <w:rPr>
          <w:rFonts w:ascii="Times New Roman" w:hAnsi="Times New Roman" w:cs="Times New Roman" w:eastAsia="Times New Roman" w:hint="default"/>
        </w:rPr>
      </w:pPr>
      <w:r>
        <w:rPr/>
        <w:t>四、公司注册地址：广东省广州市五山路</w:t>
      </w:r>
      <w:r>
        <w:rPr>
          <w:rFonts w:ascii="Times New Roman" w:hAnsi="Times New Roman" w:cs="Times New Roman" w:eastAsia="Times New Roman" w:hint="default"/>
        </w:rPr>
        <w:t>248</w:t>
      </w:r>
      <w:r>
        <w:rPr/>
        <w:t>号金山大厦</w:t>
      </w:r>
      <w:r>
        <w:rPr>
          <w:rFonts w:ascii="Times New Roman" w:hAnsi="Times New Roman" w:cs="Times New Roman" w:eastAsia="Times New Roman" w:hint="default"/>
        </w:rPr>
        <w:t>26</w:t>
      </w:r>
      <w:r>
        <w:rPr/>
        <w:t>层</w:t>
      </w:r>
      <w:r>
        <w:rPr>
          <w:rFonts w:ascii="Times New Roman" w:hAnsi="Times New Roman" w:cs="Times New Roman" w:eastAsia="Times New Roman" w:hint="default"/>
        </w:rPr>
        <w:t>06</w:t>
      </w:r>
      <w:r>
        <w:rPr/>
        <w:t>、</w:t>
      </w:r>
      <w:r>
        <w:rPr>
          <w:rFonts w:ascii="Times New Roman" w:hAnsi="Times New Roman" w:cs="Times New Roman" w:eastAsia="Times New Roman" w:hint="default"/>
        </w:rPr>
        <w:t>10</w:t>
      </w:r>
      <w:r>
        <w:rPr/>
        <w:t>房 公司办公地址：广东省广州市五山路</w:t>
      </w:r>
      <w:r>
        <w:rPr>
          <w:rFonts w:ascii="Times New Roman" w:hAnsi="Times New Roman" w:cs="Times New Roman" w:eastAsia="Times New Roman" w:hint="default"/>
        </w:rPr>
        <w:t>248</w:t>
      </w:r>
      <w:r>
        <w:rPr/>
        <w:t>号金山大厦</w:t>
      </w:r>
      <w:r>
        <w:rPr>
          <w:rFonts w:ascii="Times New Roman" w:hAnsi="Times New Roman" w:cs="Times New Roman" w:eastAsia="Times New Roman" w:hint="default"/>
        </w:rPr>
        <w:t>26</w:t>
      </w:r>
      <w:r>
        <w:rPr/>
        <w:t>楼 邮政编码：</w:t>
      </w:r>
      <w:r>
        <w:rPr>
          <w:rFonts w:ascii="Times New Roman" w:hAnsi="Times New Roman" w:cs="Times New Roman" w:eastAsia="Times New Roman" w:hint="default"/>
        </w:rPr>
        <w:t>510640</w:t>
      </w:r>
    </w:p>
    <w:p>
      <w:pPr>
        <w:spacing w:line="288" w:lineRule="auto" w:before="15"/>
        <w:ind w:left="700" w:right="4391" w:firstLine="0"/>
        <w:jc w:val="left"/>
        <w:rPr>
          <w:rFonts w:ascii="Times New Roman" w:hAnsi="Times New Roman" w:cs="Times New Roman" w:eastAsia="Times New Roman" w:hint="default"/>
          <w:sz w:val="24"/>
          <w:szCs w:val="24"/>
        </w:rPr>
      </w:pPr>
      <w:r>
        <w:rPr>
          <w:rFonts w:ascii="宋体" w:hAnsi="宋体" w:cs="宋体" w:eastAsia="宋体" w:hint="default"/>
          <w:sz w:val="24"/>
          <w:szCs w:val="24"/>
        </w:rPr>
        <w:t>互联网网址：</w:t>
      </w:r>
      <w:hyperlink r:id="rId10">
        <w:r>
          <w:rPr>
            <w:rFonts w:ascii="Times New Roman" w:hAnsi="Times New Roman" w:cs="Times New Roman" w:eastAsia="Times New Roman" w:hint="default"/>
            <w:sz w:val="24"/>
            <w:szCs w:val="24"/>
          </w:rPr>
          <w:t>http://www.kingteller.com.cn</w:t>
        </w:r>
      </w:hyperlink>
      <w:r>
        <w:rPr>
          <w:rFonts w:ascii="Times New Roman" w:hAnsi="Times New Roman" w:cs="Times New Roman" w:eastAsia="Times New Roman" w:hint="default"/>
          <w:sz w:val="24"/>
          <w:szCs w:val="24"/>
        </w:rPr>
        <w:t> </w:t>
      </w:r>
      <w:r>
        <w:rPr>
          <w:rFonts w:ascii="宋体" w:hAnsi="宋体" w:cs="宋体" w:eastAsia="宋体" w:hint="default"/>
          <w:sz w:val="24"/>
          <w:szCs w:val="24"/>
        </w:rPr>
        <w:t>电子邮箱：</w:t>
      </w:r>
      <w:hyperlink r:id="rId9">
        <w:r>
          <w:rPr>
            <w:rFonts w:ascii="Times New Roman" w:hAnsi="Times New Roman" w:cs="Times New Roman" w:eastAsia="Times New Roman" w:hint="default"/>
            <w:sz w:val="21"/>
            <w:szCs w:val="21"/>
          </w:rPr>
          <w:t>zqb@kingteller.com</w:t>
        </w:r>
        <w:r>
          <w:rPr>
            <w:rFonts w:ascii="Times New Roman" w:hAnsi="Times New Roman" w:cs="Times New Roman" w:eastAsia="Times New Roman" w:hint="default"/>
            <w:sz w:val="24"/>
            <w:szCs w:val="24"/>
          </w:rPr>
          <w:t>.cn</w:t>
        </w:r>
      </w:hyperlink>
    </w:p>
    <w:p>
      <w:pPr>
        <w:spacing w:line="240" w:lineRule="auto" w:before="0"/>
        <w:rPr>
          <w:rFonts w:ascii="Times New Roman" w:hAnsi="Times New Roman" w:cs="Times New Roman" w:eastAsia="Times New Roman" w:hint="default"/>
          <w:sz w:val="24"/>
          <w:szCs w:val="24"/>
        </w:rPr>
      </w:pPr>
    </w:p>
    <w:p>
      <w:pPr>
        <w:pStyle w:val="BodyText"/>
        <w:spacing w:line="297" w:lineRule="auto" w:before="139"/>
        <w:ind w:left="700" w:right="504" w:hanging="480"/>
        <w:jc w:val="left"/>
      </w:pPr>
      <w:r>
        <w:rPr/>
        <w:t>五、公司选定的信息披露报纸：《证券时报》、《中国证券报》、《上海证券报》 指定信息披露网址：</w:t>
      </w:r>
      <w:hyperlink r:id="rId11">
        <w:r>
          <w:rPr>
            <w:rFonts w:ascii="Times New Roman" w:hAnsi="Times New Roman" w:cs="Times New Roman" w:eastAsia="Times New Roman" w:hint="default"/>
          </w:rPr>
          <w:t>http://</w:t>
        </w:r>
        <w:r>
          <w:rPr>
            <w:rFonts w:ascii="Times New Roman" w:hAnsi="Times New Roman" w:cs="Times New Roman" w:eastAsia="Times New Roman" w:hint="default"/>
            <w:spacing w:val="-1"/>
          </w:rPr>
          <w:t> </w:t>
        </w:r>
        <w:r>
          <w:rPr>
            <w:rFonts w:ascii="Times New Roman" w:hAnsi="Times New Roman" w:cs="Times New Roman" w:eastAsia="Times New Roman" w:hint="default"/>
          </w:rPr>
          <w:t>www.cninfo.com.cn</w:t>
        </w:r>
      </w:hyperlink>
      <w:r>
        <w:rPr>
          <w:rFonts w:ascii="Times New Roman" w:hAnsi="Times New Roman" w:cs="Times New Roman" w:eastAsia="Times New Roman" w:hint="default"/>
        </w:rPr>
        <w:t> </w:t>
      </w:r>
      <w:r>
        <w:rPr/>
        <w:t>公司年度报告备置地点：公司证券部</w:t>
      </w:r>
    </w:p>
    <w:p>
      <w:pPr>
        <w:spacing w:line="240" w:lineRule="auto" w:before="10"/>
        <w:rPr>
          <w:rFonts w:ascii="宋体" w:hAnsi="宋体" w:cs="宋体" w:eastAsia="宋体" w:hint="default"/>
          <w:sz w:val="32"/>
          <w:szCs w:val="32"/>
        </w:rPr>
      </w:pPr>
    </w:p>
    <w:p>
      <w:pPr>
        <w:pStyle w:val="BodyText"/>
        <w:spacing w:line="304" w:lineRule="auto" w:before="0"/>
        <w:ind w:left="700" w:right="5064" w:hanging="480"/>
        <w:jc w:val="left"/>
        <w:rPr>
          <w:rFonts w:ascii="Times New Roman" w:hAnsi="Times New Roman" w:cs="Times New Roman" w:eastAsia="Times New Roman" w:hint="default"/>
        </w:rPr>
      </w:pPr>
      <w:r>
        <w:rPr/>
        <w:t>六、股票上市交易所：深圳证券交易所 股票简称：御银股份 股票代码：</w:t>
      </w:r>
      <w:r>
        <w:rPr>
          <w:rFonts w:ascii="Times New Roman" w:hAnsi="Times New Roman" w:cs="Times New Roman" w:eastAsia="Times New Roman" w:hint="default"/>
        </w:rPr>
        <w:t>002177</w:t>
      </w:r>
    </w:p>
    <w:p>
      <w:pPr>
        <w:spacing w:line="240" w:lineRule="auto" w:before="4"/>
        <w:rPr>
          <w:rFonts w:ascii="Times New Roman" w:hAnsi="Times New Roman" w:cs="Times New Roman" w:eastAsia="Times New Roman" w:hint="default"/>
          <w:sz w:val="34"/>
          <w:szCs w:val="34"/>
        </w:rPr>
      </w:pPr>
    </w:p>
    <w:p>
      <w:pPr>
        <w:pStyle w:val="BodyText"/>
        <w:spacing w:line="295" w:lineRule="auto" w:before="0"/>
        <w:ind w:left="700" w:right="4344" w:hanging="480"/>
        <w:jc w:val="left"/>
      </w:pPr>
      <w:r>
        <w:rPr/>
        <w:t>七、其他有关资料： 公司首次注册登记日期：</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26</w:t>
      </w:r>
      <w:r>
        <w:rPr/>
        <w:t>日 公司最新注册登记日期：</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28</w:t>
      </w:r>
      <w:r>
        <w:rPr/>
        <w:t>日 注册登记地点：广州市工商行政管理局</w:t>
      </w:r>
    </w:p>
    <w:p>
      <w:pPr>
        <w:spacing w:after="0" w:line="295" w:lineRule="auto"/>
        <w:jc w:val="left"/>
        <w:sectPr>
          <w:pgSz w:w="11910" w:h="16840"/>
          <w:pgMar w:header="877" w:footer="1048" w:top="1100" w:bottom="1240" w:left="1580" w:right="940"/>
        </w:sectPr>
      </w:pPr>
    </w:p>
    <w:p>
      <w:pPr>
        <w:spacing w:line="240" w:lineRule="auto" w:before="4"/>
        <w:rPr>
          <w:rFonts w:ascii="宋体" w:hAnsi="宋体" w:cs="宋体" w:eastAsia="宋体" w:hint="default"/>
          <w:sz w:val="26"/>
          <w:szCs w:val="26"/>
        </w:rPr>
      </w:pPr>
    </w:p>
    <w:p>
      <w:pPr>
        <w:pStyle w:val="BodyText"/>
        <w:spacing w:line="288" w:lineRule="auto" w:before="26"/>
        <w:ind w:left="620" w:right="3179"/>
        <w:jc w:val="left"/>
        <w:rPr>
          <w:rFonts w:ascii="Times New Roman" w:hAnsi="Times New Roman" w:cs="Times New Roman" w:eastAsia="Times New Roman" w:hint="default"/>
        </w:rPr>
      </w:pPr>
      <w:r>
        <w:rPr/>
        <w:t>企业法人营业执照注册号：</w:t>
      </w:r>
      <w:r>
        <w:rPr>
          <w:rFonts w:ascii="Times New Roman" w:hAnsi="Times New Roman" w:cs="Times New Roman" w:eastAsia="Times New Roman" w:hint="default"/>
        </w:rPr>
        <w:t>440101000034373 </w:t>
      </w:r>
      <w:r>
        <w:rPr/>
        <w:t>税务登记号码：国税</w:t>
      </w:r>
      <w:r>
        <w:rPr>
          <w:rFonts w:ascii="Times New Roman" w:hAnsi="Times New Roman" w:cs="Times New Roman" w:eastAsia="Times New Roman" w:hint="default"/>
        </w:rPr>
        <w:t>:</w:t>
      </w:r>
      <w:r>
        <w:rPr>
          <w:rFonts w:ascii="Times New Roman" w:hAnsi="Times New Roman" w:cs="Times New Roman" w:eastAsia="Times New Roman" w:hint="default"/>
          <w:spacing w:val="45"/>
        </w:rPr>
        <w:t> </w:t>
      </w:r>
      <w:r>
        <w:rPr/>
        <w:t>粤国税字</w:t>
      </w:r>
      <w:r>
        <w:rPr>
          <w:rFonts w:ascii="Times New Roman" w:hAnsi="Times New Roman" w:cs="Times New Roman" w:eastAsia="Times New Roman" w:hint="default"/>
        </w:rPr>
        <w:t>44010672680151X</w:t>
      </w:r>
    </w:p>
    <w:p>
      <w:pPr>
        <w:pStyle w:val="BodyText"/>
        <w:spacing w:line="240" w:lineRule="auto" w:before="15"/>
        <w:ind w:left="2300" w:right="0"/>
        <w:jc w:val="left"/>
        <w:rPr>
          <w:rFonts w:ascii="Times New Roman" w:hAnsi="Times New Roman" w:cs="Times New Roman" w:eastAsia="Times New Roman" w:hint="default"/>
        </w:rPr>
      </w:pPr>
      <w:r>
        <w:rPr/>
        <w:t>地税</w:t>
      </w:r>
      <w:r>
        <w:rPr>
          <w:rFonts w:ascii="Times New Roman" w:hAnsi="Times New Roman" w:cs="Times New Roman" w:eastAsia="Times New Roman" w:hint="default"/>
        </w:rPr>
        <w:t>:</w:t>
      </w:r>
      <w:r>
        <w:rPr>
          <w:rFonts w:ascii="Times New Roman" w:hAnsi="Times New Roman" w:cs="Times New Roman" w:eastAsia="Times New Roman" w:hint="default"/>
          <w:spacing w:val="45"/>
        </w:rPr>
        <w:t> </w:t>
      </w:r>
      <w:r>
        <w:rPr/>
        <w:t>粤地税字</w:t>
      </w:r>
      <w:r>
        <w:rPr>
          <w:rFonts w:ascii="Times New Roman" w:hAnsi="Times New Roman" w:cs="Times New Roman" w:eastAsia="Times New Roman" w:hint="default"/>
        </w:rPr>
        <w:t>44010672680151X</w:t>
      </w:r>
    </w:p>
    <w:p>
      <w:pPr>
        <w:pStyle w:val="BodyText"/>
        <w:spacing w:line="292" w:lineRule="auto" w:before="67"/>
        <w:ind w:left="620" w:right="1604"/>
        <w:jc w:val="left"/>
      </w:pPr>
      <w:r>
        <w:rPr/>
        <w:t>组织机构代码：</w:t>
      </w:r>
      <w:r>
        <w:rPr>
          <w:rFonts w:ascii="Times New Roman" w:hAnsi="Times New Roman" w:cs="Times New Roman" w:eastAsia="Times New Roman" w:hint="default"/>
        </w:rPr>
        <w:t>72680151-X</w:t>
      </w:r>
      <w:r>
        <w:rPr>
          <w:rFonts w:ascii="Times New Roman" w:hAnsi="Times New Roman" w:cs="Times New Roman" w:eastAsia="Times New Roman" w:hint="default"/>
          <w:spacing w:val="-1"/>
        </w:rPr>
        <w:t> </w:t>
      </w:r>
      <w:r>
        <w:rPr/>
        <w:t>公司聘请的会计师事务所：立信会计师事务所（特殊普通合伙） 会计师事务所的办公地址：上海市南京东路</w:t>
      </w:r>
      <w:r>
        <w:rPr>
          <w:rFonts w:ascii="Times New Roman" w:hAnsi="Times New Roman" w:cs="Times New Roman" w:eastAsia="Times New Roman" w:hint="default"/>
        </w:rPr>
        <w:t>61</w:t>
      </w:r>
      <w:r>
        <w:rPr/>
        <w:t>号</w:t>
      </w:r>
      <w:r>
        <w:rPr>
          <w:rFonts w:ascii="Times New Roman" w:hAnsi="Times New Roman" w:cs="Times New Roman" w:eastAsia="Times New Roman" w:hint="default"/>
        </w:rPr>
        <w:t>4</w:t>
      </w:r>
      <w:r>
        <w:rPr/>
        <w:t>楼 签字注册会计师姓名：张锦坤、漆江燕</w:t>
      </w:r>
    </w:p>
    <w:p>
      <w:pPr>
        <w:pStyle w:val="BodyText"/>
        <w:spacing w:line="350" w:lineRule="auto" w:before="101"/>
        <w:ind w:left="620" w:right="1303"/>
        <w:jc w:val="left"/>
      </w:pPr>
      <w:r>
        <w:rPr/>
        <w:t>公司聘请的保荐机构：国信证券股份有限公司 保荐机构的办公地址：深圳市红岭中路</w:t>
      </w:r>
      <w:r>
        <w:rPr>
          <w:rFonts w:ascii="Times New Roman" w:hAnsi="Times New Roman" w:cs="Times New Roman" w:eastAsia="Times New Roman" w:hint="default"/>
        </w:rPr>
        <w:t>1012</w:t>
      </w:r>
      <w:r>
        <w:rPr/>
        <w:t>号国信证券大厦</w:t>
      </w:r>
      <w:r>
        <w:rPr>
          <w:rFonts w:ascii="Times New Roman" w:hAnsi="Times New Roman" w:cs="Times New Roman" w:eastAsia="Times New Roman" w:hint="default"/>
        </w:rPr>
        <w:t>16-26</w:t>
      </w:r>
      <w:r>
        <w:rPr/>
        <w:t>层 签字的保荐代表人：戴锋、李震</w:t>
      </w:r>
    </w:p>
    <w:p>
      <w:pPr>
        <w:spacing w:line="240" w:lineRule="auto" w:before="13"/>
        <w:rPr>
          <w:rFonts w:ascii="宋体" w:hAnsi="宋体" w:cs="宋体" w:eastAsia="宋体" w:hint="default"/>
          <w:sz w:val="27"/>
          <w:szCs w:val="27"/>
        </w:rPr>
      </w:pPr>
    </w:p>
    <w:p>
      <w:pPr>
        <w:pStyle w:val="BodyText"/>
        <w:spacing w:line="357" w:lineRule="auto" w:before="0"/>
        <w:ind w:left="620" w:right="124" w:hanging="480"/>
        <w:jc w:val="left"/>
        <w:rPr>
          <w:rFonts w:ascii="Times New Roman" w:hAnsi="Times New Roman" w:cs="Times New Roman" w:eastAsia="Times New Roman" w:hint="default"/>
        </w:rPr>
      </w:pPr>
      <w:r>
        <w:rPr/>
        <w:t>八、公司历史沿革 经中国证券监督管理委员会以证监发行字</w:t>
      </w:r>
      <w:r>
        <w:rPr>
          <w:rFonts w:ascii="Times New Roman" w:hAnsi="Times New Roman" w:cs="Times New Roman" w:eastAsia="Times New Roman" w:hint="default"/>
        </w:rPr>
        <w:t>[2007]</w:t>
      </w:r>
      <w:r>
        <w:rPr/>
        <w:t>号</w:t>
      </w:r>
      <w:r>
        <w:rPr>
          <w:rFonts w:ascii="Times New Roman" w:hAnsi="Times New Roman" w:cs="Times New Roman" w:eastAsia="Times New Roman" w:hint="default"/>
        </w:rPr>
        <w:t>350</w:t>
      </w:r>
      <w:r>
        <w:rPr/>
        <w:t>文核准，公司于</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10</w:t>
      </w:r>
    </w:p>
    <w:p>
      <w:pPr>
        <w:pStyle w:val="BodyText"/>
        <w:spacing w:line="338" w:lineRule="auto" w:before="5"/>
        <w:ind w:right="129"/>
        <w:jc w:val="both"/>
      </w:pPr>
      <w:r>
        <w:rPr/>
        <w:t>月</w:t>
      </w:r>
      <w:r>
        <w:rPr>
          <w:rFonts w:ascii="Times New Roman" w:hAnsi="Times New Roman" w:cs="Times New Roman" w:eastAsia="Times New Roman" w:hint="default"/>
        </w:rPr>
        <w:t>22</w:t>
      </w:r>
      <w:r>
        <w:rPr/>
        <w:t>日公开发行</w:t>
      </w:r>
      <w:r>
        <w:rPr>
          <w:rFonts w:ascii="Times New Roman" w:hAnsi="Times New Roman" w:cs="Times New Roman" w:eastAsia="Times New Roman" w:hint="default"/>
        </w:rPr>
        <w:t>19,000,000</w:t>
      </w:r>
      <w:r>
        <w:rPr>
          <w:rFonts w:ascii="Times New Roman" w:hAnsi="Times New Roman" w:cs="Times New Roman" w:eastAsia="Times New Roman" w:hint="default"/>
          <w:spacing w:val="25"/>
        </w:rPr>
        <w:t> </w:t>
      </w:r>
      <w:r>
        <w:rPr/>
        <w:t>股，股票已于</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11</w:t>
      </w:r>
      <w:r>
        <w:rPr/>
        <w:t>月在深圳证券交易所上市。截止</w:t>
      </w:r>
      <w:r>
        <w:rPr>
          <w:spacing w:val="-114"/>
        </w:rPr>
        <w:t> </w:t>
      </w:r>
      <w:r>
        <w:rPr>
          <w:rFonts w:ascii="Times New Roman" w:hAnsi="Times New Roman" w:cs="Times New Roman" w:eastAsia="Times New Roman" w:hint="default"/>
          <w:spacing w:val="-1"/>
        </w:rPr>
        <w:t>2007</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日公司的股本总额为</w:t>
      </w:r>
      <w:r>
        <w:rPr>
          <w:rFonts w:ascii="Times New Roman" w:hAnsi="Times New Roman" w:cs="Times New Roman" w:eastAsia="Times New Roman" w:hint="default"/>
          <w:spacing w:val="-1"/>
        </w:rPr>
        <w:t>74,568,000.00</w:t>
      </w:r>
      <w:r>
        <w:rPr>
          <w:spacing w:val="-1"/>
        </w:rPr>
        <w:t>元。公司于</w:t>
      </w:r>
      <w:r>
        <w:rPr>
          <w:rFonts w:ascii="Times New Roman" w:hAnsi="Times New Roman" w:cs="Times New Roman" w:eastAsia="Times New Roman" w:hint="default"/>
          <w:spacing w:val="-1"/>
        </w:rPr>
        <w:t>2008</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18</w:t>
      </w:r>
      <w:r>
        <w:rPr>
          <w:spacing w:val="-1"/>
        </w:rPr>
        <w:t>日完成了该</w:t>
      </w:r>
      <w:r>
        <w:rPr>
          <w:spacing w:val="-79"/>
        </w:rPr>
        <w:t> </w:t>
      </w:r>
      <w:r>
        <w:rPr/>
        <w:t>事项的工商注册变更登记。</w:t>
      </w:r>
    </w:p>
    <w:p>
      <w:pPr>
        <w:pStyle w:val="BodyText"/>
        <w:spacing w:line="338" w:lineRule="auto" w:before="55"/>
        <w:ind w:right="130" w:firstLine="480"/>
        <w:jc w:val="both"/>
      </w:pPr>
      <w:r>
        <w:rPr>
          <w:spacing w:val="-2"/>
        </w:rPr>
        <w:t>经公司</w:t>
      </w:r>
      <w:r>
        <w:rPr>
          <w:rFonts w:ascii="Times New Roman" w:hAnsi="Times New Roman" w:cs="Times New Roman" w:eastAsia="Times New Roman" w:hint="default"/>
          <w:spacing w:val="-2"/>
        </w:rPr>
        <w:t>2007</w:t>
      </w:r>
      <w:r>
        <w:rPr>
          <w:spacing w:val="-2"/>
        </w:rPr>
        <w:t>年年度股东大会审议通过，以</w:t>
      </w:r>
      <w:r>
        <w:rPr>
          <w:rFonts w:ascii="Times New Roman" w:hAnsi="Times New Roman" w:cs="Times New Roman" w:eastAsia="Times New Roman" w:hint="default"/>
          <w:spacing w:val="-2"/>
        </w:rPr>
        <w:t>2007</w:t>
      </w:r>
      <w:r>
        <w:rPr>
          <w:spacing w:val="-2"/>
        </w:rPr>
        <w:t>年末公司总股本</w:t>
      </w:r>
      <w:r>
        <w:rPr>
          <w:rFonts w:ascii="Times New Roman" w:hAnsi="Times New Roman" w:cs="Times New Roman" w:eastAsia="Times New Roman" w:hint="default"/>
          <w:spacing w:val="-2"/>
        </w:rPr>
        <w:t>74,568,000</w:t>
      </w:r>
      <w:r>
        <w:rPr>
          <w:spacing w:val="-2"/>
        </w:rPr>
        <w:t>股为基</w:t>
      </w:r>
      <w:r>
        <w:rPr/>
        <w:t> 数向全体股东按每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10</w:t>
      </w:r>
      <w:r>
        <w:rPr/>
        <w:t>股的比例转增股本，送转完成后公司的股本总额增至</w:t>
      </w:r>
      <w:r>
        <w:rPr>
          <w:spacing w:val="-85"/>
        </w:rPr>
        <w:t> </w:t>
      </w:r>
      <w:r>
        <w:rPr>
          <w:rFonts w:ascii="Times New Roman" w:hAnsi="Times New Roman" w:cs="Times New Roman" w:eastAsia="Times New Roman" w:hint="default"/>
          <w:spacing w:val="-3"/>
        </w:rPr>
        <w:t>149,136,000.00</w:t>
      </w:r>
      <w:r>
        <w:rPr>
          <w:spacing w:val="-3"/>
        </w:rPr>
        <w:t>元。资本公积金转增股本的方案已于</w:t>
      </w:r>
      <w:r>
        <w:rPr>
          <w:rFonts w:ascii="Times New Roman" w:hAnsi="Times New Roman" w:cs="Times New Roman" w:eastAsia="Times New Roman" w:hint="default"/>
          <w:spacing w:val="-3"/>
        </w:rPr>
        <w:t>2008</w:t>
      </w:r>
      <w:r>
        <w:rPr>
          <w:spacing w:val="-3"/>
        </w:rPr>
        <w:t>年</w:t>
      </w:r>
      <w:r>
        <w:rPr>
          <w:rFonts w:ascii="Times New Roman" w:hAnsi="Times New Roman" w:cs="Times New Roman" w:eastAsia="Times New Roman" w:hint="default"/>
          <w:spacing w:val="-3"/>
        </w:rPr>
        <w:t>4</w:t>
      </w:r>
      <w:r>
        <w:rPr>
          <w:spacing w:val="-3"/>
        </w:rPr>
        <w:t>月</w:t>
      </w:r>
      <w:r>
        <w:rPr>
          <w:rFonts w:ascii="Times New Roman" w:hAnsi="Times New Roman" w:cs="Times New Roman" w:eastAsia="Times New Roman" w:hint="default"/>
          <w:spacing w:val="-3"/>
        </w:rPr>
        <w:t>15</w:t>
      </w:r>
      <w:r>
        <w:rPr>
          <w:spacing w:val="-3"/>
        </w:rPr>
        <w:t>日实施。公司于</w:t>
      </w:r>
      <w:r>
        <w:rPr>
          <w:rFonts w:ascii="Times New Roman" w:hAnsi="Times New Roman" w:cs="Times New Roman" w:eastAsia="Times New Roman" w:hint="default"/>
          <w:spacing w:val="-3"/>
        </w:rPr>
        <w:t>2008</w:t>
      </w:r>
      <w:r>
        <w:rPr>
          <w:rFonts w:ascii="Times New Roman" w:hAnsi="Times New Roman" w:cs="Times New Roman" w:eastAsia="Times New Roman" w:hint="default"/>
          <w:spacing w:val="-40"/>
        </w:rPr>
        <w:t> </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6</w:t>
      </w:r>
      <w:r>
        <w:rPr/>
        <w:t>日完成了该事项的工商注册变更登记。</w:t>
      </w:r>
    </w:p>
    <w:p>
      <w:pPr>
        <w:pStyle w:val="BodyText"/>
        <w:spacing w:line="338" w:lineRule="auto" w:before="27"/>
        <w:ind w:right="103" w:firstLine="480"/>
        <w:jc w:val="both"/>
      </w:pPr>
      <w:r>
        <w:rPr/>
        <w:t>公司</w:t>
      </w:r>
      <w:r>
        <w:rPr>
          <w:rFonts w:ascii="Times New Roman" w:hAnsi="Times New Roman" w:cs="Times New Roman" w:eastAsia="Times New Roman" w:hint="default"/>
        </w:rPr>
        <w:t>2008</w:t>
      </w:r>
      <w:r>
        <w:rPr/>
        <w:t>年年度股东大会审议通过，以</w:t>
      </w:r>
      <w:r>
        <w:rPr>
          <w:rFonts w:ascii="Times New Roman" w:hAnsi="Times New Roman" w:cs="Times New Roman" w:eastAsia="Times New Roman" w:hint="default"/>
        </w:rPr>
        <w:t>2008</w:t>
      </w:r>
      <w:r>
        <w:rPr/>
        <w:t>年年末总股本</w:t>
      </w:r>
      <w:r>
        <w:rPr>
          <w:rFonts w:ascii="Times New Roman" w:hAnsi="Times New Roman" w:cs="Times New Roman" w:eastAsia="Times New Roman" w:hint="default"/>
        </w:rPr>
        <w:t>149,136,000</w:t>
      </w:r>
      <w:r>
        <w:rPr/>
        <w:t>股为基数</w:t>
      </w:r>
      <w:r>
        <w:rPr>
          <w:spacing w:val="2"/>
        </w:rPr>
        <w:t> </w:t>
      </w:r>
      <w:r>
        <w:rPr>
          <w:spacing w:val="23"/>
        </w:rPr>
        <w:t>向全体股东按每</w:t>
      </w:r>
      <w:r>
        <w:rPr>
          <w:spacing w:val="-91"/>
        </w:rPr>
        <w:t> </w:t>
      </w:r>
      <w:r>
        <w:rPr>
          <w:rFonts w:ascii="Times New Roman" w:hAnsi="Times New Roman" w:cs="Times New Roman" w:eastAsia="Times New Roman" w:hint="default"/>
        </w:rPr>
        <w:t>10</w:t>
      </w:r>
      <w:r>
        <w:rPr>
          <w:rFonts w:ascii="Times New Roman" w:hAnsi="Times New Roman" w:cs="Times New Roman" w:eastAsia="Times New Roman" w:hint="default"/>
          <w:spacing w:val="-30"/>
        </w:rPr>
        <w:t> </w:t>
      </w:r>
      <w:r>
        <w:rPr>
          <w:spacing w:val="18"/>
        </w:rPr>
        <w:t>股转增</w:t>
      </w:r>
      <w:r>
        <w:rPr>
          <w:spacing w:val="-91"/>
        </w:rPr>
        <w:t> </w:t>
      </w:r>
      <w:r>
        <w:rPr>
          <w:rFonts w:ascii="Times New Roman" w:hAnsi="Times New Roman" w:cs="Times New Roman" w:eastAsia="Times New Roman" w:hint="default"/>
        </w:rPr>
        <w:t>5</w:t>
      </w:r>
      <w:r>
        <w:rPr>
          <w:rFonts w:ascii="Times New Roman" w:hAnsi="Times New Roman" w:cs="Times New Roman" w:eastAsia="Times New Roman" w:hint="default"/>
          <w:spacing w:val="-31"/>
        </w:rPr>
        <w:t> </w:t>
      </w:r>
      <w:r>
        <w:rPr>
          <w:spacing w:val="25"/>
        </w:rPr>
        <w:t>股的比例转增股本，送转完成后公司总股本增至</w:t>
      </w:r>
      <w:r>
        <w:rPr>
          <w:spacing w:val="-115"/>
        </w:rPr>
        <w:t> </w:t>
      </w:r>
      <w:r>
        <w:rPr>
          <w:rFonts w:ascii="Times New Roman" w:hAnsi="Times New Roman" w:cs="Times New Roman" w:eastAsia="Times New Roman" w:hint="default"/>
        </w:rPr>
        <w:t>223,704,000</w:t>
      </w:r>
      <w:r>
        <w:rPr>
          <w:rFonts w:ascii="Times New Roman" w:hAnsi="Times New Roman" w:cs="Times New Roman" w:eastAsia="Times New Roman" w:hint="default"/>
          <w:spacing w:val="8"/>
        </w:rPr>
        <w:t> </w:t>
      </w:r>
      <w:r>
        <w:rPr>
          <w:spacing w:val="4"/>
        </w:rPr>
        <w:t>股。资本公积金转增股本的方案已于</w:t>
      </w:r>
      <w:r>
        <w:rPr>
          <w:rFonts w:ascii="Times New Roman" w:hAnsi="Times New Roman" w:cs="Times New Roman" w:eastAsia="Times New Roman" w:hint="default"/>
          <w:spacing w:val="4"/>
        </w:rPr>
        <w:t>2009</w:t>
      </w:r>
      <w:r>
        <w:rPr>
          <w:spacing w:val="4"/>
        </w:rPr>
        <w:t>年</w:t>
      </w:r>
      <w:r>
        <w:rPr>
          <w:rFonts w:ascii="Times New Roman" w:hAnsi="Times New Roman" w:cs="Times New Roman" w:eastAsia="Times New Roman" w:hint="default"/>
          <w:spacing w:val="4"/>
        </w:rPr>
        <w:t>6</w:t>
      </w:r>
      <w:r>
        <w:rPr>
          <w:spacing w:val="4"/>
        </w:rPr>
        <w:t>月</w:t>
      </w:r>
      <w:r>
        <w:rPr>
          <w:rFonts w:ascii="Times New Roman" w:hAnsi="Times New Roman" w:cs="Times New Roman" w:eastAsia="Times New Roman" w:hint="default"/>
          <w:spacing w:val="4"/>
        </w:rPr>
        <w:t>3</w:t>
      </w:r>
      <w:r>
        <w:rPr>
          <w:spacing w:val="4"/>
        </w:rPr>
        <w:t>日实施。公司于</w:t>
      </w:r>
      <w:r>
        <w:rPr>
          <w:rFonts w:ascii="Times New Roman" w:hAnsi="Times New Roman" w:cs="Times New Roman" w:eastAsia="Times New Roman" w:hint="default"/>
          <w:spacing w:val="4"/>
        </w:rPr>
        <w:t>2009</w:t>
      </w:r>
      <w:r>
        <w:rPr>
          <w:rFonts w:ascii="Times New Roman" w:hAnsi="Times New Roman" w:cs="Times New Roman" w:eastAsia="Times New Roman" w:hint="default"/>
        </w:rPr>
        <w:t> </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22</w:t>
      </w:r>
      <w:r>
        <w:rPr/>
        <w:t>日完成了该事项的工商注册变更登记。</w:t>
      </w:r>
    </w:p>
    <w:p>
      <w:pPr>
        <w:pStyle w:val="BodyText"/>
        <w:spacing w:line="338" w:lineRule="auto" w:before="27"/>
        <w:ind w:right="116" w:firstLine="480"/>
        <w:jc w:val="both"/>
      </w:pPr>
      <w:r>
        <w:rPr/>
        <w:t>经中国证券监督管理委员会证监许可</w:t>
      </w:r>
      <w:r>
        <w:rPr>
          <w:rFonts w:ascii="Times New Roman" w:hAnsi="Times New Roman" w:cs="Times New Roman" w:eastAsia="Times New Roman" w:hint="default"/>
        </w:rPr>
        <w:t>[2009]962</w:t>
      </w:r>
      <w:r>
        <w:rPr/>
        <w:t>号文核准，公司于</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13</w:t>
      </w:r>
      <w:r>
        <w:rPr>
          <w:rFonts w:ascii="Times New Roman" w:hAnsi="Times New Roman" w:cs="Times New Roman" w:eastAsia="Times New Roman" w:hint="default"/>
          <w:spacing w:val="1"/>
        </w:rPr>
        <w:t> </w:t>
      </w:r>
      <w:r>
        <w:rPr>
          <w:spacing w:val="2"/>
        </w:rPr>
        <w:t>日以非公开发行股票的方式向</w:t>
      </w:r>
      <w:r>
        <w:rPr>
          <w:rFonts w:ascii="Times New Roman" w:hAnsi="Times New Roman" w:cs="Times New Roman" w:eastAsia="Times New Roman" w:hint="default"/>
          <w:spacing w:val="2"/>
        </w:rPr>
        <w:t>7</w:t>
      </w:r>
      <w:r>
        <w:rPr>
          <w:spacing w:val="2"/>
        </w:rPr>
        <w:t>家特定投资者发行了</w:t>
      </w:r>
      <w:r>
        <w:rPr>
          <w:rFonts w:ascii="Times New Roman" w:hAnsi="Times New Roman" w:cs="Times New Roman" w:eastAsia="Times New Roman" w:hint="default"/>
          <w:spacing w:val="2"/>
        </w:rPr>
        <w:t>41,242,500</w:t>
      </w:r>
      <w:r>
        <w:rPr>
          <w:spacing w:val="2"/>
        </w:rPr>
        <w:t>股人民币普通股（</w:t>
      </w:r>
      <w:r>
        <w:rPr>
          <w:rFonts w:ascii="Times New Roman" w:hAnsi="Times New Roman" w:cs="Times New Roman" w:eastAsia="Times New Roman" w:hint="default"/>
          <w:spacing w:val="2"/>
        </w:rPr>
        <w:t>A</w:t>
      </w:r>
      <w:r>
        <w:rPr>
          <w:rFonts w:ascii="Times New Roman" w:hAnsi="Times New Roman" w:cs="Times New Roman" w:eastAsia="Times New Roman" w:hint="default"/>
          <w:spacing w:val="-48"/>
        </w:rPr>
        <w:t> </w:t>
      </w:r>
      <w:r>
        <w:rPr>
          <w:spacing w:val="-2"/>
        </w:rPr>
        <w:t>股），发行价为人民币</w:t>
      </w:r>
      <w:r>
        <w:rPr>
          <w:rFonts w:ascii="Times New Roman" w:hAnsi="Times New Roman" w:cs="Times New Roman" w:eastAsia="Times New Roman" w:hint="default"/>
          <w:spacing w:val="-2"/>
        </w:rPr>
        <w:t>12.00</w:t>
      </w:r>
      <w:r>
        <w:rPr>
          <w:spacing w:val="-2"/>
        </w:rPr>
        <w:t>元</w:t>
      </w:r>
      <w:r>
        <w:rPr>
          <w:rFonts w:ascii="Times New Roman" w:hAnsi="Times New Roman" w:cs="Times New Roman" w:eastAsia="Times New Roman" w:hint="default"/>
          <w:spacing w:val="-2"/>
        </w:rPr>
        <w:t>/</w:t>
      </w:r>
      <w:r>
        <w:rPr>
          <w:spacing w:val="-2"/>
        </w:rPr>
        <w:t>股。经深圳证券交易所同意，公司非公开发行的股票</w:t>
      </w:r>
      <w:r>
        <w:rPr/>
        <w:t> </w:t>
      </w:r>
      <w:r>
        <w:rPr>
          <w:spacing w:val="13"/>
        </w:rPr>
        <w:t>于</w:t>
      </w:r>
      <w:r>
        <w:rPr>
          <w:rFonts w:ascii="Times New Roman" w:hAnsi="Times New Roman" w:cs="Times New Roman" w:eastAsia="Times New Roman" w:hint="default"/>
          <w:spacing w:val="13"/>
        </w:rPr>
        <w:t>2009</w:t>
      </w:r>
      <w:r>
        <w:rPr>
          <w:spacing w:val="13"/>
        </w:rPr>
        <w:t>年</w:t>
      </w:r>
      <w:r>
        <w:rPr>
          <w:rFonts w:ascii="Times New Roman" w:hAnsi="Times New Roman" w:cs="Times New Roman" w:eastAsia="Times New Roman" w:hint="default"/>
          <w:spacing w:val="13"/>
        </w:rPr>
        <w:t>10</w:t>
      </w:r>
      <w:r>
        <w:rPr>
          <w:spacing w:val="13"/>
        </w:rPr>
        <w:t>月</w:t>
      </w:r>
      <w:r>
        <w:rPr>
          <w:rFonts w:ascii="Times New Roman" w:hAnsi="Times New Roman" w:cs="Times New Roman" w:eastAsia="Times New Roman" w:hint="default"/>
          <w:spacing w:val="13"/>
        </w:rPr>
        <w:t>30</w:t>
      </w:r>
      <w:r>
        <w:rPr>
          <w:spacing w:val="13"/>
        </w:rPr>
        <w:t>日在深圳证券交易所挂牌上市。非公开发行后公司总股本增至</w:t>
      </w:r>
      <w:r>
        <w:rPr>
          <w:spacing w:val="-90"/>
        </w:rPr>
        <w:t> </w:t>
      </w:r>
      <w:r>
        <w:rPr>
          <w:spacing w:val="-90"/>
        </w:rPr>
      </w:r>
      <w:r>
        <w:rPr>
          <w:rFonts w:ascii="Times New Roman" w:hAnsi="Times New Roman" w:cs="Times New Roman" w:eastAsia="Times New Roman" w:hint="default"/>
          <w:spacing w:val="3"/>
        </w:rPr>
        <w:t>264,946,500</w:t>
      </w:r>
      <w:r>
        <w:rPr>
          <w:spacing w:val="3"/>
        </w:rPr>
        <w:t>股。与此同时，公司企业法人营业执照注册号由</w:t>
      </w:r>
      <w:r>
        <w:rPr>
          <w:rFonts w:ascii="Times New Roman" w:hAnsi="Times New Roman" w:cs="Times New Roman" w:eastAsia="Times New Roman" w:hint="default"/>
          <w:spacing w:val="3"/>
        </w:rPr>
        <w:t>4401011108228</w:t>
      </w:r>
      <w:r>
        <w:rPr>
          <w:spacing w:val="3"/>
        </w:rPr>
        <w:t>变更为</w:t>
      </w:r>
      <w:r>
        <w:rPr/>
      </w:r>
    </w:p>
    <w:p>
      <w:pPr>
        <w:pStyle w:val="BodyText"/>
        <w:spacing w:line="240" w:lineRule="auto" w:before="27"/>
        <w:ind w:right="0"/>
        <w:jc w:val="both"/>
      </w:pPr>
      <w:r>
        <w:rPr>
          <w:rFonts w:ascii="Times New Roman" w:hAnsi="Times New Roman" w:cs="Times New Roman" w:eastAsia="Times New Roman" w:hint="default"/>
        </w:rPr>
        <w:t>440101000034373</w:t>
      </w:r>
      <w:r>
        <w:rPr/>
        <w:t>。公司于</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4</w:t>
      </w:r>
      <w:r>
        <w:rPr/>
        <w:t>日完成了该事项的工商注册变更登记。</w:t>
      </w:r>
    </w:p>
    <w:p>
      <w:pPr>
        <w:pStyle w:val="BodyText"/>
        <w:spacing w:line="240" w:lineRule="auto"/>
        <w:ind w:left="620" w:right="0"/>
        <w:jc w:val="left"/>
      </w:pPr>
      <w:r>
        <w:rPr>
          <w:rFonts w:ascii="Times New Roman" w:hAnsi="Times New Roman" w:cs="Times New Roman" w:eastAsia="Times New Roman" w:hint="default"/>
        </w:rPr>
        <w:t>2010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16</w:t>
      </w:r>
      <w:r>
        <w:rPr/>
        <w:t>日，公司完成了组织机构变更的备案登记。</w:t>
      </w:r>
    </w:p>
    <w:p>
      <w:pPr>
        <w:spacing w:after="0" w:line="240" w:lineRule="auto"/>
        <w:jc w:val="left"/>
        <w:sectPr>
          <w:pgSz w:w="11910" w:h="16840"/>
          <w:pgMar w:header="877" w:footer="1048" w:top="1100" w:bottom="1240" w:left="1660" w:right="1280"/>
        </w:sectPr>
      </w:pPr>
    </w:p>
    <w:p>
      <w:pPr>
        <w:spacing w:line="240" w:lineRule="auto" w:before="7"/>
        <w:rPr>
          <w:rFonts w:ascii="宋体" w:hAnsi="宋体" w:cs="宋体" w:eastAsia="宋体" w:hint="default"/>
          <w:sz w:val="25"/>
          <w:szCs w:val="25"/>
        </w:rPr>
      </w:pPr>
    </w:p>
    <w:p>
      <w:pPr>
        <w:pStyle w:val="BodyText"/>
        <w:spacing w:line="338" w:lineRule="auto" w:before="26"/>
        <w:ind w:right="170" w:firstLine="480"/>
        <w:jc w:val="both"/>
      </w:pPr>
      <w:r>
        <w:rPr>
          <w:rFonts w:ascii="Times New Roman" w:hAnsi="Times New Roman" w:cs="Times New Roman" w:eastAsia="Times New Roman" w:hint="default"/>
        </w:rPr>
        <w:t>2010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5</w:t>
      </w:r>
      <w:r>
        <w:rPr/>
        <w:t>日，公司原注册经营范围内的国内航线除香港、澳门、台湾地区航</w:t>
      </w:r>
      <w:r>
        <w:rPr>
          <w:spacing w:val="1"/>
        </w:rPr>
        <w:t> </w:t>
      </w:r>
      <w:r>
        <w:rPr/>
        <w:t>线外的航空客运销售代理业务到期。公司于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9</w:t>
      </w:r>
      <w:r>
        <w:rPr/>
        <w:t>日完成了经营范围变更的工</w:t>
      </w:r>
      <w:r>
        <w:rPr>
          <w:spacing w:val="-85"/>
        </w:rPr>
        <w:t> </w:t>
      </w:r>
      <w:r>
        <w:rPr/>
        <w:t>商注册变更登记。</w:t>
      </w:r>
    </w:p>
    <w:p>
      <w:pPr>
        <w:pStyle w:val="BodyText"/>
        <w:spacing w:line="338" w:lineRule="auto" w:before="55"/>
        <w:ind w:left="620" w:right="0"/>
        <w:jc w:val="left"/>
      </w:pP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w:t>
      </w:r>
      <w:r>
        <w:rPr/>
        <w:t>日，公司完成了组织机构变更的备案登记。 公司</w:t>
      </w:r>
      <w:r>
        <w:rPr>
          <w:rFonts w:ascii="Times New Roman" w:hAnsi="Times New Roman" w:cs="Times New Roman" w:eastAsia="Times New Roman" w:hint="default"/>
        </w:rPr>
        <w:t>2010</w:t>
      </w:r>
      <w:r>
        <w:rPr/>
        <w:t>年年度股东大会审议通过，以</w:t>
      </w:r>
      <w:r>
        <w:rPr>
          <w:rFonts w:ascii="Times New Roman" w:hAnsi="Times New Roman" w:cs="Times New Roman" w:eastAsia="Times New Roman" w:hint="default"/>
        </w:rPr>
        <w:t>2010</w:t>
      </w:r>
      <w:r>
        <w:rPr/>
        <w:t>年年末总股本</w:t>
      </w:r>
      <w:r>
        <w:rPr>
          <w:rFonts w:ascii="Times New Roman" w:hAnsi="Times New Roman" w:cs="Times New Roman" w:eastAsia="Times New Roman" w:hint="default"/>
        </w:rPr>
        <w:t>264,946,500</w:t>
      </w:r>
      <w:r>
        <w:rPr/>
        <w:t>股为基数</w:t>
      </w:r>
    </w:p>
    <w:p>
      <w:pPr>
        <w:pStyle w:val="BodyText"/>
        <w:spacing w:line="338" w:lineRule="auto" w:before="27"/>
        <w:ind w:right="102"/>
        <w:jc w:val="both"/>
      </w:pPr>
      <w:r>
        <w:rPr/>
        <w:t>向全体股东按每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3</w:t>
      </w:r>
      <w:r>
        <w:rPr/>
        <w:t>股的比例转增股本，转增后后公司总股本</w:t>
      </w:r>
      <w:r>
        <w:rPr>
          <w:rFonts w:ascii="Times New Roman" w:hAnsi="Times New Roman" w:cs="Times New Roman" w:eastAsia="Times New Roman" w:hint="default"/>
        </w:rPr>
        <w:t>344,430,450</w:t>
      </w:r>
      <w:r>
        <w:rPr/>
        <w:t>股。 </w:t>
      </w:r>
      <w:r>
        <w:rPr>
          <w:spacing w:val="-2"/>
        </w:rPr>
        <w:t>资本公积金转增股本的方案已于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7</w:t>
      </w:r>
      <w:r>
        <w:rPr>
          <w:spacing w:val="-2"/>
        </w:rPr>
        <w:t>日实施。公司于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15</w:t>
      </w:r>
      <w:r>
        <w:rPr>
          <w:spacing w:val="-2"/>
        </w:rPr>
        <w:t>日完成了该</w:t>
      </w:r>
      <w:r>
        <w:rPr>
          <w:spacing w:val="-104"/>
        </w:rPr>
        <w:t> </w:t>
      </w:r>
      <w:r>
        <w:rPr/>
        <w:t>事项的工商注册变更登记。</w:t>
      </w:r>
    </w:p>
    <w:p>
      <w:pPr>
        <w:pStyle w:val="BodyText"/>
        <w:spacing w:line="348" w:lineRule="auto" w:before="55"/>
        <w:ind w:right="170" w:firstLine="480"/>
        <w:jc w:val="both"/>
      </w:pP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11</w:t>
      </w:r>
      <w:r>
        <w:rPr/>
        <w:t>月，为了加强投资者关系管理工作，增加信息披露的覆盖面，公司决</w:t>
      </w:r>
      <w:r>
        <w:rPr>
          <w:spacing w:val="1"/>
        </w:rPr>
        <w:t> </w:t>
      </w:r>
      <w:r>
        <w:rPr/>
        <w:t>定增加《中国证券报》和《上海证券报》为信息披露指定报刊，并对《公司章程》</w:t>
      </w:r>
      <w:r>
        <w:rPr>
          <w:spacing w:val="-84"/>
        </w:rPr>
        <w:t> </w:t>
      </w:r>
      <w:r>
        <w:rPr>
          <w:spacing w:val="-84"/>
        </w:rPr>
      </w:r>
      <w:r>
        <w:rPr/>
        <w:t>进行了修改。公司于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28</w:t>
      </w:r>
      <w:r>
        <w:rPr/>
        <w:t>日完成了公司章程变更的备案登记。</w:t>
      </w:r>
    </w:p>
    <w:p>
      <w:pPr>
        <w:spacing w:after="0" w:line="348" w:lineRule="auto"/>
        <w:jc w:val="both"/>
        <w:sectPr>
          <w:pgSz w:w="11910" w:h="16840"/>
          <w:pgMar w:header="877" w:footer="1048" w:top="1100" w:bottom="1240" w:left="1660" w:right="124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Heading1"/>
        <w:spacing w:line="240" w:lineRule="auto"/>
        <w:ind w:left="2157" w:right="0"/>
        <w:jc w:val="left"/>
        <w:rPr>
          <w:rFonts w:ascii="黑体" w:hAnsi="黑体" w:cs="黑体" w:eastAsia="黑体" w:hint="default"/>
          <w:b w:val="0"/>
          <w:bCs w:val="0"/>
        </w:rPr>
      </w:pPr>
      <w:bookmarkStart w:name="_TOC_250007" w:id="2"/>
      <w:r>
        <w:rPr>
          <w:rFonts w:ascii="黑体" w:hAnsi="黑体" w:cs="黑体" w:eastAsia="黑体" w:hint="default"/>
        </w:rPr>
        <w:t>第二节</w:t>
      </w:r>
      <w:r>
        <w:rPr>
          <w:rFonts w:ascii="黑体" w:hAnsi="黑体" w:cs="黑体" w:eastAsia="黑体" w:hint="default"/>
          <w:spacing w:val="-11"/>
        </w:rPr>
        <w:t> </w:t>
      </w:r>
      <w:r>
        <w:rPr>
          <w:rFonts w:ascii="黑体" w:hAnsi="黑体" w:cs="黑体" w:eastAsia="黑体" w:hint="default"/>
        </w:rPr>
        <w:t>会计数据和业务数据</w:t>
      </w:r>
      <w:r>
        <w:rPr>
          <w:rFonts w:ascii="黑体" w:hAnsi="黑体" w:cs="黑体" w:eastAsia="黑体" w:hint="default"/>
          <w:b w:val="0"/>
          <w:bCs w:val="0"/>
        </w:rPr>
        <w:t>摘</w:t>
      </w:r>
      <w:r>
        <w:rPr>
          <w:rFonts w:ascii="黑体" w:hAnsi="黑体" w:cs="黑体" w:eastAsia="黑体" w:hint="default"/>
        </w:rPr>
        <w:t>要</w:t>
      </w:r>
      <w:bookmarkEnd w:id="2"/>
      <w:r>
        <w:rPr>
          <w:rFonts w:ascii="黑体" w:hAnsi="黑体" w:cs="黑体" w:eastAsia="黑体" w:hint="default"/>
          <w:b w:val="0"/>
          <w:bCs w:val="0"/>
        </w:rPr>
      </w:r>
    </w:p>
    <w:p>
      <w:pPr>
        <w:spacing w:line="240" w:lineRule="auto" w:before="7"/>
        <w:rPr>
          <w:rFonts w:ascii="黑体" w:hAnsi="黑体" w:cs="黑体" w:eastAsia="黑体" w:hint="default"/>
          <w:b/>
          <w:bCs/>
          <w:sz w:val="26"/>
          <w:szCs w:val="26"/>
        </w:rPr>
      </w:pPr>
    </w:p>
    <w:p>
      <w:pPr>
        <w:spacing w:after="0" w:line="240" w:lineRule="auto"/>
        <w:rPr>
          <w:rFonts w:ascii="黑体" w:hAnsi="黑体" w:cs="黑体" w:eastAsia="黑体" w:hint="default"/>
          <w:sz w:val="26"/>
          <w:szCs w:val="26"/>
        </w:rPr>
        <w:sectPr>
          <w:pgSz w:w="11910" w:h="16840"/>
          <w:pgMar w:header="877" w:footer="1048" w:top="1100" w:bottom="1240" w:left="1660" w:right="1140"/>
        </w:sectPr>
      </w:pPr>
    </w:p>
    <w:p>
      <w:pPr>
        <w:pStyle w:val="BodyText"/>
        <w:spacing w:line="240" w:lineRule="auto" w:before="26"/>
        <w:ind w:left="620" w:right="-20"/>
        <w:jc w:val="left"/>
      </w:pPr>
      <w:r>
        <w:rPr/>
        <w:t>一、公司主要会计数据</w:t>
      </w:r>
    </w:p>
    <w:p>
      <w:pPr>
        <w:spacing w:line="240" w:lineRule="auto" w:before="0"/>
        <w:rPr>
          <w:rFonts w:ascii="宋体" w:hAnsi="宋体" w:cs="宋体" w:eastAsia="宋体" w:hint="default"/>
          <w:sz w:val="18"/>
          <w:szCs w:val="18"/>
        </w:rPr>
      </w:pPr>
      <w:r>
        <w:rPr/>
        <w:br w:type="column"/>
      </w:r>
      <w:r>
        <w:rPr>
          <w:rFonts w:ascii="宋体"/>
          <w:sz w:val="18"/>
        </w:rPr>
      </w:r>
    </w:p>
    <w:p>
      <w:pPr>
        <w:spacing w:before="152"/>
        <w:ind w:left="620" w:right="0" w:firstLine="0"/>
        <w:jc w:val="left"/>
        <w:rPr>
          <w:rFonts w:ascii="宋体" w:hAnsi="宋体" w:cs="宋体" w:eastAsia="宋体" w:hint="default"/>
          <w:sz w:val="18"/>
          <w:szCs w:val="18"/>
        </w:rPr>
      </w:pPr>
      <w:r>
        <w:rPr>
          <w:rFonts w:ascii="宋体" w:hAnsi="宋体" w:cs="宋体" w:eastAsia="宋体" w:hint="default"/>
          <w:sz w:val="18"/>
          <w:szCs w:val="18"/>
        </w:rPr>
        <w:t>单位：（人民币）元</w:t>
      </w:r>
    </w:p>
    <w:p>
      <w:pPr>
        <w:spacing w:after="0"/>
        <w:jc w:val="left"/>
        <w:rPr>
          <w:rFonts w:ascii="宋体" w:hAnsi="宋体" w:cs="宋体" w:eastAsia="宋体" w:hint="default"/>
          <w:sz w:val="18"/>
          <w:szCs w:val="18"/>
        </w:rPr>
        <w:sectPr>
          <w:type w:val="continuous"/>
          <w:pgSz w:w="11910" w:h="16840"/>
          <w:pgMar w:top="1100" w:bottom="1240" w:left="1660" w:right="1140"/>
          <w:cols w:num="2" w:equalWidth="0">
            <w:col w:w="3021" w:space="3570"/>
            <w:col w:w="2519"/>
          </w:cols>
        </w:sectPr>
      </w:pPr>
    </w:p>
    <w:p>
      <w:pPr>
        <w:spacing w:line="240" w:lineRule="auto" w:before="1"/>
        <w:rPr>
          <w:rFonts w:ascii="宋体" w:hAnsi="宋体" w:cs="宋体" w:eastAsia="宋体" w:hint="default"/>
          <w:sz w:val="5"/>
          <w:szCs w:val="5"/>
        </w:rPr>
      </w:pPr>
    </w:p>
    <w:tbl>
      <w:tblPr>
        <w:tblW w:w="0" w:type="auto"/>
        <w:jc w:val="left"/>
        <w:tblInd w:w="135" w:type="dxa"/>
        <w:tblLayout w:type="fixed"/>
        <w:tblCellMar>
          <w:top w:w="0" w:type="dxa"/>
          <w:left w:w="0" w:type="dxa"/>
          <w:bottom w:w="0" w:type="dxa"/>
          <w:right w:w="0" w:type="dxa"/>
        </w:tblCellMar>
        <w:tblLook w:val="01E0"/>
      </w:tblPr>
      <w:tblGrid>
        <w:gridCol w:w="1716"/>
        <w:gridCol w:w="1704"/>
        <w:gridCol w:w="1620"/>
        <w:gridCol w:w="1980"/>
        <w:gridCol w:w="1752"/>
      </w:tblGrid>
      <w:tr>
        <w:trPr>
          <w:trHeight w:val="329" w:hRule="exact"/>
        </w:trPr>
        <w:tc>
          <w:tcPr>
            <w:tcW w:w="1716" w:type="dxa"/>
            <w:tcBorders>
              <w:top w:val="single" w:sz="4" w:space="0" w:color="000000"/>
              <w:left w:val="single" w:sz="4" w:space="0" w:color="000000"/>
              <w:bottom w:val="single" w:sz="4" w:space="0" w:color="000000"/>
              <w:right w:val="single" w:sz="4" w:space="0" w:color="000000"/>
            </w:tcBorders>
            <w:shd w:val="clear" w:color="auto" w:fill="C0C0C0"/>
          </w:tcPr>
          <w:p>
            <w:pPr/>
          </w:p>
        </w:tc>
        <w:tc>
          <w:tcPr>
            <w:tcW w:w="170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6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本年比上年增减（％）</w:t>
            </w:r>
          </w:p>
        </w:tc>
        <w:tc>
          <w:tcPr>
            <w:tcW w:w="175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30" w:hRule="exact"/>
        </w:trPr>
        <w:tc>
          <w:tcPr>
            <w:tcW w:w="171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营业总收入（元）</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741,457,812.06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468,199,458.05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58.36%</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452,715,170.32</w:t>
            </w:r>
          </w:p>
        </w:tc>
      </w:tr>
      <w:tr>
        <w:trPr>
          <w:trHeight w:val="330" w:hRule="exact"/>
        </w:trPr>
        <w:tc>
          <w:tcPr>
            <w:tcW w:w="171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营业利润（元）</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181,280,206.96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94,141,240.12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92.56%</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93,212,405.38</w:t>
            </w:r>
          </w:p>
        </w:tc>
      </w:tr>
      <w:tr>
        <w:trPr>
          <w:trHeight w:val="330" w:hRule="exact"/>
        </w:trPr>
        <w:tc>
          <w:tcPr>
            <w:tcW w:w="171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利润总额（元）</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199,610,510.31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107,845,521.31</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85.09%</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107,460,124.95</w:t>
            </w:r>
          </w:p>
        </w:tc>
      </w:tr>
      <w:tr>
        <w:trPr>
          <w:trHeight w:val="650" w:hRule="exact"/>
        </w:trPr>
        <w:tc>
          <w:tcPr>
            <w:tcW w:w="171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7"/>
              <w:ind w:left="221" w:right="42" w:hanging="180"/>
              <w:jc w:val="left"/>
              <w:rPr>
                <w:rFonts w:ascii="宋体" w:hAnsi="宋体" w:cs="宋体" w:eastAsia="宋体" w:hint="default"/>
                <w:sz w:val="18"/>
                <w:szCs w:val="18"/>
              </w:rPr>
            </w:pPr>
            <w:r>
              <w:rPr>
                <w:rFonts w:ascii="宋体" w:hAnsi="宋体" w:cs="宋体" w:eastAsia="宋体" w:hint="default"/>
                <w:sz w:val="18"/>
                <w:szCs w:val="18"/>
              </w:rPr>
              <w:t>归属于上市公司股东 的净利润（元）</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178,809,583.01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94,047,869.79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90.13%</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90,815,103.05</w:t>
            </w:r>
          </w:p>
        </w:tc>
      </w:tr>
      <w:tr>
        <w:trPr>
          <w:trHeight w:val="970" w:hRule="exact"/>
        </w:trPr>
        <w:tc>
          <w:tcPr>
            <w:tcW w:w="171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41" w:right="42"/>
              <w:jc w:val="center"/>
              <w:rPr>
                <w:rFonts w:ascii="宋体" w:hAnsi="宋体" w:cs="宋体" w:eastAsia="宋体" w:hint="default"/>
                <w:sz w:val="18"/>
                <w:szCs w:val="18"/>
              </w:rPr>
            </w:pPr>
            <w:r>
              <w:rPr>
                <w:rFonts w:ascii="宋体" w:hAnsi="宋体" w:cs="宋体" w:eastAsia="宋体" w:hint="default"/>
                <w:sz w:val="18"/>
                <w:szCs w:val="18"/>
              </w:rPr>
              <w:t>归属于上市公司股东 的扣除非经常性损益 的净利润（元）</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0"/>
              <w:jc w:val="center"/>
              <w:rPr>
                <w:rFonts w:ascii="Times New Roman" w:hAnsi="Times New Roman" w:cs="Times New Roman" w:eastAsia="Times New Roman" w:hint="default"/>
                <w:sz w:val="18"/>
                <w:szCs w:val="18"/>
              </w:rPr>
            </w:pPr>
            <w:r>
              <w:rPr>
                <w:rFonts w:ascii="Times New Roman"/>
                <w:sz w:val="18"/>
              </w:rPr>
              <w:t>177,441,465.47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
              <w:jc w:val="center"/>
              <w:rPr>
                <w:rFonts w:ascii="Times New Roman" w:hAnsi="Times New Roman" w:cs="Times New Roman" w:eastAsia="Times New Roman" w:hint="default"/>
                <w:sz w:val="18"/>
                <w:szCs w:val="18"/>
              </w:rPr>
            </w:pPr>
            <w:r>
              <w:rPr>
                <w:rFonts w:ascii="Times New Roman"/>
                <w:sz w:val="18"/>
              </w:rPr>
              <w:t>95,165,367.60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
              <w:jc w:val="center"/>
              <w:rPr>
                <w:rFonts w:ascii="Times New Roman" w:hAnsi="Times New Roman" w:cs="Times New Roman" w:eastAsia="Times New Roman" w:hint="default"/>
                <w:sz w:val="18"/>
                <w:szCs w:val="18"/>
              </w:rPr>
            </w:pPr>
            <w:r>
              <w:rPr>
                <w:rFonts w:ascii="Times New Roman"/>
                <w:sz w:val="18"/>
              </w:rPr>
              <w:t>86.46%</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
              <w:jc w:val="center"/>
              <w:rPr>
                <w:rFonts w:ascii="Times New Roman" w:hAnsi="Times New Roman" w:cs="Times New Roman" w:eastAsia="Times New Roman" w:hint="default"/>
                <w:sz w:val="18"/>
                <w:szCs w:val="18"/>
              </w:rPr>
            </w:pPr>
            <w:r>
              <w:rPr>
                <w:rFonts w:ascii="Times New Roman"/>
                <w:sz w:val="18"/>
              </w:rPr>
              <w:t>91,506,694.91</w:t>
            </w:r>
          </w:p>
        </w:tc>
      </w:tr>
      <w:tr>
        <w:trPr>
          <w:trHeight w:val="650" w:hRule="exact"/>
        </w:trPr>
        <w:tc>
          <w:tcPr>
            <w:tcW w:w="171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7"/>
              <w:ind w:left="221" w:right="42" w:hanging="180"/>
              <w:jc w:val="left"/>
              <w:rPr>
                <w:rFonts w:ascii="宋体" w:hAnsi="宋体" w:cs="宋体" w:eastAsia="宋体" w:hint="default"/>
                <w:sz w:val="18"/>
                <w:szCs w:val="18"/>
              </w:rPr>
            </w:pPr>
            <w:r>
              <w:rPr>
                <w:rFonts w:ascii="宋体" w:hAnsi="宋体" w:cs="宋体" w:eastAsia="宋体" w:hint="default"/>
                <w:sz w:val="18"/>
                <w:szCs w:val="18"/>
              </w:rPr>
              <w:t>经营活动产生的现金 流量净额（元）</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50,486,330.80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36,947,898.55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36.64%</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30,226,761.39</w:t>
            </w:r>
          </w:p>
        </w:tc>
      </w:tr>
      <w:tr>
        <w:trPr>
          <w:trHeight w:val="650" w:hRule="exact"/>
        </w:trPr>
        <w:tc>
          <w:tcPr>
            <w:tcW w:w="1716" w:type="dxa"/>
            <w:tcBorders>
              <w:top w:val="single" w:sz="4" w:space="0" w:color="000000"/>
              <w:left w:val="single" w:sz="4" w:space="0" w:color="000000"/>
              <w:bottom w:val="single" w:sz="4" w:space="0" w:color="000000"/>
              <w:right w:val="single" w:sz="4" w:space="0" w:color="000000"/>
            </w:tcBorders>
            <w:shd w:val="clear" w:color="auto" w:fill="C0C0C0"/>
          </w:tcPr>
          <w:p>
            <w:pPr/>
          </w:p>
        </w:tc>
        <w:tc>
          <w:tcPr>
            <w:tcW w:w="170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年末</w:t>
            </w:r>
          </w:p>
        </w:tc>
        <w:tc>
          <w:tcPr>
            <w:tcW w:w="16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9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本年末比上年末增减</w:t>
            </w:r>
          </w:p>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75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330" w:hRule="exact"/>
        </w:trPr>
        <w:tc>
          <w:tcPr>
            <w:tcW w:w="171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资产总额（元）</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1,707,401,634.51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1,491,325,077.70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sz w:val="18"/>
              </w:rPr>
              <w:t>14.49%</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1,121,399,380.18</w:t>
            </w:r>
          </w:p>
        </w:tc>
      </w:tr>
      <w:tr>
        <w:trPr>
          <w:trHeight w:val="330" w:hRule="exact"/>
        </w:trPr>
        <w:tc>
          <w:tcPr>
            <w:tcW w:w="171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负债总额（元）</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392,997,370.16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250,549,204.79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56.85%</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sz w:val="18"/>
              </w:rPr>
              <w:t>142,916,127.06</w:t>
            </w:r>
          </w:p>
        </w:tc>
      </w:tr>
      <w:tr>
        <w:trPr>
          <w:trHeight w:val="649" w:hRule="exact"/>
        </w:trPr>
        <w:tc>
          <w:tcPr>
            <w:tcW w:w="171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41" w:right="42"/>
              <w:jc w:val="left"/>
              <w:rPr>
                <w:rFonts w:ascii="宋体" w:hAnsi="宋体" w:cs="宋体" w:eastAsia="宋体" w:hint="default"/>
                <w:sz w:val="18"/>
                <w:szCs w:val="18"/>
              </w:rPr>
            </w:pPr>
            <w:r>
              <w:rPr>
                <w:rFonts w:ascii="宋体" w:hAnsi="宋体" w:cs="宋体" w:eastAsia="宋体" w:hint="default"/>
                <w:sz w:val="18"/>
                <w:szCs w:val="18"/>
              </w:rPr>
              <w:t>归属于上市公司股东 的所有者权益（元）</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1,314,404,264.35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1,240,775,872.91</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5.93%</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978,483,253.12</w:t>
            </w:r>
          </w:p>
        </w:tc>
      </w:tr>
      <w:tr>
        <w:trPr>
          <w:trHeight w:val="331" w:hRule="exact"/>
        </w:trPr>
        <w:tc>
          <w:tcPr>
            <w:tcW w:w="171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总股本（股）</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344,430,450.00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264,946,500.00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30.00%</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264,946,500.00</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620" w:right="0"/>
        <w:jc w:val="left"/>
      </w:pPr>
      <w:r>
        <w:rPr/>
        <w:t>二、公司主要会计指标</w:t>
      </w:r>
    </w:p>
    <w:p>
      <w:pPr>
        <w:spacing w:line="240" w:lineRule="auto" w:before="1"/>
        <w:rPr>
          <w:rFonts w:ascii="宋体" w:hAnsi="宋体" w:cs="宋体" w:eastAsia="宋体" w:hint="default"/>
          <w:sz w:val="12"/>
          <w:szCs w:val="12"/>
        </w:rPr>
      </w:pPr>
    </w:p>
    <w:p>
      <w:pPr>
        <w:spacing w:before="44"/>
        <w:ind w:left="0" w:right="273"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13"/>
        <w:rPr>
          <w:rFonts w:ascii="宋体" w:hAnsi="宋体" w:cs="宋体" w:eastAsia="宋体" w:hint="default"/>
          <w:sz w:val="10"/>
          <w:szCs w:val="10"/>
        </w:rPr>
      </w:pPr>
    </w:p>
    <w:tbl>
      <w:tblPr>
        <w:tblW w:w="0" w:type="auto"/>
        <w:jc w:val="left"/>
        <w:tblInd w:w="131" w:type="dxa"/>
        <w:tblLayout w:type="fixed"/>
        <w:tblCellMar>
          <w:top w:w="0" w:type="dxa"/>
          <w:left w:w="0" w:type="dxa"/>
          <w:bottom w:w="0" w:type="dxa"/>
          <w:right w:w="0" w:type="dxa"/>
        </w:tblCellMar>
        <w:tblLook w:val="01E0"/>
      </w:tblPr>
      <w:tblGrid>
        <w:gridCol w:w="2287"/>
        <w:gridCol w:w="1496"/>
        <w:gridCol w:w="1620"/>
        <w:gridCol w:w="1800"/>
        <w:gridCol w:w="1652"/>
      </w:tblGrid>
      <w:tr>
        <w:trPr>
          <w:trHeight w:val="330" w:hRule="exact"/>
        </w:trPr>
        <w:tc>
          <w:tcPr>
            <w:tcW w:w="2287" w:type="dxa"/>
            <w:tcBorders>
              <w:top w:val="single" w:sz="4" w:space="0" w:color="000000"/>
              <w:left w:val="single" w:sz="4" w:space="0" w:color="000000"/>
              <w:bottom w:val="single" w:sz="4" w:space="0" w:color="000000"/>
              <w:right w:val="single" w:sz="4" w:space="0" w:color="000000"/>
            </w:tcBorders>
            <w:shd w:val="clear" w:color="auto" w:fill="C0C0C0"/>
          </w:tcPr>
          <w:p>
            <w:pPr/>
          </w:p>
        </w:tc>
        <w:tc>
          <w:tcPr>
            <w:tcW w:w="149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45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6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22" w:right="-33"/>
              <w:jc w:val="center"/>
              <w:rPr>
                <w:rFonts w:ascii="宋体" w:hAnsi="宋体" w:cs="宋体" w:eastAsia="宋体" w:hint="default"/>
                <w:sz w:val="18"/>
                <w:szCs w:val="18"/>
              </w:rPr>
            </w:pPr>
            <w:r>
              <w:rPr>
                <w:rFonts w:ascii="宋体" w:hAnsi="宋体" w:cs="宋体" w:eastAsia="宋体" w:hint="default"/>
                <w:sz w:val="18"/>
                <w:szCs w:val="18"/>
              </w:rPr>
              <w:t>本年比上年增减（％）</w:t>
            </w:r>
          </w:p>
        </w:tc>
        <w:tc>
          <w:tcPr>
            <w:tcW w:w="165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30" w:hRule="exact"/>
        </w:trPr>
        <w:tc>
          <w:tcPr>
            <w:tcW w:w="228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 w:right="0"/>
              <w:jc w:val="center"/>
              <w:rPr>
                <w:rFonts w:ascii="Times New Roman" w:hAnsi="Times New Roman" w:cs="Times New Roman" w:eastAsia="Times New Roman" w:hint="default"/>
                <w:sz w:val="18"/>
                <w:szCs w:val="18"/>
              </w:rPr>
            </w:pPr>
            <w:r>
              <w:rPr>
                <w:rFonts w:ascii="Times New Roman"/>
                <w:sz w:val="18"/>
              </w:rPr>
              <w:t>0.52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sz w:val="18"/>
              </w:rPr>
              <w:t>0.27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92.59%</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0.26</w:t>
            </w:r>
          </w:p>
        </w:tc>
      </w:tr>
      <w:tr>
        <w:trPr>
          <w:trHeight w:val="330" w:hRule="exact"/>
        </w:trPr>
        <w:tc>
          <w:tcPr>
            <w:tcW w:w="228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 w:right="0"/>
              <w:jc w:val="center"/>
              <w:rPr>
                <w:rFonts w:ascii="Times New Roman" w:hAnsi="Times New Roman" w:cs="Times New Roman" w:eastAsia="Times New Roman" w:hint="default"/>
                <w:sz w:val="18"/>
                <w:szCs w:val="18"/>
              </w:rPr>
            </w:pPr>
            <w:r>
              <w:rPr>
                <w:rFonts w:ascii="Times New Roman"/>
                <w:sz w:val="18"/>
              </w:rPr>
              <w:t>0.52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sz w:val="18"/>
              </w:rPr>
              <w:t>0.27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92.59%</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0.26</w:t>
            </w:r>
          </w:p>
        </w:tc>
      </w:tr>
      <w:tr>
        <w:trPr>
          <w:trHeight w:val="649" w:hRule="exact"/>
        </w:trPr>
        <w:tc>
          <w:tcPr>
            <w:tcW w:w="228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0" w:lineRule="exact" w:before="10"/>
              <w:ind w:left="22" w:right="92"/>
              <w:jc w:val="left"/>
              <w:rPr>
                <w:rFonts w:ascii="宋体" w:hAnsi="宋体" w:cs="宋体" w:eastAsia="宋体" w:hint="default"/>
                <w:sz w:val="18"/>
                <w:szCs w:val="18"/>
              </w:rPr>
            </w:pPr>
            <w:r>
              <w:rPr>
                <w:rFonts w:ascii="宋体" w:hAnsi="宋体" w:cs="宋体" w:eastAsia="宋体" w:hint="default"/>
                <w:sz w:val="18"/>
                <w:szCs w:val="18"/>
              </w:rPr>
              <w:t>扣除非经常性损益后的基本 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0.52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0.28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85.71%</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0.27</w:t>
            </w:r>
          </w:p>
        </w:tc>
      </w:tr>
      <w:tr>
        <w:trPr>
          <w:trHeight w:val="330" w:hRule="exact"/>
        </w:trPr>
        <w:tc>
          <w:tcPr>
            <w:tcW w:w="228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tabs>
                <w:tab w:pos="466" w:val="left" w:leader="none"/>
              </w:tabs>
              <w:spacing w:line="240" w:lineRule="auto" w:before="53"/>
              <w:ind w:left="-123" w:right="0"/>
              <w:jc w:val="left"/>
              <w:rPr>
                <w:rFonts w:ascii="Times New Roman" w:hAnsi="Times New Roman" w:cs="Times New Roman" w:eastAsia="Times New Roman" w:hint="default"/>
                <w:sz w:val="18"/>
                <w:szCs w:val="18"/>
              </w:rPr>
            </w:pPr>
            <w:r>
              <w:rPr>
                <w:rFonts w:ascii="宋体" w:hAnsi="宋体" w:cs="宋体" w:eastAsia="宋体" w:hint="default"/>
                <w:position w:val="-3"/>
                <w:sz w:val="18"/>
                <w:szCs w:val="18"/>
              </w:rPr>
              <w:t>）</w:t>
              <w:tab/>
            </w:r>
            <w:r>
              <w:rPr>
                <w:rFonts w:ascii="Times New Roman" w:hAnsi="Times New Roman" w:cs="Times New Roman" w:eastAsia="Times New Roman" w:hint="default"/>
                <w:sz w:val="18"/>
                <w:szCs w:val="18"/>
              </w:rPr>
              <w:t>14.07%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9.17%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4.90%</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16.85%</w:t>
            </w:r>
          </w:p>
        </w:tc>
      </w:tr>
      <w:tr>
        <w:trPr>
          <w:trHeight w:val="650" w:hRule="exact"/>
        </w:trPr>
        <w:tc>
          <w:tcPr>
            <w:tcW w:w="228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7"/>
              <w:ind w:left="22" w:right="92"/>
              <w:jc w:val="left"/>
              <w:rPr>
                <w:rFonts w:ascii="宋体" w:hAnsi="宋体" w:cs="宋体" w:eastAsia="宋体" w:hint="default"/>
                <w:sz w:val="18"/>
                <w:szCs w:val="18"/>
              </w:rPr>
            </w:pPr>
            <w:r>
              <w:rPr>
                <w:rFonts w:ascii="宋体" w:hAnsi="宋体" w:cs="宋体" w:eastAsia="宋体" w:hint="default"/>
                <w:sz w:val="18"/>
                <w:szCs w:val="18"/>
              </w:rPr>
              <w:t>扣除非经常性损益后的加权 平均净资产收益率（％）</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66" w:right="0"/>
              <w:jc w:val="left"/>
              <w:rPr>
                <w:rFonts w:ascii="Times New Roman" w:hAnsi="Times New Roman" w:cs="Times New Roman" w:eastAsia="Times New Roman" w:hint="default"/>
                <w:sz w:val="18"/>
                <w:szCs w:val="18"/>
              </w:rPr>
            </w:pPr>
            <w:r>
              <w:rPr>
                <w:rFonts w:ascii="Times New Roman"/>
                <w:sz w:val="18"/>
              </w:rPr>
              <w:t>13.96%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9.28%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4.68%</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16.98%</w:t>
            </w:r>
          </w:p>
        </w:tc>
      </w:tr>
      <w:tr>
        <w:trPr>
          <w:trHeight w:val="650" w:hRule="exact"/>
        </w:trPr>
        <w:tc>
          <w:tcPr>
            <w:tcW w:w="228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0" w:lineRule="exact" w:before="10"/>
              <w:ind w:left="22" w:right="92"/>
              <w:jc w:val="left"/>
              <w:rPr>
                <w:rFonts w:ascii="宋体" w:hAnsi="宋体" w:cs="宋体" w:eastAsia="宋体" w:hint="default"/>
                <w:sz w:val="18"/>
                <w:szCs w:val="18"/>
              </w:rPr>
            </w:pPr>
            <w:r>
              <w:rPr>
                <w:rFonts w:ascii="宋体" w:hAnsi="宋体" w:cs="宋体" w:eastAsia="宋体" w:hint="default"/>
                <w:sz w:val="18"/>
                <w:szCs w:val="18"/>
              </w:rPr>
              <w:t>每股经营活动产生的现金流 量净额（元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0.15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0.14</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7.14%</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0.11</w:t>
            </w:r>
          </w:p>
        </w:tc>
      </w:tr>
      <w:tr>
        <w:trPr>
          <w:trHeight w:val="649" w:hRule="exact"/>
        </w:trPr>
        <w:tc>
          <w:tcPr>
            <w:tcW w:w="2287" w:type="dxa"/>
            <w:tcBorders>
              <w:top w:val="single" w:sz="4" w:space="0" w:color="000000"/>
              <w:left w:val="single" w:sz="4" w:space="0" w:color="000000"/>
              <w:bottom w:val="single" w:sz="4" w:space="0" w:color="000000"/>
              <w:right w:val="single" w:sz="4" w:space="0" w:color="000000"/>
            </w:tcBorders>
            <w:shd w:val="clear" w:color="auto" w:fill="C0C0C0"/>
          </w:tcPr>
          <w:p>
            <w:pPr/>
          </w:p>
        </w:tc>
        <w:tc>
          <w:tcPr>
            <w:tcW w:w="149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36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年末</w:t>
            </w:r>
          </w:p>
        </w:tc>
        <w:tc>
          <w:tcPr>
            <w:tcW w:w="16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8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本年末比上年末增减</w:t>
            </w:r>
          </w:p>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65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650" w:hRule="exact"/>
        </w:trPr>
        <w:tc>
          <w:tcPr>
            <w:tcW w:w="228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0" w:lineRule="exact" w:before="11"/>
              <w:ind w:left="22" w:right="92"/>
              <w:jc w:val="left"/>
              <w:rPr>
                <w:rFonts w:ascii="宋体" w:hAnsi="宋体" w:cs="宋体" w:eastAsia="宋体" w:hint="default"/>
                <w:sz w:val="18"/>
                <w:szCs w:val="18"/>
              </w:rPr>
            </w:pPr>
            <w:r>
              <w:rPr>
                <w:rFonts w:ascii="宋体" w:hAnsi="宋体" w:cs="宋体" w:eastAsia="宋体" w:hint="default"/>
                <w:sz w:val="18"/>
                <w:szCs w:val="18"/>
              </w:rPr>
              <w:t>归属于上市公司股东的每股 净资产（元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3.82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4.68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-18.38%</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3.69</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1100" w:bottom="1240" w:left="1660" w:right="1140"/>
        </w:sectPr>
      </w:pPr>
    </w:p>
    <w:p>
      <w:pPr>
        <w:spacing w:line="240" w:lineRule="auto" w:before="6"/>
        <w:rPr>
          <w:rFonts w:ascii="宋体" w:hAnsi="宋体" w:cs="宋体" w:eastAsia="宋体" w:hint="default"/>
          <w:sz w:val="24"/>
          <w:szCs w:val="24"/>
        </w:rPr>
      </w:pPr>
    </w:p>
    <w:tbl>
      <w:tblPr>
        <w:tblW w:w="0" w:type="auto"/>
        <w:jc w:val="left"/>
        <w:tblInd w:w="131" w:type="dxa"/>
        <w:tblLayout w:type="fixed"/>
        <w:tblCellMar>
          <w:top w:w="0" w:type="dxa"/>
          <w:left w:w="0" w:type="dxa"/>
          <w:bottom w:w="0" w:type="dxa"/>
          <w:right w:w="0" w:type="dxa"/>
        </w:tblCellMar>
        <w:tblLook w:val="01E0"/>
      </w:tblPr>
      <w:tblGrid>
        <w:gridCol w:w="2287"/>
        <w:gridCol w:w="1496"/>
        <w:gridCol w:w="1620"/>
        <w:gridCol w:w="1800"/>
        <w:gridCol w:w="1652"/>
      </w:tblGrid>
      <w:tr>
        <w:trPr>
          <w:trHeight w:val="330" w:hRule="exact"/>
        </w:trPr>
        <w:tc>
          <w:tcPr>
            <w:tcW w:w="228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资产负债率（％）</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66" w:right="0"/>
              <w:jc w:val="left"/>
              <w:rPr>
                <w:rFonts w:ascii="Times New Roman" w:hAnsi="Times New Roman" w:cs="Times New Roman" w:eastAsia="Times New Roman" w:hint="default"/>
                <w:sz w:val="18"/>
                <w:szCs w:val="18"/>
              </w:rPr>
            </w:pPr>
            <w:r>
              <w:rPr>
                <w:rFonts w:ascii="Times New Roman"/>
                <w:sz w:val="18"/>
              </w:rPr>
              <w:t>23.02%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526" w:right="0"/>
              <w:jc w:val="left"/>
              <w:rPr>
                <w:rFonts w:ascii="Times New Roman" w:hAnsi="Times New Roman" w:cs="Times New Roman" w:eastAsia="Times New Roman" w:hint="default"/>
                <w:sz w:val="18"/>
                <w:szCs w:val="18"/>
              </w:rPr>
            </w:pPr>
            <w:r>
              <w:rPr>
                <w:rFonts w:ascii="Times New Roman"/>
                <w:sz w:val="18"/>
              </w:rPr>
              <w:t>16.80%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6.22%</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543" w:right="0"/>
              <w:jc w:val="left"/>
              <w:rPr>
                <w:rFonts w:ascii="Times New Roman" w:hAnsi="Times New Roman" w:cs="Times New Roman" w:eastAsia="Times New Roman" w:hint="default"/>
                <w:sz w:val="18"/>
                <w:szCs w:val="18"/>
              </w:rPr>
            </w:pPr>
            <w:r>
              <w:rPr>
                <w:rFonts w:ascii="Times New Roman"/>
                <w:sz w:val="18"/>
              </w:rPr>
              <w:t>12.74%</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620" w:right="214"/>
        <w:jc w:val="left"/>
      </w:pPr>
      <w:r>
        <w:rPr/>
        <w:t>三、非经常性损益项目</w:t>
      </w:r>
    </w:p>
    <w:p>
      <w:pPr>
        <w:spacing w:line="240" w:lineRule="auto" w:before="1"/>
        <w:rPr>
          <w:rFonts w:ascii="宋体" w:hAnsi="宋体" w:cs="宋体" w:eastAsia="宋体" w:hint="default"/>
          <w:sz w:val="12"/>
          <w:szCs w:val="12"/>
        </w:rPr>
      </w:pPr>
    </w:p>
    <w:p>
      <w:pPr>
        <w:spacing w:before="44"/>
        <w:ind w:left="0" w:right="433"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1"/>
        <w:rPr>
          <w:rFonts w:ascii="宋体" w:hAnsi="宋体" w:cs="宋体" w:eastAsia="宋体" w:hint="default"/>
          <w:sz w:val="11"/>
          <w:szCs w:val="11"/>
        </w:rPr>
      </w:pPr>
    </w:p>
    <w:tbl>
      <w:tblPr>
        <w:tblW w:w="0" w:type="auto"/>
        <w:jc w:val="left"/>
        <w:tblInd w:w="135" w:type="dxa"/>
        <w:tblLayout w:type="fixed"/>
        <w:tblCellMar>
          <w:top w:w="0" w:type="dxa"/>
          <w:left w:w="0" w:type="dxa"/>
          <w:bottom w:w="0" w:type="dxa"/>
          <w:right w:w="0" w:type="dxa"/>
        </w:tblCellMar>
        <w:tblLook w:val="01E0"/>
      </w:tblPr>
      <w:tblGrid>
        <w:gridCol w:w="3780"/>
        <w:gridCol w:w="1260"/>
        <w:gridCol w:w="1440"/>
        <w:gridCol w:w="1260"/>
        <w:gridCol w:w="1260"/>
      </w:tblGrid>
      <w:tr>
        <w:trPr>
          <w:trHeight w:val="329" w:hRule="exact"/>
        </w:trPr>
        <w:tc>
          <w:tcPr>
            <w:tcW w:w="37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1163" w:right="0"/>
              <w:jc w:val="left"/>
              <w:rPr>
                <w:rFonts w:ascii="宋体" w:hAnsi="宋体" w:cs="宋体" w:eastAsia="宋体" w:hint="default"/>
                <w:sz w:val="18"/>
                <w:szCs w:val="18"/>
              </w:rPr>
            </w:pPr>
            <w:r>
              <w:rPr>
                <w:rFonts w:ascii="宋体" w:hAnsi="宋体" w:cs="宋体" w:eastAsia="宋体" w:hint="default"/>
                <w:sz w:val="18"/>
                <w:szCs w:val="18"/>
              </w:rPr>
              <w:t>非经常性损益项目</w:t>
            </w: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56"/>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年金额</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附注（如适用）</w:t>
            </w: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15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15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r>
      <w:tr>
        <w:trPr>
          <w:trHeight w:val="330" w:hRule="exact"/>
        </w:trPr>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20"/>
              <w:jc w:val="right"/>
              <w:rPr>
                <w:rFonts w:ascii="Times New Roman" w:hAnsi="Times New Roman" w:cs="Times New Roman" w:eastAsia="Times New Roman" w:hint="default"/>
                <w:sz w:val="18"/>
                <w:szCs w:val="18"/>
              </w:rPr>
            </w:pPr>
            <w:r>
              <w:rPr>
                <w:rFonts w:ascii="Times New Roman"/>
                <w:spacing w:val="-1"/>
                <w:sz w:val="18"/>
              </w:rPr>
              <w:t>-2,297,013.86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sz w:val="18"/>
              </w:rPr>
              <w:t>2,174.88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sz w:val="18"/>
              </w:rPr>
              <w:t>0.00</w:t>
            </w:r>
          </w:p>
        </w:tc>
      </w:tr>
      <w:tr>
        <w:trPr>
          <w:trHeight w:val="351" w:hRule="exact"/>
        </w:trPr>
        <w:tc>
          <w:tcPr>
            <w:tcW w:w="37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pacing w:val="-3"/>
                <w:sz w:val="18"/>
                <w:szCs w:val="18"/>
              </w:rPr>
              <w:t>计入当期损益的政府补助，但与公司正常经营业</w:t>
            </w:r>
          </w:p>
        </w:tc>
        <w:tc>
          <w:tcPr>
            <w:tcW w:w="1260" w:type="dxa"/>
            <w:tcBorders>
              <w:top w:val="single" w:sz="4" w:space="0" w:color="000000"/>
              <w:left w:val="single" w:sz="4" w:space="0" w:color="000000"/>
              <w:bottom w:val="nil" w:sz="6" w:space="0" w:color="auto"/>
              <w:right w:val="single" w:sz="4" w:space="0" w:color="000000"/>
            </w:tcBorders>
          </w:tcPr>
          <w:p>
            <w:pPr/>
          </w:p>
        </w:tc>
        <w:tc>
          <w:tcPr>
            <w:tcW w:w="144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r>
      <w:tr>
        <w:trPr>
          <w:trHeight w:val="336" w:hRule="exact"/>
        </w:trPr>
        <w:tc>
          <w:tcPr>
            <w:tcW w:w="3780"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22" w:right="0"/>
              <w:jc w:val="left"/>
              <w:rPr>
                <w:rFonts w:ascii="宋体" w:hAnsi="宋体" w:cs="宋体" w:eastAsia="宋体" w:hint="default"/>
                <w:sz w:val="18"/>
                <w:szCs w:val="18"/>
              </w:rPr>
            </w:pPr>
            <w:r>
              <w:rPr>
                <w:rFonts w:ascii="宋体" w:hAnsi="宋体" w:cs="宋体" w:eastAsia="宋体" w:hint="default"/>
                <w:spacing w:val="-3"/>
                <w:sz w:val="18"/>
                <w:szCs w:val="18"/>
              </w:rPr>
              <w:t>务密切相关，符合国家政策规定、按照一定标准</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right="150"/>
              <w:jc w:val="right"/>
              <w:rPr>
                <w:rFonts w:ascii="Times New Roman" w:hAnsi="Times New Roman" w:cs="Times New Roman" w:eastAsia="Times New Roman" w:hint="default"/>
                <w:sz w:val="18"/>
                <w:szCs w:val="18"/>
              </w:rPr>
            </w:pPr>
            <w:r>
              <w:rPr>
                <w:rFonts w:ascii="Times New Roman"/>
                <w:spacing w:val="-1"/>
                <w:sz w:val="18"/>
              </w:rPr>
              <w:t>2,484,000.00</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right="21"/>
              <w:jc w:val="right"/>
              <w:rPr>
                <w:rFonts w:ascii="Times New Roman" w:hAnsi="Times New Roman" w:cs="Times New Roman" w:eastAsia="Times New Roman" w:hint="default"/>
                <w:sz w:val="18"/>
                <w:szCs w:val="18"/>
              </w:rPr>
            </w:pPr>
            <w:r>
              <w:rPr>
                <w:rFonts w:ascii="Times New Roman"/>
                <w:spacing w:val="-1"/>
                <w:sz w:val="18"/>
              </w:rPr>
              <w:t>2,154,921.00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right="21"/>
              <w:jc w:val="right"/>
              <w:rPr>
                <w:rFonts w:ascii="Times New Roman" w:hAnsi="Times New Roman" w:cs="Times New Roman" w:eastAsia="Times New Roman" w:hint="default"/>
                <w:sz w:val="18"/>
                <w:szCs w:val="18"/>
              </w:rPr>
            </w:pPr>
            <w:r>
              <w:rPr>
                <w:rFonts w:ascii="Times New Roman"/>
                <w:sz w:val="18"/>
              </w:rPr>
              <w:t>420,000.00</w:t>
            </w:r>
          </w:p>
        </w:tc>
      </w:tr>
      <w:tr>
        <w:trPr>
          <w:trHeight w:val="284" w:hRule="exact"/>
        </w:trPr>
        <w:tc>
          <w:tcPr>
            <w:tcW w:w="37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
              <w:ind w:left="22" w:right="0"/>
              <w:jc w:val="left"/>
              <w:rPr>
                <w:rFonts w:ascii="宋体" w:hAnsi="宋体" w:cs="宋体" w:eastAsia="宋体" w:hint="default"/>
                <w:sz w:val="18"/>
                <w:szCs w:val="18"/>
              </w:rPr>
            </w:pPr>
            <w:r>
              <w:rPr>
                <w:rFonts w:ascii="宋体" w:hAnsi="宋体" w:cs="宋体" w:eastAsia="宋体" w:hint="default"/>
                <w:sz w:val="18"/>
                <w:szCs w:val="18"/>
              </w:rPr>
              <w:t>定额或定量持续享受的政府补助除外</w:t>
            </w:r>
          </w:p>
        </w:tc>
        <w:tc>
          <w:tcPr>
            <w:tcW w:w="1260" w:type="dxa"/>
            <w:tcBorders>
              <w:top w:val="nil" w:sz="6" w:space="0" w:color="auto"/>
              <w:left w:val="single" w:sz="4" w:space="0" w:color="000000"/>
              <w:bottom w:val="single" w:sz="4" w:space="0" w:color="000000"/>
              <w:right w:val="single" w:sz="4" w:space="0" w:color="000000"/>
            </w:tcBorders>
          </w:tcPr>
          <w:p>
            <w:pPr/>
          </w:p>
        </w:tc>
        <w:tc>
          <w:tcPr>
            <w:tcW w:w="144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r>
      <w:tr>
        <w:trPr>
          <w:trHeight w:val="367" w:hRule="exact"/>
        </w:trPr>
        <w:tc>
          <w:tcPr>
            <w:tcW w:w="37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pacing w:val="6"/>
                <w:sz w:val="18"/>
                <w:szCs w:val="18"/>
              </w:rPr>
              <w:t>除同公司正常经营业务相关的有效套期保值业</w:t>
            </w:r>
          </w:p>
        </w:tc>
        <w:tc>
          <w:tcPr>
            <w:tcW w:w="1260" w:type="dxa"/>
            <w:tcBorders>
              <w:top w:val="single" w:sz="4" w:space="0" w:color="000000"/>
              <w:left w:val="single" w:sz="4" w:space="0" w:color="000000"/>
              <w:bottom w:val="nil" w:sz="6" w:space="0" w:color="auto"/>
              <w:right w:val="single" w:sz="4" w:space="0" w:color="000000"/>
            </w:tcBorders>
          </w:tcPr>
          <w:p>
            <w:pPr/>
          </w:p>
        </w:tc>
        <w:tc>
          <w:tcPr>
            <w:tcW w:w="144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r>
      <w:tr>
        <w:trPr>
          <w:trHeight w:val="303" w:hRule="exact"/>
        </w:trPr>
        <w:tc>
          <w:tcPr>
            <w:tcW w:w="3780"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22" w:right="0"/>
              <w:jc w:val="left"/>
              <w:rPr>
                <w:rFonts w:ascii="宋体" w:hAnsi="宋体" w:cs="宋体" w:eastAsia="宋体" w:hint="default"/>
                <w:sz w:val="18"/>
                <w:szCs w:val="18"/>
              </w:rPr>
            </w:pPr>
            <w:r>
              <w:rPr>
                <w:rFonts w:ascii="宋体" w:hAnsi="宋体" w:cs="宋体" w:eastAsia="宋体" w:hint="default"/>
                <w:spacing w:val="-3"/>
                <w:sz w:val="18"/>
                <w:szCs w:val="18"/>
              </w:rPr>
              <w:t>务外，持有交易性金融资产、交易性金融负债产</w:t>
            </w:r>
          </w:p>
        </w:tc>
        <w:tc>
          <w:tcPr>
            <w:tcW w:w="1260"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r>
      <w:tr>
        <w:trPr>
          <w:trHeight w:val="336" w:hRule="exact"/>
        </w:trPr>
        <w:tc>
          <w:tcPr>
            <w:tcW w:w="3780"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22" w:right="0"/>
              <w:jc w:val="left"/>
              <w:rPr>
                <w:rFonts w:ascii="宋体" w:hAnsi="宋体" w:cs="宋体" w:eastAsia="宋体" w:hint="default"/>
                <w:sz w:val="18"/>
                <w:szCs w:val="18"/>
              </w:rPr>
            </w:pPr>
            <w:r>
              <w:rPr>
                <w:rFonts w:ascii="宋体" w:hAnsi="宋体" w:cs="宋体" w:eastAsia="宋体" w:hint="default"/>
                <w:spacing w:val="-3"/>
                <w:sz w:val="18"/>
                <w:szCs w:val="18"/>
              </w:rPr>
              <w:t>生的公允价值变动损益，以及处置交易性金融资</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right="150"/>
              <w:jc w:val="right"/>
              <w:rPr>
                <w:rFonts w:ascii="Times New Roman" w:hAnsi="Times New Roman" w:cs="Times New Roman" w:eastAsia="Times New Roman" w:hint="default"/>
                <w:sz w:val="18"/>
                <w:szCs w:val="18"/>
              </w:rPr>
            </w:pPr>
            <w:r>
              <w:rPr>
                <w:rFonts w:ascii="Times New Roman"/>
                <w:spacing w:val="-1"/>
                <w:sz w:val="18"/>
              </w:rPr>
              <w:t>4,057,376.71</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right="20"/>
              <w:jc w:val="right"/>
              <w:rPr>
                <w:rFonts w:ascii="Times New Roman" w:hAnsi="Times New Roman" w:cs="Times New Roman" w:eastAsia="Times New Roman" w:hint="default"/>
                <w:sz w:val="18"/>
                <w:szCs w:val="18"/>
              </w:rPr>
            </w:pPr>
            <w:r>
              <w:rPr>
                <w:rFonts w:ascii="Times New Roman"/>
                <w:sz w:val="18"/>
              </w:rPr>
              <w:t>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right="21"/>
              <w:jc w:val="right"/>
              <w:rPr>
                <w:rFonts w:ascii="Times New Roman" w:hAnsi="Times New Roman" w:cs="Times New Roman" w:eastAsia="Times New Roman" w:hint="default"/>
                <w:sz w:val="18"/>
                <w:szCs w:val="18"/>
              </w:rPr>
            </w:pPr>
            <w:r>
              <w:rPr>
                <w:rFonts w:ascii="Times New Roman"/>
                <w:sz w:val="18"/>
              </w:rPr>
              <w:t>0.00</w:t>
            </w:r>
          </w:p>
        </w:tc>
      </w:tr>
      <w:tr>
        <w:trPr>
          <w:trHeight w:val="320" w:hRule="exact"/>
        </w:trPr>
        <w:tc>
          <w:tcPr>
            <w:tcW w:w="3780"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22" w:right="0"/>
              <w:jc w:val="left"/>
              <w:rPr>
                <w:rFonts w:ascii="宋体" w:hAnsi="宋体" w:cs="宋体" w:eastAsia="宋体" w:hint="default"/>
                <w:sz w:val="18"/>
                <w:szCs w:val="18"/>
              </w:rPr>
            </w:pPr>
            <w:r>
              <w:rPr>
                <w:rFonts w:ascii="宋体" w:hAnsi="宋体" w:cs="宋体" w:eastAsia="宋体" w:hint="default"/>
                <w:spacing w:val="-3"/>
                <w:sz w:val="18"/>
                <w:szCs w:val="18"/>
              </w:rPr>
              <w:t>产、交易性金融负债和可供出售金融资产取得的</w:t>
            </w:r>
          </w:p>
        </w:tc>
        <w:tc>
          <w:tcPr>
            <w:tcW w:w="1260"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r>
      <w:tr>
        <w:trPr>
          <w:trHeight w:val="282" w:hRule="exact"/>
        </w:trPr>
        <w:tc>
          <w:tcPr>
            <w:tcW w:w="37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
              <w:ind w:left="22"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260" w:type="dxa"/>
            <w:tcBorders>
              <w:top w:val="nil" w:sz="6" w:space="0" w:color="auto"/>
              <w:left w:val="single" w:sz="4" w:space="0" w:color="000000"/>
              <w:bottom w:val="single" w:sz="4" w:space="0" w:color="000000"/>
              <w:right w:val="single" w:sz="4" w:space="0" w:color="000000"/>
            </w:tcBorders>
          </w:tcPr>
          <w:p>
            <w:pPr/>
          </w:p>
        </w:tc>
        <w:tc>
          <w:tcPr>
            <w:tcW w:w="144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r>
      <w:tr>
        <w:trPr>
          <w:trHeight w:val="330" w:hRule="exact"/>
        </w:trPr>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24"/>
              <w:jc w:val="right"/>
              <w:rPr>
                <w:rFonts w:ascii="Times New Roman" w:hAnsi="Times New Roman" w:cs="Times New Roman" w:eastAsia="Times New Roman" w:hint="default"/>
                <w:sz w:val="18"/>
                <w:szCs w:val="18"/>
              </w:rPr>
            </w:pPr>
            <w:r>
              <w:rPr>
                <w:rFonts w:ascii="Times New Roman"/>
                <w:spacing w:val="-1"/>
                <w:sz w:val="18"/>
              </w:rPr>
              <w:t>-2,578,116.82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spacing w:val="-1"/>
                <w:sz w:val="18"/>
              </w:rPr>
              <w:t>-3,387,104.71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spacing w:val="-1"/>
                <w:sz w:val="18"/>
              </w:rPr>
              <w:t>-1,200,875.95</w:t>
            </w:r>
          </w:p>
        </w:tc>
      </w:tr>
      <w:tr>
        <w:trPr>
          <w:trHeight w:val="330" w:hRule="exact"/>
        </w:trPr>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87"/>
              <w:jc w:val="right"/>
              <w:rPr>
                <w:rFonts w:ascii="Times New Roman" w:hAnsi="Times New Roman" w:cs="Times New Roman" w:eastAsia="Times New Roman" w:hint="default"/>
                <w:sz w:val="18"/>
                <w:szCs w:val="18"/>
              </w:rPr>
            </w:pPr>
            <w:r>
              <w:rPr>
                <w:rFonts w:ascii="Times New Roman"/>
                <w:w w:val="95"/>
                <w:sz w:val="18"/>
              </w:rPr>
              <w:t>-298,128.49</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2"/>
              <w:jc w:val="right"/>
              <w:rPr>
                <w:rFonts w:ascii="Times New Roman" w:hAnsi="Times New Roman" w:cs="Times New Roman" w:eastAsia="Times New Roman" w:hint="default"/>
                <w:sz w:val="18"/>
                <w:szCs w:val="18"/>
              </w:rPr>
            </w:pPr>
            <w:r>
              <w:rPr>
                <w:rFonts w:ascii="Times New Roman"/>
                <w:spacing w:val="-2"/>
                <w:sz w:val="18"/>
              </w:rPr>
              <w:t>112,511.02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sz w:val="18"/>
              </w:rPr>
              <w:t>89,284.09</w:t>
            </w:r>
          </w:p>
        </w:tc>
      </w:tr>
      <w:tr>
        <w:trPr>
          <w:trHeight w:val="331" w:hRule="exact"/>
        </w:trPr>
        <w:tc>
          <w:tcPr>
            <w:tcW w:w="37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54"/>
              <w:jc w:val="right"/>
              <w:rPr>
                <w:rFonts w:ascii="Times New Roman" w:hAnsi="Times New Roman" w:cs="Times New Roman" w:eastAsia="Times New Roman" w:hint="default"/>
                <w:sz w:val="18"/>
                <w:szCs w:val="18"/>
              </w:rPr>
            </w:pPr>
            <w:r>
              <w:rPr>
                <w:rFonts w:ascii="Times New Roman"/>
                <w:spacing w:val="-1"/>
                <w:sz w:val="18"/>
              </w:rPr>
              <w:t>1,368,117.54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spacing w:val="-1"/>
                <w:sz w:val="18"/>
              </w:rPr>
              <w:t>-1,117,497.81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w w:val="95"/>
                <w:sz w:val="18"/>
              </w:rPr>
              <w:t>-691,591.86</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1048" w:top="1100" w:bottom="1240" w:left="1660" w:right="98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tabs>
          <w:tab w:pos="4702" w:val="left" w:leader="none"/>
        </w:tabs>
        <w:spacing w:before="1"/>
        <w:ind w:left="3417" w:right="492" w:firstLine="0"/>
        <w:jc w:val="left"/>
        <w:rPr>
          <w:rFonts w:ascii="宋体" w:hAnsi="宋体" w:cs="宋体" w:eastAsia="宋体" w:hint="default"/>
          <w:sz w:val="32"/>
          <w:szCs w:val="32"/>
        </w:rPr>
      </w:pPr>
      <w:r>
        <w:rPr>
          <w:rFonts w:ascii="宋体" w:hAnsi="宋体" w:cs="宋体" w:eastAsia="宋体" w:hint="default"/>
          <w:b/>
          <w:bCs/>
          <w:w w:val="95"/>
          <w:sz w:val="32"/>
          <w:szCs w:val="32"/>
        </w:rPr>
        <w:t>第三节</w:t>
        <w:tab/>
      </w:r>
      <w:r>
        <w:rPr>
          <w:rFonts w:ascii="宋体" w:hAnsi="宋体" w:cs="宋体" w:eastAsia="宋体" w:hint="default"/>
          <w:b/>
          <w:bCs/>
          <w:sz w:val="32"/>
          <w:szCs w:val="32"/>
        </w:rPr>
        <w:t>股份变动及股东情况</w:t>
      </w:r>
      <w:r>
        <w:rPr>
          <w:rFonts w:ascii="宋体" w:hAnsi="宋体" w:cs="宋体" w:eastAsia="宋体" w:hint="default"/>
          <w:sz w:val="32"/>
          <w:szCs w:val="32"/>
        </w:rPr>
      </w:r>
    </w:p>
    <w:p>
      <w:pPr>
        <w:spacing w:line="240" w:lineRule="auto" w:before="7"/>
        <w:rPr>
          <w:rFonts w:ascii="宋体" w:hAnsi="宋体" w:cs="宋体" w:eastAsia="宋体" w:hint="default"/>
          <w:b/>
          <w:bCs/>
          <w:sz w:val="34"/>
          <w:szCs w:val="34"/>
        </w:rPr>
      </w:pPr>
    </w:p>
    <w:p>
      <w:pPr>
        <w:pStyle w:val="BodyText"/>
        <w:spacing w:line="240" w:lineRule="auto" w:before="0"/>
        <w:ind w:left="1640" w:right="492"/>
        <w:jc w:val="left"/>
      </w:pPr>
      <w:r>
        <w:rPr/>
        <w:t>一、股份变动情况</w:t>
      </w:r>
    </w:p>
    <w:p>
      <w:pPr>
        <w:pStyle w:val="BodyText"/>
        <w:spacing w:line="240" w:lineRule="auto" w:before="154"/>
        <w:ind w:left="1640" w:right="492"/>
        <w:jc w:val="left"/>
      </w:pPr>
      <w:r>
        <w:rPr/>
        <w:t>（一）股份变动情况表</w:t>
      </w:r>
    </w:p>
    <w:p>
      <w:pPr>
        <w:spacing w:line="240" w:lineRule="auto" w:before="1"/>
        <w:rPr>
          <w:rFonts w:ascii="宋体" w:hAnsi="宋体" w:cs="宋体" w:eastAsia="宋体" w:hint="default"/>
          <w:sz w:val="12"/>
          <w:szCs w:val="12"/>
        </w:rPr>
      </w:pPr>
    </w:p>
    <w:p>
      <w:pPr>
        <w:spacing w:before="44"/>
        <w:ind w:left="0" w:right="613"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11"/>
          <w:szCs w:val="11"/>
        </w:rPr>
      </w:pPr>
    </w:p>
    <w:tbl>
      <w:tblPr>
        <w:tblW w:w="0" w:type="auto"/>
        <w:jc w:val="left"/>
        <w:tblInd w:w="107" w:type="dxa"/>
        <w:tblLayout w:type="fixed"/>
        <w:tblCellMar>
          <w:top w:w="0" w:type="dxa"/>
          <w:left w:w="0" w:type="dxa"/>
          <w:bottom w:w="0" w:type="dxa"/>
          <w:right w:w="0" w:type="dxa"/>
        </w:tblCellMar>
        <w:tblLook w:val="01E0"/>
      </w:tblPr>
      <w:tblGrid>
        <w:gridCol w:w="1980"/>
        <w:gridCol w:w="1195"/>
        <w:gridCol w:w="932"/>
        <w:gridCol w:w="600"/>
        <w:gridCol w:w="360"/>
        <w:gridCol w:w="1141"/>
        <w:gridCol w:w="1028"/>
        <w:gridCol w:w="1027"/>
        <w:gridCol w:w="1134"/>
        <w:gridCol w:w="829"/>
      </w:tblGrid>
      <w:tr>
        <w:trPr>
          <w:trHeight w:val="329" w:hRule="exact"/>
        </w:trPr>
        <w:tc>
          <w:tcPr>
            <w:tcW w:w="1980" w:type="dxa"/>
            <w:vMerge w:val="restart"/>
            <w:tcBorders>
              <w:top w:val="single" w:sz="4" w:space="0" w:color="000000"/>
              <w:left w:val="single" w:sz="4" w:space="0" w:color="000000"/>
              <w:right w:val="single" w:sz="4" w:space="0" w:color="000000"/>
            </w:tcBorders>
            <w:shd w:val="clear" w:color="auto" w:fill="C0C0C0"/>
          </w:tcPr>
          <w:p>
            <w:pPr/>
          </w:p>
        </w:tc>
        <w:tc>
          <w:tcPr>
            <w:tcW w:w="2128" w:type="dxa"/>
            <w:gridSpan w:val="2"/>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608"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57" w:type="dxa"/>
            <w:gridSpan w:val="5"/>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本次变动增减</w:t>
            </w:r>
          </w:p>
        </w:tc>
        <w:tc>
          <w:tcPr>
            <w:tcW w:w="1963" w:type="dxa"/>
            <w:gridSpan w:val="2"/>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526"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650" w:hRule="exact"/>
        </w:trPr>
        <w:tc>
          <w:tcPr>
            <w:tcW w:w="1980" w:type="dxa"/>
            <w:vMerge/>
            <w:tcBorders>
              <w:left w:val="single" w:sz="4" w:space="0" w:color="000000"/>
              <w:bottom w:val="single" w:sz="4" w:space="0" w:color="000000"/>
              <w:right w:val="single" w:sz="4" w:space="0" w:color="000000"/>
            </w:tcBorders>
            <w:shd w:val="clear" w:color="auto" w:fill="C0C0C0"/>
          </w:tcPr>
          <w:p>
            <w:pPr/>
          </w:p>
        </w:tc>
        <w:tc>
          <w:tcPr>
            <w:tcW w:w="1195"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93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91" w:right="0"/>
              <w:jc w:val="center"/>
              <w:rPr>
                <w:rFonts w:ascii="宋体" w:hAnsi="宋体" w:cs="宋体" w:eastAsia="宋体" w:hint="default"/>
                <w:sz w:val="18"/>
                <w:szCs w:val="18"/>
              </w:rPr>
            </w:pPr>
            <w:r>
              <w:rPr>
                <w:rFonts w:ascii="宋体" w:hAnsi="宋体" w:cs="宋体" w:eastAsia="宋体" w:hint="default"/>
                <w:spacing w:val="-13"/>
                <w:sz w:val="18"/>
                <w:szCs w:val="18"/>
              </w:rPr>
              <w:t>比例（</w:t>
            </w:r>
            <w:r>
              <w:rPr>
                <w:rFonts w:ascii="Times New Roman" w:hAnsi="Times New Roman" w:cs="Times New Roman" w:eastAsia="Times New Roman" w:hint="default"/>
                <w:spacing w:val="-13"/>
                <w:sz w:val="18"/>
                <w:szCs w:val="18"/>
              </w:rPr>
              <w:t>%</w:t>
            </w:r>
            <w:r>
              <w:rPr>
                <w:rFonts w:ascii="宋体" w:hAnsi="宋体" w:cs="宋体" w:eastAsia="宋体" w:hint="default"/>
                <w:spacing w:val="-13"/>
                <w:sz w:val="18"/>
                <w:szCs w:val="18"/>
              </w:rPr>
              <w:t>）</w:t>
            </w:r>
          </w:p>
        </w:tc>
        <w:tc>
          <w:tcPr>
            <w:tcW w:w="6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7"/>
              <w:ind w:left="115" w:right="113"/>
              <w:jc w:val="left"/>
              <w:rPr>
                <w:rFonts w:ascii="宋体" w:hAnsi="宋体" w:cs="宋体" w:eastAsia="宋体" w:hint="default"/>
                <w:sz w:val="18"/>
                <w:szCs w:val="18"/>
              </w:rPr>
            </w:pPr>
            <w:r>
              <w:rPr>
                <w:rFonts w:ascii="宋体" w:hAnsi="宋体" w:cs="宋体" w:eastAsia="宋体" w:hint="default"/>
                <w:sz w:val="18"/>
                <w:szCs w:val="18"/>
              </w:rPr>
              <w:t>发行 新股</w:t>
            </w:r>
          </w:p>
        </w:tc>
        <w:tc>
          <w:tcPr>
            <w:tcW w:w="3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7"/>
              <w:ind w:left="103" w:right="65"/>
              <w:jc w:val="left"/>
              <w:rPr>
                <w:rFonts w:ascii="宋体" w:hAnsi="宋体" w:cs="宋体" w:eastAsia="宋体" w:hint="default"/>
                <w:sz w:val="18"/>
                <w:szCs w:val="18"/>
              </w:rPr>
            </w:pPr>
            <w:r>
              <w:rPr>
                <w:rFonts w:ascii="宋体" w:hAnsi="宋体" w:cs="宋体" w:eastAsia="宋体" w:hint="default"/>
                <w:sz w:val="18"/>
                <w:szCs w:val="18"/>
              </w:rPr>
              <w:t>送 股</w:t>
            </w:r>
          </w:p>
        </w:tc>
        <w:tc>
          <w:tcPr>
            <w:tcW w:w="114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7"/>
              <w:ind w:left="385" w:right="294" w:hanging="90"/>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102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2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2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82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7"/>
              <w:ind w:left="229"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83"/>
              <w:ind w:left="15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452"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75"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80" w:right="0"/>
              <w:jc w:val="center"/>
              <w:rPr>
                <w:rFonts w:ascii="Times New Roman" w:hAnsi="Times New Roman" w:cs="Times New Roman" w:eastAsia="Times New Roman" w:hint="default"/>
                <w:sz w:val="18"/>
                <w:szCs w:val="18"/>
              </w:rPr>
            </w:pPr>
            <w:r>
              <w:rPr>
                <w:rFonts w:ascii="Times New Roman"/>
                <w:sz w:val="18"/>
              </w:rPr>
              <w:t>108,471,049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65" w:right="0"/>
              <w:jc w:val="center"/>
              <w:rPr>
                <w:rFonts w:ascii="Times New Roman" w:hAnsi="Times New Roman" w:cs="Times New Roman" w:eastAsia="Times New Roman" w:hint="default"/>
                <w:sz w:val="18"/>
                <w:szCs w:val="18"/>
              </w:rPr>
            </w:pPr>
            <w:r>
              <w:rPr>
                <w:rFonts w:ascii="Times New Roman"/>
                <w:sz w:val="18"/>
              </w:rPr>
              <w:t>40.94%</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32,479,046</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-1,617,417</w:t>
            </w:r>
            <w:r>
              <w:rPr>
                <w:rFonts w:ascii="Times New Roman"/>
                <w:sz w:val="18"/>
              </w:rPr>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30,861,629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7" w:right="0"/>
              <w:jc w:val="center"/>
              <w:rPr>
                <w:rFonts w:ascii="Times New Roman" w:hAnsi="Times New Roman" w:cs="Times New Roman" w:eastAsia="Times New Roman" w:hint="default"/>
                <w:sz w:val="18"/>
                <w:szCs w:val="18"/>
              </w:rPr>
            </w:pPr>
            <w:r>
              <w:rPr>
                <w:rFonts w:ascii="Times New Roman"/>
                <w:sz w:val="18"/>
              </w:rPr>
              <w:t>139,332,678</w:t>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40.45%</w:t>
            </w:r>
          </w:p>
        </w:tc>
      </w:tr>
      <w:tr>
        <w:trPr>
          <w:trHeight w:val="330"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0"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0"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49"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103" w:right="101"/>
              <w:jc w:val="left"/>
              <w:rPr>
                <w:rFonts w:ascii="宋体" w:hAnsi="宋体" w:cs="宋体" w:eastAsia="宋体" w:hint="default"/>
                <w:sz w:val="18"/>
                <w:szCs w:val="18"/>
              </w:rPr>
            </w:pPr>
            <w:r>
              <w:rPr>
                <w:rFonts w:ascii="宋体" w:hAnsi="宋体" w:cs="宋体" w:eastAsia="宋体" w:hint="default"/>
                <w:spacing w:val="-4"/>
                <w:sz w:val="18"/>
                <w:szCs w:val="18"/>
              </w:rPr>
              <w:t>其中：境内非国有法人</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持股</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0"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83"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0"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0"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0"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463"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0"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、高管股份</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0" w:right="0"/>
              <w:jc w:val="center"/>
              <w:rPr>
                <w:rFonts w:ascii="Times New Roman" w:hAnsi="Times New Roman" w:cs="Times New Roman" w:eastAsia="Times New Roman" w:hint="default"/>
                <w:sz w:val="18"/>
                <w:szCs w:val="18"/>
              </w:rPr>
            </w:pPr>
            <w:r>
              <w:rPr>
                <w:rFonts w:ascii="Times New Roman"/>
                <w:sz w:val="18"/>
              </w:rPr>
              <w:t>108,471,049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65" w:right="0"/>
              <w:jc w:val="center"/>
              <w:rPr>
                <w:rFonts w:ascii="Times New Roman" w:hAnsi="Times New Roman" w:cs="Times New Roman" w:eastAsia="Times New Roman" w:hint="default"/>
                <w:sz w:val="18"/>
                <w:szCs w:val="18"/>
              </w:rPr>
            </w:pPr>
            <w:r>
              <w:rPr>
                <w:rFonts w:ascii="Times New Roman"/>
                <w:sz w:val="18"/>
              </w:rPr>
              <w:t>40.94%</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0"/>
              <w:jc w:val="right"/>
              <w:rPr>
                <w:rFonts w:ascii="Times New Roman" w:hAnsi="Times New Roman" w:cs="Times New Roman" w:eastAsia="Times New Roman" w:hint="default"/>
                <w:sz w:val="18"/>
                <w:szCs w:val="18"/>
              </w:rPr>
            </w:pPr>
            <w:r>
              <w:rPr>
                <w:rFonts w:ascii="Times New Roman"/>
                <w:sz w:val="18"/>
              </w:rPr>
              <w:t>32,479,046</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0"/>
              <w:jc w:val="right"/>
              <w:rPr>
                <w:rFonts w:ascii="Times New Roman" w:hAnsi="Times New Roman" w:cs="Times New Roman" w:eastAsia="Times New Roman" w:hint="default"/>
                <w:sz w:val="18"/>
                <w:szCs w:val="18"/>
              </w:rPr>
            </w:pPr>
            <w:r>
              <w:rPr>
                <w:rFonts w:ascii="Times New Roman"/>
                <w:w w:val="95"/>
                <w:sz w:val="18"/>
              </w:rPr>
              <w:t>-1,617,417</w:t>
            </w:r>
            <w:r>
              <w:rPr>
                <w:rFonts w:ascii="Times New Roman"/>
                <w:sz w:val="18"/>
              </w:rPr>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Times New Roman" w:hAnsi="Times New Roman" w:cs="Times New Roman" w:eastAsia="Times New Roman" w:hint="default"/>
                <w:sz w:val="18"/>
                <w:szCs w:val="18"/>
              </w:rPr>
            </w:pPr>
            <w:r>
              <w:rPr>
                <w:rFonts w:ascii="Times New Roman"/>
                <w:sz w:val="18"/>
              </w:rPr>
              <w:t>30,861,629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7" w:right="0"/>
              <w:jc w:val="center"/>
              <w:rPr>
                <w:rFonts w:ascii="Times New Roman" w:hAnsi="Times New Roman" w:cs="Times New Roman" w:eastAsia="Times New Roman" w:hint="default"/>
                <w:sz w:val="18"/>
                <w:szCs w:val="18"/>
              </w:rPr>
            </w:pPr>
            <w:r>
              <w:rPr>
                <w:rFonts w:ascii="Times New Roman"/>
                <w:sz w:val="18"/>
              </w:rPr>
              <w:t>139,332,678</w:t>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61" w:right="0"/>
              <w:jc w:val="left"/>
              <w:rPr>
                <w:rFonts w:ascii="Times New Roman" w:hAnsi="Times New Roman" w:cs="Times New Roman" w:eastAsia="Times New Roman" w:hint="default"/>
                <w:sz w:val="18"/>
                <w:szCs w:val="18"/>
              </w:rPr>
            </w:pPr>
            <w:r>
              <w:rPr>
                <w:rFonts w:ascii="Times New Roman"/>
                <w:sz w:val="18"/>
              </w:rPr>
              <w:t>40.45%</w:t>
            </w:r>
          </w:p>
        </w:tc>
      </w:tr>
      <w:tr>
        <w:trPr>
          <w:trHeight w:val="330"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0" w:right="0"/>
              <w:jc w:val="center"/>
              <w:rPr>
                <w:rFonts w:ascii="Times New Roman" w:hAnsi="Times New Roman" w:cs="Times New Roman" w:eastAsia="Times New Roman" w:hint="default"/>
                <w:sz w:val="18"/>
                <w:szCs w:val="18"/>
              </w:rPr>
            </w:pPr>
            <w:r>
              <w:rPr>
                <w:rFonts w:ascii="Times New Roman"/>
                <w:sz w:val="18"/>
              </w:rPr>
              <w:t>156,475,451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65" w:right="0"/>
              <w:jc w:val="center"/>
              <w:rPr>
                <w:rFonts w:ascii="Times New Roman" w:hAnsi="Times New Roman" w:cs="Times New Roman" w:eastAsia="Times New Roman" w:hint="default"/>
                <w:sz w:val="18"/>
                <w:szCs w:val="18"/>
              </w:rPr>
            </w:pPr>
            <w:r>
              <w:rPr>
                <w:rFonts w:ascii="Times New Roman"/>
                <w:sz w:val="18"/>
              </w:rPr>
              <w:t>59.06%</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0"/>
              <w:jc w:val="right"/>
              <w:rPr>
                <w:rFonts w:ascii="Times New Roman" w:hAnsi="Times New Roman" w:cs="Times New Roman" w:eastAsia="Times New Roman" w:hint="default"/>
                <w:sz w:val="18"/>
                <w:szCs w:val="18"/>
              </w:rPr>
            </w:pPr>
            <w:r>
              <w:rPr>
                <w:rFonts w:ascii="Times New Roman"/>
                <w:sz w:val="18"/>
              </w:rPr>
              <w:t>47,004,904</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0"/>
              <w:jc w:val="right"/>
              <w:rPr>
                <w:rFonts w:ascii="Times New Roman" w:hAnsi="Times New Roman" w:cs="Times New Roman" w:eastAsia="Times New Roman" w:hint="default"/>
                <w:sz w:val="18"/>
                <w:szCs w:val="18"/>
              </w:rPr>
            </w:pPr>
            <w:r>
              <w:rPr>
                <w:rFonts w:ascii="Times New Roman"/>
                <w:sz w:val="18"/>
              </w:rPr>
              <w:t>1,617,417</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Times New Roman" w:hAnsi="Times New Roman" w:cs="Times New Roman" w:eastAsia="Times New Roman" w:hint="default"/>
                <w:sz w:val="18"/>
                <w:szCs w:val="18"/>
              </w:rPr>
            </w:pPr>
            <w:r>
              <w:rPr>
                <w:rFonts w:ascii="Times New Roman"/>
                <w:sz w:val="18"/>
              </w:rPr>
              <w:t>48,622,321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8" w:right="0"/>
              <w:jc w:val="center"/>
              <w:rPr>
                <w:rFonts w:ascii="Times New Roman" w:hAnsi="Times New Roman" w:cs="Times New Roman" w:eastAsia="Times New Roman" w:hint="default"/>
                <w:sz w:val="18"/>
                <w:szCs w:val="18"/>
              </w:rPr>
            </w:pPr>
            <w:r>
              <w:rPr>
                <w:rFonts w:ascii="Times New Roman"/>
                <w:sz w:val="18"/>
              </w:rPr>
              <w:t>205,097,772</w:t>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61" w:right="0"/>
              <w:jc w:val="left"/>
              <w:rPr>
                <w:rFonts w:ascii="Times New Roman" w:hAnsi="Times New Roman" w:cs="Times New Roman" w:eastAsia="Times New Roman" w:hint="default"/>
                <w:sz w:val="18"/>
                <w:szCs w:val="18"/>
              </w:rPr>
            </w:pPr>
            <w:r>
              <w:rPr>
                <w:rFonts w:ascii="Times New Roman"/>
                <w:sz w:val="18"/>
              </w:rPr>
              <w:t>59.55%</w:t>
            </w:r>
          </w:p>
        </w:tc>
      </w:tr>
      <w:tr>
        <w:trPr>
          <w:trHeight w:val="330"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0" w:right="0"/>
              <w:jc w:val="center"/>
              <w:rPr>
                <w:rFonts w:ascii="Times New Roman" w:hAnsi="Times New Roman" w:cs="Times New Roman" w:eastAsia="Times New Roman" w:hint="default"/>
                <w:sz w:val="18"/>
                <w:szCs w:val="18"/>
              </w:rPr>
            </w:pPr>
            <w:r>
              <w:rPr>
                <w:rFonts w:ascii="Times New Roman"/>
                <w:sz w:val="18"/>
              </w:rPr>
              <w:t>156,475,451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65" w:right="0"/>
              <w:jc w:val="center"/>
              <w:rPr>
                <w:rFonts w:ascii="Times New Roman" w:hAnsi="Times New Roman" w:cs="Times New Roman" w:eastAsia="Times New Roman" w:hint="default"/>
                <w:sz w:val="18"/>
                <w:szCs w:val="18"/>
              </w:rPr>
            </w:pPr>
            <w:r>
              <w:rPr>
                <w:rFonts w:ascii="Times New Roman"/>
                <w:sz w:val="18"/>
              </w:rPr>
              <w:t>59.06%</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0"/>
              <w:jc w:val="right"/>
              <w:rPr>
                <w:rFonts w:ascii="Times New Roman" w:hAnsi="Times New Roman" w:cs="Times New Roman" w:eastAsia="Times New Roman" w:hint="default"/>
                <w:sz w:val="18"/>
                <w:szCs w:val="18"/>
              </w:rPr>
            </w:pPr>
            <w:r>
              <w:rPr>
                <w:rFonts w:ascii="Times New Roman"/>
                <w:sz w:val="18"/>
              </w:rPr>
              <w:t>47,004,904</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0"/>
              <w:jc w:val="right"/>
              <w:rPr>
                <w:rFonts w:ascii="Times New Roman" w:hAnsi="Times New Roman" w:cs="Times New Roman" w:eastAsia="Times New Roman" w:hint="default"/>
                <w:sz w:val="18"/>
                <w:szCs w:val="18"/>
              </w:rPr>
            </w:pPr>
            <w:r>
              <w:rPr>
                <w:rFonts w:ascii="Times New Roman"/>
                <w:sz w:val="18"/>
              </w:rPr>
              <w:t>1,617,417</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Times New Roman" w:hAnsi="Times New Roman" w:cs="Times New Roman" w:eastAsia="Times New Roman" w:hint="default"/>
                <w:sz w:val="18"/>
                <w:szCs w:val="18"/>
              </w:rPr>
            </w:pPr>
            <w:r>
              <w:rPr>
                <w:rFonts w:ascii="Times New Roman"/>
                <w:sz w:val="18"/>
              </w:rPr>
              <w:t>48,622,321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8" w:right="0"/>
              <w:jc w:val="center"/>
              <w:rPr>
                <w:rFonts w:ascii="Times New Roman" w:hAnsi="Times New Roman" w:cs="Times New Roman" w:eastAsia="Times New Roman" w:hint="default"/>
                <w:sz w:val="18"/>
                <w:szCs w:val="18"/>
              </w:rPr>
            </w:pPr>
            <w:r>
              <w:rPr>
                <w:rFonts w:ascii="Times New Roman"/>
                <w:sz w:val="18"/>
              </w:rPr>
              <w:t>205,097,772</w:t>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61" w:right="0"/>
              <w:jc w:val="left"/>
              <w:rPr>
                <w:rFonts w:ascii="Times New Roman" w:hAnsi="Times New Roman" w:cs="Times New Roman" w:eastAsia="Times New Roman" w:hint="default"/>
                <w:sz w:val="18"/>
                <w:szCs w:val="18"/>
              </w:rPr>
            </w:pPr>
            <w:r>
              <w:rPr>
                <w:rFonts w:ascii="Times New Roman"/>
                <w:sz w:val="18"/>
              </w:rPr>
              <w:t>59.55%</w:t>
            </w:r>
          </w:p>
        </w:tc>
      </w:tr>
      <w:tr>
        <w:trPr>
          <w:trHeight w:val="330"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0"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0"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1"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0" w:right="0"/>
              <w:jc w:val="center"/>
              <w:rPr>
                <w:rFonts w:ascii="Times New Roman" w:hAnsi="Times New Roman" w:cs="Times New Roman" w:eastAsia="Times New Roman" w:hint="default"/>
                <w:sz w:val="18"/>
                <w:szCs w:val="18"/>
              </w:rPr>
            </w:pPr>
            <w:r>
              <w:rPr>
                <w:rFonts w:ascii="Times New Roman"/>
                <w:sz w:val="18"/>
              </w:rPr>
              <w:t>264,946,500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74" w:right="0"/>
              <w:jc w:val="center"/>
              <w:rPr>
                <w:rFonts w:ascii="Times New Roman" w:hAnsi="Times New Roman" w:cs="Times New Roman" w:eastAsia="Times New Roman" w:hint="default"/>
                <w:sz w:val="18"/>
                <w:szCs w:val="18"/>
              </w:rPr>
            </w:pPr>
            <w:r>
              <w:rPr>
                <w:rFonts w:ascii="Times New Roman"/>
                <w:sz w:val="18"/>
              </w:rPr>
              <w:t>100.00%</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99"/>
              <w:jc w:val="right"/>
              <w:rPr>
                <w:rFonts w:ascii="Times New Roman" w:hAnsi="Times New Roman" w:cs="Times New Roman" w:eastAsia="Times New Roman" w:hint="default"/>
                <w:sz w:val="18"/>
                <w:szCs w:val="18"/>
              </w:rPr>
            </w:pPr>
            <w:r>
              <w:rPr>
                <w:rFonts w:ascii="Times New Roman"/>
                <w:sz w:val="18"/>
              </w:rPr>
              <w:t>79,483,950</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sz w:val="18"/>
              </w:rPr>
              <w:t>79,483,950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Times New Roman" w:hAnsi="Times New Roman" w:cs="Times New Roman" w:eastAsia="Times New Roman" w:hint="default"/>
                <w:sz w:val="18"/>
                <w:szCs w:val="18"/>
              </w:rPr>
            </w:pPr>
            <w:r>
              <w:rPr>
                <w:rFonts w:ascii="Times New Roman"/>
                <w:sz w:val="18"/>
              </w:rPr>
              <w:t>344,430,450</w:t>
            </w:r>
          </w:p>
        </w:tc>
        <w:tc>
          <w:tcPr>
            <w:tcW w:w="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8" w:right="0"/>
              <w:jc w:val="left"/>
              <w:rPr>
                <w:rFonts w:ascii="Times New Roman" w:hAnsi="Times New Roman" w:cs="Times New Roman" w:eastAsia="Times New Roman" w:hint="default"/>
                <w:sz w:val="18"/>
                <w:szCs w:val="18"/>
              </w:rPr>
            </w:pPr>
            <w:r>
              <w:rPr>
                <w:rFonts w:ascii="Times New Roman"/>
                <w:sz w:val="18"/>
              </w:rPr>
              <w:t>100%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p>
      <w:pPr>
        <w:pStyle w:val="BodyText"/>
        <w:spacing w:line="357" w:lineRule="auto" w:before="26"/>
        <w:ind w:left="1640" w:right="492"/>
        <w:jc w:val="left"/>
      </w:pPr>
      <w:r>
        <w:rPr/>
        <w:t>（二）报告期内发生的股本变动情况 </w:t>
      </w:r>
      <w:r>
        <w:rPr>
          <w:spacing w:val="-2"/>
        </w:rPr>
        <w:t>经公司</w:t>
      </w:r>
      <w:r>
        <w:rPr>
          <w:rFonts w:ascii="Times New Roman" w:hAnsi="Times New Roman" w:cs="Times New Roman" w:eastAsia="Times New Roman" w:hint="default"/>
          <w:spacing w:val="-2"/>
        </w:rPr>
        <w:t>2010</w:t>
      </w:r>
      <w:r>
        <w:rPr>
          <w:spacing w:val="-2"/>
        </w:rPr>
        <w:t>年度股东大会审议通过，以</w:t>
      </w:r>
      <w:r>
        <w:rPr>
          <w:rFonts w:ascii="Times New Roman" w:hAnsi="Times New Roman" w:cs="Times New Roman" w:eastAsia="Times New Roman" w:hint="default"/>
          <w:spacing w:val="-2"/>
        </w:rPr>
        <w:t>2010</w:t>
      </w:r>
      <w:r>
        <w:rPr>
          <w:spacing w:val="-2"/>
        </w:rPr>
        <w:t>年年末总股本</w:t>
      </w:r>
      <w:r>
        <w:rPr>
          <w:rFonts w:ascii="Times New Roman" w:hAnsi="Times New Roman" w:cs="Times New Roman" w:eastAsia="Times New Roman" w:hint="default"/>
          <w:spacing w:val="-2"/>
        </w:rPr>
        <w:t>26,494.65</w:t>
      </w:r>
      <w:r>
        <w:rPr>
          <w:spacing w:val="-2"/>
        </w:rPr>
        <w:t>万股为基数，</w:t>
      </w:r>
    </w:p>
    <w:p>
      <w:pPr>
        <w:pStyle w:val="BodyText"/>
        <w:spacing w:line="338" w:lineRule="auto" w:before="5"/>
        <w:ind w:left="1160" w:right="610"/>
        <w:jc w:val="both"/>
      </w:pPr>
      <w:r>
        <w:rPr>
          <w:spacing w:val="-2"/>
        </w:rPr>
        <w:t>向全体股东以资本公积金按每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3</w:t>
      </w:r>
      <w:r>
        <w:rPr>
          <w:spacing w:val="-2"/>
        </w:rPr>
        <w:t>股的比例转增股本，送转完成后，公司总股</w:t>
      </w:r>
      <w:r>
        <w:rPr>
          <w:spacing w:val="-114"/>
        </w:rPr>
        <w:t> </w:t>
      </w:r>
      <w:r>
        <w:rPr>
          <w:spacing w:val="-114"/>
        </w:rPr>
      </w:r>
      <w:r>
        <w:rPr>
          <w:spacing w:val="-2"/>
        </w:rPr>
        <w:t>本增至</w:t>
      </w:r>
      <w:r>
        <w:rPr>
          <w:rFonts w:ascii="Times New Roman" w:hAnsi="Times New Roman" w:cs="Times New Roman" w:eastAsia="Times New Roman" w:hint="default"/>
          <w:spacing w:val="-2"/>
        </w:rPr>
        <w:t>34,443.045</w:t>
      </w:r>
      <w:r>
        <w:rPr>
          <w:spacing w:val="-2"/>
        </w:rPr>
        <w:t>万股。本次资本公积金转增股本的方案已于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7</w:t>
      </w:r>
      <w:r>
        <w:rPr>
          <w:spacing w:val="-2"/>
        </w:rPr>
        <w:t>日实施。详</w:t>
      </w:r>
      <w:r>
        <w:rPr>
          <w:spacing w:val="-100"/>
        </w:rPr>
        <w:t> </w:t>
      </w:r>
      <w:r>
        <w:rPr>
          <w:spacing w:val="-100"/>
        </w:rPr>
      </w:r>
      <w:r>
        <w:rPr/>
        <w:t>见</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30</w:t>
      </w:r>
      <w:r>
        <w:rPr/>
        <w:t>日刊登在《证券时报》和巨潮资讯网（</w:t>
      </w:r>
      <w:hyperlink r:id="rId11">
        <w:r>
          <w:rPr>
            <w:rFonts w:ascii="Times New Roman" w:hAnsi="Times New Roman" w:cs="Times New Roman" w:eastAsia="Times New Roman" w:hint="default"/>
          </w:rPr>
          <w:t>http://www.cninfo.com.cn</w:t>
        </w:r>
      </w:hyperlink>
      <w:r>
        <w:rPr/>
        <w:t>）的</w:t>
      </w:r>
      <w:r>
        <w:rPr>
          <w:spacing w:val="-91"/>
        </w:rPr>
        <w:t> </w:t>
      </w:r>
      <w:r>
        <w:rPr>
          <w:rFonts w:ascii="Times New Roman" w:hAnsi="Times New Roman" w:cs="Times New Roman" w:eastAsia="Times New Roman" w:hint="default"/>
        </w:rPr>
        <w:t>2011-018</w:t>
      </w:r>
      <w:r>
        <w:rPr/>
        <w:t>号《</w:t>
      </w:r>
      <w:r>
        <w:rPr>
          <w:rFonts w:ascii="Times New Roman" w:hAnsi="Times New Roman" w:cs="Times New Roman" w:eastAsia="Times New Roman" w:hint="default"/>
        </w:rPr>
        <w:t>2010</w:t>
      </w:r>
      <w:r>
        <w:rPr/>
        <w:t>年度权益分派实施公告》。</w:t>
      </w:r>
    </w:p>
    <w:p>
      <w:pPr>
        <w:spacing w:line="240" w:lineRule="auto" w:before="0"/>
        <w:rPr>
          <w:rFonts w:ascii="宋体" w:hAnsi="宋体" w:cs="宋体" w:eastAsia="宋体" w:hint="default"/>
          <w:sz w:val="24"/>
          <w:szCs w:val="24"/>
        </w:rPr>
      </w:pPr>
    </w:p>
    <w:p>
      <w:pPr>
        <w:pStyle w:val="BodyText"/>
        <w:spacing w:line="240" w:lineRule="auto" w:before="180"/>
        <w:ind w:left="1639" w:right="492"/>
        <w:jc w:val="left"/>
      </w:pPr>
      <w:r>
        <w:rPr/>
        <w:t>（三）限售股份变动情况表</w:t>
      </w:r>
    </w:p>
    <w:p>
      <w:pPr>
        <w:spacing w:after="0" w:line="240" w:lineRule="auto"/>
        <w:jc w:val="left"/>
        <w:sectPr>
          <w:pgSz w:w="11910" w:h="16840"/>
          <w:pgMar w:header="877" w:footer="1048" w:top="1100" w:bottom="1240" w:left="640" w:right="800"/>
        </w:sectPr>
      </w:pPr>
    </w:p>
    <w:p>
      <w:pPr>
        <w:spacing w:line="240" w:lineRule="auto" w:before="12"/>
        <w:rPr>
          <w:rFonts w:ascii="宋体" w:hAnsi="宋体" w:cs="宋体" w:eastAsia="宋体" w:hint="default"/>
          <w:sz w:val="21"/>
          <w:szCs w:val="21"/>
        </w:rPr>
      </w:pPr>
    </w:p>
    <w:p>
      <w:pPr>
        <w:spacing w:before="44"/>
        <w:ind w:left="0" w:right="613"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0"/>
        <w:rPr>
          <w:rFonts w:ascii="宋体" w:hAnsi="宋体" w:cs="宋体" w:eastAsia="宋体" w:hint="default"/>
          <w:sz w:val="5"/>
          <w:szCs w:val="5"/>
        </w:rPr>
      </w:pPr>
    </w:p>
    <w:tbl>
      <w:tblPr>
        <w:tblW w:w="0" w:type="auto"/>
        <w:jc w:val="left"/>
        <w:tblInd w:w="767" w:type="dxa"/>
        <w:tblLayout w:type="fixed"/>
        <w:tblCellMar>
          <w:top w:w="0" w:type="dxa"/>
          <w:left w:w="0" w:type="dxa"/>
          <w:bottom w:w="0" w:type="dxa"/>
          <w:right w:w="0" w:type="dxa"/>
        </w:tblCellMar>
        <w:tblLook w:val="01E0"/>
      </w:tblPr>
      <w:tblGrid>
        <w:gridCol w:w="1242"/>
        <w:gridCol w:w="1276"/>
        <w:gridCol w:w="1134"/>
        <w:gridCol w:w="1106"/>
        <w:gridCol w:w="1264"/>
        <w:gridCol w:w="1316"/>
        <w:gridCol w:w="1444"/>
      </w:tblGrid>
      <w:tr>
        <w:trPr>
          <w:trHeight w:val="650" w:hRule="exact"/>
        </w:trPr>
        <w:tc>
          <w:tcPr>
            <w:tcW w:w="124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2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452" w:right="271" w:hanging="180"/>
              <w:jc w:val="left"/>
              <w:rPr>
                <w:rFonts w:ascii="宋体" w:hAnsi="宋体" w:cs="宋体" w:eastAsia="宋体" w:hint="default"/>
                <w:sz w:val="18"/>
                <w:szCs w:val="18"/>
              </w:rPr>
            </w:pPr>
            <w:r>
              <w:rPr>
                <w:rFonts w:ascii="宋体" w:hAnsi="宋体" w:cs="宋体" w:eastAsia="宋体" w:hint="default"/>
                <w:sz w:val="18"/>
                <w:szCs w:val="18"/>
              </w:rPr>
              <w:t>年初限售 股份</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291" w:right="110" w:hanging="180"/>
              <w:jc w:val="left"/>
              <w:rPr>
                <w:rFonts w:ascii="宋体" w:hAnsi="宋体" w:cs="宋体" w:eastAsia="宋体" w:hint="default"/>
                <w:sz w:val="18"/>
                <w:szCs w:val="18"/>
              </w:rPr>
            </w:pPr>
            <w:r>
              <w:rPr>
                <w:rFonts w:ascii="宋体" w:hAnsi="宋体" w:cs="宋体" w:eastAsia="宋体" w:hint="default"/>
                <w:sz w:val="18"/>
                <w:szCs w:val="18"/>
              </w:rPr>
              <w:t>本年解除限 售股数</w:t>
            </w:r>
          </w:p>
        </w:tc>
        <w:tc>
          <w:tcPr>
            <w:tcW w:w="110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188" w:right="186"/>
              <w:jc w:val="left"/>
              <w:rPr>
                <w:rFonts w:ascii="宋体" w:hAnsi="宋体" w:cs="宋体" w:eastAsia="宋体" w:hint="default"/>
                <w:sz w:val="18"/>
                <w:szCs w:val="18"/>
              </w:rPr>
            </w:pPr>
            <w:r>
              <w:rPr>
                <w:rFonts w:ascii="宋体" w:hAnsi="宋体" w:cs="宋体" w:eastAsia="宋体" w:hint="default"/>
                <w:sz w:val="18"/>
                <w:szCs w:val="18"/>
              </w:rPr>
              <w:t>本年增加 限售股数</w:t>
            </w:r>
          </w:p>
        </w:tc>
        <w:tc>
          <w:tcPr>
            <w:tcW w:w="126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536" w:right="175" w:hanging="360"/>
              <w:jc w:val="left"/>
              <w:rPr>
                <w:rFonts w:ascii="宋体" w:hAnsi="宋体" w:cs="宋体" w:eastAsia="宋体" w:hint="default"/>
                <w:sz w:val="18"/>
                <w:szCs w:val="18"/>
              </w:rPr>
            </w:pPr>
            <w:r>
              <w:rPr>
                <w:rFonts w:ascii="宋体" w:hAnsi="宋体" w:cs="宋体" w:eastAsia="宋体" w:hint="default"/>
                <w:sz w:val="18"/>
                <w:szCs w:val="18"/>
              </w:rPr>
              <w:t>年末限售股 数</w:t>
            </w:r>
          </w:p>
        </w:tc>
        <w:tc>
          <w:tcPr>
            <w:tcW w:w="131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144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330" w:hRule="exact"/>
        </w:trPr>
        <w:tc>
          <w:tcPr>
            <w:tcW w:w="1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杨文江</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107,292,778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sz w:val="18"/>
              </w:rPr>
              <w:t>297,264</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32,098,654</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139,094,168</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高管股份锁定</w:t>
            </w: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r>
      <w:tr>
        <w:trPr>
          <w:trHeight w:val="330" w:hRule="exact"/>
        </w:trPr>
        <w:tc>
          <w:tcPr>
            <w:tcW w:w="1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吴宁</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93,771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125,631</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219,402</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高管股份锁定</w:t>
            </w: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r>
      <w:tr>
        <w:trPr>
          <w:trHeight w:val="330" w:hRule="exact"/>
        </w:trPr>
        <w:tc>
          <w:tcPr>
            <w:tcW w:w="1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王志杰</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19,108</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19,108</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高管股份锁定</w:t>
            </w: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r>
      <w:tr>
        <w:trPr>
          <w:trHeight w:val="330" w:hRule="exact"/>
        </w:trPr>
        <w:tc>
          <w:tcPr>
            <w:tcW w:w="1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吴彪</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1,084,500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1,409,850</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325,350</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24</w:t>
            </w:r>
            <w:r>
              <w:rPr>
                <w:rFonts w:ascii="宋体" w:hAnsi="宋体" w:cs="宋体" w:eastAsia="宋体" w:hint="default"/>
                <w:sz w:val="18"/>
                <w:szCs w:val="18"/>
              </w:rPr>
              <w:t>日</w:t>
            </w:r>
          </w:p>
        </w:tc>
      </w:tr>
      <w:tr>
        <w:trPr>
          <w:trHeight w:val="330" w:hRule="exact"/>
        </w:trPr>
        <w:tc>
          <w:tcPr>
            <w:tcW w:w="124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108,471,049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1,707,114</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sz w:val="18"/>
              </w:rPr>
              <w:t>32,568,743</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139,332,678</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300" w:lineRule="auto" w:before="10"/>
        <w:ind w:left="880" w:right="604" w:firstLine="360"/>
        <w:jc w:val="left"/>
        <w:rPr>
          <w:rFonts w:ascii="宋体" w:hAnsi="宋体" w:cs="宋体" w:eastAsia="宋体" w:hint="default"/>
          <w:sz w:val="18"/>
          <w:szCs w:val="18"/>
        </w:rPr>
      </w:pPr>
      <w:r>
        <w:rPr>
          <w:rFonts w:ascii="宋体" w:hAnsi="宋体" w:cs="宋体" w:eastAsia="宋体" w:hint="default"/>
          <w:spacing w:val="-5"/>
          <w:sz w:val="18"/>
          <w:szCs w:val="18"/>
        </w:rPr>
        <w:t>注</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：持有公司股份的董事、高级管理人员所持公司股份上市流通交易执行《公司法》第一百四十二条和《深</w:t>
      </w:r>
      <w:r>
        <w:rPr>
          <w:rFonts w:ascii="宋体" w:hAnsi="宋体" w:cs="宋体" w:eastAsia="宋体" w:hint="default"/>
          <w:sz w:val="18"/>
          <w:szCs w:val="18"/>
        </w:rPr>
        <w:t> 圳证券交易所上市公司董事、监事和高级管理人员所持有公司股份及其变动业务指引》的规定。</w:t>
      </w:r>
    </w:p>
    <w:p>
      <w:pPr>
        <w:spacing w:line="240" w:lineRule="auto" w:before="0"/>
        <w:rPr>
          <w:rFonts w:ascii="宋体" w:hAnsi="宋体" w:cs="宋体" w:eastAsia="宋体" w:hint="default"/>
          <w:sz w:val="18"/>
          <w:szCs w:val="18"/>
        </w:rPr>
      </w:pPr>
    </w:p>
    <w:p>
      <w:pPr>
        <w:pStyle w:val="BodyText"/>
        <w:spacing w:line="240" w:lineRule="auto" w:before="137"/>
        <w:ind w:left="1360" w:right="604"/>
        <w:jc w:val="left"/>
      </w:pPr>
      <w:r>
        <w:rPr/>
        <w:t>二、证券发行与上市情况</w:t>
      </w:r>
    </w:p>
    <w:p>
      <w:pPr>
        <w:pStyle w:val="BodyText"/>
        <w:spacing w:line="338" w:lineRule="auto" w:before="154"/>
        <w:ind w:left="1360" w:right="604"/>
        <w:jc w:val="left"/>
        <w:rPr>
          <w:rFonts w:ascii="Times New Roman" w:hAnsi="Times New Roman" w:cs="Times New Roman" w:eastAsia="Times New Roman" w:hint="default"/>
        </w:rPr>
      </w:pPr>
      <w:r>
        <w:rPr/>
        <w:t>（一）公司前</w:t>
      </w:r>
      <w:r>
        <w:rPr>
          <w:rFonts w:ascii="Times New Roman" w:hAnsi="Times New Roman" w:cs="Times New Roman" w:eastAsia="Times New Roman" w:hint="default"/>
        </w:rPr>
        <w:t>3</w:t>
      </w:r>
      <w:r>
        <w:rPr/>
        <w:t>年历次证券发行情况 经中国证券监督管理委员会证监许可</w:t>
      </w:r>
      <w:r>
        <w:rPr>
          <w:rFonts w:ascii="Times New Roman" w:hAnsi="Times New Roman" w:cs="Times New Roman" w:eastAsia="Times New Roman" w:hint="default"/>
        </w:rPr>
        <w:t>[2009]962</w:t>
      </w:r>
      <w:r>
        <w:rPr/>
        <w:t>号文核准，公司于</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13</w:t>
      </w:r>
    </w:p>
    <w:p>
      <w:pPr>
        <w:pStyle w:val="BodyText"/>
        <w:spacing w:line="338" w:lineRule="auto" w:before="27"/>
        <w:ind w:left="880" w:right="610"/>
        <w:jc w:val="both"/>
      </w:pPr>
      <w:r>
        <w:rPr>
          <w:spacing w:val="2"/>
        </w:rPr>
        <w:t>日以非公开发行股票的方式向</w:t>
      </w:r>
      <w:r>
        <w:rPr>
          <w:rFonts w:ascii="Times New Roman" w:hAnsi="Times New Roman" w:cs="Times New Roman" w:eastAsia="Times New Roman" w:hint="default"/>
          <w:spacing w:val="2"/>
        </w:rPr>
        <w:t>7</w:t>
      </w:r>
      <w:r>
        <w:rPr>
          <w:spacing w:val="2"/>
        </w:rPr>
        <w:t>家特定投资者发行了</w:t>
      </w:r>
      <w:r>
        <w:rPr>
          <w:rFonts w:ascii="Times New Roman" w:hAnsi="Times New Roman" w:cs="Times New Roman" w:eastAsia="Times New Roman" w:hint="default"/>
          <w:spacing w:val="2"/>
        </w:rPr>
        <w:t>4,124.25</w:t>
      </w:r>
      <w:r>
        <w:rPr>
          <w:spacing w:val="2"/>
        </w:rPr>
        <w:t>万股人民币普通股（</w:t>
      </w:r>
      <w:r>
        <w:rPr>
          <w:rFonts w:ascii="Times New Roman" w:hAnsi="Times New Roman" w:cs="Times New Roman" w:eastAsia="Times New Roman" w:hint="default"/>
          <w:spacing w:val="2"/>
        </w:rPr>
        <w:t>A</w:t>
      </w:r>
      <w:r>
        <w:rPr>
          <w:rFonts w:ascii="Times New Roman" w:hAnsi="Times New Roman" w:cs="Times New Roman" w:eastAsia="Times New Roman" w:hint="default"/>
          <w:spacing w:val="-44"/>
        </w:rPr>
        <w:t> </w:t>
      </w:r>
      <w:r>
        <w:rPr>
          <w:spacing w:val="-10"/>
        </w:rPr>
        <w:t>股），发行价为人民币</w:t>
      </w:r>
      <w:r>
        <w:rPr>
          <w:rFonts w:ascii="Times New Roman" w:hAnsi="Times New Roman" w:cs="Times New Roman" w:eastAsia="Times New Roman" w:hint="default"/>
          <w:spacing w:val="-10"/>
        </w:rPr>
        <w:t>12.00</w:t>
      </w:r>
      <w:r>
        <w:rPr>
          <w:spacing w:val="-10"/>
        </w:rPr>
        <w:t>元</w:t>
      </w:r>
      <w:r>
        <w:rPr>
          <w:rFonts w:ascii="Times New Roman" w:hAnsi="Times New Roman" w:cs="Times New Roman" w:eastAsia="Times New Roman" w:hint="default"/>
          <w:spacing w:val="-10"/>
        </w:rPr>
        <w:t>/</w:t>
      </w:r>
      <w:r>
        <w:rPr>
          <w:spacing w:val="-10"/>
        </w:rPr>
        <w:t>股。经深圳证券交易所同意，公司非公开发行的</w:t>
      </w:r>
      <w:r>
        <w:rPr>
          <w:rFonts w:ascii="Times New Roman" w:hAnsi="Times New Roman" w:cs="Times New Roman" w:eastAsia="Times New Roman" w:hint="default"/>
          <w:spacing w:val="-10"/>
        </w:rPr>
        <w:t>4,124.25</w:t>
      </w:r>
      <w:r>
        <w:rPr>
          <w:rFonts w:ascii="Times New Roman" w:hAnsi="Times New Roman" w:cs="Times New Roman" w:eastAsia="Times New Roman" w:hint="default"/>
          <w:spacing w:val="-40"/>
        </w:rPr>
        <w:t> </w:t>
      </w:r>
      <w:r>
        <w:rPr/>
        <w:t>万股人民币普通股于</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30</w:t>
      </w:r>
      <w:r>
        <w:rPr/>
        <w:t>日在深圳证券交易所挂牌上市。</w:t>
      </w:r>
    </w:p>
    <w:p>
      <w:pPr>
        <w:spacing w:line="240" w:lineRule="auto" w:before="0"/>
        <w:rPr>
          <w:rFonts w:ascii="宋体" w:hAnsi="宋体" w:cs="宋体" w:eastAsia="宋体" w:hint="default"/>
          <w:sz w:val="24"/>
          <w:szCs w:val="24"/>
        </w:rPr>
      </w:pPr>
    </w:p>
    <w:p>
      <w:pPr>
        <w:pStyle w:val="BodyText"/>
        <w:spacing w:line="357" w:lineRule="auto" w:before="180"/>
        <w:ind w:left="1360" w:right="5444"/>
        <w:jc w:val="left"/>
      </w:pPr>
      <w:r>
        <w:rPr/>
        <w:t>（二）现存的内部职工股情况 本报告期末公司无内部职工股。</w:t>
      </w:r>
    </w:p>
    <w:p>
      <w:pPr>
        <w:spacing w:line="240" w:lineRule="auto" w:before="0"/>
        <w:rPr>
          <w:rFonts w:ascii="宋体" w:hAnsi="宋体" w:cs="宋体" w:eastAsia="宋体" w:hint="default"/>
          <w:sz w:val="24"/>
          <w:szCs w:val="24"/>
        </w:rPr>
      </w:pPr>
    </w:p>
    <w:p>
      <w:pPr>
        <w:pStyle w:val="BodyText"/>
        <w:spacing w:line="240" w:lineRule="auto" w:before="190"/>
        <w:ind w:left="1360" w:right="604"/>
        <w:jc w:val="left"/>
      </w:pPr>
      <w:r>
        <w:rPr/>
        <w:t>三、股东情况</w:t>
      </w:r>
    </w:p>
    <w:p>
      <w:pPr>
        <w:pStyle w:val="BodyText"/>
        <w:spacing w:line="240" w:lineRule="auto" w:before="154"/>
        <w:ind w:left="1360" w:right="604"/>
        <w:jc w:val="left"/>
      </w:pPr>
      <w:r>
        <w:rPr/>
        <w:t>（一）股东数量和持股情况</w:t>
      </w:r>
    </w:p>
    <w:p>
      <w:pPr>
        <w:spacing w:before="202"/>
        <w:ind w:left="0" w:right="613"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3"/>
        <w:rPr>
          <w:rFonts w:ascii="宋体" w:hAnsi="宋体" w:cs="宋体" w:eastAsia="宋体" w:hint="default"/>
          <w:sz w:val="10"/>
          <w:szCs w:val="10"/>
        </w:rPr>
      </w:pPr>
    </w:p>
    <w:tbl>
      <w:tblPr>
        <w:tblW w:w="0" w:type="auto"/>
        <w:jc w:val="left"/>
        <w:tblInd w:w="116" w:type="dxa"/>
        <w:tblLayout w:type="fixed"/>
        <w:tblCellMar>
          <w:top w:w="0" w:type="dxa"/>
          <w:left w:w="0" w:type="dxa"/>
          <w:bottom w:w="0" w:type="dxa"/>
          <w:right w:w="0" w:type="dxa"/>
        </w:tblCellMar>
        <w:tblLook w:val="01E0"/>
      </w:tblPr>
      <w:tblGrid>
        <w:gridCol w:w="3960"/>
        <w:gridCol w:w="1440"/>
        <w:gridCol w:w="161"/>
        <w:gridCol w:w="699"/>
        <w:gridCol w:w="1111"/>
        <w:gridCol w:w="1305"/>
        <w:gridCol w:w="1262"/>
      </w:tblGrid>
      <w:tr>
        <w:trPr>
          <w:trHeight w:val="286" w:hRule="exact"/>
        </w:trPr>
        <w:tc>
          <w:tcPr>
            <w:tcW w:w="39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left="123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年末股东总数</w:t>
            </w:r>
          </w:p>
        </w:tc>
        <w:tc>
          <w:tcPr>
            <w:tcW w:w="1601" w:type="dxa"/>
            <w:gridSpan w:val="2"/>
            <w:tcBorders>
              <w:top w:val="single" w:sz="4" w:space="0" w:color="000000"/>
              <w:left w:val="single" w:sz="4" w:space="0" w:color="000000"/>
              <w:bottom w:val="single" w:sz="4" w:space="0" w:color="000000"/>
              <w:right w:val="single" w:sz="13" w:space="0" w:color="C0C0C0"/>
            </w:tcBorders>
          </w:tcPr>
          <w:p>
            <w:pPr>
              <w:pStyle w:val="TableParagraph"/>
              <w:spacing w:line="240" w:lineRule="auto" w:before="63"/>
              <w:ind w:right="5"/>
              <w:jc w:val="center"/>
              <w:rPr>
                <w:rFonts w:ascii="Times New Roman" w:hAnsi="Times New Roman" w:cs="Times New Roman" w:eastAsia="Times New Roman" w:hint="default"/>
                <w:sz w:val="18"/>
                <w:szCs w:val="18"/>
              </w:rPr>
            </w:pPr>
            <w:r>
              <w:rPr>
                <w:rFonts w:ascii="Times New Roman"/>
                <w:sz w:val="18"/>
              </w:rPr>
              <w:t>24,888</w:t>
            </w:r>
          </w:p>
        </w:tc>
        <w:tc>
          <w:tcPr>
            <w:tcW w:w="3115" w:type="dxa"/>
            <w:gridSpan w:val="3"/>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left="21" w:right="0"/>
              <w:jc w:val="left"/>
              <w:rPr>
                <w:rFonts w:ascii="宋体" w:hAnsi="宋体" w:cs="宋体" w:eastAsia="宋体" w:hint="default"/>
                <w:sz w:val="18"/>
                <w:szCs w:val="18"/>
              </w:rPr>
            </w:pPr>
            <w:r>
              <w:rPr>
                <w:rFonts w:ascii="宋体" w:hAnsi="宋体" w:cs="宋体" w:eastAsia="宋体" w:hint="default"/>
                <w:sz w:val="18"/>
                <w:szCs w:val="18"/>
              </w:rPr>
              <w:t>本年度报告公布日前一个月末股东总数</w:t>
            </w:r>
          </w:p>
        </w:tc>
        <w:tc>
          <w:tcPr>
            <w:tcW w:w="1262" w:type="dxa"/>
            <w:tcBorders>
              <w:top w:val="single" w:sz="4" w:space="0" w:color="000000"/>
              <w:left w:val="single" w:sz="13" w:space="0" w:color="C0C0C0"/>
              <w:bottom w:val="single" w:sz="4" w:space="0" w:color="000000"/>
              <w:right w:val="single" w:sz="4" w:space="0" w:color="000000"/>
            </w:tcBorders>
          </w:tcPr>
          <w:p>
            <w:pPr>
              <w:pStyle w:val="TableParagraph"/>
              <w:spacing w:line="240" w:lineRule="auto" w:before="63"/>
              <w:ind w:left="481" w:right="0"/>
              <w:jc w:val="left"/>
              <w:rPr>
                <w:rFonts w:ascii="Times New Roman" w:hAnsi="Times New Roman" w:cs="Times New Roman" w:eastAsia="Times New Roman" w:hint="default"/>
                <w:sz w:val="18"/>
                <w:szCs w:val="18"/>
              </w:rPr>
            </w:pPr>
            <w:r>
              <w:rPr>
                <w:rFonts w:ascii="Times New Roman"/>
                <w:sz w:val="18"/>
              </w:rPr>
              <w:t>25,566</w:t>
            </w:r>
          </w:p>
        </w:tc>
      </w:tr>
      <w:tr>
        <w:trPr>
          <w:trHeight w:val="330" w:hRule="exact"/>
        </w:trPr>
        <w:tc>
          <w:tcPr>
            <w:tcW w:w="9938" w:type="dxa"/>
            <w:gridSpan w:val="7"/>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1"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166" w:hRule="exact"/>
        </w:trPr>
        <w:tc>
          <w:tcPr>
            <w:tcW w:w="3960" w:type="dxa"/>
            <w:tcBorders>
              <w:top w:val="single" w:sz="4" w:space="0" w:color="000000"/>
              <w:left w:val="single" w:sz="4" w:space="0" w:color="000000"/>
              <w:bottom w:val="nil" w:sz="6" w:space="0" w:color="auto"/>
              <w:right w:val="single" w:sz="4" w:space="0" w:color="000000"/>
            </w:tcBorders>
            <w:shd w:val="clear" w:color="auto" w:fill="C0C0C0"/>
          </w:tcPr>
          <w:p>
            <w:pPr/>
          </w:p>
        </w:tc>
        <w:tc>
          <w:tcPr>
            <w:tcW w:w="1440" w:type="dxa"/>
            <w:vMerge w:val="restart"/>
            <w:tcBorders>
              <w:top w:val="single" w:sz="4" w:space="0" w:color="000000"/>
              <w:left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55"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860" w:type="dxa"/>
            <w:gridSpan w:val="2"/>
            <w:vMerge w:val="restart"/>
            <w:tcBorders>
              <w:top w:val="single" w:sz="4" w:space="0" w:color="000000"/>
              <w:left w:val="single" w:sz="4" w:space="0" w:color="000000"/>
              <w:right w:val="single" w:sz="4" w:space="0" w:color="000000"/>
            </w:tcBorders>
            <w:shd w:val="clear" w:color="auto" w:fill="C0C0C0"/>
          </w:tcPr>
          <w:p>
            <w:pPr>
              <w:pStyle w:val="TableParagraph"/>
              <w:spacing w:line="240" w:lineRule="auto" w:before="56"/>
              <w:ind w:left="1" w:right="0"/>
              <w:jc w:val="center"/>
              <w:rPr>
                <w:rFonts w:ascii="宋体" w:hAnsi="宋体" w:cs="宋体" w:eastAsia="宋体" w:hint="default"/>
                <w:sz w:val="18"/>
                <w:szCs w:val="18"/>
              </w:rPr>
            </w:pPr>
            <w:r>
              <w:rPr>
                <w:rFonts w:ascii="宋体" w:hAnsi="宋体" w:cs="宋体" w:eastAsia="宋体" w:hint="default"/>
                <w:sz w:val="18"/>
                <w:szCs w:val="18"/>
              </w:rPr>
              <w:t>持股比例</w:t>
            </w:r>
          </w:p>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11" w:type="dxa"/>
            <w:vMerge w:val="restart"/>
            <w:tcBorders>
              <w:top w:val="single" w:sz="4" w:space="0" w:color="000000"/>
              <w:left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305" w:type="dxa"/>
            <w:vMerge w:val="restart"/>
            <w:tcBorders>
              <w:top w:val="single" w:sz="4" w:space="0" w:color="000000"/>
              <w:left w:val="single" w:sz="4" w:space="0" w:color="000000"/>
              <w:right w:val="single" w:sz="4" w:space="0" w:color="000000"/>
            </w:tcBorders>
            <w:shd w:val="clear" w:color="auto" w:fill="C0C0C0"/>
          </w:tcPr>
          <w:p>
            <w:pPr>
              <w:pStyle w:val="TableParagraph"/>
              <w:spacing w:line="326" w:lineRule="auto" w:before="56"/>
              <w:ind w:left="198" w:right="105" w:hanging="90"/>
              <w:jc w:val="left"/>
              <w:rPr>
                <w:rFonts w:ascii="宋体" w:hAnsi="宋体" w:cs="宋体" w:eastAsia="宋体" w:hint="default"/>
                <w:sz w:val="18"/>
                <w:szCs w:val="18"/>
              </w:rPr>
            </w:pPr>
            <w:r>
              <w:rPr>
                <w:rFonts w:ascii="宋体" w:hAnsi="宋体" w:cs="宋体" w:eastAsia="宋体" w:hint="default"/>
                <w:sz w:val="18"/>
                <w:szCs w:val="18"/>
              </w:rPr>
              <w:t>持有有限售条 件股份数量</w:t>
            </w:r>
          </w:p>
        </w:tc>
        <w:tc>
          <w:tcPr>
            <w:tcW w:w="1262" w:type="dxa"/>
            <w:vMerge w:val="restart"/>
            <w:tcBorders>
              <w:top w:val="single" w:sz="4" w:space="0" w:color="000000"/>
              <w:left w:val="single" w:sz="4" w:space="0" w:color="000000"/>
              <w:right w:val="single" w:sz="4" w:space="0" w:color="000000"/>
            </w:tcBorders>
            <w:shd w:val="clear" w:color="auto" w:fill="C0C0C0"/>
          </w:tcPr>
          <w:p>
            <w:pPr>
              <w:pStyle w:val="TableParagraph"/>
              <w:spacing w:line="326" w:lineRule="auto" w:before="56"/>
              <w:ind w:left="266" w:right="84" w:hanging="180"/>
              <w:jc w:val="left"/>
              <w:rPr>
                <w:rFonts w:ascii="宋体" w:hAnsi="宋体" w:cs="宋体" w:eastAsia="宋体" w:hint="default"/>
                <w:sz w:val="18"/>
                <w:szCs w:val="18"/>
              </w:rPr>
            </w:pPr>
            <w:r>
              <w:rPr>
                <w:rFonts w:ascii="宋体" w:hAnsi="宋体" w:cs="宋体" w:eastAsia="宋体" w:hint="default"/>
                <w:sz w:val="18"/>
                <w:szCs w:val="18"/>
              </w:rPr>
              <w:t>质押或冻结的 股份数量</w:t>
            </w:r>
          </w:p>
        </w:tc>
      </w:tr>
      <w:tr>
        <w:trPr>
          <w:trHeight w:val="319" w:hRule="exact"/>
        </w:trPr>
        <w:tc>
          <w:tcPr>
            <w:tcW w:w="3960" w:type="dxa"/>
            <w:tcBorders>
              <w:top w:val="nil" w:sz="6" w:space="0" w:color="auto"/>
              <w:left w:val="single" w:sz="4" w:space="0" w:color="000000"/>
              <w:bottom w:val="nil" w:sz="6" w:space="0" w:color="auto"/>
              <w:right w:val="single" w:sz="4" w:space="0" w:color="000000"/>
            </w:tcBorders>
          </w:tcPr>
          <w:p>
            <w:pPr>
              <w:pStyle w:val="TableParagraph"/>
              <w:tabs>
                <w:tab w:pos="1615" w:val="left" w:leader="none"/>
                <w:tab w:pos="3927" w:val="left" w:leader="none"/>
              </w:tabs>
              <w:spacing w:line="240" w:lineRule="auto" w:before="56"/>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C0C0C0" w:color="auto" w:val="clear"/>
              </w:rPr>
              <w:t> </w:t>
              <w:tab/>
            </w:r>
            <w:r>
              <w:rPr>
                <w:rFonts w:ascii="宋体" w:hAnsi="宋体" w:cs="宋体" w:eastAsia="宋体" w:hint="default"/>
                <w:sz w:val="18"/>
                <w:szCs w:val="18"/>
                <w:shd w:fill="C0C0C0" w:color="auto" w:val="clear"/>
              </w:rPr>
              <w:t>股东名称</w:t>
              <w:tab/>
            </w:r>
            <w:r>
              <w:rPr>
                <w:rFonts w:ascii="宋体" w:hAnsi="宋体" w:cs="宋体" w:eastAsia="宋体" w:hint="default"/>
                <w:sz w:val="18"/>
                <w:szCs w:val="18"/>
              </w:rPr>
            </w:r>
          </w:p>
        </w:tc>
        <w:tc>
          <w:tcPr>
            <w:tcW w:w="1440" w:type="dxa"/>
            <w:vMerge/>
            <w:tcBorders>
              <w:left w:val="single" w:sz="4" w:space="0" w:color="000000"/>
              <w:right w:val="single" w:sz="4" w:space="0" w:color="000000"/>
            </w:tcBorders>
            <w:shd w:val="clear" w:color="auto" w:fill="C0C0C0"/>
          </w:tcPr>
          <w:p>
            <w:pPr/>
          </w:p>
        </w:tc>
        <w:tc>
          <w:tcPr>
            <w:tcW w:w="860" w:type="dxa"/>
            <w:gridSpan w:val="2"/>
            <w:vMerge/>
            <w:tcBorders>
              <w:left w:val="single" w:sz="4" w:space="0" w:color="000000"/>
              <w:right w:val="single" w:sz="4" w:space="0" w:color="000000"/>
            </w:tcBorders>
            <w:shd w:val="clear" w:color="auto" w:fill="C0C0C0"/>
          </w:tcPr>
          <w:p>
            <w:pPr/>
          </w:p>
        </w:tc>
        <w:tc>
          <w:tcPr>
            <w:tcW w:w="1111" w:type="dxa"/>
            <w:vMerge/>
            <w:tcBorders>
              <w:left w:val="single" w:sz="4" w:space="0" w:color="000000"/>
              <w:right w:val="single" w:sz="4" w:space="0" w:color="000000"/>
            </w:tcBorders>
            <w:shd w:val="clear" w:color="auto" w:fill="C0C0C0"/>
          </w:tcPr>
          <w:p>
            <w:pPr/>
          </w:p>
        </w:tc>
        <w:tc>
          <w:tcPr>
            <w:tcW w:w="1305" w:type="dxa"/>
            <w:vMerge/>
            <w:tcBorders>
              <w:left w:val="single" w:sz="4" w:space="0" w:color="000000"/>
              <w:right w:val="single" w:sz="4" w:space="0" w:color="000000"/>
            </w:tcBorders>
            <w:shd w:val="clear" w:color="auto" w:fill="C0C0C0"/>
          </w:tcPr>
          <w:p>
            <w:pPr/>
          </w:p>
        </w:tc>
        <w:tc>
          <w:tcPr>
            <w:tcW w:w="1262" w:type="dxa"/>
            <w:vMerge/>
            <w:tcBorders>
              <w:left w:val="single" w:sz="4" w:space="0" w:color="000000"/>
              <w:right w:val="single" w:sz="4" w:space="0" w:color="000000"/>
            </w:tcBorders>
            <w:shd w:val="clear" w:color="auto" w:fill="C0C0C0"/>
          </w:tcPr>
          <w:p>
            <w:pPr/>
          </w:p>
        </w:tc>
      </w:tr>
      <w:tr>
        <w:trPr>
          <w:trHeight w:val="166" w:hRule="exact"/>
        </w:trPr>
        <w:tc>
          <w:tcPr>
            <w:tcW w:w="3960" w:type="dxa"/>
            <w:tcBorders>
              <w:top w:val="nil" w:sz="6" w:space="0" w:color="auto"/>
              <w:left w:val="single" w:sz="4" w:space="0" w:color="000000"/>
              <w:bottom w:val="single" w:sz="4" w:space="0" w:color="000000"/>
              <w:right w:val="single" w:sz="4" w:space="0" w:color="000000"/>
            </w:tcBorders>
            <w:shd w:val="clear" w:color="auto" w:fill="C0C0C0"/>
          </w:tcPr>
          <w:p>
            <w:pPr/>
          </w:p>
        </w:tc>
        <w:tc>
          <w:tcPr>
            <w:tcW w:w="1440" w:type="dxa"/>
            <w:vMerge/>
            <w:tcBorders>
              <w:left w:val="single" w:sz="4" w:space="0" w:color="000000"/>
              <w:bottom w:val="single" w:sz="4" w:space="0" w:color="000000"/>
              <w:right w:val="single" w:sz="4" w:space="0" w:color="000000"/>
            </w:tcBorders>
            <w:shd w:val="clear" w:color="auto" w:fill="C0C0C0"/>
          </w:tcPr>
          <w:p>
            <w:pPr/>
          </w:p>
        </w:tc>
        <w:tc>
          <w:tcPr>
            <w:tcW w:w="860" w:type="dxa"/>
            <w:gridSpan w:val="2"/>
            <w:vMerge/>
            <w:tcBorders>
              <w:left w:val="single" w:sz="4" w:space="0" w:color="000000"/>
              <w:bottom w:val="single" w:sz="4" w:space="0" w:color="000000"/>
              <w:right w:val="single" w:sz="4" w:space="0" w:color="000000"/>
            </w:tcBorders>
            <w:shd w:val="clear" w:color="auto" w:fill="C0C0C0"/>
          </w:tcPr>
          <w:p>
            <w:pPr/>
          </w:p>
        </w:tc>
        <w:tc>
          <w:tcPr>
            <w:tcW w:w="1111" w:type="dxa"/>
            <w:vMerge/>
            <w:tcBorders>
              <w:left w:val="single" w:sz="4" w:space="0" w:color="000000"/>
              <w:bottom w:val="single" w:sz="4" w:space="0" w:color="000000"/>
              <w:right w:val="single" w:sz="4" w:space="0" w:color="000000"/>
            </w:tcBorders>
            <w:shd w:val="clear" w:color="auto" w:fill="C0C0C0"/>
          </w:tcPr>
          <w:p>
            <w:pPr/>
          </w:p>
        </w:tc>
        <w:tc>
          <w:tcPr>
            <w:tcW w:w="1305" w:type="dxa"/>
            <w:vMerge/>
            <w:tcBorders>
              <w:left w:val="single" w:sz="4" w:space="0" w:color="000000"/>
              <w:bottom w:val="single" w:sz="4" w:space="0" w:color="000000"/>
              <w:right w:val="single" w:sz="4" w:space="0" w:color="000000"/>
            </w:tcBorders>
            <w:shd w:val="clear" w:color="auto" w:fill="C0C0C0"/>
          </w:tcPr>
          <w:p>
            <w:pPr/>
          </w:p>
        </w:tc>
        <w:tc>
          <w:tcPr>
            <w:tcW w:w="1262" w:type="dxa"/>
            <w:vMerge/>
            <w:tcBorders>
              <w:left w:val="single" w:sz="4" w:space="0" w:color="000000"/>
              <w:bottom w:val="single" w:sz="4" w:space="0" w:color="000000"/>
              <w:right w:val="single" w:sz="4" w:space="0" w:color="000000"/>
            </w:tcBorders>
            <w:shd w:val="clear" w:color="auto" w:fill="C0C0C0"/>
          </w:tcPr>
          <w:p>
            <w:pPr/>
          </w:p>
        </w:tc>
      </w:tr>
      <w:tr>
        <w:trPr>
          <w:trHeight w:val="330"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杨文江</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73" w:right="0"/>
              <w:jc w:val="left"/>
              <w:rPr>
                <w:rFonts w:ascii="Times New Roman" w:hAnsi="Times New Roman" w:cs="Times New Roman" w:eastAsia="Times New Roman" w:hint="default"/>
                <w:sz w:val="18"/>
                <w:szCs w:val="18"/>
              </w:rPr>
            </w:pPr>
            <w:r>
              <w:rPr>
                <w:rFonts w:ascii="Times New Roman"/>
                <w:sz w:val="18"/>
              </w:rPr>
              <w:t>49.08%</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z w:val="18"/>
              </w:rPr>
              <w:t>169,040,749</w:t>
            </w:r>
          </w:p>
        </w:tc>
        <w:tc>
          <w:tcPr>
            <w:tcW w:w="1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374" w:right="0"/>
              <w:jc w:val="left"/>
              <w:rPr>
                <w:rFonts w:ascii="Times New Roman" w:hAnsi="Times New Roman" w:cs="Times New Roman" w:eastAsia="Times New Roman" w:hint="default"/>
                <w:sz w:val="18"/>
                <w:szCs w:val="18"/>
              </w:rPr>
            </w:pPr>
            <w:r>
              <w:rPr>
                <w:rFonts w:ascii="Times New Roman"/>
                <w:sz w:val="18"/>
              </w:rPr>
              <w:t>139,094,168</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418" w:right="0"/>
              <w:jc w:val="left"/>
              <w:rPr>
                <w:rFonts w:ascii="Times New Roman" w:hAnsi="Times New Roman" w:cs="Times New Roman" w:eastAsia="Times New Roman" w:hint="default"/>
                <w:sz w:val="18"/>
                <w:szCs w:val="18"/>
              </w:rPr>
            </w:pPr>
            <w:r>
              <w:rPr>
                <w:rFonts w:ascii="Times New Roman"/>
                <w:sz w:val="18"/>
              </w:rPr>
              <w:t>10,400,000</w:t>
            </w:r>
          </w:p>
        </w:tc>
      </w:tr>
      <w:tr>
        <w:trPr>
          <w:trHeight w:val="330"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中国工商银行</w:t>
            </w:r>
            <w:r>
              <w:rPr>
                <w:rFonts w:ascii="Times New Roman" w:hAnsi="Times New Roman" w:cs="Times New Roman" w:eastAsia="Times New Roman" w:hint="default"/>
                <w:sz w:val="18"/>
                <w:szCs w:val="18"/>
              </w:rPr>
              <w:t>-</w:t>
            </w:r>
            <w:r>
              <w:rPr>
                <w:rFonts w:ascii="宋体" w:hAnsi="宋体" w:cs="宋体" w:eastAsia="宋体" w:hint="default"/>
                <w:sz w:val="18"/>
                <w:szCs w:val="18"/>
              </w:rPr>
              <w:t>广发聚丰股票型证券投资基金</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363" w:right="0"/>
              <w:jc w:val="left"/>
              <w:rPr>
                <w:rFonts w:ascii="Times New Roman" w:hAnsi="Times New Roman" w:cs="Times New Roman" w:eastAsia="Times New Roman" w:hint="default"/>
                <w:sz w:val="18"/>
                <w:szCs w:val="18"/>
              </w:rPr>
            </w:pPr>
            <w:r>
              <w:rPr>
                <w:rFonts w:ascii="Times New Roman"/>
                <w:sz w:val="18"/>
              </w:rPr>
              <w:t>2.85%</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z w:val="18"/>
              </w:rPr>
              <w:t>9,800,000</w:t>
            </w:r>
          </w:p>
        </w:tc>
        <w:tc>
          <w:tcPr>
            <w:tcW w:w="1305"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交通银行</w:t>
            </w:r>
            <w:r>
              <w:rPr>
                <w:rFonts w:ascii="Times New Roman" w:hAnsi="Times New Roman" w:cs="Times New Roman" w:eastAsia="Times New Roman" w:hint="default"/>
                <w:sz w:val="18"/>
                <w:szCs w:val="18"/>
              </w:rPr>
              <w:t>-</w:t>
            </w:r>
            <w:r>
              <w:rPr>
                <w:rFonts w:ascii="宋体" w:hAnsi="宋体" w:cs="宋体" w:eastAsia="宋体" w:hint="default"/>
                <w:sz w:val="18"/>
                <w:szCs w:val="18"/>
              </w:rPr>
              <w:t>博时新兴成长股票型证券投资基金</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363" w:right="0"/>
              <w:jc w:val="left"/>
              <w:rPr>
                <w:rFonts w:ascii="Times New Roman" w:hAnsi="Times New Roman" w:cs="Times New Roman" w:eastAsia="Times New Roman" w:hint="default"/>
                <w:sz w:val="18"/>
                <w:szCs w:val="18"/>
              </w:rPr>
            </w:pPr>
            <w:r>
              <w:rPr>
                <w:rFonts w:ascii="Times New Roman"/>
                <w:sz w:val="18"/>
              </w:rPr>
              <w:t>2.53%</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z w:val="18"/>
              </w:rPr>
              <w:t>8,727,654</w:t>
            </w:r>
          </w:p>
        </w:tc>
        <w:tc>
          <w:tcPr>
            <w:tcW w:w="1305"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融通新蓝筹证券投资基金</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363" w:right="0"/>
              <w:jc w:val="left"/>
              <w:rPr>
                <w:rFonts w:ascii="Times New Roman" w:hAnsi="Times New Roman" w:cs="Times New Roman" w:eastAsia="Times New Roman" w:hint="default"/>
                <w:sz w:val="18"/>
                <w:szCs w:val="18"/>
              </w:rPr>
            </w:pPr>
            <w:r>
              <w:rPr>
                <w:rFonts w:ascii="Times New Roman"/>
                <w:sz w:val="18"/>
              </w:rPr>
              <w:t>2.12%</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z w:val="18"/>
              </w:rPr>
              <w:t>7,300,840</w:t>
            </w:r>
          </w:p>
        </w:tc>
        <w:tc>
          <w:tcPr>
            <w:tcW w:w="1305"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中国工商银行</w:t>
            </w:r>
            <w:r>
              <w:rPr>
                <w:rFonts w:ascii="Times New Roman" w:hAnsi="Times New Roman" w:cs="Times New Roman" w:eastAsia="Times New Roman" w:hint="default"/>
                <w:sz w:val="18"/>
                <w:szCs w:val="18"/>
              </w:rPr>
              <w:t>-</w:t>
            </w:r>
            <w:r>
              <w:rPr>
                <w:rFonts w:ascii="宋体" w:hAnsi="宋体" w:cs="宋体" w:eastAsia="宋体" w:hint="default"/>
                <w:sz w:val="18"/>
                <w:szCs w:val="18"/>
              </w:rPr>
              <w:t>南方稳健成长证券投资基金</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363" w:right="0"/>
              <w:jc w:val="left"/>
              <w:rPr>
                <w:rFonts w:ascii="Times New Roman" w:hAnsi="Times New Roman" w:cs="Times New Roman" w:eastAsia="Times New Roman" w:hint="default"/>
                <w:sz w:val="18"/>
                <w:szCs w:val="18"/>
              </w:rPr>
            </w:pPr>
            <w:r>
              <w:rPr>
                <w:rFonts w:ascii="Times New Roman"/>
                <w:sz w:val="18"/>
              </w:rPr>
              <w:t>1.80%</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z w:val="18"/>
              </w:rPr>
              <w:t>6,185,295</w:t>
            </w:r>
          </w:p>
        </w:tc>
        <w:tc>
          <w:tcPr>
            <w:tcW w:w="1305"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中国工商银行</w:t>
            </w:r>
            <w:r>
              <w:rPr>
                <w:rFonts w:ascii="Times New Roman" w:hAnsi="Times New Roman" w:cs="Times New Roman" w:eastAsia="Times New Roman" w:hint="default"/>
                <w:sz w:val="18"/>
                <w:szCs w:val="18"/>
              </w:rPr>
              <w:t>-</w:t>
            </w:r>
            <w:r>
              <w:rPr>
                <w:rFonts w:ascii="宋体" w:hAnsi="宋体" w:cs="宋体" w:eastAsia="宋体" w:hint="default"/>
                <w:sz w:val="18"/>
                <w:szCs w:val="18"/>
              </w:rPr>
              <w:t>南方稳健成长贰号证券投资基金</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363" w:right="0"/>
              <w:jc w:val="left"/>
              <w:rPr>
                <w:rFonts w:ascii="Times New Roman" w:hAnsi="Times New Roman" w:cs="Times New Roman" w:eastAsia="Times New Roman" w:hint="default"/>
                <w:sz w:val="18"/>
                <w:szCs w:val="18"/>
              </w:rPr>
            </w:pPr>
            <w:r>
              <w:rPr>
                <w:rFonts w:ascii="Times New Roman"/>
                <w:sz w:val="18"/>
              </w:rPr>
              <w:t>1.68%</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z w:val="18"/>
              </w:rPr>
              <w:t>5,797,954</w:t>
            </w:r>
          </w:p>
        </w:tc>
        <w:tc>
          <w:tcPr>
            <w:tcW w:w="1305"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中国工商银行</w:t>
            </w:r>
            <w:r>
              <w:rPr>
                <w:rFonts w:ascii="Times New Roman" w:hAnsi="Times New Roman" w:cs="Times New Roman" w:eastAsia="Times New Roman" w:hint="default"/>
                <w:sz w:val="18"/>
                <w:szCs w:val="18"/>
              </w:rPr>
              <w:t>-</w:t>
            </w:r>
            <w:r>
              <w:rPr>
                <w:rFonts w:ascii="宋体" w:hAnsi="宋体" w:cs="宋体" w:eastAsia="宋体" w:hint="default"/>
                <w:sz w:val="18"/>
                <w:szCs w:val="18"/>
              </w:rPr>
              <w:t>南方积极配置证券投资基金</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363" w:right="0"/>
              <w:jc w:val="left"/>
              <w:rPr>
                <w:rFonts w:ascii="Times New Roman" w:hAnsi="Times New Roman" w:cs="Times New Roman" w:eastAsia="Times New Roman" w:hint="default"/>
                <w:sz w:val="18"/>
                <w:szCs w:val="18"/>
              </w:rPr>
            </w:pPr>
            <w:r>
              <w:rPr>
                <w:rFonts w:ascii="Times New Roman"/>
                <w:sz w:val="18"/>
              </w:rPr>
              <w:t>1.34%</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z w:val="18"/>
              </w:rPr>
              <w:t>4,615,768</w:t>
            </w:r>
          </w:p>
        </w:tc>
        <w:tc>
          <w:tcPr>
            <w:tcW w:w="1305"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中国农业银行</w:t>
            </w:r>
            <w:r>
              <w:rPr>
                <w:rFonts w:ascii="Times New Roman" w:hAnsi="Times New Roman" w:cs="Times New Roman" w:eastAsia="Times New Roman" w:hint="default"/>
                <w:sz w:val="18"/>
                <w:szCs w:val="18"/>
              </w:rPr>
              <w:t>-</w:t>
            </w:r>
            <w:r>
              <w:rPr>
                <w:rFonts w:ascii="宋体" w:hAnsi="宋体" w:cs="宋体" w:eastAsia="宋体" w:hint="default"/>
                <w:sz w:val="18"/>
                <w:szCs w:val="18"/>
              </w:rPr>
              <w:t>益民创新优势混合型证券投资基金</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363" w:right="0"/>
              <w:jc w:val="left"/>
              <w:rPr>
                <w:rFonts w:ascii="Times New Roman" w:hAnsi="Times New Roman" w:cs="Times New Roman" w:eastAsia="Times New Roman" w:hint="default"/>
                <w:sz w:val="18"/>
                <w:szCs w:val="18"/>
              </w:rPr>
            </w:pPr>
            <w:r>
              <w:rPr>
                <w:rFonts w:ascii="Times New Roman"/>
                <w:sz w:val="18"/>
              </w:rPr>
              <w:t>1.16%</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z w:val="18"/>
              </w:rPr>
              <w:t>3,999,858</w:t>
            </w:r>
          </w:p>
        </w:tc>
        <w:tc>
          <w:tcPr>
            <w:tcW w:w="1305"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吴彪</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363" w:right="0"/>
              <w:jc w:val="left"/>
              <w:rPr>
                <w:rFonts w:ascii="Times New Roman" w:hAnsi="Times New Roman" w:cs="Times New Roman" w:eastAsia="Times New Roman" w:hint="default"/>
                <w:sz w:val="18"/>
                <w:szCs w:val="18"/>
              </w:rPr>
            </w:pPr>
            <w:r>
              <w:rPr>
                <w:rFonts w:ascii="Times New Roman"/>
                <w:sz w:val="18"/>
              </w:rPr>
              <w:t>0.82%</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z w:val="18"/>
              </w:rPr>
              <w:t>2,819,700</w:t>
            </w:r>
          </w:p>
        </w:tc>
        <w:tc>
          <w:tcPr>
            <w:tcW w:w="1305"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1048" w:top="1100" w:bottom="1240" w:left="920" w:right="800"/>
        </w:sectPr>
      </w:pPr>
    </w:p>
    <w:p>
      <w:pPr>
        <w:spacing w:line="240" w:lineRule="auto" w:before="6"/>
        <w:rPr>
          <w:rFonts w:ascii="宋体" w:hAnsi="宋体" w:cs="宋体" w:eastAsia="宋体" w:hint="default"/>
          <w:sz w:val="24"/>
          <w:szCs w:val="24"/>
        </w:rPr>
      </w:pPr>
    </w:p>
    <w:tbl>
      <w:tblPr>
        <w:tblW w:w="0" w:type="auto"/>
        <w:jc w:val="left"/>
        <w:tblInd w:w="116" w:type="dxa"/>
        <w:tblLayout w:type="fixed"/>
        <w:tblCellMar>
          <w:top w:w="0" w:type="dxa"/>
          <w:left w:w="0" w:type="dxa"/>
          <w:bottom w:w="0" w:type="dxa"/>
          <w:right w:w="0" w:type="dxa"/>
        </w:tblCellMar>
        <w:tblLook w:val="01E0"/>
      </w:tblPr>
      <w:tblGrid>
        <w:gridCol w:w="3960"/>
        <w:gridCol w:w="1440"/>
        <w:gridCol w:w="860"/>
        <w:gridCol w:w="1111"/>
        <w:gridCol w:w="520"/>
        <w:gridCol w:w="787"/>
        <w:gridCol w:w="1260"/>
      </w:tblGrid>
      <w:tr>
        <w:trPr>
          <w:trHeight w:val="330"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3" w:right="0"/>
              <w:jc w:val="left"/>
              <w:rPr>
                <w:rFonts w:ascii="宋体" w:hAnsi="宋体" w:cs="宋体" w:eastAsia="宋体" w:hint="default"/>
                <w:sz w:val="18"/>
                <w:szCs w:val="18"/>
              </w:rPr>
            </w:pPr>
            <w:r>
              <w:rPr>
                <w:rFonts w:ascii="宋体" w:hAnsi="宋体" w:cs="宋体" w:eastAsia="宋体" w:hint="default"/>
                <w:sz w:val="18"/>
                <w:szCs w:val="18"/>
              </w:rPr>
              <w:t>太平洋人寿保险有限公司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投连</w:t>
            </w:r>
            <w:r>
              <w:rPr>
                <w:rFonts w:ascii="Times New Roman" w:hAnsi="Times New Roman" w:cs="Times New Roman" w:eastAsia="Times New Roman" w:hint="default"/>
                <w:sz w:val="18"/>
                <w:szCs w:val="18"/>
              </w:rPr>
              <w:t>-</w:t>
            </w:r>
            <w:r>
              <w:rPr>
                <w:rFonts w:ascii="宋体" w:hAnsi="宋体" w:cs="宋体" w:eastAsia="宋体" w:hint="default"/>
                <w:sz w:val="18"/>
                <w:szCs w:val="18"/>
              </w:rPr>
              <w:t>银保</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85"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363" w:right="0"/>
              <w:jc w:val="left"/>
              <w:rPr>
                <w:rFonts w:ascii="Times New Roman" w:hAnsi="Times New Roman" w:cs="Times New Roman" w:eastAsia="Times New Roman" w:hint="default"/>
                <w:sz w:val="18"/>
                <w:szCs w:val="18"/>
              </w:rPr>
            </w:pPr>
            <w:r>
              <w:rPr>
                <w:rFonts w:ascii="Times New Roman"/>
                <w:sz w:val="18"/>
              </w:rPr>
              <w:t>0.70%</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357" w:right="0"/>
              <w:jc w:val="left"/>
              <w:rPr>
                <w:rFonts w:ascii="Times New Roman" w:hAnsi="Times New Roman" w:cs="Times New Roman" w:eastAsia="Times New Roman" w:hint="default"/>
                <w:sz w:val="18"/>
                <w:szCs w:val="18"/>
              </w:rPr>
            </w:pPr>
            <w:r>
              <w:rPr>
                <w:rFonts w:ascii="Times New Roman"/>
                <w:sz w:val="18"/>
              </w:rPr>
              <w:t>2,400,000</w:t>
            </w:r>
          </w:p>
        </w:tc>
        <w:tc>
          <w:tcPr>
            <w:tcW w:w="1307" w:type="dxa"/>
            <w:gridSpan w:val="2"/>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993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1"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330" w:hRule="exact"/>
        </w:trPr>
        <w:tc>
          <w:tcPr>
            <w:tcW w:w="540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491"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50" w:right="0"/>
              <w:jc w:val="left"/>
              <w:rPr>
                <w:rFonts w:ascii="宋体" w:hAnsi="宋体" w:cs="宋体" w:eastAsia="宋体" w:hint="default"/>
                <w:sz w:val="18"/>
                <w:szCs w:val="18"/>
              </w:rPr>
            </w:pPr>
            <w:r>
              <w:rPr>
                <w:rFonts w:ascii="宋体" w:hAnsi="宋体" w:cs="宋体" w:eastAsia="宋体" w:hint="default"/>
                <w:sz w:val="18"/>
                <w:szCs w:val="18"/>
              </w:rPr>
              <w:t>持有无限售条件股份数量</w:t>
            </w:r>
          </w:p>
        </w:tc>
        <w:tc>
          <w:tcPr>
            <w:tcW w:w="204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657" w:right="0"/>
              <w:jc w:val="left"/>
              <w:rPr>
                <w:rFonts w:ascii="宋体" w:hAnsi="宋体" w:cs="宋体" w:eastAsia="宋体" w:hint="default"/>
                <w:sz w:val="18"/>
                <w:szCs w:val="18"/>
              </w:rPr>
            </w:pPr>
            <w:r>
              <w:rPr>
                <w:rFonts w:ascii="宋体" w:hAnsi="宋体" w:cs="宋体" w:eastAsia="宋体" w:hint="default"/>
                <w:sz w:val="18"/>
                <w:szCs w:val="18"/>
              </w:rPr>
              <w:t>股份种类</w:t>
            </w:r>
          </w:p>
        </w:tc>
      </w:tr>
      <w:tr>
        <w:trPr>
          <w:trHeight w:val="330" w:hRule="exact"/>
        </w:trPr>
        <w:tc>
          <w:tcPr>
            <w:tcW w:w="54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杨文江</w:t>
            </w:r>
          </w:p>
        </w:tc>
        <w:tc>
          <w:tcPr>
            <w:tcW w:w="24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648" w:right="0"/>
              <w:jc w:val="left"/>
              <w:rPr>
                <w:rFonts w:ascii="Times New Roman" w:hAnsi="Times New Roman" w:cs="Times New Roman" w:eastAsia="Times New Roman" w:hint="default"/>
                <w:sz w:val="18"/>
                <w:szCs w:val="18"/>
              </w:rPr>
            </w:pPr>
            <w:r>
              <w:rPr>
                <w:rFonts w:ascii="Times New Roman"/>
                <w:sz w:val="18"/>
              </w:rPr>
              <w:t>29,946,581</w:t>
            </w:r>
          </w:p>
        </w:tc>
        <w:tc>
          <w:tcPr>
            <w:tcW w:w="20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47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0" w:hRule="exact"/>
        </w:trPr>
        <w:tc>
          <w:tcPr>
            <w:tcW w:w="54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中国工商银行</w:t>
            </w:r>
            <w:r>
              <w:rPr>
                <w:rFonts w:ascii="Times New Roman" w:hAnsi="Times New Roman" w:cs="Times New Roman" w:eastAsia="Times New Roman" w:hint="default"/>
                <w:sz w:val="18"/>
                <w:szCs w:val="18"/>
              </w:rPr>
              <w:t>-</w:t>
            </w:r>
            <w:r>
              <w:rPr>
                <w:rFonts w:ascii="宋体" w:hAnsi="宋体" w:cs="宋体" w:eastAsia="宋体" w:hint="default"/>
                <w:sz w:val="18"/>
                <w:szCs w:val="18"/>
              </w:rPr>
              <w:t>广发聚丰股票型证券投资基金</w:t>
            </w:r>
          </w:p>
        </w:tc>
        <w:tc>
          <w:tcPr>
            <w:tcW w:w="24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z w:val="18"/>
              </w:rPr>
              <w:t>9,800,000</w:t>
            </w:r>
          </w:p>
        </w:tc>
        <w:tc>
          <w:tcPr>
            <w:tcW w:w="20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47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0" w:hRule="exact"/>
        </w:trPr>
        <w:tc>
          <w:tcPr>
            <w:tcW w:w="54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交通银行</w:t>
            </w:r>
            <w:r>
              <w:rPr>
                <w:rFonts w:ascii="Times New Roman" w:hAnsi="Times New Roman" w:cs="Times New Roman" w:eastAsia="Times New Roman" w:hint="default"/>
                <w:sz w:val="18"/>
                <w:szCs w:val="18"/>
              </w:rPr>
              <w:t>-</w:t>
            </w:r>
            <w:r>
              <w:rPr>
                <w:rFonts w:ascii="宋体" w:hAnsi="宋体" w:cs="宋体" w:eastAsia="宋体" w:hint="default"/>
                <w:sz w:val="18"/>
                <w:szCs w:val="18"/>
              </w:rPr>
              <w:t>博时新兴成长股票型证券投资基金</w:t>
            </w:r>
          </w:p>
        </w:tc>
        <w:tc>
          <w:tcPr>
            <w:tcW w:w="24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z w:val="18"/>
              </w:rPr>
              <w:t>8,727,654</w:t>
            </w:r>
          </w:p>
        </w:tc>
        <w:tc>
          <w:tcPr>
            <w:tcW w:w="20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47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0" w:hRule="exact"/>
        </w:trPr>
        <w:tc>
          <w:tcPr>
            <w:tcW w:w="54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融通新蓝筹证券投资基金</w:t>
            </w:r>
          </w:p>
        </w:tc>
        <w:tc>
          <w:tcPr>
            <w:tcW w:w="24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z w:val="18"/>
              </w:rPr>
              <w:t>7,300,840</w:t>
            </w:r>
          </w:p>
        </w:tc>
        <w:tc>
          <w:tcPr>
            <w:tcW w:w="20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47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0" w:hRule="exact"/>
        </w:trPr>
        <w:tc>
          <w:tcPr>
            <w:tcW w:w="54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中国工商银行</w:t>
            </w:r>
            <w:r>
              <w:rPr>
                <w:rFonts w:ascii="Times New Roman" w:hAnsi="Times New Roman" w:cs="Times New Roman" w:eastAsia="Times New Roman" w:hint="default"/>
                <w:sz w:val="18"/>
                <w:szCs w:val="18"/>
              </w:rPr>
              <w:t>-</w:t>
            </w:r>
            <w:r>
              <w:rPr>
                <w:rFonts w:ascii="宋体" w:hAnsi="宋体" w:cs="宋体" w:eastAsia="宋体" w:hint="default"/>
                <w:sz w:val="18"/>
                <w:szCs w:val="18"/>
              </w:rPr>
              <w:t>南方稳健成长证券投资基金</w:t>
            </w:r>
          </w:p>
        </w:tc>
        <w:tc>
          <w:tcPr>
            <w:tcW w:w="24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z w:val="18"/>
              </w:rPr>
              <w:t>6,185,295</w:t>
            </w:r>
          </w:p>
        </w:tc>
        <w:tc>
          <w:tcPr>
            <w:tcW w:w="20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47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0" w:hRule="exact"/>
        </w:trPr>
        <w:tc>
          <w:tcPr>
            <w:tcW w:w="54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中国工商银行</w:t>
            </w:r>
            <w:r>
              <w:rPr>
                <w:rFonts w:ascii="Times New Roman" w:hAnsi="Times New Roman" w:cs="Times New Roman" w:eastAsia="Times New Roman" w:hint="default"/>
                <w:sz w:val="18"/>
                <w:szCs w:val="18"/>
              </w:rPr>
              <w:t>-</w:t>
            </w:r>
            <w:r>
              <w:rPr>
                <w:rFonts w:ascii="宋体" w:hAnsi="宋体" w:cs="宋体" w:eastAsia="宋体" w:hint="default"/>
                <w:sz w:val="18"/>
                <w:szCs w:val="18"/>
              </w:rPr>
              <w:t>南方稳健成长贰号证券投资基金</w:t>
            </w:r>
          </w:p>
        </w:tc>
        <w:tc>
          <w:tcPr>
            <w:tcW w:w="24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z w:val="18"/>
              </w:rPr>
              <w:t>5,797,954</w:t>
            </w:r>
          </w:p>
        </w:tc>
        <w:tc>
          <w:tcPr>
            <w:tcW w:w="20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47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0" w:hRule="exact"/>
        </w:trPr>
        <w:tc>
          <w:tcPr>
            <w:tcW w:w="54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中国工商银行</w:t>
            </w:r>
            <w:r>
              <w:rPr>
                <w:rFonts w:ascii="Times New Roman" w:hAnsi="Times New Roman" w:cs="Times New Roman" w:eastAsia="Times New Roman" w:hint="default"/>
                <w:sz w:val="18"/>
                <w:szCs w:val="18"/>
              </w:rPr>
              <w:t>-</w:t>
            </w:r>
            <w:r>
              <w:rPr>
                <w:rFonts w:ascii="宋体" w:hAnsi="宋体" w:cs="宋体" w:eastAsia="宋体" w:hint="default"/>
                <w:sz w:val="18"/>
                <w:szCs w:val="18"/>
              </w:rPr>
              <w:t>南方积极配置证券投资基金</w:t>
            </w:r>
          </w:p>
        </w:tc>
        <w:tc>
          <w:tcPr>
            <w:tcW w:w="24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z w:val="18"/>
              </w:rPr>
              <w:t>4,615,768</w:t>
            </w:r>
          </w:p>
        </w:tc>
        <w:tc>
          <w:tcPr>
            <w:tcW w:w="20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47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0" w:hRule="exact"/>
        </w:trPr>
        <w:tc>
          <w:tcPr>
            <w:tcW w:w="54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中国农业银行</w:t>
            </w:r>
            <w:r>
              <w:rPr>
                <w:rFonts w:ascii="Times New Roman" w:hAnsi="Times New Roman" w:cs="Times New Roman" w:eastAsia="Times New Roman" w:hint="default"/>
                <w:sz w:val="18"/>
                <w:szCs w:val="18"/>
              </w:rPr>
              <w:t>-</w:t>
            </w:r>
            <w:r>
              <w:rPr>
                <w:rFonts w:ascii="宋体" w:hAnsi="宋体" w:cs="宋体" w:eastAsia="宋体" w:hint="default"/>
                <w:sz w:val="18"/>
                <w:szCs w:val="18"/>
              </w:rPr>
              <w:t>益民创新优势混合型证券投资基金</w:t>
            </w:r>
          </w:p>
        </w:tc>
        <w:tc>
          <w:tcPr>
            <w:tcW w:w="24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z w:val="18"/>
              </w:rPr>
              <w:t>3,999,858</w:t>
            </w:r>
          </w:p>
        </w:tc>
        <w:tc>
          <w:tcPr>
            <w:tcW w:w="20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47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0" w:hRule="exact"/>
        </w:trPr>
        <w:tc>
          <w:tcPr>
            <w:tcW w:w="54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吴彪</w:t>
            </w:r>
          </w:p>
        </w:tc>
        <w:tc>
          <w:tcPr>
            <w:tcW w:w="24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z w:val="18"/>
              </w:rPr>
              <w:t>2,819,700</w:t>
            </w:r>
          </w:p>
        </w:tc>
        <w:tc>
          <w:tcPr>
            <w:tcW w:w="20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47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30" w:hRule="exact"/>
        </w:trPr>
        <w:tc>
          <w:tcPr>
            <w:tcW w:w="54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太平洋人寿保险有限公司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投连</w:t>
            </w:r>
            <w:r>
              <w:rPr>
                <w:rFonts w:ascii="Times New Roman" w:hAnsi="Times New Roman" w:cs="Times New Roman" w:eastAsia="Times New Roman" w:hint="default"/>
                <w:sz w:val="18"/>
                <w:szCs w:val="18"/>
              </w:rPr>
              <w:t>-</w:t>
            </w:r>
            <w:r>
              <w:rPr>
                <w:rFonts w:ascii="宋体" w:hAnsi="宋体" w:cs="宋体" w:eastAsia="宋体" w:hint="default"/>
                <w:sz w:val="18"/>
                <w:szCs w:val="18"/>
              </w:rPr>
              <w:t>银保</w:t>
            </w:r>
          </w:p>
        </w:tc>
        <w:tc>
          <w:tcPr>
            <w:tcW w:w="24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z w:val="18"/>
              </w:rPr>
              <w:t>2,400,000</w:t>
            </w:r>
          </w:p>
        </w:tc>
        <w:tc>
          <w:tcPr>
            <w:tcW w:w="20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47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1931" w:hRule="exact"/>
        </w:trPr>
        <w:tc>
          <w:tcPr>
            <w:tcW w:w="39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left="535"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5978" w:type="dxa"/>
            <w:gridSpan w:val="6"/>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23" w:right="2" w:firstLine="360"/>
              <w:jc w:val="both"/>
              <w:rPr>
                <w:rFonts w:ascii="宋体" w:hAnsi="宋体" w:cs="宋体" w:eastAsia="宋体" w:hint="default"/>
                <w:sz w:val="18"/>
                <w:szCs w:val="18"/>
              </w:rPr>
            </w:pPr>
            <w:r>
              <w:rPr>
                <w:rFonts w:ascii="宋体" w:hAnsi="宋体" w:cs="宋体" w:eastAsia="宋体" w:hint="default"/>
                <w:sz w:val="18"/>
                <w:szCs w:val="18"/>
              </w:rPr>
              <w:t>本公司发起人杨文江、吴彪之间不存在关联关系，也不属于《上市公司 股东持股变动信息披露管理办法》规定的一致行动人；中国工商银行—南方 稳健成长证券投资基金、中国工商银行—南方稳健成长贰号证券投资基金、 </w:t>
            </w:r>
            <w:r>
              <w:rPr>
                <w:rFonts w:ascii="宋体" w:hAnsi="宋体" w:cs="宋体" w:eastAsia="宋体" w:hint="default"/>
                <w:spacing w:val="4"/>
                <w:sz w:val="18"/>
                <w:szCs w:val="18"/>
              </w:rPr>
              <w:t>中国工商银行—南方积极配置证券投资基金同属南方基金管理有限公司管</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理；未知其他股东之间是否存在关联关系，也未知是否属于《上市公司股东</w:t>
            </w:r>
            <w:r>
              <w:rPr>
                <w:rFonts w:ascii="宋体" w:hAnsi="宋体" w:cs="宋体" w:eastAsia="宋体" w:hint="default"/>
                <w:sz w:val="18"/>
                <w:szCs w:val="18"/>
              </w:rPr>
              <w:t> 持股变动信息披露管理办法》规定的一致行动人。</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1360" w:right="604"/>
        <w:jc w:val="left"/>
      </w:pPr>
      <w:r>
        <w:rPr/>
        <w:t>（二）公司控股股东及实际控制人情况</w:t>
      </w:r>
    </w:p>
    <w:p>
      <w:pPr>
        <w:pStyle w:val="BodyText"/>
        <w:spacing w:line="348" w:lineRule="auto" w:before="74"/>
        <w:ind w:left="879" w:right="610" w:firstLine="480"/>
        <w:jc w:val="both"/>
      </w:pPr>
      <w:r>
        <w:rPr>
          <w:rFonts w:ascii="Times New Roman" w:hAnsi="Times New Roman" w:cs="Times New Roman" w:eastAsia="Times New Roman" w:hint="default"/>
        </w:rPr>
        <w:t>1</w:t>
      </w:r>
      <w:r>
        <w:rPr/>
        <w:t>、公司控股股东或实际控制人：杨文江先生，中国国籍，</w:t>
      </w:r>
      <w:r>
        <w:rPr>
          <w:rFonts w:ascii="Times New Roman" w:hAnsi="Times New Roman" w:cs="Times New Roman" w:eastAsia="Times New Roman" w:hint="default"/>
        </w:rPr>
        <w:t>1972</w:t>
      </w:r>
      <w:r>
        <w:rPr/>
        <w:t>年</w:t>
      </w:r>
      <w:r>
        <w:rPr>
          <w:rFonts w:ascii="Times New Roman" w:hAnsi="Times New Roman" w:cs="Times New Roman" w:eastAsia="Times New Roman" w:hint="default"/>
        </w:rPr>
        <w:t>5</w:t>
      </w:r>
      <w:r>
        <w:rPr/>
        <w:t>月出生，管</w:t>
      </w:r>
      <w:r>
        <w:rPr>
          <w:spacing w:val="1"/>
        </w:rPr>
        <w:t> </w:t>
      </w:r>
      <w:r>
        <w:rPr/>
        <w:t>理学硕士。杨文江先生是本公司创始人及控股股东，</w:t>
      </w:r>
      <w:r>
        <w:rPr>
          <w:rFonts w:ascii="Times New Roman" w:hAnsi="Times New Roman" w:cs="Times New Roman" w:eastAsia="Times New Roman" w:hint="default"/>
        </w:rPr>
        <w:t>2001</w:t>
      </w:r>
      <w:r>
        <w:rPr/>
        <w:t>年杨文江先生创办广州御</w:t>
      </w:r>
      <w:r>
        <w:rPr>
          <w:spacing w:val="-85"/>
        </w:rPr>
        <w:t> </w:t>
      </w:r>
      <w:r>
        <w:rPr/>
        <w:t>银科技有限公司，专门向金融行业提供自助银行设备和服务，后发展演变成为本公</w:t>
      </w:r>
      <w:r>
        <w:rPr>
          <w:spacing w:val="-84"/>
        </w:rPr>
        <w:t> </w:t>
      </w:r>
      <w:r>
        <w:rPr>
          <w:spacing w:val="-84"/>
        </w:rPr>
      </w:r>
      <w:r>
        <w:rPr/>
        <w:t>司。杨文江先生现任公司董事长、总经理。杨文江先生直接持有广州御银科技股份</w:t>
      </w:r>
      <w:r>
        <w:rPr>
          <w:spacing w:val="-84"/>
        </w:rPr>
        <w:t> </w:t>
      </w:r>
      <w:r>
        <w:rPr>
          <w:spacing w:val="-84"/>
        </w:rPr>
      </w:r>
      <w:r>
        <w:rPr/>
        <w:t>有限公司</w:t>
      </w:r>
      <w:r>
        <w:rPr>
          <w:rFonts w:ascii="Times New Roman" w:hAnsi="Times New Roman" w:cs="Times New Roman" w:eastAsia="Times New Roman" w:hint="default"/>
        </w:rPr>
        <w:t>49.08%</w:t>
      </w:r>
      <w:r>
        <w:rPr/>
        <w:t>的股份。</w:t>
      </w:r>
    </w:p>
    <w:p>
      <w:pPr>
        <w:pStyle w:val="BodyText"/>
        <w:spacing w:line="240" w:lineRule="auto" w:before="15"/>
        <w:ind w:left="1359" w:right="604"/>
        <w:jc w:val="left"/>
      </w:pPr>
      <w:r>
        <w:rPr>
          <w:rFonts w:ascii="Times New Roman" w:hAnsi="Times New Roman" w:cs="Times New Roman" w:eastAsia="Times New Roman" w:hint="default"/>
        </w:rPr>
        <w:t>2</w:t>
      </w:r>
      <w:r>
        <w:rPr/>
        <w:t>、公司与实际控制人的产权和控制关系如下图：</w:t>
      </w:r>
    </w:p>
    <w:p>
      <w:pPr>
        <w:spacing w:line="240" w:lineRule="auto" w:before="2"/>
        <w:rPr>
          <w:rFonts w:ascii="宋体" w:hAnsi="宋体" w:cs="宋体" w:eastAsia="宋体" w:hint="default"/>
          <w:sz w:val="24"/>
          <w:szCs w:val="24"/>
        </w:rPr>
      </w:pPr>
    </w:p>
    <w:tbl>
      <w:tblPr>
        <w:tblW w:w="0" w:type="auto"/>
        <w:jc w:val="left"/>
        <w:tblInd w:w="3385" w:type="dxa"/>
        <w:tblLayout w:type="fixed"/>
        <w:tblCellMar>
          <w:top w:w="0" w:type="dxa"/>
          <w:left w:w="0" w:type="dxa"/>
          <w:bottom w:w="0" w:type="dxa"/>
          <w:right w:w="0" w:type="dxa"/>
        </w:tblCellMar>
        <w:tblLook w:val="01E0"/>
      </w:tblPr>
      <w:tblGrid>
        <w:gridCol w:w="900"/>
        <w:gridCol w:w="721"/>
        <w:gridCol w:w="899"/>
        <w:gridCol w:w="720"/>
      </w:tblGrid>
      <w:tr>
        <w:trPr>
          <w:trHeight w:val="468" w:hRule="exact"/>
        </w:trPr>
        <w:tc>
          <w:tcPr>
            <w:tcW w:w="900" w:type="dxa"/>
            <w:tcBorders>
              <w:top w:val="nil" w:sz="6" w:space="0" w:color="auto"/>
              <w:left w:val="nil" w:sz="6" w:space="0" w:color="auto"/>
              <w:bottom w:val="nil" w:sz="6" w:space="0" w:color="auto"/>
              <w:right w:val="single" w:sz="12" w:space="0" w:color="000000"/>
            </w:tcBorders>
          </w:tcPr>
          <w:p>
            <w:pPr/>
          </w:p>
        </w:tc>
        <w:tc>
          <w:tcPr>
            <w:tcW w:w="1620"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32"/>
              <w:ind w:left="193" w:right="0"/>
              <w:jc w:val="left"/>
              <w:rPr>
                <w:rFonts w:ascii="宋体" w:hAnsi="宋体" w:cs="宋体" w:eastAsia="宋体" w:hint="default"/>
                <w:sz w:val="24"/>
                <w:szCs w:val="24"/>
              </w:rPr>
            </w:pPr>
            <w:r>
              <w:rPr>
                <w:rFonts w:ascii="宋体" w:hAnsi="宋体" w:cs="宋体" w:eastAsia="宋体" w:hint="default"/>
                <w:sz w:val="24"/>
                <w:szCs w:val="24"/>
              </w:rPr>
              <w:t>杨文江先生</w:t>
            </w:r>
          </w:p>
        </w:tc>
        <w:tc>
          <w:tcPr>
            <w:tcW w:w="720" w:type="dxa"/>
            <w:tcBorders>
              <w:top w:val="nil" w:sz="6" w:space="0" w:color="auto"/>
              <w:left w:val="single" w:sz="12" w:space="0" w:color="000000"/>
              <w:bottom w:val="nil" w:sz="6" w:space="0" w:color="auto"/>
              <w:right w:val="nil" w:sz="6" w:space="0" w:color="auto"/>
            </w:tcBorders>
          </w:tcPr>
          <w:p>
            <w:pPr/>
          </w:p>
        </w:tc>
      </w:tr>
      <w:tr>
        <w:trPr>
          <w:trHeight w:val="780" w:hRule="exact"/>
        </w:trPr>
        <w:tc>
          <w:tcPr>
            <w:tcW w:w="1621" w:type="dxa"/>
            <w:gridSpan w:val="2"/>
            <w:tcBorders>
              <w:top w:val="nil" w:sz="6" w:space="0" w:color="auto"/>
              <w:left w:val="nil" w:sz="6" w:space="0" w:color="auto"/>
              <w:bottom w:val="single" w:sz="12" w:space="0" w:color="000000"/>
              <w:right w:val="single" w:sz="6"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593" w:right="0"/>
              <w:jc w:val="left"/>
              <w:rPr>
                <w:rFonts w:ascii="Times New Roman" w:hAnsi="Times New Roman" w:cs="Times New Roman" w:eastAsia="Times New Roman" w:hint="default"/>
                <w:sz w:val="24"/>
                <w:szCs w:val="24"/>
              </w:rPr>
            </w:pPr>
            <w:r>
              <w:rPr>
                <w:rFonts w:ascii="Times New Roman"/>
                <w:sz w:val="21"/>
              </w:rPr>
              <w:t>49.08</w:t>
            </w:r>
            <w:r>
              <w:rPr>
                <w:rFonts w:ascii="Times New Roman"/>
                <w:sz w:val="24"/>
              </w:rPr>
              <w:t>%</w:t>
            </w:r>
          </w:p>
        </w:tc>
        <w:tc>
          <w:tcPr>
            <w:tcW w:w="1619" w:type="dxa"/>
            <w:gridSpan w:val="2"/>
            <w:tcBorders>
              <w:top w:val="nil" w:sz="6" w:space="0" w:color="auto"/>
              <w:left w:val="single" w:sz="6" w:space="0" w:color="000000"/>
              <w:bottom w:val="single" w:sz="12" w:space="0" w:color="000000"/>
              <w:right w:val="nil" w:sz="6" w:space="0" w:color="auto"/>
            </w:tcBorders>
          </w:tcPr>
          <w:p>
            <w:pPr/>
          </w:p>
        </w:tc>
      </w:tr>
      <w:tr>
        <w:trPr>
          <w:trHeight w:val="468" w:hRule="exact"/>
        </w:trPr>
        <w:tc>
          <w:tcPr>
            <w:tcW w:w="3240" w:type="dxa"/>
            <w:gridSpan w:val="4"/>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32"/>
              <w:ind w:left="163" w:right="0"/>
              <w:jc w:val="left"/>
              <w:rPr>
                <w:rFonts w:ascii="宋体" w:hAnsi="宋体" w:cs="宋体" w:eastAsia="宋体" w:hint="default"/>
                <w:sz w:val="24"/>
                <w:szCs w:val="24"/>
              </w:rPr>
            </w:pPr>
            <w:r>
              <w:rPr>
                <w:rFonts w:ascii="宋体" w:hAnsi="宋体" w:cs="宋体" w:eastAsia="宋体" w:hint="default"/>
                <w:sz w:val="24"/>
                <w:szCs w:val="24"/>
              </w:rPr>
              <w:t>广州御银科技股份有限公司</w:t>
            </w:r>
          </w:p>
        </w:tc>
      </w:tr>
    </w:tbl>
    <w:p>
      <w:pPr>
        <w:spacing w:line="240" w:lineRule="auto" w:before="0"/>
        <w:rPr>
          <w:rFonts w:ascii="宋体" w:hAnsi="宋体" w:cs="宋体" w:eastAsia="宋体" w:hint="default"/>
          <w:sz w:val="24"/>
          <w:szCs w:val="24"/>
        </w:rPr>
      </w:pPr>
    </w:p>
    <w:p>
      <w:pPr>
        <w:pStyle w:val="BodyText"/>
        <w:spacing w:line="338" w:lineRule="auto" w:before="178"/>
        <w:ind w:left="1359" w:right="3085"/>
        <w:jc w:val="left"/>
      </w:pPr>
      <w:r>
        <w:rPr/>
        <w:pict>
          <v:shape style="position:absolute;margin-left:294pt;margin-top:-48.064075pt;width:6.021898pt;height:8.25pt;mso-position-horizontal-relative:page;mso-position-vertical-relative:paragraph;z-index:-827512" type="#_x0000_t75" stroked="false">
            <v:imagedata r:id="rId12" o:title=""/>
          </v:shape>
        </w:pict>
      </w:r>
      <w:r>
        <w:rPr>
          <w:rFonts w:ascii="Times New Roman" w:hAnsi="Times New Roman" w:cs="Times New Roman" w:eastAsia="Times New Roman" w:hint="default"/>
        </w:rPr>
        <w:t>3</w:t>
      </w:r>
      <w:r>
        <w:rPr/>
        <w:t>、其他持股在</w:t>
      </w:r>
      <w:r>
        <w:rPr>
          <w:rFonts w:ascii="Times New Roman" w:hAnsi="Times New Roman" w:cs="Times New Roman" w:eastAsia="Times New Roman" w:hint="default"/>
        </w:rPr>
        <w:t>10%</w:t>
      </w:r>
      <w:r>
        <w:rPr/>
        <w:t>以上的法人股东 截止报告期末公司无其他持股在</w:t>
      </w:r>
      <w:r>
        <w:rPr>
          <w:rFonts w:ascii="Times New Roman" w:hAnsi="Times New Roman" w:cs="Times New Roman" w:eastAsia="Times New Roman" w:hint="default"/>
        </w:rPr>
        <w:t>10%</w:t>
      </w:r>
      <w:r>
        <w:rPr/>
        <w:t>以上的法人股东。</w:t>
      </w:r>
    </w:p>
    <w:p>
      <w:pPr>
        <w:spacing w:after="0" w:line="338" w:lineRule="auto"/>
        <w:jc w:val="left"/>
        <w:sectPr>
          <w:pgSz w:w="11910" w:h="16840"/>
          <w:pgMar w:header="877" w:footer="1048" w:top="1100" w:bottom="1240" w:left="920" w:right="80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Heading1"/>
        <w:tabs>
          <w:tab w:pos="2877" w:val="left" w:leader="none"/>
        </w:tabs>
        <w:spacing w:line="240" w:lineRule="auto"/>
        <w:ind w:left="1592" w:right="0"/>
        <w:jc w:val="left"/>
        <w:rPr>
          <w:b w:val="0"/>
          <w:bCs w:val="0"/>
        </w:rPr>
      </w:pPr>
      <w:bookmarkStart w:name="_TOC_250006" w:id="3"/>
      <w:r>
        <w:rPr>
          <w:w w:val="95"/>
        </w:rPr>
        <w:t>第四节</w:t>
        <w:tab/>
      </w:r>
      <w:r>
        <w:rPr/>
        <w:t>董事、监事、高级管理人员和员工情况</w:t>
      </w:r>
      <w:bookmarkEnd w:id="3"/>
      <w:r>
        <w:rPr>
          <w:b w:val="0"/>
          <w:bCs w:val="0"/>
        </w:rPr>
      </w:r>
    </w:p>
    <w:p>
      <w:pPr>
        <w:spacing w:line="240" w:lineRule="auto" w:before="9"/>
        <w:rPr>
          <w:rFonts w:ascii="宋体" w:hAnsi="宋体" w:cs="宋体" w:eastAsia="宋体" w:hint="default"/>
          <w:b/>
          <w:bCs/>
          <w:sz w:val="26"/>
          <w:szCs w:val="26"/>
        </w:rPr>
      </w:pPr>
    </w:p>
    <w:p>
      <w:pPr>
        <w:pStyle w:val="BodyText"/>
        <w:spacing w:line="240" w:lineRule="auto" w:before="0"/>
        <w:ind w:left="1100" w:right="0"/>
        <w:jc w:val="left"/>
      </w:pPr>
      <w:r>
        <w:rPr/>
        <w:t>一、董事、监事、高级管理人员情况</w:t>
      </w:r>
    </w:p>
    <w:p>
      <w:pPr>
        <w:spacing w:line="240" w:lineRule="auto" w:before="9"/>
        <w:rPr>
          <w:rFonts w:ascii="宋体" w:hAnsi="宋体" w:cs="宋体" w:eastAsia="宋体" w:hint="default"/>
          <w:sz w:val="23"/>
          <w:szCs w:val="23"/>
        </w:rPr>
      </w:pPr>
    </w:p>
    <w:p>
      <w:pPr>
        <w:pStyle w:val="BodyText"/>
        <w:spacing w:line="240" w:lineRule="auto" w:before="0"/>
        <w:ind w:left="1100" w:right="0"/>
        <w:jc w:val="left"/>
      </w:pPr>
      <w:r>
        <w:rPr/>
        <w:t>（一）基本情况</w:t>
      </w:r>
    </w:p>
    <w:p>
      <w:pPr>
        <w:spacing w:line="240" w:lineRule="auto" w:before="8"/>
        <w:rPr>
          <w:rFonts w:ascii="宋体" w:hAnsi="宋体" w:cs="宋体" w:eastAsia="宋体" w:hint="default"/>
          <w:sz w:val="20"/>
          <w:szCs w:val="20"/>
        </w:rPr>
      </w:pPr>
    </w:p>
    <w:tbl>
      <w:tblPr>
        <w:tblW w:w="0" w:type="auto"/>
        <w:jc w:val="left"/>
        <w:tblInd w:w="105" w:type="dxa"/>
        <w:tblLayout w:type="fixed"/>
        <w:tblCellMar>
          <w:top w:w="0" w:type="dxa"/>
          <w:left w:w="0" w:type="dxa"/>
          <w:bottom w:w="0" w:type="dxa"/>
          <w:right w:w="0" w:type="dxa"/>
        </w:tblCellMar>
        <w:tblLook w:val="01E0"/>
      </w:tblPr>
      <w:tblGrid>
        <w:gridCol w:w="748"/>
        <w:gridCol w:w="1382"/>
        <w:gridCol w:w="360"/>
        <w:gridCol w:w="360"/>
        <w:gridCol w:w="1080"/>
        <w:gridCol w:w="1052"/>
        <w:gridCol w:w="1003"/>
        <w:gridCol w:w="1080"/>
        <w:gridCol w:w="1127"/>
        <w:gridCol w:w="720"/>
        <w:gridCol w:w="720"/>
      </w:tblGrid>
      <w:tr>
        <w:trPr>
          <w:trHeight w:val="1930" w:hRule="exact"/>
        </w:trPr>
        <w:tc>
          <w:tcPr>
            <w:tcW w:w="74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138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3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326" w:lineRule="auto"/>
              <w:ind w:left="83" w:right="84"/>
              <w:jc w:val="left"/>
              <w:rPr>
                <w:rFonts w:ascii="宋体" w:hAnsi="宋体" w:cs="宋体" w:eastAsia="宋体" w:hint="default"/>
                <w:sz w:val="18"/>
                <w:szCs w:val="18"/>
              </w:rPr>
            </w:pPr>
            <w:r>
              <w:rPr>
                <w:rFonts w:ascii="宋体" w:hAnsi="宋体" w:cs="宋体" w:eastAsia="宋体" w:hint="default"/>
                <w:sz w:val="18"/>
                <w:szCs w:val="18"/>
              </w:rPr>
              <w:t>性 别</w:t>
            </w:r>
          </w:p>
        </w:tc>
        <w:tc>
          <w:tcPr>
            <w:tcW w:w="3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326" w:lineRule="auto"/>
              <w:ind w:left="83" w:right="84"/>
              <w:jc w:val="left"/>
              <w:rPr>
                <w:rFonts w:ascii="宋体" w:hAnsi="宋体" w:cs="宋体" w:eastAsia="宋体" w:hint="default"/>
                <w:sz w:val="18"/>
                <w:szCs w:val="18"/>
              </w:rPr>
            </w:pPr>
            <w:r>
              <w:rPr>
                <w:rFonts w:ascii="宋体" w:hAnsi="宋体" w:cs="宋体" w:eastAsia="宋体" w:hint="default"/>
                <w:sz w:val="18"/>
                <w:szCs w:val="18"/>
              </w:rPr>
              <w:t>年 龄</w:t>
            </w:r>
          </w:p>
        </w:tc>
        <w:tc>
          <w:tcPr>
            <w:tcW w:w="10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326" w:lineRule="auto"/>
              <w:ind w:left="443" w:right="84" w:hanging="360"/>
              <w:jc w:val="left"/>
              <w:rPr>
                <w:rFonts w:ascii="宋体" w:hAnsi="宋体" w:cs="宋体" w:eastAsia="宋体" w:hint="default"/>
                <w:sz w:val="18"/>
                <w:szCs w:val="18"/>
              </w:rPr>
            </w:pPr>
            <w:r>
              <w:rPr>
                <w:rFonts w:ascii="宋体" w:hAnsi="宋体" w:cs="宋体" w:eastAsia="宋体" w:hint="default"/>
                <w:sz w:val="18"/>
                <w:szCs w:val="18"/>
              </w:rPr>
              <w:t>任期起始日 期</w:t>
            </w:r>
          </w:p>
        </w:tc>
        <w:tc>
          <w:tcPr>
            <w:tcW w:w="105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326" w:lineRule="auto"/>
              <w:ind w:left="430" w:right="71" w:hanging="360"/>
              <w:jc w:val="left"/>
              <w:rPr>
                <w:rFonts w:ascii="宋体" w:hAnsi="宋体" w:cs="宋体" w:eastAsia="宋体" w:hint="default"/>
                <w:sz w:val="18"/>
                <w:szCs w:val="18"/>
              </w:rPr>
            </w:pPr>
            <w:r>
              <w:rPr>
                <w:rFonts w:ascii="宋体" w:hAnsi="宋体" w:cs="宋体" w:eastAsia="宋体" w:hint="default"/>
                <w:sz w:val="18"/>
                <w:szCs w:val="18"/>
              </w:rPr>
              <w:t>任期终止日 期</w:t>
            </w:r>
          </w:p>
        </w:tc>
        <w:tc>
          <w:tcPr>
            <w:tcW w:w="100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right="44"/>
              <w:jc w:val="right"/>
              <w:rPr>
                <w:rFonts w:ascii="宋体" w:hAnsi="宋体" w:cs="宋体" w:eastAsia="宋体" w:hint="default"/>
                <w:sz w:val="18"/>
                <w:szCs w:val="18"/>
              </w:rPr>
            </w:pPr>
            <w:r>
              <w:rPr>
                <w:rFonts w:ascii="宋体" w:hAnsi="宋体" w:cs="宋体" w:eastAsia="宋体" w:hint="default"/>
                <w:sz w:val="18"/>
                <w:szCs w:val="18"/>
              </w:rPr>
              <w:t>年初持股数</w:t>
            </w:r>
          </w:p>
        </w:tc>
        <w:tc>
          <w:tcPr>
            <w:tcW w:w="10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left="85" w:right="0"/>
              <w:jc w:val="left"/>
              <w:rPr>
                <w:rFonts w:ascii="宋体" w:hAnsi="宋体" w:cs="宋体" w:eastAsia="宋体" w:hint="default"/>
                <w:sz w:val="18"/>
                <w:szCs w:val="18"/>
              </w:rPr>
            </w:pPr>
            <w:r>
              <w:rPr>
                <w:rFonts w:ascii="宋体" w:hAnsi="宋体" w:cs="宋体" w:eastAsia="宋体" w:hint="default"/>
                <w:sz w:val="18"/>
                <w:szCs w:val="18"/>
              </w:rPr>
              <w:t>年末持股数</w:t>
            </w:r>
          </w:p>
        </w:tc>
        <w:tc>
          <w:tcPr>
            <w:tcW w:w="112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left="1" w:right="0"/>
              <w:jc w:val="center"/>
              <w:rPr>
                <w:rFonts w:ascii="宋体" w:hAnsi="宋体" w:cs="宋体" w:eastAsia="宋体" w:hint="default"/>
                <w:sz w:val="18"/>
                <w:szCs w:val="18"/>
              </w:rPr>
            </w:pPr>
            <w:r>
              <w:rPr>
                <w:rFonts w:ascii="宋体" w:hAnsi="宋体" w:cs="宋体" w:eastAsia="宋体" w:hint="default"/>
                <w:sz w:val="18"/>
                <w:szCs w:val="18"/>
              </w:rPr>
              <w:t>变动原因</w:t>
            </w:r>
          </w:p>
        </w:tc>
        <w:tc>
          <w:tcPr>
            <w:tcW w:w="7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22" w:right="23" w:hanging="2"/>
              <w:jc w:val="center"/>
              <w:rPr>
                <w:rFonts w:ascii="宋体" w:hAnsi="宋体" w:cs="宋体" w:eastAsia="宋体" w:hint="default"/>
                <w:sz w:val="18"/>
                <w:szCs w:val="18"/>
              </w:rPr>
            </w:pPr>
            <w:r>
              <w:rPr>
                <w:rFonts w:ascii="宋体" w:hAnsi="宋体" w:cs="宋体" w:eastAsia="宋体" w:hint="default"/>
                <w:sz w:val="18"/>
                <w:szCs w:val="18"/>
              </w:rPr>
              <w:t>报告期 内从公 司领取 的报酬 </w:t>
            </w:r>
            <w:r>
              <w:rPr>
                <w:rFonts w:ascii="宋体" w:hAnsi="宋体" w:cs="宋体" w:eastAsia="宋体" w:hint="default"/>
                <w:spacing w:val="-15"/>
                <w:sz w:val="18"/>
                <w:szCs w:val="18"/>
              </w:rPr>
              <w:t>总额（万</w:t>
            </w:r>
            <w:r>
              <w:rPr>
                <w:rFonts w:ascii="宋体" w:hAnsi="宋体" w:cs="宋体" w:eastAsia="宋体" w:hint="default"/>
                <w:sz w:val="18"/>
                <w:szCs w:val="18"/>
              </w:rPr>
              <w:t> 元）</w:t>
            </w:r>
          </w:p>
        </w:tc>
        <w:tc>
          <w:tcPr>
            <w:tcW w:w="7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83" w:right="84"/>
              <w:jc w:val="both"/>
              <w:rPr>
                <w:rFonts w:ascii="宋体" w:hAnsi="宋体" w:cs="宋体" w:eastAsia="宋体" w:hint="default"/>
                <w:sz w:val="18"/>
                <w:szCs w:val="18"/>
              </w:rPr>
            </w:pPr>
            <w:r>
              <w:rPr>
                <w:rFonts w:ascii="宋体" w:hAnsi="宋体" w:cs="宋体" w:eastAsia="宋体" w:hint="default"/>
                <w:sz w:val="18"/>
                <w:szCs w:val="18"/>
              </w:rPr>
              <w:t>是否在 股东单 位或其 他关联 单位领 取薪酬</w:t>
            </w:r>
          </w:p>
        </w:tc>
      </w:tr>
      <w:tr>
        <w:trPr>
          <w:trHeight w:val="370" w:hRule="exact"/>
        </w:trPr>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杨文江</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董事长、总经理</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40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9"/>
              <w:jc w:val="right"/>
              <w:rPr>
                <w:rFonts w:ascii="Times New Roman" w:hAnsi="Times New Roman" w:cs="Times New Roman" w:eastAsia="Times New Roman" w:hint="default"/>
                <w:sz w:val="18"/>
                <w:szCs w:val="18"/>
              </w:rPr>
            </w:pPr>
            <w:r>
              <w:rPr>
                <w:rFonts w:ascii="Times New Roman"/>
                <w:sz w:val="18"/>
              </w:rPr>
              <w:t>142,660,686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9"/>
              <w:jc w:val="right"/>
              <w:rPr>
                <w:rFonts w:ascii="Times New Roman" w:hAnsi="Times New Roman" w:cs="Times New Roman" w:eastAsia="Times New Roman" w:hint="default"/>
                <w:sz w:val="18"/>
                <w:szCs w:val="18"/>
              </w:rPr>
            </w:pPr>
            <w:r>
              <w:rPr>
                <w:rFonts w:ascii="Times New Roman"/>
                <w:sz w:val="18"/>
              </w:rPr>
              <w:t>169,040,749</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宋体" w:hAnsi="宋体" w:cs="宋体" w:eastAsia="宋体" w:hint="default"/>
                <w:sz w:val="18"/>
                <w:szCs w:val="18"/>
              </w:rPr>
            </w:pPr>
            <w:r>
              <w:rPr>
                <w:rFonts w:ascii="宋体" w:hAnsi="宋体" w:cs="宋体" w:eastAsia="宋体" w:hint="default"/>
                <w:sz w:val="18"/>
                <w:szCs w:val="18"/>
              </w:rPr>
              <w:t>转增</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42.55</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650" w:hRule="exact"/>
        </w:trPr>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吴  宁</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125,028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292,536</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7"/>
              <w:ind w:left="289" w:right="20" w:hanging="266"/>
              <w:jc w:val="left"/>
              <w:rPr>
                <w:rFonts w:ascii="宋体" w:hAnsi="宋体" w:cs="宋体" w:eastAsia="宋体" w:hint="default"/>
                <w:sz w:val="18"/>
                <w:szCs w:val="18"/>
              </w:rPr>
            </w:pPr>
            <w:r>
              <w:rPr>
                <w:rFonts w:ascii="宋体" w:hAnsi="宋体" w:cs="宋体" w:eastAsia="宋体" w:hint="default"/>
                <w:spacing w:val="-2"/>
                <w:sz w:val="18"/>
                <w:szCs w:val="18"/>
              </w:rPr>
              <w:t>转增；二级市</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场买入</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49.25</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650" w:hRule="exact"/>
        </w:trPr>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王志杰</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23" w:right="110"/>
              <w:jc w:val="left"/>
              <w:rPr>
                <w:rFonts w:ascii="宋体" w:hAnsi="宋体" w:cs="宋体" w:eastAsia="宋体" w:hint="default"/>
                <w:sz w:val="18"/>
                <w:szCs w:val="18"/>
              </w:rPr>
            </w:pPr>
            <w:r>
              <w:rPr>
                <w:rFonts w:ascii="宋体" w:hAnsi="宋体" w:cs="宋体" w:eastAsia="宋体" w:hint="default"/>
                <w:spacing w:val="-4"/>
                <w:sz w:val="18"/>
                <w:szCs w:val="18"/>
              </w:rPr>
              <w:t>董事、副总经理</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财务总监</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before="56"/>
              <w:ind w:left="-123"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8" w:lineRule="exact"/>
              <w:ind w:left="8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25,477</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289" w:right="20" w:hanging="266"/>
              <w:jc w:val="left"/>
              <w:rPr>
                <w:rFonts w:ascii="宋体" w:hAnsi="宋体" w:cs="宋体" w:eastAsia="宋体" w:hint="default"/>
                <w:sz w:val="18"/>
                <w:szCs w:val="18"/>
              </w:rPr>
            </w:pPr>
            <w:r>
              <w:rPr>
                <w:rFonts w:ascii="宋体" w:hAnsi="宋体" w:cs="宋体" w:eastAsia="宋体" w:hint="default"/>
                <w:spacing w:val="-2"/>
                <w:sz w:val="18"/>
                <w:szCs w:val="18"/>
              </w:rPr>
              <w:t>转增；二级市</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场买入</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39.47</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70" w:hRule="exact"/>
        </w:trPr>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石本仁</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48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Times New Roman" w:hAnsi="Times New Roman" w:cs="Times New Roman" w:eastAsia="Times New Roman" w:hint="default"/>
                <w:sz w:val="18"/>
                <w:szCs w:val="18"/>
              </w:rPr>
            </w:pPr>
            <w:r>
              <w:rPr>
                <w:rFonts w:ascii="Times New Roman"/>
                <w:sz w:val="18"/>
              </w:rPr>
              <w:t>6.00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70" w:hRule="exact"/>
        </w:trPr>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张  华</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47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Times New Roman" w:hAnsi="Times New Roman" w:cs="Times New Roman" w:eastAsia="Times New Roman" w:hint="default"/>
                <w:sz w:val="18"/>
                <w:szCs w:val="18"/>
              </w:rPr>
            </w:pPr>
            <w:r>
              <w:rPr>
                <w:rFonts w:ascii="Times New Roman"/>
                <w:sz w:val="18"/>
              </w:rPr>
              <w:t>6.00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71" w:hRule="exact"/>
        </w:trPr>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梁晓芹</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35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17.30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70" w:hRule="exact"/>
        </w:trPr>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龚穗娟</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39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Times New Roman" w:hAnsi="Times New Roman" w:cs="Times New Roman" w:eastAsia="Times New Roman" w:hint="default"/>
                <w:sz w:val="18"/>
                <w:szCs w:val="18"/>
              </w:rPr>
            </w:pPr>
            <w:r>
              <w:rPr>
                <w:rFonts w:ascii="Times New Roman"/>
                <w:sz w:val="18"/>
              </w:rPr>
              <w:t>1.20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70" w:hRule="exact"/>
        </w:trPr>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张成虎</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37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Times New Roman" w:hAnsi="Times New Roman" w:cs="Times New Roman" w:eastAsia="Times New Roman" w:hint="default"/>
                <w:sz w:val="18"/>
                <w:szCs w:val="18"/>
              </w:rPr>
            </w:pPr>
            <w:r>
              <w:rPr>
                <w:rFonts w:ascii="Times New Roman"/>
                <w:sz w:val="18"/>
              </w:rPr>
              <w:t>7.24</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650" w:hRule="exact"/>
        </w:trPr>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谭  骅</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7"/>
              <w:ind w:left="23" w:right="20"/>
              <w:jc w:val="left"/>
              <w:rPr>
                <w:rFonts w:ascii="宋体" w:hAnsi="宋体" w:cs="宋体" w:eastAsia="宋体" w:hint="default"/>
                <w:sz w:val="18"/>
                <w:szCs w:val="18"/>
              </w:rPr>
            </w:pPr>
            <w:r>
              <w:rPr>
                <w:rFonts w:ascii="宋体" w:hAnsi="宋体" w:cs="宋体" w:eastAsia="宋体" w:hint="default"/>
                <w:spacing w:val="8"/>
                <w:sz w:val="18"/>
                <w:szCs w:val="18"/>
              </w:rPr>
              <w:t>副总经理、董事</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会秘书</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13.08</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70" w:hRule="exact"/>
        </w:trPr>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庞泰松</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41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17.27</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71" w:hRule="exact"/>
        </w:trPr>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高永坚</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44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32.24</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70" w:hRule="exact"/>
        </w:trPr>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徐德银</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36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36.39</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650" w:hRule="exact"/>
        </w:trPr>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郑  蕾</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320" w:lineRule="exact" w:before="10"/>
              <w:ind w:left="23" w:right="20"/>
              <w:jc w:val="left"/>
              <w:rPr>
                <w:rFonts w:ascii="Times New Roman" w:hAnsi="Times New Roman" w:cs="Times New Roman" w:eastAsia="Times New Roman" w:hint="default"/>
                <w:sz w:val="18"/>
                <w:szCs w:val="18"/>
              </w:rPr>
            </w:pPr>
            <w:r>
              <w:rPr>
                <w:rFonts w:ascii="宋体" w:hAnsi="宋体" w:cs="宋体" w:eastAsia="宋体" w:hint="default"/>
                <w:spacing w:val="8"/>
                <w:sz w:val="18"/>
                <w:szCs w:val="18"/>
              </w:rPr>
              <w:t>副总经理、董事</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会秘书</w:t>
            </w:r>
            <w:r>
              <w:rPr>
                <w:rFonts w:ascii="Times New Roman" w:hAnsi="Times New Roman" w:cs="Times New Roman" w:eastAsia="Times New Roman" w:hint="default"/>
                <w:sz w:val="18"/>
                <w:szCs w:val="18"/>
              </w:rPr>
              <w:t>(</w:t>
            </w:r>
            <w:r>
              <w:rPr>
                <w:rFonts w:ascii="宋体" w:hAnsi="宋体" w:cs="宋体" w:eastAsia="宋体" w:hint="default"/>
                <w:sz w:val="18"/>
                <w:szCs w:val="18"/>
              </w:rPr>
              <w:t>离任</w:t>
            </w:r>
            <w:r>
              <w:rPr>
                <w:rFonts w:ascii="Times New Roman" w:hAnsi="Times New Roman" w:cs="Times New Roman" w:eastAsia="Times New Roman" w:hint="default"/>
                <w:sz w:val="18"/>
                <w:szCs w:val="18"/>
              </w:rPr>
              <w:t>)</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33</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24.91</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70" w:hRule="exact"/>
        </w:trPr>
        <w:tc>
          <w:tcPr>
            <w:tcW w:w="74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合  计</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9"/>
              <w:jc w:val="right"/>
              <w:rPr>
                <w:rFonts w:ascii="Times New Roman" w:hAnsi="Times New Roman" w:cs="Times New Roman" w:eastAsia="Times New Roman" w:hint="default"/>
                <w:sz w:val="18"/>
                <w:szCs w:val="18"/>
              </w:rPr>
            </w:pPr>
            <w:r>
              <w:rPr>
                <w:rFonts w:ascii="Times New Roman"/>
                <w:sz w:val="18"/>
              </w:rPr>
              <w:t>142,785,714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z w:val="18"/>
              </w:rPr>
              <w:t>169,358,762</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292.90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300" w:lineRule="auto" w:before="10"/>
        <w:ind w:left="619" w:right="0" w:firstLine="360"/>
        <w:jc w:val="left"/>
        <w:rPr>
          <w:rFonts w:ascii="宋体" w:hAnsi="宋体" w:cs="宋体" w:eastAsia="宋体" w:hint="default"/>
          <w:sz w:val="18"/>
          <w:szCs w:val="18"/>
        </w:rPr>
      </w:pPr>
      <w:r>
        <w:rPr>
          <w:rFonts w:ascii="宋体" w:hAnsi="宋体" w:cs="宋体" w:eastAsia="宋体" w:hint="default"/>
          <w:sz w:val="18"/>
          <w:szCs w:val="18"/>
        </w:rPr>
        <w:t>注：郑蕾女士于</w:t>
      </w: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30</w:t>
      </w:r>
      <w:r>
        <w:rPr>
          <w:rFonts w:ascii="宋体" w:hAnsi="宋体" w:cs="宋体" w:eastAsia="宋体" w:hint="default"/>
          <w:sz w:val="18"/>
          <w:szCs w:val="18"/>
        </w:rPr>
        <w:t>日正式辞去公司副总经理、董事会秘书职务，经公司</w:t>
      </w:r>
      <w:r>
        <w:rPr>
          <w:rFonts w:ascii="Times New Roman" w:hAnsi="Times New Roman" w:cs="Times New Roman" w:eastAsia="Times New Roman" w:hint="default"/>
          <w:sz w:val="18"/>
          <w:szCs w:val="18"/>
        </w:rPr>
        <w:t>2011</w:t>
      </w:r>
      <w:r>
        <w:rPr>
          <w:rFonts w:ascii="宋体" w:hAnsi="宋体" w:cs="宋体" w:eastAsia="宋体" w:hint="default"/>
          <w:sz w:val="18"/>
          <w:szCs w:val="18"/>
        </w:rPr>
        <w:t>年第三届董事会第二 十次会议审议通过聘任谭骅先生为公司副总经理、董事会秘书；经公司</w:t>
      </w:r>
      <w:r>
        <w:rPr>
          <w:rFonts w:ascii="Times New Roman" w:hAnsi="Times New Roman" w:cs="Times New Roman" w:eastAsia="Times New Roman" w:hint="default"/>
          <w:sz w:val="18"/>
          <w:szCs w:val="18"/>
        </w:rPr>
        <w:t>2011</w:t>
      </w:r>
      <w:r>
        <w:rPr>
          <w:rFonts w:ascii="宋体" w:hAnsi="宋体" w:cs="宋体" w:eastAsia="宋体" w:hint="default"/>
          <w:sz w:val="18"/>
          <w:szCs w:val="18"/>
        </w:rPr>
        <w:t>年第三届董事会第二十次会议审议</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通过聘任王志杰先生为公司副总经理；经公司</w:t>
      </w:r>
      <w:r>
        <w:rPr>
          <w:rFonts w:ascii="Times New Roman" w:hAnsi="Times New Roman" w:cs="Times New Roman" w:eastAsia="Times New Roman" w:hint="default"/>
          <w:sz w:val="18"/>
          <w:szCs w:val="18"/>
        </w:rPr>
        <w:t>2011</w:t>
      </w:r>
      <w:r>
        <w:rPr>
          <w:rFonts w:ascii="宋体" w:hAnsi="宋体" w:cs="宋体" w:eastAsia="宋体" w:hint="default"/>
          <w:sz w:val="18"/>
          <w:szCs w:val="18"/>
        </w:rPr>
        <w:t>年第三届董事会第二十次会议审议通过聘任高永坚先生为公</w:t>
      </w:r>
      <w:r>
        <w:rPr>
          <w:rFonts w:ascii="宋体" w:hAnsi="宋体" w:cs="宋体" w:eastAsia="宋体" w:hint="default"/>
          <w:spacing w:val="-49"/>
          <w:sz w:val="18"/>
          <w:szCs w:val="18"/>
        </w:rPr>
        <w:t> </w:t>
      </w:r>
      <w:r>
        <w:rPr>
          <w:rFonts w:ascii="宋体" w:hAnsi="宋体" w:cs="宋体" w:eastAsia="宋体" w:hint="default"/>
          <w:spacing w:val="-49"/>
          <w:sz w:val="18"/>
          <w:szCs w:val="18"/>
        </w:rPr>
      </w:r>
      <w:r>
        <w:rPr>
          <w:rFonts w:ascii="宋体" w:hAnsi="宋体" w:cs="宋体" w:eastAsia="宋体" w:hint="default"/>
          <w:sz w:val="18"/>
          <w:szCs w:val="18"/>
        </w:rPr>
        <w:t>司副总经理；经公司</w:t>
      </w:r>
      <w:r>
        <w:rPr>
          <w:rFonts w:ascii="Times New Roman" w:hAnsi="Times New Roman" w:cs="Times New Roman" w:eastAsia="Times New Roman" w:hint="default"/>
          <w:sz w:val="18"/>
          <w:szCs w:val="18"/>
        </w:rPr>
        <w:t>2011</w:t>
      </w:r>
      <w:r>
        <w:rPr>
          <w:rFonts w:ascii="宋体" w:hAnsi="宋体" w:cs="宋体" w:eastAsia="宋体" w:hint="default"/>
          <w:sz w:val="18"/>
          <w:szCs w:val="18"/>
        </w:rPr>
        <w:t>年第三届董事会第二十八次会议审议通过聘任庞泰松先生为公司副总经理；吴宁先生</w:t>
      </w:r>
      <w:r>
        <w:rPr>
          <w:rFonts w:ascii="宋体" w:hAnsi="宋体" w:cs="宋体" w:eastAsia="宋体" w:hint="default"/>
          <w:spacing w:val="-49"/>
          <w:sz w:val="18"/>
          <w:szCs w:val="18"/>
        </w:rPr>
        <w:t> </w:t>
      </w:r>
      <w:r>
        <w:rPr>
          <w:rFonts w:ascii="宋体" w:hAnsi="宋体" w:cs="宋体" w:eastAsia="宋体" w:hint="default"/>
          <w:spacing w:val="-49"/>
          <w:sz w:val="18"/>
          <w:szCs w:val="18"/>
        </w:rPr>
      </w:r>
      <w:r>
        <w:rPr>
          <w:rFonts w:ascii="宋体" w:hAnsi="宋体" w:cs="宋体" w:eastAsia="宋体" w:hint="default"/>
          <w:spacing w:val="-3"/>
          <w:sz w:val="18"/>
          <w:szCs w:val="18"/>
        </w:rPr>
        <w:t>于</w:t>
      </w:r>
      <w:r>
        <w:rPr>
          <w:rFonts w:ascii="Times New Roman" w:hAnsi="Times New Roman" w:cs="Times New Roman" w:eastAsia="Times New Roman" w:hint="default"/>
          <w:spacing w:val="-3"/>
          <w:sz w:val="18"/>
          <w:szCs w:val="18"/>
        </w:rPr>
        <w:t>2012</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18</w:t>
      </w:r>
      <w:r>
        <w:rPr>
          <w:rFonts w:ascii="宋体" w:hAnsi="宋体" w:cs="宋体" w:eastAsia="宋体" w:hint="default"/>
          <w:spacing w:val="-3"/>
          <w:sz w:val="18"/>
          <w:szCs w:val="18"/>
        </w:rPr>
        <w:t>日辞去公司董事、总经理职务，吴宁先生将在公司股东大会选举增补董事前继续履行董事的职责；</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z w:val="18"/>
          <w:szCs w:val="18"/>
        </w:rPr>
        <w:t>经公司第三届董事会第二十九次会议审议通过，聘任杨文江先生为公司总经理，聘任徐德银先生为副总经理。</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2"/>
          <w:szCs w:val="22"/>
        </w:rPr>
      </w:pPr>
    </w:p>
    <w:p>
      <w:pPr>
        <w:pStyle w:val="BodyText"/>
        <w:spacing w:line="240" w:lineRule="auto" w:before="0"/>
        <w:ind w:left="620" w:right="0"/>
        <w:jc w:val="left"/>
      </w:pPr>
      <w:r>
        <w:rPr/>
        <w:t>（二）董事、监事、高级管理人员报告期内被授予的股权激励情况</w:t>
      </w:r>
    </w:p>
    <w:p>
      <w:pPr>
        <w:spacing w:after="0" w:line="240" w:lineRule="auto"/>
        <w:jc w:val="left"/>
        <w:sectPr>
          <w:pgSz w:w="11910" w:h="16840"/>
          <w:pgMar w:header="877" w:footer="1048" w:top="1100" w:bottom="1240" w:left="1180" w:right="860"/>
        </w:sectPr>
      </w:pPr>
    </w:p>
    <w:p>
      <w:pPr>
        <w:spacing w:line="240" w:lineRule="auto" w:before="6"/>
        <w:rPr>
          <w:rFonts w:ascii="宋体" w:hAnsi="宋体" w:cs="宋体" w:eastAsia="宋体" w:hint="default"/>
          <w:sz w:val="24"/>
          <w:szCs w:val="24"/>
        </w:rPr>
      </w:pPr>
    </w:p>
    <w:tbl>
      <w:tblPr>
        <w:tblW w:w="0" w:type="auto"/>
        <w:jc w:val="left"/>
        <w:tblInd w:w="135" w:type="dxa"/>
        <w:tblLayout w:type="fixed"/>
        <w:tblCellMar>
          <w:top w:w="0" w:type="dxa"/>
          <w:left w:w="0" w:type="dxa"/>
          <w:bottom w:w="0" w:type="dxa"/>
          <w:right w:w="0" w:type="dxa"/>
        </w:tblCellMar>
        <w:tblLook w:val="01E0"/>
      </w:tblPr>
      <w:tblGrid>
        <w:gridCol w:w="780"/>
        <w:gridCol w:w="922"/>
        <w:gridCol w:w="874"/>
        <w:gridCol w:w="974"/>
        <w:gridCol w:w="703"/>
        <w:gridCol w:w="683"/>
        <w:gridCol w:w="870"/>
        <w:gridCol w:w="871"/>
        <w:gridCol w:w="978"/>
        <w:gridCol w:w="851"/>
        <w:gridCol w:w="708"/>
      </w:tblGrid>
      <w:tr>
        <w:trPr>
          <w:trHeight w:val="1258"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9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87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72" w:right="71"/>
              <w:jc w:val="center"/>
              <w:rPr>
                <w:rFonts w:ascii="宋体" w:hAnsi="宋体" w:cs="宋体" w:eastAsia="宋体" w:hint="default"/>
                <w:sz w:val="18"/>
                <w:szCs w:val="18"/>
              </w:rPr>
            </w:pPr>
            <w:r>
              <w:rPr>
                <w:rFonts w:ascii="宋体" w:hAnsi="宋体" w:cs="宋体" w:eastAsia="宋体" w:hint="default"/>
                <w:sz w:val="18"/>
                <w:szCs w:val="18"/>
              </w:rPr>
              <w:t>期初持有 股票期权 数量</w:t>
            </w:r>
          </w:p>
        </w:tc>
        <w:tc>
          <w:tcPr>
            <w:tcW w:w="97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32" w:right="30"/>
              <w:jc w:val="center"/>
              <w:rPr>
                <w:rFonts w:ascii="宋体" w:hAnsi="宋体" w:cs="宋体" w:eastAsia="宋体" w:hint="default"/>
                <w:sz w:val="18"/>
                <w:szCs w:val="18"/>
              </w:rPr>
            </w:pPr>
            <w:r>
              <w:rPr>
                <w:rFonts w:ascii="宋体" w:hAnsi="宋体" w:cs="宋体" w:eastAsia="宋体" w:hint="default"/>
                <w:sz w:val="18"/>
                <w:szCs w:val="18"/>
              </w:rPr>
              <w:t>报告期新授 予股票期权 数量</w:t>
            </w:r>
          </w:p>
        </w:tc>
        <w:tc>
          <w:tcPr>
            <w:tcW w:w="7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76" w:right="74"/>
              <w:jc w:val="both"/>
              <w:rPr>
                <w:rFonts w:ascii="宋体" w:hAnsi="宋体" w:cs="宋体" w:eastAsia="宋体" w:hint="default"/>
                <w:sz w:val="18"/>
                <w:szCs w:val="18"/>
              </w:rPr>
            </w:pPr>
            <w:r>
              <w:rPr>
                <w:rFonts w:ascii="宋体" w:hAnsi="宋体" w:cs="宋体" w:eastAsia="宋体" w:hint="default"/>
                <w:sz w:val="18"/>
                <w:szCs w:val="18"/>
              </w:rPr>
              <w:t>报告期 股票期 权行权 数量</w:t>
            </w:r>
          </w:p>
        </w:tc>
        <w:tc>
          <w:tcPr>
            <w:tcW w:w="6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65" w:right="65"/>
              <w:jc w:val="both"/>
              <w:rPr>
                <w:rFonts w:ascii="宋体" w:hAnsi="宋体" w:cs="宋体" w:eastAsia="宋体" w:hint="default"/>
                <w:sz w:val="18"/>
                <w:szCs w:val="18"/>
              </w:rPr>
            </w:pPr>
            <w:r>
              <w:rPr>
                <w:rFonts w:ascii="宋体" w:hAnsi="宋体" w:cs="宋体" w:eastAsia="宋体" w:hint="default"/>
                <w:sz w:val="18"/>
                <w:szCs w:val="18"/>
              </w:rPr>
              <w:t>股票期 权行权 价格</w:t>
            </w:r>
          </w:p>
        </w:tc>
        <w:tc>
          <w:tcPr>
            <w:tcW w:w="8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69" w:right="68"/>
              <w:jc w:val="center"/>
              <w:rPr>
                <w:rFonts w:ascii="宋体" w:hAnsi="宋体" w:cs="宋体" w:eastAsia="宋体" w:hint="default"/>
                <w:sz w:val="18"/>
                <w:szCs w:val="18"/>
              </w:rPr>
            </w:pPr>
            <w:r>
              <w:rPr>
                <w:rFonts w:ascii="宋体" w:hAnsi="宋体" w:cs="宋体" w:eastAsia="宋体" w:hint="default"/>
                <w:sz w:val="18"/>
                <w:szCs w:val="18"/>
              </w:rPr>
              <w:t>期末持有 股票期权 数量</w:t>
            </w:r>
          </w:p>
        </w:tc>
        <w:tc>
          <w:tcPr>
            <w:tcW w:w="8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70" w:right="68"/>
              <w:jc w:val="both"/>
              <w:rPr>
                <w:rFonts w:ascii="宋体" w:hAnsi="宋体" w:cs="宋体" w:eastAsia="宋体" w:hint="default"/>
                <w:sz w:val="18"/>
                <w:szCs w:val="18"/>
              </w:rPr>
            </w:pPr>
            <w:r>
              <w:rPr>
                <w:rFonts w:ascii="宋体" w:hAnsi="宋体" w:cs="宋体" w:eastAsia="宋体" w:hint="default"/>
                <w:sz w:val="18"/>
                <w:szCs w:val="18"/>
              </w:rPr>
              <w:t>期初持有 限制性股 票数量</w:t>
            </w:r>
          </w:p>
        </w:tc>
        <w:tc>
          <w:tcPr>
            <w:tcW w:w="9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34" w:right="31"/>
              <w:jc w:val="center"/>
              <w:rPr>
                <w:rFonts w:ascii="宋体" w:hAnsi="宋体" w:cs="宋体" w:eastAsia="宋体" w:hint="default"/>
                <w:sz w:val="18"/>
                <w:szCs w:val="18"/>
              </w:rPr>
            </w:pPr>
            <w:r>
              <w:rPr>
                <w:rFonts w:ascii="宋体" w:hAnsi="宋体" w:cs="宋体" w:eastAsia="宋体" w:hint="default"/>
                <w:sz w:val="18"/>
                <w:szCs w:val="18"/>
              </w:rPr>
              <w:t>报告期新授 予限制性股 票数量</w:t>
            </w:r>
          </w:p>
        </w:tc>
        <w:tc>
          <w:tcPr>
            <w:tcW w:w="8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60" w:right="59"/>
              <w:jc w:val="center"/>
              <w:rPr>
                <w:rFonts w:ascii="宋体" w:hAnsi="宋体" w:cs="宋体" w:eastAsia="宋体" w:hint="default"/>
                <w:sz w:val="18"/>
                <w:szCs w:val="18"/>
              </w:rPr>
            </w:pPr>
            <w:r>
              <w:rPr>
                <w:rFonts w:ascii="宋体" w:hAnsi="宋体" w:cs="宋体" w:eastAsia="宋体" w:hint="default"/>
                <w:sz w:val="18"/>
                <w:szCs w:val="18"/>
              </w:rPr>
              <w:t>限制性股 票的授予 价格</w:t>
            </w:r>
          </w:p>
        </w:tc>
        <w:tc>
          <w:tcPr>
            <w:tcW w:w="7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79" w:right="77"/>
              <w:jc w:val="both"/>
              <w:rPr>
                <w:rFonts w:ascii="宋体" w:hAnsi="宋体" w:cs="宋体" w:eastAsia="宋体" w:hint="default"/>
                <w:sz w:val="18"/>
                <w:szCs w:val="18"/>
              </w:rPr>
            </w:pPr>
            <w:r>
              <w:rPr>
                <w:rFonts w:ascii="宋体" w:hAnsi="宋体" w:cs="宋体" w:eastAsia="宋体" w:hint="default"/>
                <w:sz w:val="18"/>
                <w:szCs w:val="18"/>
              </w:rPr>
              <w:t>期末持 有限制 性股票 数量</w:t>
            </w:r>
          </w:p>
        </w:tc>
      </w:tr>
      <w:tr>
        <w:trPr>
          <w:trHeight w:val="635"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吴  宁</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22" w:right="23"/>
              <w:jc w:val="left"/>
              <w:rPr>
                <w:rFonts w:ascii="宋体" w:hAnsi="宋体" w:cs="宋体" w:eastAsia="宋体" w:hint="default"/>
                <w:sz w:val="18"/>
                <w:szCs w:val="18"/>
              </w:rPr>
            </w:pPr>
            <w:r>
              <w:rPr>
                <w:rFonts w:ascii="宋体" w:hAnsi="宋体" w:cs="宋体" w:eastAsia="宋体" w:hint="default"/>
                <w:spacing w:val="-7"/>
                <w:sz w:val="18"/>
                <w:szCs w:val="18"/>
              </w:rPr>
              <w:t>董事、总经</w:t>
            </w:r>
            <w:r>
              <w:rPr>
                <w:rFonts w:ascii="宋体" w:hAnsi="宋体" w:cs="宋体" w:eastAsia="宋体" w:hint="default"/>
                <w:sz w:val="18"/>
                <w:szCs w:val="18"/>
              </w:rPr>
              <w:t> 理</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260,000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11.85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94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王志杰</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23"/>
              <w:jc w:val="both"/>
              <w:rPr>
                <w:rFonts w:ascii="宋体" w:hAnsi="宋体" w:cs="宋体" w:eastAsia="宋体" w:hint="default"/>
                <w:sz w:val="18"/>
                <w:szCs w:val="18"/>
              </w:rPr>
            </w:pPr>
            <w:r>
              <w:rPr>
                <w:rFonts w:ascii="宋体" w:hAnsi="宋体" w:cs="宋体" w:eastAsia="宋体" w:hint="default"/>
                <w:spacing w:val="-7"/>
                <w:sz w:val="18"/>
                <w:szCs w:val="18"/>
              </w:rPr>
              <w:t>董事、财务</w:t>
            </w:r>
            <w:r>
              <w:rPr>
                <w:rFonts w:ascii="宋体" w:hAnsi="宋体" w:cs="宋体" w:eastAsia="宋体" w:hint="default"/>
                <w:sz w:val="18"/>
                <w:szCs w:val="18"/>
              </w:rPr>
              <w:t> </w:t>
            </w:r>
            <w:r>
              <w:rPr>
                <w:rFonts w:ascii="宋体" w:hAnsi="宋体" w:cs="宋体" w:eastAsia="宋体" w:hint="default"/>
                <w:spacing w:val="-7"/>
                <w:sz w:val="18"/>
                <w:szCs w:val="18"/>
              </w:rPr>
              <w:t>总监、副总</w:t>
            </w:r>
            <w:r>
              <w:rPr>
                <w:rFonts w:ascii="宋体" w:hAnsi="宋体" w:cs="宋体" w:eastAsia="宋体" w:hint="default"/>
                <w:sz w:val="18"/>
                <w:szCs w:val="18"/>
              </w:rPr>
              <w:t> 经理</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9"/>
              <w:jc w:val="right"/>
              <w:rPr>
                <w:rFonts w:ascii="Times New Roman" w:hAnsi="Times New Roman" w:cs="Times New Roman" w:eastAsia="Times New Roman" w:hint="default"/>
                <w:sz w:val="18"/>
                <w:szCs w:val="18"/>
              </w:rPr>
            </w:pPr>
            <w:r>
              <w:rPr>
                <w:rFonts w:ascii="Times New Roman"/>
                <w:sz w:val="18"/>
              </w:rPr>
              <w:t>195,000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22"/>
              <w:jc w:val="right"/>
              <w:rPr>
                <w:rFonts w:ascii="Times New Roman" w:hAnsi="Times New Roman" w:cs="Times New Roman" w:eastAsia="Times New Roman" w:hint="default"/>
                <w:sz w:val="18"/>
                <w:szCs w:val="18"/>
              </w:rPr>
            </w:pPr>
            <w:r>
              <w:rPr>
                <w:rFonts w:ascii="Times New Roman"/>
                <w:spacing w:val="-2"/>
                <w:sz w:val="18"/>
              </w:rPr>
              <w:t>11.85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21"/>
              <w:jc w:val="right"/>
              <w:rPr>
                <w:rFonts w:ascii="Times New Roman" w:hAnsi="Times New Roman" w:cs="Times New Roman" w:eastAsia="Times New Roman" w:hint="default"/>
                <w:sz w:val="18"/>
                <w:szCs w:val="18"/>
              </w:rPr>
            </w:pPr>
            <w:r>
              <w:rPr>
                <w:rFonts w:ascii="Times New Roman"/>
                <w:sz w:val="18"/>
              </w:rPr>
              <w:t>195,000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高永坚</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44"/>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130,000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2"/>
                <w:sz w:val="18"/>
              </w:rPr>
              <w:t>11.85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130,000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3"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徐德银</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44"/>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Times New Roman" w:hAnsi="Times New Roman" w:cs="Times New Roman" w:eastAsia="Times New Roman" w:hint="default"/>
                <w:sz w:val="18"/>
                <w:szCs w:val="18"/>
              </w:rPr>
            </w:pPr>
            <w:r>
              <w:rPr>
                <w:rFonts w:ascii="Times New Roman"/>
                <w:sz w:val="18"/>
              </w:rPr>
              <w:t>130,000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2"/>
                <w:sz w:val="18"/>
              </w:rPr>
              <w:t>11.85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z w:val="18"/>
              </w:rPr>
              <w:t>130,000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715,000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715,000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338" w:lineRule="auto" w:before="26"/>
        <w:ind w:left="139" w:right="633" w:firstLine="480"/>
        <w:jc w:val="both"/>
      </w:pPr>
      <w:r>
        <w:rPr>
          <w:spacing w:val="-2"/>
        </w:rPr>
        <w:t>二、现任董事、监事、高级管理人员最近</w:t>
      </w:r>
      <w:r>
        <w:rPr>
          <w:rFonts w:ascii="Times New Roman" w:hAnsi="Times New Roman" w:cs="Times New Roman" w:eastAsia="Times New Roman" w:hint="default"/>
          <w:spacing w:val="-2"/>
        </w:rPr>
        <w:t>5</w:t>
      </w:r>
      <w:r>
        <w:rPr>
          <w:spacing w:val="-2"/>
        </w:rPr>
        <w:t>年的主要工作经历及在除股东单位外</w:t>
      </w:r>
      <w:r>
        <w:rPr/>
        <w:t> 的其他单位的任职或兼职情况</w:t>
      </w:r>
    </w:p>
    <w:p>
      <w:pPr>
        <w:pStyle w:val="BodyText"/>
        <w:spacing w:line="240" w:lineRule="auto" w:before="55"/>
        <w:ind w:left="619" w:right="0"/>
        <w:jc w:val="left"/>
      </w:pPr>
      <w:r>
        <w:rPr/>
        <w:t>（一）现任董事、监事、高级管理人员最近</w:t>
      </w:r>
      <w:r>
        <w:rPr>
          <w:rFonts w:ascii="Times New Roman" w:hAnsi="Times New Roman" w:cs="Times New Roman" w:eastAsia="Times New Roman" w:hint="default"/>
        </w:rPr>
        <w:t>5</w:t>
      </w:r>
      <w:r>
        <w:rPr/>
        <w:t>年的主要工作经历</w:t>
      </w:r>
    </w:p>
    <w:p>
      <w:pPr>
        <w:pStyle w:val="BodyText"/>
        <w:spacing w:line="240" w:lineRule="auto"/>
        <w:ind w:left="620" w:right="0"/>
        <w:jc w:val="left"/>
      </w:pPr>
      <w:r>
        <w:rPr>
          <w:rFonts w:ascii="Times New Roman" w:hAnsi="Times New Roman" w:cs="Times New Roman" w:eastAsia="Times New Roman" w:hint="default"/>
        </w:rPr>
        <w:t>1</w:t>
      </w:r>
      <w:r>
        <w:rPr/>
        <w:t>、董事</w:t>
      </w:r>
    </w:p>
    <w:p>
      <w:pPr>
        <w:pStyle w:val="BodyText"/>
        <w:spacing w:line="338" w:lineRule="auto"/>
        <w:ind w:left="139" w:right="630" w:firstLine="480"/>
        <w:jc w:val="both"/>
      </w:pPr>
      <w:r>
        <w:rPr>
          <w:spacing w:val="-3"/>
        </w:rPr>
        <w:t>（</w:t>
      </w:r>
      <w:r>
        <w:rPr>
          <w:rFonts w:ascii="Times New Roman" w:hAnsi="Times New Roman" w:cs="Times New Roman" w:eastAsia="Times New Roman" w:hint="default"/>
          <w:spacing w:val="-3"/>
        </w:rPr>
        <w:t>1</w:t>
      </w:r>
      <w:r>
        <w:rPr>
          <w:spacing w:val="-3"/>
        </w:rPr>
        <w:t>）杨文江先生：公司董事长、总经理，男，</w:t>
      </w:r>
      <w:r>
        <w:rPr>
          <w:rFonts w:ascii="Times New Roman" w:hAnsi="Times New Roman" w:cs="Times New Roman" w:eastAsia="Times New Roman" w:hint="default"/>
          <w:spacing w:val="-3"/>
        </w:rPr>
        <w:t>1972</w:t>
      </w:r>
      <w:r>
        <w:rPr>
          <w:spacing w:val="-3"/>
        </w:rPr>
        <w:t>年生，管理学硕士，公司创</w:t>
      </w:r>
      <w:r>
        <w:rPr>
          <w:spacing w:val="-1"/>
        </w:rPr>
        <w:t> </w:t>
      </w:r>
      <w:r>
        <w:rPr/>
        <w:t>始人和控股股东。</w:t>
      </w:r>
      <w:r>
        <w:rPr>
          <w:rFonts w:ascii="Times New Roman" w:hAnsi="Times New Roman" w:cs="Times New Roman" w:eastAsia="Times New Roman" w:hint="default"/>
        </w:rPr>
        <w:t>1995</w:t>
      </w:r>
      <w:r>
        <w:rPr/>
        <w:t>年至</w:t>
      </w:r>
      <w:r>
        <w:rPr>
          <w:rFonts w:ascii="Times New Roman" w:hAnsi="Times New Roman" w:cs="Times New Roman" w:eastAsia="Times New Roman" w:hint="default"/>
        </w:rPr>
        <w:t>1997</w:t>
      </w:r>
      <w:r>
        <w:rPr/>
        <w:t>年任广东省金安汽车工业制造有限公司副总经理，</w:t>
      </w:r>
      <w:r>
        <w:rPr>
          <w:spacing w:val="-85"/>
        </w:rPr>
        <w:t> </w:t>
      </w:r>
      <w:r>
        <w:rPr>
          <w:spacing w:val="-85"/>
        </w:rPr>
      </w:r>
      <w:r>
        <w:rPr>
          <w:rFonts w:ascii="Times New Roman" w:hAnsi="Times New Roman" w:cs="Times New Roman" w:eastAsia="Times New Roman" w:hint="default"/>
        </w:rPr>
        <w:t>2000</w:t>
      </w:r>
      <w:r>
        <w:rPr/>
        <w:t>年到</w:t>
      </w:r>
      <w:r>
        <w:rPr>
          <w:rFonts w:ascii="Times New Roman" w:hAnsi="Times New Roman" w:cs="Times New Roman" w:eastAsia="Times New Roman" w:hint="default"/>
        </w:rPr>
        <w:t>2001</w:t>
      </w:r>
      <w:r>
        <w:rPr/>
        <w:t>年任广州市宝龙特种汽车股份有限公司总经理，</w:t>
      </w:r>
      <w:r>
        <w:rPr>
          <w:rFonts w:ascii="Times New Roman" w:hAnsi="Times New Roman" w:cs="Times New Roman" w:eastAsia="Times New Roman" w:hint="default"/>
        </w:rPr>
        <w:t>2001</w:t>
      </w:r>
      <w:r>
        <w:rPr/>
        <w:t>年至今任公司及</w:t>
      </w:r>
      <w:r>
        <w:rPr>
          <w:spacing w:val="-87"/>
        </w:rPr>
        <w:t> </w:t>
      </w:r>
      <w:r>
        <w:rPr>
          <w:spacing w:val="-87"/>
        </w:rPr>
      </w:r>
      <w:r>
        <w:rPr/>
        <w:t>前身御银有限董事长，</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18</w:t>
      </w:r>
      <w:r>
        <w:rPr/>
        <w:t>日当选为公司总经理。</w:t>
      </w:r>
    </w:p>
    <w:p>
      <w:pPr>
        <w:pStyle w:val="BodyText"/>
        <w:spacing w:line="338" w:lineRule="auto" w:before="27"/>
        <w:ind w:right="630" w:firstLine="480"/>
        <w:jc w:val="both"/>
      </w:pPr>
      <w:r>
        <w:rPr/>
        <w:t>（</w:t>
      </w:r>
      <w:r>
        <w:rPr>
          <w:rFonts w:ascii="Times New Roman" w:hAnsi="Times New Roman" w:cs="Times New Roman" w:eastAsia="Times New Roman" w:hint="default"/>
        </w:rPr>
        <w:t>2</w:t>
      </w:r>
      <w:r>
        <w:rPr/>
        <w:t>）吴宁先生：公司董事，男，</w:t>
      </w:r>
      <w:r>
        <w:rPr>
          <w:rFonts w:ascii="Times New Roman" w:hAnsi="Times New Roman" w:cs="Times New Roman" w:eastAsia="Times New Roman" w:hint="default"/>
        </w:rPr>
        <w:t>1972</w:t>
      </w:r>
      <w:r>
        <w:rPr/>
        <w:t>年生，硕士。</w:t>
      </w:r>
      <w:r>
        <w:rPr>
          <w:rFonts w:ascii="Times New Roman" w:hAnsi="Times New Roman" w:cs="Times New Roman" w:eastAsia="Times New Roman" w:hint="default"/>
        </w:rPr>
        <w:t>1993</w:t>
      </w:r>
      <w:r>
        <w:rPr/>
        <w:t>年</w:t>
      </w:r>
      <w:r>
        <w:rPr>
          <w:rFonts w:ascii="Times New Roman" w:hAnsi="Times New Roman" w:cs="Times New Roman" w:eastAsia="Times New Roman" w:hint="default"/>
        </w:rPr>
        <w:t>8</w:t>
      </w:r>
      <w:r>
        <w:rPr/>
        <w:t>月至</w:t>
      </w:r>
      <w:r>
        <w:rPr>
          <w:rFonts w:ascii="Times New Roman" w:hAnsi="Times New Roman" w:cs="Times New Roman" w:eastAsia="Times New Roman" w:hint="default"/>
        </w:rPr>
        <w:t>1997</w:t>
      </w:r>
      <w:r>
        <w:rPr/>
        <w:t>年</w:t>
      </w:r>
      <w:r>
        <w:rPr>
          <w:rFonts w:ascii="Times New Roman" w:hAnsi="Times New Roman" w:cs="Times New Roman" w:eastAsia="Times New Roman" w:hint="default"/>
        </w:rPr>
        <w:t>12</w:t>
      </w:r>
      <w:r>
        <w:rPr/>
        <w:t>月任</w:t>
      </w:r>
      <w:r>
        <w:rPr>
          <w:spacing w:val="1"/>
        </w:rPr>
        <w:t> </w:t>
      </w:r>
      <w:r>
        <w:rPr>
          <w:spacing w:val="3"/>
        </w:rPr>
        <w:t>职于三星公司，</w:t>
      </w:r>
      <w:r>
        <w:rPr>
          <w:rFonts w:ascii="Times New Roman" w:hAnsi="Times New Roman" w:cs="Times New Roman" w:eastAsia="Times New Roman" w:hint="default"/>
          <w:spacing w:val="3"/>
        </w:rPr>
        <w:t>1998</w:t>
      </w:r>
      <w:r>
        <w:rPr>
          <w:spacing w:val="3"/>
        </w:rPr>
        <w:t>年</w:t>
      </w:r>
      <w:r>
        <w:rPr>
          <w:rFonts w:ascii="Times New Roman" w:hAnsi="Times New Roman" w:cs="Times New Roman" w:eastAsia="Times New Roman" w:hint="default"/>
          <w:spacing w:val="3"/>
        </w:rPr>
        <w:t>1</w:t>
      </w:r>
      <w:r>
        <w:rPr>
          <w:spacing w:val="3"/>
        </w:rPr>
        <w:t>月至</w:t>
      </w:r>
      <w:r>
        <w:rPr>
          <w:rFonts w:ascii="Times New Roman" w:hAnsi="Times New Roman" w:cs="Times New Roman" w:eastAsia="Times New Roman" w:hint="default"/>
          <w:spacing w:val="3"/>
        </w:rPr>
        <w:t>2000</w:t>
      </w:r>
      <w:r>
        <w:rPr>
          <w:spacing w:val="3"/>
        </w:rPr>
        <w:t>年</w:t>
      </w:r>
      <w:r>
        <w:rPr>
          <w:rFonts w:ascii="Times New Roman" w:hAnsi="Times New Roman" w:cs="Times New Roman" w:eastAsia="Times New Roman" w:hint="default"/>
          <w:spacing w:val="3"/>
        </w:rPr>
        <w:t>3</w:t>
      </w:r>
      <w:r>
        <w:rPr>
          <w:spacing w:val="3"/>
        </w:rPr>
        <w:t>月任广州伍尔特有限公司销售人员，</w:t>
      </w:r>
      <w:r>
        <w:rPr>
          <w:rFonts w:ascii="Times New Roman" w:hAnsi="Times New Roman" w:cs="Times New Roman" w:eastAsia="Times New Roman" w:hint="default"/>
          <w:spacing w:val="3"/>
        </w:rPr>
        <w:t>2000</w:t>
      </w:r>
      <w:r>
        <w:rPr>
          <w:spacing w:val="3"/>
        </w:rPr>
        <w:t>年</w:t>
      </w:r>
      <w:r>
        <w:rPr>
          <w:rFonts w:ascii="Times New Roman" w:hAnsi="Times New Roman" w:cs="Times New Roman" w:eastAsia="Times New Roman" w:hint="default"/>
          <w:spacing w:val="3"/>
        </w:rPr>
        <w:t>3</w:t>
      </w:r>
      <w:r>
        <w:rPr>
          <w:rFonts w:ascii="Times New Roman" w:hAnsi="Times New Roman" w:cs="Times New Roman" w:eastAsia="Times New Roman" w:hint="default"/>
          <w:spacing w:val="-32"/>
        </w:rPr>
        <w:t> </w:t>
      </w:r>
      <w:r>
        <w:rPr/>
        <w:t>月至</w:t>
      </w:r>
      <w:r>
        <w:rPr>
          <w:rFonts w:ascii="Times New Roman" w:hAnsi="Times New Roman" w:cs="Times New Roman" w:eastAsia="Times New Roman" w:hint="default"/>
        </w:rPr>
        <w:t>2002</w:t>
      </w:r>
      <w:r>
        <w:rPr/>
        <w:t>年</w:t>
      </w:r>
      <w:r>
        <w:rPr>
          <w:rFonts w:ascii="Times New Roman" w:hAnsi="Times New Roman" w:cs="Times New Roman" w:eastAsia="Times New Roman" w:hint="default"/>
        </w:rPr>
        <w:t>5</w:t>
      </w:r>
      <w:r>
        <w:rPr/>
        <w:t>月任广州宝龙特种汽车股份有限公司销售经理。</w:t>
      </w:r>
      <w:r>
        <w:rPr>
          <w:rFonts w:ascii="Times New Roman" w:hAnsi="Times New Roman" w:cs="Times New Roman" w:eastAsia="Times New Roman" w:hint="default"/>
        </w:rPr>
        <w:t>2002</w:t>
      </w:r>
      <w:r>
        <w:rPr/>
        <w:t>年</w:t>
      </w:r>
      <w:r>
        <w:rPr>
          <w:rFonts w:ascii="Times New Roman" w:hAnsi="Times New Roman" w:cs="Times New Roman" w:eastAsia="Times New Roman" w:hint="default"/>
        </w:rPr>
        <w:t>9</w:t>
      </w:r>
      <w:r>
        <w:rPr/>
        <w:t>月加入御银有</w:t>
      </w:r>
      <w:r>
        <w:rPr>
          <w:spacing w:val="-84"/>
        </w:rPr>
        <w:t> </w:t>
      </w:r>
      <w:r>
        <w:rPr>
          <w:spacing w:val="-2"/>
        </w:rPr>
        <w:t>限，</w:t>
      </w:r>
      <w:r>
        <w:rPr>
          <w:rFonts w:ascii="Times New Roman" w:hAnsi="Times New Roman" w:cs="Times New Roman" w:eastAsia="Times New Roman" w:hint="default"/>
          <w:spacing w:val="-2"/>
        </w:rPr>
        <w:t>2009</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1</w:t>
      </w:r>
      <w:r>
        <w:rPr>
          <w:spacing w:val="-2"/>
        </w:rPr>
        <w:t>日当选为公司第三届董事会董事、总经理，</w:t>
      </w: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18</w:t>
      </w:r>
      <w:r>
        <w:rPr>
          <w:spacing w:val="-2"/>
        </w:rPr>
        <w:t>日辞去公司</w:t>
      </w:r>
      <w:r>
        <w:rPr>
          <w:spacing w:val="-103"/>
        </w:rPr>
        <w:t> </w:t>
      </w:r>
      <w:r>
        <w:rPr/>
        <w:t>总经理职务，现任公司董事、董事长助理。</w:t>
      </w:r>
    </w:p>
    <w:p>
      <w:pPr>
        <w:pStyle w:val="BodyText"/>
        <w:spacing w:line="338" w:lineRule="auto" w:before="55"/>
        <w:ind w:right="0" w:firstLine="480"/>
        <w:jc w:val="left"/>
      </w:pPr>
      <w:r>
        <w:rPr>
          <w:spacing w:val="-6"/>
        </w:rPr>
        <w:t>（</w:t>
      </w:r>
      <w:r>
        <w:rPr>
          <w:rFonts w:ascii="Times New Roman" w:hAnsi="Times New Roman" w:cs="Times New Roman" w:eastAsia="Times New Roman" w:hint="default"/>
          <w:spacing w:val="-6"/>
        </w:rPr>
        <w:t>3</w:t>
      </w:r>
      <w:r>
        <w:rPr>
          <w:spacing w:val="-6"/>
        </w:rPr>
        <w:t>）王志杰先生：公司董事、副总经理、财务总监，男，</w:t>
      </w:r>
      <w:r>
        <w:rPr>
          <w:rFonts w:ascii="Times New Roman" w:hAnsi="Times New Roman" w:cs="Times New Roman" w:eastAsia="Times New Roman" w:hint="default"/>
          <w:spacing w:val="-6"/>
        </w:rPr>
        <w:t>1976</w:t>
      </w:r>
      <w:r>
        <w:rPr>
          <w:spacing w:val="-6"/>
        </w:rPr>
        <w:t>年生，本科学历，</w:t>
      </w:r>
      <w:r>
        <w:rPr/>
        <w:t> </w:t>
      </w:r>
      <w:r>
        <w:rPr>
          <w:spacing w:val="3"/>
        </w:rPr>
        <w:t>会计师，</w:t>
      </w:r>
      <w:r>
        <w:rPr>
          <w:rFonts w:ascii="Times New Roman" w:hAnsi="Times New Roman" w:cs="Times New Roman" w:eastAsia="Times New Roman" w:hint="default"/>
          <w:spacing w:val="3"/>
        </w:rPr>
        <w:t>2001</w:t>
      </w:r>
      <w:r>
        <w:rPr>
          <w:spacing w:val="3"/>
        </w:rPr>
        <w:t>年</w:t>
      </w:r>
      <w:r>
        <w:rPr>
          <w:rFonts w:ascii="Times New Roman" w:hAnsi="Times New Roman" w:cs="Times New Roman" w:eastAsia="Times New Roman" w:hint="default"/>
          <w:spacing w:val="3"/>
        </w:rPr>
        <w:t>3</w:t>
      </w:r>
      <w:r>
        <w:rPr>
          <w:spacing w:val="3"/>
        </w:rPr>
        <w:t>月至</w:t>
      </w:r>
      <w:r>
        <w:rPr>
          <w:rFonts w:ascii="Times New Roman" w:hAnsi="Times New Roman" w:cs="Times New Roman" w:eastAsia="Times New Roman" w:hint="default"/>
          <w:spacing w:val="3"/>
        </w:rPr>
        <w:t>2004</w:t>
      </w:r>
      <w:r>
        <w:rPr>
          <w:spacing w:val="3"/>
        </w:rPr>
        <w:t>年</w:t>
      </w:r>
      <w:r>
        <w:rPr>
          <w:rFonts w:ascii="Times New Roman" w:hAnsi="Times New Roman" w:cs="Times New Roman" w:eastAsia="Times New Roman" w:hint="default"/>
          <w:spacing w:val="3"/>
        </w:rPr>
        <w:t>6</w:t>
      </w:r>
      <w:r>
        <w:rPr>
          <w:spacing w:val="3"/>
        </w:rPr>
        <w:t>月任广东华美投资集团有限公司财务主管，</w:t>
      </w:r>
      <w:r>
        <w:rPr>
          <w:rFonts w:ascii="Times New Roman" w:hAnsi="Times New Roman" w:cs="Times New Roman" w:eastAsia="Times New Roman" w:hint="default"/>
          <w:spacing w:val="3"/>
        </w:rPr>
        <w:t>2004</w:t>
      </w:r>
      <w:r>
        <w:rPr>
          <w:spacing w:val="3"/>
        </w:rPr>
        <w:t>年</w:t>
      </w:r>
      <w:r>
        <w:rPr>
          <w:rFonts w:ascii="Times New Roman" w:hAnsi="Times New Roman" w:cs="Times New Roman" w:eastAsia="Times New Roman" w:hint="default"/>
          <w:spacing w:val="3"/>
        </w:rPr>
        <w:t>7</w:t>
      </w:r>
      <w:r>
        <w:rPr>
          <w:rFonts w:ascii="Times New Roman" w:hAnsi="Times New Roman" w:cs="Times New Roman" w:eastAsia="Times New Roman" w:hint="default"/>
          <w:spacing w:val="-33"/>
        </w:rPr>
        <w:t> </w:t>
      </w:r>
      <w:r>
        <w:rPr/>
        <w:t>月至</w:t>
      </w:r>
      <w:r>
        <w:rPr>
          <w:rFonts w:ascii="Times New Roman" w:hAnsi="Times New Roman" w:cs="Times New Roman" w:eastAsia="Times New Roman" w:hint="default"/>
        </w:rPr>
        <w:t>2005</w:t>
      </w:r>
      <w:r>
        <w:rPr/>
        <w:t>年</w:t>
      </w:r>
      <w:r>
        <w:rPr>
          <w:rFonts w:ascii="Times New Roman" w:hAnsi="Times New Roman" w:cs="Times New Roman" w:eastAsia="Times New Roman" w:hint="default"/>
        </w:rPr>
        <w:t>8</w:t>
      </w:r>
      <w:r>
        <w:rPr/>
        <w:t>月任金鹏通信有限责任公司财务主管。</w:t>
      </w:r>
      <w:r>
        <w:rPr>
          <w:rFonts w:ascii="Times New Roman" w:hAnsi="Times New Roman" w:cs="Times New Roman" w:eastAsia="Times New Roman" w:hint="default"/>
        </w:rPr>
        <w:t>2005</w:t>
      </w:r>
      <w:r>
        <w:rPr/>
        <w:t>年</w:t>
      </w:r>
      <w:r>
        <w:rPr>
          <w:rFonts w:ascii="Times New Roman" w:hAnsi="Times New Roman" w:cs="Times New Roman" w:eastAsia="Times New Roman" w:hint="default"/>
        </w:rPr>
        <w:t>8</w:t>
      </w:r>
      <w:r>
        <w:rPr/>
        <w:t>月加入公司，现任公司</w:t>
      </w:r>
      <w:r>
        <w:rPr>
          <w:spacing w:val="-84"/>
        </w:rPr>
        <w:t> </w:t>
      </w:r>
      <w:r>
        <w:rPr/>
        <w:t>董事、副总经理、财务总监。</w:t>
      </w:r>
    </w:p>
    <w:p>
      <w:pPr>
        <w:pStyle w:val="BodyText"/>
        <w:spacing w:line="338" w:lineRule="auto" w:before="55"/>
        <w:ind w:right="630" w:firstLine="480"/>
        <w:jc w:val="both"/>
      </w:pPr>
      <w:r>
        <w:rPr>
          <w:spacing w:val="4"/>
        </w:rPr>
        <w:t>（</w:t>
      </w:r>
      <w:r>
        <w:rPr>
          <w:rFonts w:ascii="Times New Roman" w:hAnsi="Times New Roman" w:cs="Times New Roman" w:eastAsia="Times New Roman" w:hint="default"/>
          <w:spacing w:val="4"/>
        </w:rPr>
        <w:t>4</w:t>
      </w:r>
      <w:r>
        <w:rPr>
          <w:spacing w:val="4"/>
        </w:rPr>
        <w:t>）石本仁先生：公司独立董事，男，</w:t>
      </w:r>
      <w:r>
        <w:rPr>
          <w:rFonts w:ascii="Times New Roman" w:hAnsi="Times New Roman" w:cs="Times New Roman" w:eastAsia="Times New Roman" w:hint="default"/>
          <w:spacing w:val="4"/>
        </w:rPr>
        <w:t>1964</w:t>
      </w:r>
      <w:r>
        <w:rPr>
          <w:spacing w:val="4"/>
        </w:rPr>
        <w:t>年生，博士，会计学教授。</w:t>
      </w:r>
      <w:r>
        <w:rPr>
          <w:rFonts w:ascii="Times New Roman" w:hAnsi="Times New Roman" w:cs="Times New Roman" w:eastAsia="Times New Roman" w:hint="default"/>
          <w:spacing w:val="4"/>
        </w:rPr>
        <w:t>1984</w:t>
      </w:r>
      <w:r>
        <w:rPr>
          <w:rFonts w:ascii="Times New Roman" w:hAnsi="Times New Roman" w:cs="Times New Roman" w:eastAsia="Times New Roman" w:hint="default"/>
        </w:rPr>
        <w:t> </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1989</w:t>
      </w:r>
      <w:r>
        <w:rPr/>
        <w:t>年</w:t>
      </w:r>
      <w:r>
        <w:rPr>
          <w:rFonts w:ascii="Times New Roman" w:hAnsi="Times New Roman" w:cs="Times New Roman" w:eastAsia="Times New Roman" w:hint="default"/>
        </w:rPr>
        <w:t>10</w:t>
      </w:r>
      <w:r>
        <w:rPr/>
        <w:t>月，武汉供销学校任教。</w:t>
      </w:r>
      <w:r>
        <w:rPr>
          <w:rFonts w:ascii="Times New Roman" w:hAnsi="Times New Roman" w:cs="Times New Roman" w:eastAsia="Times New Roman" w:hint="default"/>
        </w:rPr>
        <w:t>1989</w:t>
      </w:r>
      <w:r>
        <w:rPr/>
        <w:t>年</w:t>
      </w:r>
      <w:r>
        <w:rPr>
          <w:rFonts w:ascii="Times New Roman" w:hAnsi="Times New Roman" w:cs="Times New Roman" w:eastAsia="Times New Roman" w:hint="default"/>
        </w:rPr>
        <w:t>10</w:t>
      </w:r>
      <w:r>
        <w:rPr/>
        <w:t>月至</w:t>
      </w:r>
      <w:r>
        <w:rPr>
          <w:rFonts w:ascii="Times New Roman" w:hAnsi="Times New Roman" w:cs="Times New Roman" w:eastAsia="Times New Roman" w:hint="default"/>
        </w:rPr>
        <w:t>1999</w:t>
      </w:r>
      <w:r>
        <w:rPr/>
        <w:t>年</w:t>
      </w:r>
      <w:r>
        <w:rPr>
          <w:rFonts w:ascii="Times New Roman" w:hAnsi="Times New Roman" w:cs="Times New Roman" w:eastAsia="Times New Roman" w:hint="default"/>
        </w:rPr>
        <w:t>1</w:t>
      </w:r>
      <w:r>
        <w:rPr/>
        <w:t>月，武汉工业大学</w:t>
      </w:r>
      <w:r>
        <w:rPr>
          <w:spacing w:val="-86"/>
        </w:rPr>
        <w:t> </w:t>
      </w:r>
      <w:r>
        <w:rPr>
          <w:spacing w:val="-2"/>
        </w:rPr>
        <w:t>任教。</w:t>
      </w:r>
      <w:r>
        <w:rPr>
          <w:rFonts w:ascii="Times New Roman" w:hAnsi="Times New Roman" w:cs="Times New Roman" w:eastAsia="Times New Roman" w:hint="default"/>
          <w:spacing w:val="-2"/>
        </w:rPr>
        <w:t>1999</w:t>
      </w:r>
      <w:r>
        <w:rPr>
          <w:spacing w:val="-2"/>
        </w:rPr>
        <w:t>年</w:t>
      </w:r>
      <w:r>
        <w:rPr>
          <w:rFonts w:ascii="Times New Roman" w:hAnsi="Times New Roman" w:cs="Times New Roman" w:eastAsia="Times New Roman" w:hint="default"/>
          <w:spacing w:val="-2"/>
        </w:rPr>
        <w:t>1</w:t>
      </w:r>
      <w:r>
        <w:rPr>
          <w:spacing w:val="-2"/>
        </w:rPr>
        <w:t>月至今，广州暨南大学会计系任教。</w:t>
      </w:r>
      <w:r>
        <w:rPr>
          <w:rFonts w:ascii="Times New Roman" w:hAnsi="Times New Roman" w:cs="Times New Roman" w:eastAsia="Times New Roman" w:hint="default"/>
          <w:spacing w:val="-2"/>
        </w:rPr>
        <w:t>2001</w:t>
      </w:r>
      <w:r>
        <w:rPr>
          <w:spacing w:val="-2"/>
        </w:rPr>
        <w:t>年</w:t>
      </w:r>
      <w:r>
        <w:rPr>
          <w:rFonts w:ascii="Times New Roman" w:hAnsi="Times New Roman" w:cs="Times New Roman" w:eastAsia="Times New Roman" w:hint="default"/>
          <w:spacing w:val="-2"/>
        </w:rPr>
        <w:t>10</w:t>
      </w:r>
      <w:r>
        <w:rPr>
          <w:spacing w:val="-2"/>
        </w:rPr>
        <w:t>月至今，任广州暨南大</w:t>
      </w:r>
    </w:p>
    <w:p>
      <w:pPr>
        <w:spacing w:after="0" w:line="338" w:lineRule="auto"/>
        <w:jc w:val="both"/>
        <w:sectPr>
          <w:pgSz w:w="11910" w:h="16840"/>
          <w:pgMar w:header="877" w:footer="1048" w:top="1100" w:bottom="1240" w:left="1660" w:right="780"/>
        </w:sectPr>
      </w:pPr>
    </w:p>
    <w:p>
      <w:pPr>
        <w:spacing w:line="240" w:lineRule="auto" w:before="7"/>
        <w:rPr>
          <w:rFonts w:ascii="宋体" w:hAnsi="宋体" w:cs="宋体" w:eastAsia="宋体" w:hint="default"/>
          <w:sz w:val="25"/>
          <w:szCs w:val="25"/>
        </w:rPr>
      </w:pPr>
    </w:p>
    <w:p>
      <w:pPr>
        <w:pStyle w:val="BodyText"/>
        <w:spacing w:line="338" w:lineRule="auto" w:before="26"/>
        <w:ind w:left="139" w:right="104"/>
        <w:jc w:val="left"/>
      </w:pPr>
      <w:r>
        <w:rPr>
          <w:spacing w:val="3"/>
        </w:rPr>
        <w:t>学会计研究所副所长；石本仁先生于</w:t>
      </w: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11</w:t>
      </w:r>
      <w:r>
        <w:rPr>
          <w:spacing w:val="3"/>
        </w:rPr>
        <w:t>月起担任本公司独立董事。</w:t>
      </w:r>
      <w:r>
        <w:rPr>
          <w:rFonts w:ascii="Times New Roman" w:hAnsi="Times New Roman" w:cs="Times New Roman" w:eastAsia="Times New Roman" w:hint="default"/>
          <w:spacing w:val="3"/>
        </w:rPr>
        <w:t>2012</w:t>
      </w:r>
      <w:r>
        <w:rPr>
          <w:spacing w:val="3"/>
        </w:rPr>
        <w:t>年</w:t>
      </w:r>
      <w:r>
        <w:rPr>
          <w:rFonts w:ascii="Times New Roman" w:hAnsi="Times New Roman" w:cs="Times New Roman" w:eastAsia="Times New Roman" w:hint="default"/>
          <w:spacing w:val="3"/>
        </w:rPr>
        <w:t>1</w:t>
      </w:r>
      <w:r>
        <w:rPr>
          <w:rFonts w:ascii="Times New Roman" w:hAnsi="Times New Roman" w:cs="Times New Roman" w:eastAsia="Times New Roman" w:hint="default"/>
          <w:spacing w:val="-33"/>
        </w:rPr>
        <w:t> </w:t>
      </w:r>
      <w:r>
        <w:rPr/>
        <w:t>月当选为广州发展实业控股集团股份有限公司独立董事。</w:t>
      </w:r>
    </w:p>
    <w:p>
      <w:pPr>
        <w:pStyle w:val="BodyText"/>
        <w:spacing w:line="348" w:lineRule="auto" w:before="55"/>
        <w:ind w:left="139" w:right="233" w:firstLine="480"/>
        <w:jc w:val="both"/>
      </w:pPr>
      <w:r>
        <w:rPr>
          <w:spacing w:val="-2"/>
        </w:rPr>
        <w:t>（</w:t>
      </w:r>
      <w:r>
        <w:rPr>
          <w:rFonts w:ascii="Times New Roman" w:hAnsi="Times New Roman" w:cs="Times New Roman" w:eastAsia="Times New Roman" w:hint="default"/>
          <w:spacing w:val="-2"/>
        </w:rPr>
        <w:t>5</w:t>
      </w:r>
      <w:r>
        <w:rPr>
          <w:spacing w:val="-2"/>
        </w:rPr>
        <w:t>）张华先生：公司独立董事，男，</w:t>
      </w:r>
      <w:r>
        <w:rPr>
          <w:rFonts w:ascii="Times New Roman" w:hAnsi="Times New Roman" w:cs="Times New Roman" w:eastAsia="Times New Roman" w:hint="default"/>
          <w:spacing w:val="-2"/>
        </w:rPr>
        <w:t>1965</w:t>
      </w:r>
      <w:r>
        <w:rPr>
          <w:spacing w:val="-2"/>
        </w:rPr>
        <w:t>年生，经济学硕士，现任广州市英智</w:t>
      </w:r>
      <w:r>
        <w:rPr/>
        <w:t> 财华投资有限公司副总经理。曾在国家开发银行广东省分行、广东金手指投资顾问 有限公司、广州市宝鑫控股集团有限公司、君华集团有限公司等单位工作，历任业 务主管、分析师、总监、总裁助理等职务。张华先生于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11</w:t>
      </w:r>
      <w:r>
        <w:rPr/>
        <w:t>月起担任本公司独 立董事。</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月当选为广东电力发展股份有限公司独立董事。</w:t>
      </w:r>
    </w:p>
    <w:p>
      <w:pPr>
        <w:spacing w:line="240" w:lineRule="auto" w:before="0"/>
        <w:rPr>
          <w:rFonts w:ascii="宋体" w:hAnsi="宋体" w:cs="宋体" w:eastAsia="宋体" w:hint="default"/>
          <w:sz w:val="24"/>
          <w:szCs w:val="24"/>
        </w:rPr>
      </w:pPr>
    </w:p>
    <w:p>
      <w:pPr>
        <w:pStyle w:val="BodyText"/>
        <w:spacing w:line="240" w:lineRule="auto" w:before="170"/>
        <w:ind w:left="619" w:right="104"/>
        <w:jc w:val="left"/>
      </w:pPr>
      <w:r>
        <w:rPr>
          <w:rFonts w:ascii="Times New Roman" w:hAnsi="Times New Roman" w:cs="Times New Roman" w:eastAsia="Times New Roman" w:hint="default"/>
        </w:rPr>
        <w:t>2</w:t>
      </w:r>
      <w:r>
        <w:rPr/>
        <w:t>、监事</w:t>
      </w:r>
    </w:p>
    <w:p>
      <w:pPr>
        <w:pStyle w:val="BodyText"/>
        <w:spacing w:line="338" w:lineRule="auto"/>
        <w:ind w:left="139" w:right="233" w:firstLine="480"/>
        <w:jc w:val="both"/>
      </w:pPr>
      <w:r>
        <w:rPr>
          <w:spacing w:val="-3"/>
        </w:rPr>
        <w:t>（</w:t>
      </w:r>
      <w:r>
        <w:rPr>
          <w:rFonts w:ascii="Times New Roman" w:hAnsi="Times New Roman" w:cs="Times New Roman" w:eastAsia="Times New Roman" w:hint="default"/>
          <w:spacing w:val="-3"/>
        </w:rPr>
        <w:t>1</w:t>
      </w:r>
      <w:r>
        <w:rPr>
          <w:spacing w:val="-3"/>
        </w:rPr>
        <w:t>）梁晓芹女士：公司监事，女，</w:t>
      </w:r>
      <w:r>
        <w:rPr>
          <w:rFonts w:ascii="Times New Roman" w:hAnsi="Times New Roman" w:cs="Times New Roman" w:eastAsia="Times New Roman" w:hint="default"/>
          <w:spacing w:val="-3"/>
        </w:rPr>
        <w:t>1977</w:t>
      </w:r>
      <w:r>
        <w:rPr>
          <w:spacing w:val="-3"/>
        </w:rPr>
        <w:t>年生，贸易经济和工业分析双专业本科</w:t>
      </w:r>
      <w:r>
        <w:rPr/>
        <w:t> 学历。</w:t>
      </w:r>
      <w:r>
        <w:rPr>
          <w:rFonts w:ascii="Times New Roman" w:hAnsi="Times New Roman" w:cs="Times New Roman" w:eastAsia="Times New Roman" w:hint="default"/>
        </w:rPr>
        <w:t>2000</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6</w:t>
      </w:r>
      <w:r>
        <w:rPr/>
        <w:t>月任广州市惠普音响科技有限公司行政人事主管。</w:t>
      </w:r>
      <w:r>
        <w:rPr>
          <w:rFonts w:ascii="Times New Roman" w:hAnsi="Times New Roman" w:cs="Times New Roman" w:eastAsia="Times New Roman" w:hint="default"/>
        </w:rPr>
        <w:t>2001</w:t>
      </w:r>
      <w:r>
        <w:rPr>
          <w:rFonts w:ascii="Times New Roman" w:hAnsi="Times New Roman" w:cs="Times New Roman" w:eastAsia="Times New Roman" w:hint="default"/>
          <w:spacing w:val="-27"/>
        </w:rPr>
        <w:t> </w:t>
      </w:r>
      <w:r>
        <w:rPr/>
        <w:t>年加入御银有限，现任公司人力资源部人事经理，第三届监事会主席。</w:t>
      </w:r>
    </w:p>
    <w:p>
      <w:pPr>
        <w:pStyle w:val="BodyText"/>
        <w:spacing w:line="338" w:lineRule="auto" w:before="55"/>
        <w:ind w:left="139" w:right="232" w:firstLine="480"/>
        <w:jc w:val="both"/>
      </w:pPr>
      <w:r>
        <w:rPr>
          <w:spacing w:val="-2"/>
        </w:rPr>
        <w:t>（</w:t>
      </w:r>
      <w:r>
        <w:rPr>
          <w:rFonts w:ascii="Times New Roman" w:hAnsi="Times New Roman" w:cs="Times New Roman" w:eastAsia="Times New Roman" w:hint="default"/>
          <w:spacing w:val="-2"/>
        </w:rPr>
        <w:t>2</w:t>
      </w:r>
      <w:r>
        <w:rPr>
          <w:spacing w:val="-2"/>
        </w:rPr>
        <w:t>）龚穗娟女士：公司监事，女，</w:t>
      </w:r>
      <w:r>
        <w:rPr>
          <w:rFonts w:ascii="Times New Roman" w:hAnsi="Times New Roman" w:cs="Times New Roman" w:eastAsia="Times New Roman" w:hint="default"/>
          <w:spacing w:val="-2"/>
        </w:rPr>
        <w:t>1973</w:t>
      </w:r>
      <w:r>
        <w:rPr>
          <w:spacing w:val="-2"/>
        </w:rPr>
        <w:t>年生，大专学历。</w:t>
      </w:r>
      <w:r>
        <w:rPr>
          <w:rFonts w:ascii="Times New Roman" w:hAnsi="Times New Roman" w:cs="Times New Roman" w:eastAsia="Times New Roman" w:hint="default"/>
          <w:spacing w:val="-2"/>
        </w:rPr>
        <w:t>2004</w:t>
      </w:r>
      <w:r>
        <w:rPr>
          <w:spacing w:val="-2"/>
        </w:rPr>
        <w:t>年</w:t>
      </w:r>
      <w:r>
        <w:rPr>
          <w:rFonts w:ascii="Times New Roman" w:hAnsi="Times New Roman" w:cs="Times New Roman" w:eastAsia="Times New Roman" w:hint="default"/>
          <w:spacing w:val="-2"/>
        </w:rPr>
        <w:t>11</w:t>
      </w:r>
      <w:r>
        <w:rPr>
          <w:spacing w:val="-2"/>
        </w:rPr>
        <w:t>月至今任广</w:t>
      </w:r>
      <w:r>
        <w:rPr/>
        <w:t> 州利讯汽车配件有限公司会计，现任公司股东代表监事。</w:t>
      </w:r>
    </w:p>
    <w:p>
      <w:pPr>
        <w:pStyle w:val="BodyText"/>
        <w:spacing w:line="338" w:lineRule="auto" w:before="55"/>
        <w:ind w:right="231" w:firstLine="480"/>
        <w:jc w:val="both"/>
      </w:pPr>
      <w:r>
        <w:rPr>
          <w:spacing w:val="-8"/>
        </w:rPr>
        <w:t>（</w:t>
      </w:r>
      <w:r>
        <w:rPr>
          <w:rFonts w:ascii="Times New Roman" w:hAnsi="Times New Roman" w:cs="Times New Roman" w:eastAsia="Times New Roman" w:hint="default"/>
          <w:spacing w:val="-8"/>
        </w:rPr>
        <w:t>3</w:t>
      </w:r>
      <w:r>
        <w:rPr>
          <w:spacing w:val="-8"/>
        </w:rPr>
        <w:t>）张成虎先生：公司职工代表监事，男，</w:t>
      </w:r>
      <w:r>
        <w:rPr>
          <w:rFonts w:ascii="Times New Roman" w:hAnsi="Times New Roman" w:cs="Times New Roman" w:eastAsia="Times New Roman" w:hint="default"/>
          <w:spacing w:val="-8"/>
        </w:rPr>
        <w:t>1975</w:t>
      </w:r>
      <w:r>
        <w:rPr>
          <w:spacing w:val="-8"/>
        </w:rPr>
        <w:t>年生，高中学历。</w:t>
      </w:r>
      <w:r>
        <w:rPr>
          <w:rFonts w:ascii="Times New Roman" w:hAnsi="Times New Roman" w:cs="Times New Roman" w:eastAsia="Times New Roman" w:hint="default"/>
          <w:spacing w:val="-8"/>
        </w:rPr>
        <w:t>1997</w:t>
      </w:r>
      <w:r>
        <w:rPr>
          <w:spacing w:val="-8"/>
        </w:rPr>
        <w:t>年至</w:t>
      </w:r>
      <w:r>
        <w:rPr>
          <w:rFonts w:ascii="Times New Roman" w:hAnsi="Times New Roman" w:cs="Times New Roman" w:eastAsia="Times New Roman" w:hint="default"/>
          <w:spacing w:val="-8"/>
        </w:rPr>
        <w:t>2009</w:t>
      </w:r>
      <w:r>
        <w:rPr>
          <w:rFonts w:ascii="Times New Roman" w:hAnsi="Times New Roman" w:cs="Times New Roman" w:eastAsia="Times New Roman" w:hint="default"/>
        </w:rPr>
        <w:t> </w:t>
      </w:r>
      <w:r>
        <w:rPr/>
        <w:t>年在广州宝龙集团有限公司行政部工作，</w:t>
      </w:r>
      <w:r>
        <w:rPr>
          <w:rFonts w:ascii="Times New Roman" w:hAnsi="Times New Roman" w:cs="Times New Roman" w:eastAsia="Times New Roman" w:hint="default"/>
        </w:rPr>
        <w:t>2009</w:t>
      </w:r>
      <w:r>
        <w:rPr/>
        <w:t>年加入公司，现任公司行政主管、职</w:t>
      </w:r>
      <w:r>
        <w:rPr>
          <w:spacing w:val="-85"/>
        </w:rPr>
        <w:t> </w:t>
      </w:r>
      <w:r>
        <w:rPr/>
        <w:t>工代表监事。</w:t>
      </w:r>
    </w:p>
    <w:p>
      <w:pPr>
        <w:spacing w:line="240" w:lineRule="auto" w:before="0"/>
        <w:rPr>
          <w:rFonts w:ascii="宋体" w:hAnsi="宋体" w:cs="宋体" w:eastAsia="宋体" w:hint="default"/>
          <w:sz w:val="24"/>
          <w:szCs w:val="24"/>
        </w:rPr>
      </w:pPr>
    </w:p>
    <w:p>
      <w:pPr>
        <w:pStyle w:val="BodyText"/>
        <w:spacing w:line="240" w:lineRule="auto" w:before="209"/>
        <w:ind w:left="740" w:right="104"/>
        <w:jc w:val="left"/>
      </w:pPr>
      <w:r>
        <w:rPr>
          <w:rFonts w:ascii="Times New Roman" w:hAnsi="Times New Roman" w:cs="Times New Roman" w:eastAsia="Times New Roman" w:hint="default"/>
        </w:rPr>
        <w:t>3</w:t>
      </w:r>
      <w:r>
        <w:rPr/>
        <w:t>、高级管理人员</w:t>
      </w:r>
    </w:p>
    <w:p>
      <w:pPr>
        <w:pStyle w:val="BodyText"/>
        <w:spacing w:line="240" w:lineRule="auto"/>
        <w:ind w:left="620" w:right="104"/>
        <w:jc w:val="left"/>
      </w:pPr>
      <w:r>
        <w:rPr/>
        <w:t>（</w:t>
      </w:r>
      <w:r>
        <w:rPr>
          <w:rFonts w:ascii="Times New Roman" w:hAnsi="Times New Roman" w:cs="Times New Roman" w:eastAsia="Times New Roman" w:hint="default"/>
        </w:rPr>
        <w:t>1</w:t>
      </w:r>
      <w:r>
        <w:rPr/>
        <w:t>）杨文江先生：公司总经理（简历见前述董事介绍）</w:t>
      </w:r>
    </w:p>
    <w:p>
      <w:pPr>
        <w:pStyle w:val="BodyText"/>
        <w:spacing w:line="240" w:lineRule="auto"/>
        <w:ind w:left="620" w:right="104"/>
        <w:jc w:val="left"/>
      </w:pPr>
      <w:r>
        <w:rPr/>
        <w:t>（</w:t>
      </w:r>
      <w:r>
        <w:rPr>
          <w:rFonts w:ascii="Times New Roman" w:hAnsi="Times New Roman" w:cs="Times New Roman" w:eastAsia="Times New Roman" w:hint="default"/>
        </w:rPr>
        <w:t>2</w:t>
      </w:r>
      <w:r>
        <w:rPr/>
        <w:t>）王志杰先生：公司副总经理、财务总监（简历见前述董事介绍）</w:t>
      </w:r>
    </w:p>
    <w:p>
      <w:pPr>
        <w:pStyle w:val="BodyText"/>
        <w:spacing w:line="338" w:lineRule="auto"/>
        <w:ind w:left="139" w:right="232" w:firstLine="480"/>
        <w:jc w:val="both"/>
      </w:pPr>
      <w:r>
        <w:rPr/>
        <w:t>（</w:t>
      </w:r>
      <w:r>
        <w:rPr>
          <w:rFonts w:ascii="Times New Roman" w:hAnsi="Times New Roman" w:cs="Times New Roman" w:eastAsia="Times New Roman" w:hint="default"/>
        </w:rPr>
        <w:t>3</w:t>
      </w:r>
      <w:r>
        <w:rPr/>
        <w:t>）谭骅先生：男，</w:t>
      </w:r>
      <w:r>
        <w:rPr>
          <w:rFonts w:ascii="Times New Roman" w:hAnsi="Times New Roman" w:cs="Times New Roman" w:eastAsia="Times New Roman" w:hint="default"/>
        </w:rPr>
        <w:t>1972</w:t>
      </w:r>
      <w:r>
        <w:rPr/>
        <w:t>年生，武汉大学工商管理硕士，经济师。</w:t>
      </w:r>
      <w:r>
        <w:rPr>
          <w:rFonts w:ascii="Times New Roman" w:hAnsi="Times New Roman" w:cs="Times New Roman" w:eastAsia="Times New Roman" w:hint="default"/>
        </w:rPr>
        <w:t>1995</w:t>
      </w:r>
      <w:r>
        <w:rPr/>
        <w:t>年</w:t>
      </w:r>
      <w:r>
        <w:rPr>
          <w:rFonts w:ascii="Times New Roman" w:hAnsi="Times New Roman" w:cs="Times New Roman" w:eastAsia="Times New Roman" w:hint="default"/>
        </w:rPr>
        <w:t>7</w:t>
      </w:r>
      <w:r>
        <w:rPr/>
        <w:t>月 至</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4</w:t>
      </w:r>
      <w:r>
        <w:rPr/>
        <w:t>月任职于中国农业银行广州市分行。</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5</w:t>
      </w:r>
      <w:r>
        <w:rPr/>
        <w:t>月加入公司，现任公司副总</w:t>
      </w:r>
      <w:r>
        <w:rPr>
          <w:spacing w:val="-84"/>
        </w:rPr>
        <w:t> </w:t>
      </w:r>
      <w:r>
        <w:rPr/>
        <w:t>经理、董事会秘书。</w:t>
      </w:r>
    </w:p>
    <w:p>
      <w:pPr>
        <w:pStyle w:val="BodyText"/>
        <w:spacing w:line="348" w:lineRule="auto" w:before="55"/>
        <w:ind w:right="230" w:firstLine="480"/>
        <w:jc w:val="both"/>
      </w:pPr>
      <w:r>
        <w:rPr>
          <w:spacing w:val="-2"/>
        </w:rPr>
        <w:t>（</w:t>
      </w:r>
      <w:r>
        <w:rPr>
          <w:rFonts w:ascii="Times New Roman" w:hAnsi="Times New Roman" w:cs="Times New Roman" w:eastAsia="Times New Roman" w:hint="default"/>
          <w:spacing w:val="-2"/>
        </w:rPr>
        <w:t>4</w:t>
      </w:r>
      <w:r>
        <w:rPr>
          <w:spacing w:val="-2"/>
        </w:rPr>
        <w:t>）高永坚先生：男，</w:t>
      </w:r>
      <w:r>
        <w:rPr>
          <w:rFonts w:ascii="Times New Roman" w:hAnsi="Times New Roman" w:cs="Times New Roman" w:eastAsia="Times New Roman" w:hint="default"/>
          <w:spacing w:val="-2"/>
        </w:rPr>
        <w:t>1968</w:t>
      </w:r>
      <w:r>
        <w:rPr>
          <w:spacing w:val="-2"/>
        </w:rPr>
        <w:t>年生，研究生学历，曾在广州石油化工总厂、君兰</w:t>
      </w:r>
      <w:r>
        <w:rPr/>
        <w:t> 国际高尔夫发展有限公司、广州德杏苑健康发展有限公司等单位任职，历任市场经</w:t>
      </w:r>
      <w:r>
        <w:rPr>
          <w:spacing w:val="-84"/>
        </w:rPr>
        <w:t> </w:t>
      </w:r>
      <w:r>
        <w:rPr>
          <w:spacing w:val="-84"/>
        </w:rPr>
      </w:r>
      <w:r>
        <w:rPr/>
        <w:t>理助理、销售部经理、市场部经理等职务，</w:t>
      </w:r>
      <w:r>
        <w:rPr>
          <w:rFonts w:ascii="Times New Roman" w:hAnsi="Times New Roman" w:cs="Times New Roman" w:eastAsia="Times New Roman" w:hint="default"/>
        </w:rPr>
        <w:t>2001</w:t>
      </w:r>
      <w:r>
        <w:rPr/>
        <w:t>年加入公司，现任公司副总经理。</w:t>
      </w:r>
    </w:p>
    <w:p>
      <w:pPr>
        <w:pStyle w:val="BodyText"/>
        <w:spacing w:line="338" w:lineRule="auto" w:before="16"/>
        <w:ind w:right="104" w:firstLine="480"/>
        <w:jc w:val="left"/>
      </w:pPr>
      <w:r>
        <w:rPr/>
        <w:t>（</w:t>
      </w:r>
      <w:r>
        <w:rPr>
          <w:rFonts w:ascii="Times New Roman" w:hAnsi="Times New Roman" w:cs="Times New Roman" w:eastAsia="Times New Roman" w:hint="default"/>
        </w:rPr>
        <w:t>5</w:t>
      </w:r>
      <w:r>
        <w:rPr/>
        <w:t>）庞泰松先生：男，</w:t>
      </w:r>
      <w:r>
        <w:rPr>
          <w:rFonts w:ascii="Times New Roman" w:hAnsi="Times New Roman" w:cs="Times New Roman" w:eastAsia="Times New Roman" w:hint="default"/>
        </w:rPr>
        <w:t>1971</w:t>
      </w:r>
      <w:r>
        <w:rPr/>
        <w:t>年生，本科学历，加拿大国籍，曾在广州东方宝龙 </w:t>
      </w:r>
      <w:r>
        <w:rPr>
          <w:spacing w:val="-4"/>
        </w:rPr>
        <w:t>特种汽车股份有限公司、多伦多</w:t>
      </w:r>
      <w:r>
        <w:rPr>
          <w:rFonts w:ascii="Times New Roman" w:hAnsi="Times New Roman" w:cs="Times New Roman" w:eastAsia="Times New Roman" w:hint="default"/>
          <w:spacing w:val="-4"/>
        </w:rPr>
        <w:t>PC24</w:t>
      </w:r>
      <w:r>
        <w:rPr>
          <w:rFonts w:ascii="Times New Roman" w:hAnsi="Times New Roman" w:cs="Times New Roman" w:eastAsia="Times New Roman" w:hint="default"/>
          <w:spacing w:val="-1"/>
        </w:rPr>
        <w:t> </w:t>
      </w:r>
      <w:r>
        <w:rPr>
          <w:rFonts w:ascii="Times New Roman" w:hAnsi="Times New Roman" w:cs="Times New Roman" w:eastAsia="Times New Roman" w:hint="default"/>
          <w:spacing w:val="-3"/>
        </w:rPr>
        <w:t>Company</w:t>
      </w:r>
      <w:r>
        <w:rPr>
          <w:spacing w:val="-3"/>
        </w:rPr>
        <w:t>、多伦多</w:t>
      </w:r>
      <w:r>
        <w:rPr>
          <w:rFonts w:ascii="Times New Roman" w:hAnsi="Times New Roman" w:cs="Times New Roman" w:eastAsia="Times New Roman" w:hint="default"/>
          <w:spacing w:val="-3"/>
        </w:rPr>
        <w:t>ROADSPORT</w:t>
      </w:r>
      <w:r>
        <w:rPr>
          <w:spacing w:val="-3"/>
        </w:rPr>
        <w:t>本田车行工作，</w:t>
      </w:r>
    </w:p>
    <w:p>
      <w:pPr>
        <w:spacing w:after="0" w:line="338" w:lineRule="auto"/>
        <w:jc w:val="left"/>
        <w:sectPr>
          <w:pgSz w:w="11910" w:h="16840"/>
          <w:pgMar w:header="877" w:footer="1048" w:top="1100" w:bottom="1240" w:left="1660" w:right="1180"/>
        </w:sectPr>
      </w:pPr>
    </w:p>
    <w:p>
      <w:pPr>
        <w:spacing w:line="240" w:lineRule="auto" w:before="7"/>
        <w:rPr>
          <w:rFonts w:ascii="宋体" w:hAnsi="宋体" w:cs="宋体" w:eastAsia="宋体" w:hint="default"/>
          <w:sz w:val="25"/>
          <w:szCs w:val="25"/>
        </w:rPr>
      </w:pPr>
    </w:p>
    <w:p>
      <w:pPr>
        <w:pStyle w:val="BodyText"/>
        <w:spacing w:line="240" w:lineRule="auto" w:before="26"/>
        <w:ind w:left="220" w:right="156"/>
        <w:jc w:val="left"/>
      </w:pPr>
      <w:r>
        <w:rPr>
          <w:rFonts w:ascii="Times New Roman" w:hAnsi="Times New Roman" w:cs="Times New Roman" w:eastAsia="Times New Roman" w:hint="default"/>
        </w:rPr>
        <w:t>2011</w:t>
      </w:r>
      <w:r>
        <w:rPr/>
        <w:t>年加入公司，现任公司副总经理。</w:t>
      </w:r>
    </w:p>
    <w:p>
      <w:pPr>
        <w:pStyle w:val="BodyText"/>
        <w:spacing w:line="338" w:lineRule="auto"/>
        <w:ind w:left="220" w:right="173" w:firstLine="480"/>
        <w:jc w:val="both"/>
      </w:pPr>
      <w:r>
        <w:rPr>
          <w:spacing w:val="-2"/>
        </w:rPr>
        <w:t>（</w:t>
      </w:r>
      <w:r>
        <w:rPr>
          <w:rFonts w:ascii="Times New Roman" w:hAnsi="Times New Roman" w:cs="Times New Roman" w:eastAsia="Times New Roman" w:hint="default"/>
          <w:spacing w:val="-2"/>
        </w:rPr>
        <w:t>6</w:t>
      </w:r>
      <w:r>
        <w:rPr>
          <w:spacing w:val="-2"/>
        </w:rPr>
        <w:t>）徐德银先生：男，</w:t>
      </w:r>
      <w:r>
        <w:rPr>
          <w:rFonts w:ascii="Times New Roman" w:hAnsi="Times New Roman" w:cs="Times New Roman" w:eastAsia="Times New Roman" w:hint="default"/>
          <w:spacing w:val="-2"/>
        </w:rPr>
        <w:t>1976</w:t>
      </w:r>
      <w:r>
        <w:rPr>
          <w:spacing w:val="-2"/>
        </w:rPr>
        <w:t>年生，本科。</w:t>
      </w:r>
      <w:r>
        <w:rPr>
          <w:rFonts w:ascii="Times New Roman" w:hAnsi="Times New Roman" w:cs="Times New Roman" w:eastAsia="Times New Roman" w:hint="default"/>
          <w:spacing w:val="-2"/>
        </w:rPr>
        <w:t>1998</w:t>
      </w:r>
      <w:r>
        <w:rPr>
          <w:spacing w:val="-2"/>
        </w:rPr>
        <w:t>年</w:t>
      </w:r>
      <w:r>
        <w:rPr>
          <w:rFonts w:ascii="Times New Roman" w:hAnsi="Times New Roman" w:cs="Times New Roman" w:eastAsia="Times New Roman" w:hint="default"/>
          <w:spacing w:val="-2"/>
        </w:rPr>
        <w:t>7</w:t>
      </w:r>
      <w:r>
        <w:rPr>
          <w:spacing w:val="-2"/>
        </w:rPr>
        <w:t>月至</w:t>
      </w:r>
      <w:r>
        <w:rPr>
          <w:rFonts w:ascii="Times New Roman" w:hAnsi="Times New Roman" w:cs="Times New Roman" w:eastAsia="Times New Roman" w:hint="default"/>
          <w:spacing w:val="-2"/>
        </w:rPr>
        <w:t>1999</w:t>
      </w:r>
      <w:r>
        <w:rPr>
          <w:spacing w:val="-2"/>
        </w:rPr>
        <w:t>年</w:t>
      </w:r>
      <w:r>
        <w:rPr>
          <w:rFonts w:ascii="Times New Roman" w:hAnsi="Times New Roman" w:cs="Times New Roman" w:eastAsia="Times New Roman" w:hint="default"/>
          <w:spacing w:val="-2"/>
        </w:rPr>
        <w:t>5</w:t>
      </w:r>
      <w:r>
        <w:rPr>
          <w:spacing w:val="-2"/>
        </w:rPr>
        <w:t>月任职于雅思商</w:t>
      </w:r>
      <w:r>
        <w:rPr/>
        <w:t> 务；</w:t>
      </w:r>
      <w:r>
        <w:rPr>
          <w:rFonts w:ascii="Times New Roman" w:hAnsi="Times New Roman" w:cs="Times New Roman" w:eastAsia="Times New Roman" w:hint="default"/>
        </w:rPr>
        <w:t>1999</w:t>
      </w:r>
      <w:r>
        <w:rPr/>
        <w:t>年</w:t>
      </w:r>
      <w:r>
        <w:rPr>
          <w:rFonts w:ascii="Times New Roman" w:hAnsi="Times New Roman" w:cs="Times New Roman" w:eastAsia="Times New Roman" w:hint="default"/>
        </w:rPr>
        <w:t>6</w:t>
      </w:r>
      <w:r>
        <w:rPr/>
        <w:t>月至</w:t>
      </w:r>
      <w:r>
        <w:rPr>
          <w:rFonts w:ascii="Times New Roman" w:hAnsi="Times New Roman" w:cs="Times New Roman" w:eastAsia="Times New Roman" w:hint="default"/>
        </w:rPr>
        <w:t>2006</w:t>
      </w:r>
      <w:r>
        <w:rPr/>
        <w:t>年</w:t>
      </w:r>
      <w:r>
        <w:rPr>
          <w:rFonts w:ascii="Times New Roman" w:hAnsi="Times New Roman" w:cs="Times New Roman" w:eastAsia="Times New Roman" w:hint="default"/>
        </w:rPr>
        <w:t>2</w:t>
      </w:r>
      <w:r>
        <w:rPr/>
        <w:t>月任职于广东金宇恒科技有限公司，担任研发中心经理。</w:t>
      </w:r>
      <w:r>
        <w:rPr>
          <w:spacing w:val="-84"/>
        </w:rPr>
        <w:t> </w:t>
      </w:r>
      <w:r>
        <w:rPr>
          <w:rFonts w:ascii="Times New Roman" w:hAnsi="Times New Roman" w:cs="Times New Roman" w:eastAsia="Times New Roman" w:hint="default"/>
          <w:spacing w:val="-2"/>
        </w:rPr>
        <w:t>2006</w:t>
      </w:r>
      <w:r>
        <w:rPr>
          <w:spacing w:val="-2"/>
        </w:rPr>
        <w:t>年</w:t>
      </w:r>
      <w:r>
        <w:rPr>
          <w:rFonts w:ascii="Times New Roman" w:hAnsi="Times New Roman" w:cs="Times New Roman" w:eastAsia="Times New Roman" w:hint="default"/>
          <w:spacing w:val="-2"/>
        </w:rPr>
        <w:t>3</w:t>
      </w:r>
      <w:r>
        <w:rPr>
          <w:spacing w:val="-2"/>
        </w:rPr>
        <w:t>月加入公司，历任公司软件品管部经理、软件总监，现任公司软件总监、客</w:t>
      </w:r>
      <w:r>
        <w:rPr>
          <w:spacing w:val="-113"/>
        </w:rPr>
        <w:t> </w:t>
      </w:r>
      <w:r>
        <w:rPr>
          <w:spacing w:val="-113"/>
        </w:rPr>
      </w:r>
      <w:r>
        <w:rPr/>
        <w:t>户服务总监，</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18</w:t>
      </w:r>
      <w:r>
        <w:rPr/>
        <w:t>日聘为公司副总经理。</w:t>
      </w:r>
    </w:p>
    <w:p>
      <w:pPr>
        <w:pStyle w:val="BodyText"/>
        <w:spacing w:line="338" w:lineRule="auto" w:before="27"/>
        <w:ind w:left="220" w:right="102" w:firstLine="480"/>
        <w:jc w:val="both"/>
      </w:pPr>
      <w:r>
        <w:rPr/>
        <w:t>（</w:t>
      </w:r>
      <w:r>
        <w:rPr>
          <w:rFonts w:ascii="Times New Roman" w:hAnsi="Times New Roman" w:cs="Times New Roman" w:eastAsia="Times New Roman" w:hint="default"/>
        </w:rPr>
        <w:t>7</w:t>
      </w:r>
      <w:r>
        <w:rPr/>
        <w:t>）郑蕾女士：公司副总经理、董事会秘书（离任），</w:t>
      </w:r>
      <w:r>
        <w:rPr>
          <w:rFonts w:ascii="Times New Roman" w:hAnsi="Times New Roman" w:cs="Times New Roman" w:eastAsia="Times New Roman" w:hint="default"/>
        </w:rPr>
        <w:t>1978</w:t>
      </w:r>
      <w:r>
        <w:rPr/>
        <w:t>年生，本科学历， 会计师。</w:t>
      </w:r>
      <w:r>
        <w:rPr>
          <w:rFonts w:ascii="Times New Roman" w:hAnsi="Times New Roman" w:cs="Times New Roman" w:eastAsia="Times New Roman" w:hint="default"/>
        </w:rPr>
        <w:t>1999</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2004</w:t>
      </w:r>
      <w:r>
        <w:rPr/>
        <w:t>年</w:t>
      </w:r>
      <w:r>
        <w:rPr>
          <w:rFonts w:ascii="Times New Roman" w:hAnsi="Times New Roman" w:cs="Times New Roman" w:eastAsia="Times New Roman" w:hint="default"/>
        </w:rPr>
        <w:t>3</w:t>
      </w:r>
      <w:r>
        <w:rPr/>
        <w:t>月任广东风华高新科技股份有限公司总部主管。</w:t>
      </w:r>
      <w:r>
        <w:rPr>
          <w:rFonts w:ascii="Times New Roman" w:hAnsi="Times New Roman" w:cs="Times New Roman" w:eastAsia="Times New Roman" w:hint="default"/>
        </w:rPr>
        <w:t>2004</w:t>
      </w:r>
      <w:r>
        <w:rPr>
          <w:rFonts w:ascii="Times New Roman" w:hAnsi="Times New Roman" w:cs="Times New Roman" w:eastAsia="Times New Roman" w:hint="default"/>
          <w:spacing w:val="-28"/>
        </w:rPr>
        <w:t> </w:t>
      </w:r>
      <w:r>
        <w:rPr/>
        <w:t>年</w:t>
      </w:r>
      <w:r>
        <w:rPr>
          <w:rFonts w:ascii="Times New Roman" w:hAnsi="Times New Roman" w:cs="Times New Roman" w:eastAsia="Times New Roman" w:hint="default"/>
        </w:rPr>
        <w:t>4</w:t>
      </w:r>
      <w:r>
        <w:rPr/>
        <w:t>月加入公司。</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30</w:t>
      </w:r>
      <w:r>
        <w:rPr/>
        <w:t>日辞去公司副总经理、董事会秘书职务。</w:t>
      </w:r>
    </w:p>
    <w:p>
      <w:pPr>
        <w:pStyle w:val="BodyText"/>
        <w:spacing w:line="338" w:lineRule="auto" w:before="27"/>
        <w:ind w:left="220" w:right="174" w:firstLine="480"/>
        <w:jc w:val="both"/>
      </w:pPr>
      <w:r>
        <w:rPr/>
        <w:t>（</w:t>
      </w:r>
      <w:r>
        <w:rPr>
          <w:rFonts w:ascii="Times New Roman" w:hAnsi="Times New Roman" w:cs="Times New Roman" w:eastAsia="Times New Roman" w:hint="default"/>
        </w:rPr>
        <w:t>8</w:t>
      </w:r>
      <w:r>
        <w:rPr/>
        <w:t>）吴宁先生：公司总经理（离任，简历见前述董事介绍），</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18</w:t>
      </w:r>
      <w:r>
        <w:rPr/>
        <w:t>日 辞去公司总经理职务。</w:t>
      </w:r>
    </w:p>
    <w:p>
      <w:pPr>
        <w:spacing w:line="240" w:lineRule="auto" w:before="0"/>
        <w:rPr>
          <w:rFonts w:ascii="宋体" w:hAnsi="宋体" w:cs="宋体" w:eastAsia="宋体" w:hint="default"/>
          <w:sz w:val="24"/>
          <w:szCs w:val="24"/>
        </w:rPr>
      </w:pPr>
    </w:p>
    <w:p>
      <w:pPr>
        <w:pStyle w:val="BodyText"/>
        <w:spacing w:line="240" w:lineRule="auto" w:before="209"/>
        <w:ind w:left="700" w:right="156"/>
        <w:jc w:val="left"/>
      </w:pPr>
      <w:r>
        <w:rPr/>
        <w:t>（二）公司董事、监事、高级管理人员在其他单位的任职情况</w:t>
      </w:r>
    </w:p>
    <w:p>
      <w:pPr>
        <w:spacing w:line="240" w:lineRule="auto" w:before="8"/>
        <w:rPr>
          <w:rFonts w:ascii="宋体" w:hAnsi="宋体" w:cs="宋体" w:eastAsia="宋体" w:hint="default"/>
          <w:sz w:val="20"/>
          <w:szCs w:val="20"/>
        </w:rPr>
      </w:pPr>
    </w:p>
    <w:tbl>
      <w:tblPr>
        <w:tblW w:w="0" w:type="auto"/>
        <w:jc w:val="left"/>
        <w:tblInd w:w="107" w:type="dxa"/>
        <w:tblLayout w:type="fixed"/>
        <w:tblCellMar>
          <w:top w:w="0" w:type="dxa"/>
          <w:left w:w="0" w:type="dxa"/>
          <w:bottom w:w="0" w:type="dxa"/>
          <w:right w:w="0" w:type="dxa"/>
        </w:tblCellMar>
        <w:tblLook w:val="01E0"/>
      </w:tblPr>
      <w:tblGrid>
        <w:gridCol w:w="828"/>
        <w:gridCol w:w="3108"/>
        <w:gridCol w:w="2160"/>
        <w:gridCol w:w="2700"/>
      </w:tblGrid>
      <w:tr>
        <w:trPr>
          <w:trHeight w:val="330" w:hRule="exact"/>
        </w:trPr>
        <w:tc>
          <w:tcPr>
            <w:tcW w:w="82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310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兼职单位</w:t>
            </w:r>
          </w:p>
        </w:tc>
        <w:tc>
          <w:tcPr>
            <w:tcW w:w="21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担任职务</w:t>
            </w:r>
          </w:p>
        </w:tc>
        <w:tc>
          <w:tcPr>
            <w:tcW w:w="27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兼职单位与本公司的关联关系</w:t>
            </w:r>
          </w:p>
        </w:tc>
      </w:tr>
      <w:tr>
        <w:trPr>
          <w:trHeight w:val="330" w:hRule="exact"/>
        </w:trPr>
        <w:tc>
          <w:tcPr>
            <w:tcW w:w="82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39" w:right="0"/>
              <w:jc w:val="left"/>
              <w:rPr>
                <w:rFonts w:ascii="宋体" w:hAnsi="宋体" w:cs="宋体" w:eastAsia="宋体" w:hint="default"/>
                <w:sz w:val="18"/>
                <w:szCs w:val="18"/>
              </w:rPr>
            </w:pPr>
            <w:r>
              <w:rPr>
                <w:rFonts w:ascii="宋体" w:hAnsi="宋体" w:cs="宋体" w:eastAsia="宋体" w:hint="default"/>
                <w:sz w:val="18"/>
                <w:szCs w:val="18"/>
              </w:rPr>
              <w:t>吴  宁</w:t>
            </w:r>
          </w:p>
        </w:tc>
        <w:tc>
          <w:tcPr>
            <w:tcW w:w="3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广州御新软件有限公司</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法定代表人兼执行董事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控股子公司</w:t>
            </w:r>
          </w:p>
        </w:tc>
      </w:tr>
      <w:tr>
        <w:trPr>
          <w:trHeight w:val="330" w:hRule="exact"/>
        </w:trPr>
        <w:tc>
          <w:tcPr>
            <w:tcW w:w="828" w:type="dxa"/>
            <w:vMerge/>
            <w:tcBorders>
              <w:left w:val="single" w:sz="4" w:space="0" w:color="000000"/>
              <w:bottom w:val="single" w:sz="4" w:space="0" w:color="000000"/>
              <w:right w:val="single" w:sz="4" w:space="0" w:color="000000"/>
            </w:tcBorders>
          </w:tcPr>
          <w:p>
            <w:pPr/>
          </w:p>
        </w:tc>
        <w:tc>
          <w:tcPr>
            <w:tcW w:w="3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广州御银自动柜员机技术有限公司</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法定代表人兼执行董事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控股子公司</w:t>
            </w:r>
          </w:p>
        </w:tc>
      </w:tr>
      <w:tr>
        <w:trPr>
          <w:trHeight w:val="330" w:hRule="exact"/>
        </w:trPr>
        <w:tc>
          <w:tcPr>
            <w:tcW w:w="82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39" w:right="0"/>
              <w:jc w:val="left"/>
              <w:rPr>
                <w:rFonts w:ascii="宋体" w:hAnsi="宋体" w:cs="宋体" w:eastAsia="宋体" w:hint="default"/>
                <w:sz w:val="18"/>
                <w:szCs w:val="18"/>
              </w:rPr>
            </w:pPr>
            <w:r>
              <w:rPr>
                <w:rFonts w:ascii="宋体" w:hAnsi="宋体" w:cs="宋体" w:eastAsia="宋体" w:hint="default"/>
                <w:sz w:val="18"/>
                <w:szCs w:val="18"/>
              </w:rPr>
              <w:t>石本仁</w:t>
            </w:r>
          </w:p>
        </w:tc>
        <w:tc>
          <w:tcPr>
            <w:tcW w:w="3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暨南大学</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教授</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30" w:hRule="exact"/>
        </w:trPr>
        <w:tc>
          <w:tcPr>
            <w:tcW w:w="828" w:type="dxa"/>
            <w:vMerge/>
            <w:tcBorders>
              <w:left w:val="single" w:sz="4" w:space="0" w:color="000000"/>
              <w:bottom w:val="single" w:sz="4" w:space="0" w:color="000000"/>
              <w:right w:val="single" w:sz="4" w:space="0" w:color="000000"/>
            </w:tcBorders>
          </w:tcPr>
          <w:p>
            <w:pPr/>
          </w:p>
        </w:tc>
        <w:tc>
          <w:tcPr>
            <w:tcW w:w="3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广州发展实业控股集团股份有限公司</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30" w:hRule="exact"/>
        </w:trPr>
        <w:tc>
          <w:tcPr>
            <w:tcW w:w="82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39" w:right="0"/>
              <w:jc w:val="left"/>
              <w:rPr>
                <w:rFonts w:ascii="宋体" w:hAnsi="宋体" w:cs="宋体" w:eastAsia="宋体" w:hint="default"/>
                <w:sz w:val="18"/>
                <w:szCs w:val="18"/>
              </w:rPr>
            </w:pPr>
            <w:r>
              <w:rPr>
                <w:rFonts w:ascii="宋体" w:hAnsi="宋体" w:cs="宋体" w:eastAsia="宋体" w:hint="default"/>
                <w:sz w:val="18"/>
                <w:szCs w:val="18"/>
              </w:rPr>
              <w:t>张  华</w:t>
            </w:r>
          </w:p>
        </w:tc>
        <w:tc>
          <w:tcPr>
            <w:tcW w:w="3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广州市英智财华投资有限公司</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30" w:hRule="exact"/>
        </w:trPr>
        <w:tc>
          <w:tcPr>
            <w:tcW w:w="828" w:type="dxa"/>
            <w:vMerge/>
            <w:tcBorders>
              <w:left w:val="single" w:sz="4" w:space="0" w:color="000000"/>
              <w:bottom w:val="single" w:sz="4" w:space="0" w:color="000000"/>
              <w:right w:val="single" w:sz="4" w:space="0" w:color="000000"/>
            </w:tcBorders>
          </w:tcPr>
          <w:p>
            <w:pPr/>
          </w:p>
        </w:tc>
        <w:tc>
          <w:tcPr>
            <w:tcW w:w="3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广东电力发展股份有限公司</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30"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王志杰</w:t>
            </w:r>
          </w:p>
        </w:tc>
        <w:tc>
          <w:tcPr>
            <w:tcW w:w="3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广州御银先端电子科技有限公司</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法定代表人兼执行董事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控股子公司</w:t>
            </w:r>
          </w:p>
        </w:tc>
      </w:tr>
      <w:tr>
        <w:trPr>
          <w:trHeight w:val="330" w:hRule="exact"/>
        </w:trPr>
        <w:tc>
          <w:tcPr>
            <w:tcW w:w="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谭  骅</w:t>
            </w:r>
          </w:p>
        </w:tc>
        <w:tc>
          <w:tcPr>
            <w:tcW w:w="3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广州花都稠州村镇银行股份有限公司</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参股公司</w:t>
            </w:r>
          </w:p>
        </w:tc>
      </w:tr>
    </w:tbl>
    <w:p>
      <w:pPr>
        <w:spacing w:line="240" w:lineRule="auto" w:before="12"/>
        <w:rPr>
          <w:rFonts w:ascii="宋体" w:hAnsi="宋体" w:cs="宋体" w:eastAsia="宋体" w:hint="default"/>
          <w:sz w:val="24"/>
          <w:szCs w:val="24"/>
        </w:rPr>
      </w:pPr>
    </w:p>
    <w:p>
      <w:pPr>
        <w:pStyle w:val="BodyText"/>
        <w:spacing w:line="357" w:lineRule="auto" w:before="26"/>
        <w:ind w:left="700" w:right="156"/>
        <w:jc w:val="left"/>
      </w:pPr>
      <w:r>
        <w:rPr/>
        <w:t>三、董事、监事、高级管理人员年度报酬情况 在公司任职的内部董事、监事和高级管理人员按其行政岗位及职务，根据公司</w:t>
      </w:r>
    </w:p>
    <w:p>
      <w:pPr>
        <w:pStyle w:val="BodyText"/>
        <w:spacing w:line="350" w:lineRule="auto" w:before="36"/>
        <w:ind w:left="220" w:right="115"/>
        <w:jc w:val="both"/>
      </w:pPr>
      <w:r>
        <w:rPr/>
        <w:t>现行的工资制度领取薪酬，高级管理人员实行年薪制，年薪与年度经营指标完成情</w:t>
      </w:r>
      <w:r>
        <w:rPr>
          <w:spacing w:val="-84"/>
        </w:rPr>
        <w:t> </w:t>
      </w:r>
      <w:r>
        <w:rPr>
          <w:spacing w:val="-84"/>
        </w:rPr>
      </w:r>
      <w:r>
        <w:rPr/>
        <w:t>况挂钩。经公司董事会、股东大会审议批准，公司独立董事津贴为</w:t>
      </w:r>
      <w:r>
        <w:rPr>
          <w:rFonts w:ascii="Times New Roman" w:hAnsi="Times New Roman" w:cs="Times New Roman" w:eastAsia="Times New Roman" w:hint="default"/>
        </w:rPr>
        <w:t>6</w:t>
      </w:r>
      <w:r>
        <w:rPr/>
        <w:t>万元</w:t>
      </w:r>
      <w:r>
        <w:rPr>
          <w:rFonts w:ascii="Times New Roman" w:hAnsi="Times New Roman" w:cs="Times New Roman" w:eastAsia="Times New Roman" w:hint="default"/>
        </w:rPr>
        <w:t>/</w:t>
      </w:r>
      <w:r>
        <w:rPr/>
        <w:t>年</w:t>
      </w:r>
      <w:r>
        <w:rPr>
          <w:rFonts w:ascii="Times New Roman" w:hAnsi="Times New Roman" w:cs="Times New Roman" w:eastAsia="Times New Roman" w:hint="default"/>
        </w:rPr>
        <w:t>(</w:t>
      </w:r>
      <w:r>
        <w:rPr/>
        <w:t>税前</w:t>
      </w:r>
      <w:r>
        <w:rPr>
          <w:rFonts w:ascii="Times New Roman" w:hAnsi="Times New Roman" w:cs="Times New Roman" w:eastAsia="Times New Roman" w:hint="default"/>
        </w:rPr>
        <w:t>)</w:t>
      </w:r>
      <w:r>
        <w:rPr/>
        <w:t>， 独立董事津贴均按具体任职时间及规定发放。董事、监事、高级管理人员为参加会</w:t>
      </w:r>
      <w:r>
        <w:rPr>
          <w:spacing w:val="-84"/>
        </w:rPr>
        <w:t> </w:t>
      </w:r>
      <w:r>
        <w:rPr>
          <w:spacing w:val="-84"/>
        </w:rPr>
      </w:r>
      <w:r>
        <w:rPr/>
        <w:t>议发生的差旅费、办公费等履职费用由公司承担。</w:t>
      </w:r>
    </w:p>
    <w:p>
      <w:pPr>
        <w:spacing w:line="240" w:lineRule="auto" w:before="0"/>
        <w:rPr>
          <w:rFonts w:ascii="宋体" w:hAnsi="宋体" w:cs="宋体" w:eastAsia="宋体" w:hint="default"/>
          <w:sz w:val="24"/>
          <w:szCs w:val="24"/>
        </w:rPr>
      </w:pPr>
    </w:p>
    <w:p>
      <w:pPr>
        <w:pStyle w:val="BodyText"/>
        <w:spacing w:line="357" w:lineRule="auto" w:before="197"/>
        <w:ind w:left="700" w:right="156"/>
        <w:jc w:val="left"/>
      </w:pPr>
      <w:r>
        <w:rPr/>
        <w:t>四、报告期内被选举或离任的董事、监事、高级管理人员的变动情况 郑蕾女士于</w:t>
      </w:r>
      <w:r>
        <w:rPr>
          <w:spacing w:val="-52"/>
        </w:rPr>
        <w:t> </w:t>
      </w:r>
      <w:r>
        <w:rPr>
          <w:rFonts w:ascii="Times New Roman" w:hAnsi="Times New Roman" w:cs="Times New Roman" w:eastAsia="Times New Roman" w:hint="default"/>
        </w:rPr>
        <w:t>2011</w:t>
      </w:r>
      <w:r>
        <w:rPr>
          <w:rFonts w:ascii="Times New Roman" w:hAnsi="Times New Roman" w:cs="Times New Roman" w:eastAsia="Times New Roman" w:hint="default"/>
          <w:spacing w:val="8"/>
        </w:rPr>
        <w:t> </w:t>
      </w:r>
      <w:r>
        <w:rPr/>
        <w:t>年</w:t>
      </w:r>
      <w:r>
        <w:rPr>
          <w:spacing w:val="-52"/>
        </w:rPr>
        <w:t> </w:t>
      </w:r>
      <w:r>
        <w:rPr>
          <w:rFonts w:ascii="Times New Roman" w:hAnsi="Times New Roman" w:cs="Times New Roman" w:eastAsia="Times New Roman" w:hint="default"/>
        </w:rPr>
        <w:t>5</w:t>
      </w:r>
      <w:r>
        <w:rPr>
          <w:rFonts w:ascii="Times New Roman" w:hAnsi="Times New Roman" w:cs="Times New Roman" w:eastAsia="Times New Roman" w:hint="default"/>
          <w:spacing w:val="8"/>
        </w:rPr>
        <w:t> </w:t>
      </w:r>
      <w:r>
        <w:rPr/>
        <w:t>月</w:t>
      </w:r>
      <w:r>
        <w:rPr>
          <w:spacing w:val="-52"/>
        </w:rPr>
        <w:t> </w:t>
      </w:r>
      <w:r>
        <w:rPr>
          <w:rFonts w:ascii="Times New Roman" w:hAnsi="Times New Roman" w:cs="Times New Roman" w:eastAsia="Times New Roman" w:hint="default"/>
        </w:rPr>
        <w:t>30</w:t>
      </w:r>
      <w:r>
        <w:rPr>
          <w:rFonts w:ascii="Times New Roman" w:hAnsi="Times New Roman" w:cs="Times New Roman" w:eastAsia="Times New Roman" w:hint="default"/>
          <w:spacing w:val="8"/>
        </w:rPr>
        <w:t> </w:t>
      </w:r>
      <w:r>
        <w:rPr/>
        <w:t>日正式辞去公司副总经理、董事会秘书职务，经公</w:t>
      </w:r>
    </w:p>
    <w:p>
      <w:pPr>
        <w:pStyle w:val="BodyText"/>
        <w:spacing w:line="240" w:lineRule="auto" w:before="5"/>
        <w:ind w:left="219" w:right="0"/>
        <w:jc w:val="both"/>
      </w:pPr>
      <w:r>
        <w:rPr/>
        <w:t>司 </w:t>
      </w:r>
      <w:r>
        <w:rPr>
          <w:rFonts w:ascii="Times New Roman" w:hAnsi="Times New Roman" w:cs="Times New Roman" w:eastAsia="Times New Roman" w:hint="default"/>
        </w:rPr>
        <w:t>2011</w:t>
      </w:r>
      <w:r>
        <w:rPr>
          <w:rFonts w:ascii="Times New Roman" w:hAnsi="Times New Roman" w:cs="Times New Roman" w:eastAsia="Times New Roman" w:hint="default"/>
          <w:spacing w:val="-31"/>
        </w:rPr>
        <w:t> </w:t>
      </w:r>
      <w:r>
        <w:rPr>
          <w:spacing w:val="-3"/>
        </w:rPr>
        <w:t>年第三届董事会第二十次会议审议通过聘任谭骅先生为公司副总经理、董事</w:t>
      </w:r>
    </w:p>
    <w:p>
      <w:pPr>
        <w:spacing w:after="0" w:line="240" w:lineRule="auto"/>
        <w:jc w:val="both"/>
        <w:sectPr>
          <w:pgSz w:w="11910" w:h="16840"/>
          <w:pgMar w:header="877" w:footer="1048" w:top="1100" w:bottom="1240" w:left="1580" w:right="1240"/>
        </w:sectPr>
      </w:pPr>
    </w:p>
    <w:p>
      <w:pPr>
        <w:spacing w:line="240" w:lineRule="auto" w:before="7"/>
        <w:rPr>
          <w:rFonts w:ascii="宋体" w:hAnsi="宋体" w:cs="宋体" w:eastAsia="宋体" w:hint="default"/>
          <w:sz w:val="25"/>
          <w:szCs w:val="25"/>
        </w:rPr>
      </w:pPr>
    </w:p>
    <w:p>
      <w:pPr>
        <w:pStyle w:val="BodyText"/>
        <w:spacing w:line="240" w:lineRule="auto" w:before="26"/>
        <w:ind w:right="0"/>
        <w:jc w:val="left"/>
      </w:pPr>
      <w:r>
        <w:rPr>
          <w:spacing w:val="-10"/>
        </w:rPr>
        <w:t>会秘书；经公司</w:t>
      </w:r>
      <w:r>
        <w:rPr>
          <w:spacing w:val="-60"/>
        </w:rPr>
        <w:t> </w:t>
      </w:r>
      <w:r>
        <w:rPr>
          <w:rFonts w:ascii="Times New Roman" w:hAnsi="Times New Roman" w:cs="Times New Roman" w:eastAsia="Times New Roman" w:hint="default"/>
        </w:rPr>
        <w:t>2011 </w:t>
      </w:r>
      <w:r>
        <w:rPr/>
        <w:t>年第三届董事会第二十次会议审议通过聘任王志杰先生为公司</w:t>
      </w:r>
    </w:p>
    <w:p>
      <w:pPr>
        <w:pStyle w:val="BodyText"/>
        <w:spacing w:line="338" w:lineRule="auto"/>
        <w:ind w:left="139" w:right="157"/>
        <w:jc w:val="left"/>
      </w:pPr>
      <w:r>
        <w:rPr>
          <w:spacing w:val="-9"/>
        </w:rPr>
        <w:t>副总经理；经公司</w:t>
      </w:r>
      <w:r>
        <w:rPr>
          <w:spacing w:val="-60"/>
        </w:rPr>
        <w:t> </w:t>
      </w:r>
      <w:r>
        <w:rPr>
          <w:rFonts w:ascii="Times New Roman" w:hAnsi="Times New Roman" w:cs="Times New Roman" w:eastAsia="Times New Roman" w:hint="default"/>
        </w:rPr>
        <w:t>2011 </w:t>
      </w:r>
      <w:r>
        <w:rPr/>
        <w:t>年第三届董事会第二十次会议审议通过聘任高永坚先生为公 司副总经理。</w:t>
      </w:r>
    </w:p>
    <w:p>
      <w:pPr>
        <w:pStyle w:val="BodyText"/>
        <w:spacing w:line="338" w:lineRule="auto" w:before="55"/>
        <w:ind w:left="139" w:right="170" w:firstLine="480"/>
        <w:jc w:val="both"/>
      </w:pPr>
      <w:r>
        <w:rPr/>
        <w:t>经公司 </w:t>
      </w:r>
      <w:r>
        <w:rPr>
          <w:rFonts w:ascii="Times New Roman" w:hAnsi="Times New Roman" w:cs="Times New Roman" w:eastAsia="Times New Roman" w:hint="default"/>
        </w:rPr>
        <w:t>2011</w:t>
      </w:r>
      <w:r>
        <w:rPr>
          <w:rFonts w:ascii="Times New Roman" w:hAnsi="Times New Roman" w:cs="Times New Roman" w:eastAsia="Times New Roman" w:hint="default"/>
          <w:spacing w:val="28"/>
        </w:rPr>
        <w:t> </w:t>
      </w:r>
      <w:r>
        <w:rPr/>
        <w:t>年第三届董事会第二十八次会议审议通过聘任庞泰松先生为公司</w:t>
      </w:r>
      <w:r>
        <w:rPr>
          <w:spacing w:val="1"/>
        </w:rPr>
        <w:t> </w:t>
      </w:r>
      <w:r>
        <w:rPr/>
        <w:t>副总经理。</w:t>
      </w:r>
    </w:p>
    <w:p>
      <w:pPr>
        <w:pStyle w:val="BodyText"/>
        <w:spacing w:line="348" w:lineRule="auto" w:before="55"/>
        <w:ind w:right="170" w:firstLine="480"/>
        <w:jc w:val="both"/>
      </w:pPr>
      <w:r>
        <w:rPr>
          <w:spacing w:val="-2"/>
        </w:rPr>
        <w:t>吴宁先生于</w:t>
      </w: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18</w:t>
      </w:r>
      <w:r>
        <w:rPr>
          <w:spacing w:val="-2"/>
        </w:rPr>
        <w:t>日辞去公司总经理职务，经公司第三届董事会第二十九</w:t>
      </w:r>
      <w:r>
        <w:rPr/>
        <w:t> 次会议审议通过聘任杨文江先生为公司总经理；经公司第三届董事会第二十九次会</w:t>
      </w:r>
      <w:r>
        <w:rPr>
          <w:spacing w:val="-84"/>
        </w:rPr>
        <w:t> </w:t>
      </w:r>
      <w:r>
        <w:rPr>
          <w:spacing w:val="-84"/>
        </w:rPr>
      </w:r>
      <w:r>
        <w:rPr/>
        <w:t>议审议通过聘任徐德银先生为公司副总经理。</w:t>
      </w:r>
    </w:p>
    <w:p>
      <w:pPr>
        <w:spacing w:line="240" w:lineRule="auto" w:before="0"/>
        <w:rPr>
          <w:rFonts w:ascii="宋体" w:hAnsi="宋体" w:cs="宋体" w:eastAsia="宋体" w:hint="default"/>
          <w:sz w:val="24"/>
          <w:szCs w:val="24"/>
        </w:rPr>
      </w:pPr>
    </w:p>
    <w:p>
      <w:pPr>
        <w:pStyle w:val="BodyText"/>
        <w:spacing w:line="240" w:lineRule="auto" w:before="200"/>
        <w:ind w:left="620" w:right="0"/>
        <w:jc w:val="left"/>
      </w:pPr>
      <w:r>
        <w:rPr/>
        <w:t>五、公司员工情况</w:t>
      </w:r>
    </w:p>
    <w:p>
      <w:pPr>
        <w:pStyle w:val="BodyText"/>
        <w:spacing w:line="240" w:lineRule="auto" w:before="154"/>
        <w:ind w:left="620" w:right="0"/>
        <w:jc w:val="left"/>
      </w:pPr>
      <w:r>
        <w:rPr/>
        <w:t>（一）截止报告期末，公司在职员工为</w:t>
      </w:r>
      <w:r>
        <w:rPr>
          <w:rFonts w:ascii="Times New Roman" w:hAnsi="Times New Roman" w:cs="Times New Roman" w:eastAsia="Times New Roman" w:hint="default"/>
        </w:rPr>
        <w:t>434</w:t>
      </w:r>
      <w:r>
        <w:rPr/>
        <w:t>人，其专业、受教育程度分布如下：</w:t>
      </w:r>
    </w:p>
    <w:p>
      <w:pPr>
        <w:pStyle w:val="BodyText"/>
        <w:spacing w:line="240" w:lineRule="auto"/>
        <w:ind w:left="620" w:right="0"/>
        <w:jc w:val="left"/>
      </w:pPr>
      <w:r>
        <w:rPr>
          <w:rFonts w:ascii="Times New Roman" w:hAnsi="Times New Roman" w:cs="Times New Roman" w:eastAsia="Times New Roman" w:hint="default"/>
        </w:rPr>
        <w:t>1</w:t>
      </w:r>
      <w:r>
        <w:rPr/>
        <w:t>、专业构成情况</w:t>
      </w:r>
    </w:p>
    <w:p>
      <w:pPr>
        <w:spacing w:line="240" w:lineRule="auto" w:before="4"/>
        <w:rPr>
          <w:rFonts w:ascii="宋体" w:hAnsi="宋体" w:cs="宋体" w:eastAsia="宋体" w:hint="default"/>
          <w:sz w:val="7"/>
          <w:szCs w:val="7"/>
        </w:rPr>
      </w:pPr>
    </w:p>
    <w:tbl>
      <w:tblPr>
        <w:tblW w:w="0" w:type="auto"/>
        <w:jc w:val="left"/>
        <w:tblInd w:w="250" w:type="dxa"/>
        <w:tblLayout w:type="fixed"/>
        <w:tblCellMar>
          <w:top w:w="0" w:type="dxa"/>
          <w:left w:w="0" w:type="dxa"/>
          <w:bottom w:w="0" w:type="dxa"/>
          <w:right w:w="0" w:type="dxa"/>
        </w:tblCellMar>
        <w:tblLook w:val="01E0"/>
      </w:tblPr>
      <w:tblGrid>
        <w:gridCol w:w="2754"/>
        <w:gridCol w:w="2754"/>
        <w:gridCol w:w="2951"/>
      </w:tblGrid>
      <w:tr>
        <w:trPr>
          <w:trHeight w:val="330" w:hRule="exact"/>
        </w:trPr>
        <w:tc>
          <w:tcPr>
            <w:tcW w:w="275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010"/>
              <w:jc w:val="right"/>
              <w:rPr>
                <w:rFonts w:ascii="宋体" w:hAnsi="宋体" w:cs="宋体" w:eastAsia="宋体" w:hint="default"/>
                <w:sz w:val="18"/>
                <w:szCs w:val="18"/>
              </w:rPr>
            </w:pPr>
            <w:r>
              <w:rPr>
                <w:rFonts w:ascii="宋体" w:hAnsi="宋体" w:cs="宋体" w:eastAsia="宋体" w:hint="default"/>
                <w:sz w:val="18"/>
                <w:szCs w:val="18"/>
              </w:rPr>
              <w:t>专业构成</w:t>
            </w:r>
          </w:p>
        </w:tc>
        <w:tc>
          <w:tcPr>
            <w:tcW w:w="275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人数（人）</w:t>
            </w:r>
          </w:p>
        </w:tc>
        <w:tc>
          <w:tcPr>
            <w:tcW w:w="295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占员工总数比例（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30" w:hRule="exact"/>
        </w:trPr>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0"/>
              <w:jc w:val="right"/>
              <w:rPr>
                <w:rFonts w:ascii="宋体" w:hAnsi="宋体" w:cs="宋体" w:eastAsia="宋体" w:hint="default"/>
                <w:sz w:val="18"/>
                <w:szCs w:val="18"/>
              </w:rPr>
            </w:pPr>
            <w:r>
              <w:rPr>
                <w:rFonts w:ascii="宋体" w:hAnsi="宋体" w:cs="宋体" w:eastAsia="宋体" w:hint="default"/>
                <w:sz w:val="18"/>
                <w:szCs w:val="18"/>
              </w:rPr>
              <w:t>技术人员</w:t>
            </w:r>
          </w:p>
        </w:tc>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152</w:t>
            </w:r>
          </w:p>
        </w:tc>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 w:right="0"/>
              <w:jc w:val="center"/>
              <w:rPr>
                <w:rFonts w:ascii="Times New Roman" w:hAnsi="Times New Roman" w:cs="Times New Roman" w:eastAsia="Times New Roman" w:hint="default"/>
                <w:sz w:val="18"/>
                <w:szCs w:val="18"/>
              </w:rPr>
            </w:pPr>
            <w:r>
              <w:rPr>
                <w:rFonts w:ascii="Times New Roman"/>
                <w:sz w:val="18"/>
              </w:rPr>
              <w:t>35.02</w:t>
            </w:r>
          </w:p>
        </w:tc>
      </w:tr>
      <w:tr>
        <w:trPr>
          <w:trHeight w:val="330" w:hRule="exact"/>
        </w:trPr>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0"/>
              <w:jc w:val="right"/>
              <w:rPr>
                <w:rFonts w:ascii="宋体" w:hAnsi="宋体" w:cs="宋体" w:eastAsia="宋体" w:hint="default"/>
                <w:sz w:val="18"/>
                <w:szCs w:val="18"/>
              </w:rPr>
            </w:pPr>
            <w:r>
              <w:rPr>
                <w:rFonts w:ascii="宋体" w:hAnsi="宋体" w:cs="宋体" w:eastAsia="宋体" w:hint="default"/>
                <w:sz w:val="18"/>
                <w:szCs w:val="18"/>
              </w:rPr>
              <w:t>销售人员</w:t>
            </w:r>
          </w:p>
        </w:tc>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54</w:t>
            </w:r>
          </w:p>
        </w:tc>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 w:right="0"/>
              <w:jc w:val="center"/>
              <w:rPr>
                <w:rFonts w:ascii="Times New Roman" w:hAnsi="Times New Roman" w:cs="Times New Roman" w:eastAsia="Times New Roman" w:hint="default"/>
                <w:sz w:val="18"/>
                <w:szCs w:val="18"/>
              </w:rPr>
            </w:pPr>
            <w:r>
              <w:rPr>
                <w:rFonts w:ascii="Times New Roman"/>
                <w:sz w:val="18"/>
              </w:rPr>
              <w:t>12.44</w:t>
            </w:r>
          </w:p>
        </w:tc>
      </w:tr>
      <w:tr>
        <w:trPr>
          <w:trHeight w:val="330" w:hRule="exact"/>
        </w:trPr>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0"/>
              <w:jc w:val="right"/>
              <w:rPr>
                <w:rFonts w:ascii="宋体" w:hAnsi="宋体" w:cs="宋体" w:eastAsia="宋体" w:hint="default"/>
                <w:sz w:val="18"/>
                <w:szCs w:val="18"/>
              </w:rPr>
            </w:pPr>
            <w:r>
              <w:rPr>
                <w:rFonts w:ascii="宋体" w:hAnsi="宋体" w:cs="宋体" w:eastAsia="宋体" w:hint="default"/>
                <w:sz w:val="18"/>
                <w:szCs w:val="18"/>
              </w:rPr>
              <w:t>财务人员</w:t>
            </w:r>
          </w:p>
        </w:tc>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23</w:t>
            </w:r>
          </w:p>
        </w:tc>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5.30</w:t>
            </w:r>
          </w:p>
        </w:tc>
      </w:tr>
      <w:tr>
        <w:trPr>
          <w:trHeight w:val="330" w:hRule="exact"/>
        </w:trPr>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0"/>
              <w:jc w:val="right"/>
              <w:rPr>
                <w:rFonts w:ascii="宋体" w:hAnsi="宋体" w:cs="宋体" w:eastAsia="宋体" w:hint="default"/>
                <w:sz w:val="18"/>
                <w:szCs w:val="18"/>
              </w:rPr>
            </w:pPr>
            <w:r>
              <w:rPr>
                <w:rFonts w:ascii="宋体" w:hAnsi="宋体" w:cs="宋体" w:eastAsia="宋体" w:hint="default"/>
                <w:sz w:val="18"/>
                <w:szCs w:val="18"/>
              </w:rPr>
              <w:t>管理人员</w:t>
            </w:r>
          </w:p>
        </w:tc>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51</w:t>
            </w:r>
          </w:p>
        </w:tc>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 w:right="0"/>
              <w:jc w:val="center"/>
              <w:rPr>
                <w:rFonts w:ascii="Times New Roman" w:hAnsi="Times New Roman" w:cs="Times New Roman" w:eastAsia="Times New Roman" w:hint="default"/>
                <w:sz w:val="18"/>
                <w:szCs w:val="18"/>
              </w:rPr>
            </w:pPr>
            <w:r>
              <w:rPr>
                <w:rFonts w:ascii="Times New Roman"/>
                <w:sz w:val="18"/>
              </w:rPr>
              <w:t>11.75</w:t>
            </w:r>
          </w:p>
        </w:tc>
      </w:tr>
      <w:tr>
        <w:trPr>
          <w:trHeight w:val="330" w:hRule="exact"/>
        </w:trPr>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0"/>
              <w:jc w:val="right"/>
              <w:rPr>
                <w:rFonts w:ascii="宋体" w:hAnsi="宋体" w:cs="宋体" w:eastAsia="宋体" w:hint="default"/>
                <w:sz w:val="18"/>
                <w:szCs w:val="18"/>
              </w:rPr>
            </w:pPr>
            <w:r>
              <w:rPr>
                <w:rFonts w:ascii="宋体" w:hAnsi="宋体" w:cs="宋体" w:eastAsia="宋体" w:hint="default"/>
                <w:sz w:val="18"/>
                <w:szCs w:val="18"/>
              </w:rPr>
              <w:t>其他人员</w:t>
            </w:r>
          </w:p>
        </w:tc>
        <w:tc>
          <w:tcPr>
            <w:tcW w:w="2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154</w:t>
            </w:r>
          </w:p>
        </w:tc>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 w:right="0"/>
              <w:jc w:val="center"/>
              <w:rPr>
                <w:rFonts w:ascii="Times New Roman" w:hAnsi="Times New Roman" w:cs="Times New Roman" w:eastAsia="Times New Roman" w:hint="default"/>
                <w:sz w:val="18"/>
                <w:szCs w:val="18"/>
              </w:rPr>
            </w:pPr>
            <w:r>
              <w:rPr>
                <w:rFonts w:ascii="Times New Roman"/>
                <w:sz w:val="18"/>
              </w:rPr>
              <w:t>35.49</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4"/>
          <w:szCs w:val="24"/>
        </w:rPr>
      </w:pPr>
    </w:p>
    <w:p>
      <w:pPr>
        <w:spacing w:line="4442" w:lineRule="exact"/>
        <w:ind w:left="1400" w:right="0" w:firstLine="0"/>
        <w:rPr>
          <w:rFonts w:ascii="宋体" w:hAnsi="宋体" w:cs="宋体" w:eastAsia="宋体" w:hint="default"/>
          <w:sz w:val="20"/>
          <w:szCs w:val="20"/>
        </w:rPr>
      </w:pPr>
      <w:r>
        <w:rPr>
          <w:rFonts w:ascii="宋体" w:hAnsi="宋体" w:cs="宋体" w:eastAsia="宋体" w:hint="default"/>
          <w:position w:val="-88"/>
          <w:sz w:val="20"/>
          <w:szCs w:val="20"/>
        </w:rPr>
        <w:drawing>
          <wp:inline distT="0" distB="0" distL="0" distR="0">
            <wp:extent cx="4184167" cy="2820924"/>
            <wp:effectExtent l="0" t="0" r="0" b="0"/>
            <wp:docPr id="3" name="image4.png" descr=""/>
            <wp:cNvGraphicFramePr>
              <a:graphicFrameLocks noChangeAspect="1"/>
            </wp:cNvGraphicFramePr>
            <a:graphic>
              <a:graphicData uri="http://schemas.openxmlformats.org/drawingml/2006/picture">
                <pic:pic>
                  <pic:nvPicPr>
                    <pic:cNvPr id="4" name="image4.png"/>
                    <pic:cNvPicPr/>
                  </pic:nvPicPr>
                  <pic:blipFill>
                    <a:blip r:embed="rId13" cstate="print"/>
                    <a:stretch>
                      <a:fillRect/>
                    </a:stretch>
                  </pic:blipFill>
                  <pic:spPr>
                    <a:xfrm>
                      <a:off x="0" y="0"/>
                      <a:ext cx="4184167" cy="2820924"/>
                    </a:xfrm>
                    <a:prstGeom prst="rect">
                      <a:avLst/>
                    </a:prstGeom>
                  </pic:spPr>
                </pic:pic>
              </a:graphicData>
            </a:graphic>
          </wp:inline>
        </w:drawing>
      </w:r>
      <w:r>
        <w:rPr>
          <w:rFonts w:ascii="宋体" w:hAnsi="宋体" w:cs="宋体" w:eastAsia="宋体" w:hint="default"/>
          <w:position w:val="-88"/>
          <w:sz w:val="20"/>
          <w:szCs w:val="20"/>
        </w:rPr>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p>
      <w:pPr>
        <w:pStyle w:val="BodyText"/>
        <w:spacing w:line="240" w:lineRule="auto" w:before="26"/>
        <w:ind w:left="620" w:right="0"/>
        <w:jc w:val="left"/>
      </w:pPr>
      <w:r>
        <w:rPr>
          <w:rFonts w:ascii="Times New Roman" w:hAnsi="Times New Roman" w:cs="Times New Roman" w:eastAsia="Times New Roman" w:hint="default"/>
        </w:rPr>
        <w:t>2</w:t>
      </w:r>
      <w:r>
        <w:rPr/>
        <w:t>、教育程度</w:t>
      </w:r>
    </w:p>
    <w:p>
      <w:pPr>
        <w:spacing w:after="0" w:line="240" w:lineRule="auto"/>
        <w:jc w:val="left"/>
        <w:sectPr>
          <w:pgSz w:w="11910" w:h="16840"/>
          <w:pgMar w:header="877" w:footer="1048" w:top="1100" w:bottom="1240" w:left="1660" w:right="1240"/>
        </w:sectPr>
      </w:pPr>
    </w:p>
    <w:p>
      <w:pPr>
        <w:spacing w:line="240" w:lineRule="auto" w:before="6"/>
        <w:rPr>
          <w:rFonts w:ascii="宋体" w:hAnsi="宋体" w:cs="宋体" w:eastAsia="宋体" w:hint="default"/>
          <w:sz w:val="24"/>
          <w:szCs w:val="24"/>
        </w:rPr>
      </w:pPr>
    </w:p>
    <w:tbl>
      <w:tblPr>
        <w:tblW w:w="0" w:type="auto"/>
        <w:jc w:val="left"/>
        <w:tblInd w:w="264" w:type="dxa"/>
        <w:tblLayout w:type="fixed"/>
        <w:tblCellMar>
          <w:top w:w="0" w:type="dxa"/>
          <w:left w:w="0" w:type="dxa"/>
          <w:bottom w:w="0" w:type="dxa"/>
          <w:right w:w="0" w:type="dxa"/>
        </w:tblCellMar>
        <w:tblLook w:val="01E0"/>
      </w:tblPr>
      <w:tblGrid>
        <w:gridCol w:w="2809"/>
        <w:gridCol w:w="2812"/>
        <w:gridCol w:w="2810"/>
      </w:tblGrid>
      <w:tr>
        <w:trPr>
          <w:trHeight w:val="330" w:hRule="exact"/>
        </w:trPr>
        <w:tc>
          <w:tcPr>
            <w:tcW w:w="28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受教育程度</w:t>
            </w:r>
          </w:p>
        </w:tc>
        <w:tc>
          <w:tcPr>
            <w:tcW w:w="281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人数（人）</w:t>
            </w:r>
          </w:p>
        </w:tc>
        <w:tc>
          <w:tcPr>
            <w:tcW w:w="281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1" w:right="0"/>
              <w:jc w:val="center"/>
              <w:rPr>
                <w:rFonts w:ascii="宋体" w:hAnsi="宋体" w:cs="宋体" w:eastAsia="宋体" w:hint="default"/>
                <w:sz w:val="18"/>
                <w:szCs w:val="18"/>
              </w:rPr>
            </w:pPr>
            <w:r>
              <w:rPr>
                <w:rFonts w:ascii="宋体" w:hAnsi="宋体" w:cs="宋体" w:eastAsia="宋体" w:hint="default"/>
                <w:sz w:val="18"/>
                <w:szCs w:val="18"/>
              </w:rPr>
              <w:t>占员工总数比例（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30"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本科以上</w:t>
            </w:r>
          </w:p>
        </w:tc>
        <w:tc>
          <w:tcPr>
            <w:tcW w:w="2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198</w:t>
            </w:r>
          </w:p>
        </w:tc>
        <w:tc>
          <w:tcPr>
            <w:tcW w:w="2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 w:right="0"/>
              <w:jc w:val="center"/>
              <w:rPr>
                <w:rFonts w:ascii="Times New Roman" w:hAnsi="Times New Roman" w:cs="Times New Roman" w:eastAsia="Times New Roman" w:hint="default"/>
                <w:sz w:val="18"/>
                <w:szCs w:val="18"/>
              </w:rPr>
            </w:pPr>
            <w:r>
              <w:rPr>
                <w:rFonts w:ascii="Times New Roman"/>
                <w:sz w:val="18"/>
              </w:rPr>
              <w:t>45.62</w:t>
            </w:r>
          </w:p>
        </w:tc>
      </w:tr>
      <w:tr>
        <w:trPr>
          <w:trHeight w:val="330"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大专以上</w:t>
            </w:r>
          </w:p>
        </w:tc>
        <w:tc>
          <w:tcPr>
            <w:tcW w:w="2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176</w:t>
            </w:r>
          </w:p>
        </w:tc>
        <w:tc>
          <w:tcPr>
            <w:tcW w:w="2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 w:right="0"/>
              <w:jc w:val="center"/>
              <w:rPr>
                <w:rFonts w:ascii="Times New Roman" w:hAnsi="Times New Roman" w:cs="Times New Roman" w:eastAsia="Times New Roman" w:hint="default"/>
                <w:sz w:val="18"/>
                <w:szCs w:val="18"/>
              </w:rPr>
            </w:pPr>
            <w:r>
              <w:rPr>
                <w:rFonts w:ascii="Times New Roman"/>
                <w:sz w:val="18"/>
              </w:rPr>
              <w:t>40.55</w:t>
            </w:r>
          </w:p>
        </w:tc>
      </w:tr>
      <w:tr>
        <w:trPr>
          <w:trHeight w:val="330"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tabs>
                <w:tab w:pos="539" w:val="left" w:leader="none"/>
              </w:tabs>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其</w:t>
              <w:tab/>
              <w:t>他</w:t>
            </w:r>
          </w:p>
        </w:tc>
        <w:tc>
          <w:tcPr>
            <w:tcW w:w="2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60</w:t>
            </w:r>
          </w:p>
        </w:tc>
        <w:tc>
          <w:tcPr>
            <w:tcW w:w="2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 w:right="0"/>
              <w:jc w:val="center"/>
              <w:rPr>
                <w:rFonts w:ascii="Times New Roman" w:hAnsi="Times New Roman" w:cs="Times New Roman" w:eastAsia="Times New Roman" w:hint="default"/>
                <w:sz w:val="18"/>
                <w:szCs w:val="18"/>
              </w:rPr>
            </w:pPr>
            <w:r>
              <w:rPr>
                <w:rFonts w:ascii="Times New Roman"/>
                <w:sz w:val="18"/>
              </w:rPr>
              <w:t>13.83</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9"/>
          <w:szCs w:val="19"/>
        </w:rPr>
      </w:pPr>
    </w:p>
    <w:p>
      <w:pPr>
        <w:spacing w:line="4569" w:lineRule="exact"/>
        <w:ind w:left="1431" w:right="0" w:firstLine="0"/>
        <w:rPr>
          <w:rFonts w:ascii="宋体" w:hAnsi="宋体" w:cs="宋体" w:eastAsia="宋体" w:hint="default"/>
          <w:sz w:val="20"/>
          <w:szCs w:val="20"/>
        </w:rPr>
      </w:pPr>
      <w:r>
        <w:rPr>
          <w:rFonts w:ascii="宋体" w:hAnsi="宋体" w:cs="宋体" w:eastAsia="宋体" w:hint="default"/>
          <w:position w:val="-90"/>
          <w:sz w:val="20"/>
          <w:szCs w:val="20"/>
        </w:rPr>
        <w:drawing>
          <wp:inline distT="0" distB="0" distL="0" distR="0">
            <wp:extent cx="4150064" cy="2901696"/>
            <wp:effectExtent l="0" t="0" r="0" b="0"/>
            <wp:docPr id="5" name="image5.jpeg" descr=""/>
            <wp:cNvGraphicFramePr>
              <a:graphicFrameLocks noChangeAspect="1"/>
            </wp:cNvGraphicFramePr>
            <a:graphic>
              <a:graphicData uri="http://schemas.openxmlformats.org/drawingml/2006/picture">
                <pic:pic>
                  <pic:nvPicPr>
                    <pic:cNvPr id="6" name="image5.jpeg"/>
                    <pic:cNvPicPr/>
                  </pic:nvPicPr>
                  <pic:blipFill>
                    <a:blip r:embed="rId14" cstate="print"/>
                    <a:stretch>
                      <a:fillRect/>
                    </a:stretch>
                  </pic:blipFill>
                  <pic:spPr>
                    <a:xfrm>
                      <a:off x="0" y="0"/>
                      <a:ext cx="4150064" cy="2901696"/>
                    </a:xfrm>
                    <a:prstGeom prst="rect">
                      <a:avLst/>
                    </a:prstGeom>
                  </pic:spPr>
                </pic:pic>
              </a:graphicData>
            </a:graphic>
          </wp:inline>
        </w:drawing>
      </w:r>
      <w:r>
        <w:rPr>
          <w:rFonts w:ascii="宋体" w:hAnsi="宋体" w:cs="宋体" w:eastAsia="宋体" w:hint="default"/>
          <w:position w:val="-90"/>
          <w:sz w:val="20"/>
          <w:szCs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pStyle w:val="BodyText"/>
        <w:spacing w:line="240" w:lineRule="auto" w:before="26"/>
        <w:ind w:left="620" w:right="104"/>
        <w:jc w:val="left"/>
      </w:pPr>
      <w:r>
        <w:rPr/>
        <w:t>（二）公司不存在需要承担的离退休职工。</w:t>
      </w:r>
    </w:p>
    <w:p>
      <w:pPr>
        <w:spacing w:after="0" w:line="240" w:lineRule="auto"/>
        <w:jc w:val="left"/>
        <w:sectPr>
          <w:pgSz w:w="11910" w:h="16840"/>
          <w:pgMar w:header="877" w:footer="1048" w:top="1100" w:bottom="1240" w:left="1660" w:right="130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spacing w:before="1"/>
        <w:ind w:left="3342" w:right="3237" w:firstLine="0"/>
        <w:jc w:val="center"/>
        <w:rPr>
          <w:rFonts w:ascii="宋体" w:hAnsi="宋体" w:cs="宋体" w:eastAsia="宋体" w:hint="default"/>
          <w:sz w:val="32"/>
          <w:szCs w:val="32"/>
        </w:rPr>
      </w:pPr>
      <w:r>
        <w:rPr>
          <w:rFonts w:ascii="宋体" w:hAnsi="宋体" w:cs="宋体" w:eastAsia="宋体" w:hint="default"/>
          <w:b/>
          <w:bCs/>
          <w:sz w:val="32"/>
          <w:szCs w:val="32"/>
        </w:rPr>
        <w:t>第五节</w:t>
      </w:r>
      <w:r>
        <w:rPr>
          <w:rFonts w:ascii="宋体" w:hAnsi="宋体" w:cs="宋体" w:eastAsia="宋体" w:hint="default"/>
          <w:b/>
          <w:bCs/>
          <w:spacing w:val="-5"/>
          <w:sz w:val="32"/>
          <w:szCs w:val="32"/>
        </w:rPr>
        <w:t> </w:t>
      </w:r>
      <w:r>
        <w:rPr>
          <w:rFonts w:ascii="宋体" w:hAnsi="宋体" w:cs="宋体" w:eastAsia="宋体" w:hint="default"/>
          <w:b/>
          <w:bCs/>
          <w:sz w:val="32"/>
          <w:szCs w:val="32"/>
        </w:rPr>
        <w:t>公司治理</w:t>
      </w:r>
      <w:r>
        <w:rPr>
          <w:rFonts w:ascii="宋体" w:hAnsi="宋体" w:cs="宋体" w:eastAsia="宋体" w:hint="default"/>
          <w:sz w:val="32"/>
          <w:szCs w:val="32"/>
        </w:rPr>
      </w:r>
    </w:p>
    <w:p>
      <w:pPr>
        <w:spacing w:line="240" w:lineRule="auto" w:before="7"/>
        <w:rPr>
          <w:rFonts w:ascii="宋体" w:hAnsi="宋体" w:cs="宋体" w:eastAsia="宋体" w:hint="default"/>
          <w:b/>
          <w:bCs/>
          <w:sz w:val="34"/>
          <w:szCs w:val="34"/>
        </w:rPr>
      </w:pPr>
    </w:p>
    <w:p>
      <w:pPr>
        <w:pStyle w:val="BodyText"/>
        <w:spacing w:line="240" w:lineRule="auto" w:before="0"/>
        <w:ind w:left="700" w:right="0"/>
        <w:jc w:val="left"/>
      </w:pPr>
      <w:r>
        <w:rPr/>
        <w:t>一、公司治理的基本情况</w:t>
      </w:r>
    </w:p>
    <w:p>
      <w:pPr>
        <w:pStyle w:val="BodyText"/>
        <w:spacing w:line="357" w:lineRule="auto" w:before="154"/>
        <w:ind w:left="220" w:right="110" w:firstLine="480"/>
        <w:jc w:val="both"/>
      </w:pPr>
      <w:r>
        <w:rPr/>
        <w:t>公司严格按照《公司法</w:t>
      </w:r>
      <w:r>
        <w:rPr>
          <w:spacing w:val="5"/>
        </w:rPr>
        <w:t> </w:t>
      </w:r>
      <w:r>
        <w:rPr>
          <w:spacing w:val="-4"/>
        </w:rPr>
        <w:t>》、《证券法》和有关法律、法规、规章的要求，建立</w:t>
      </w:r>
      <w:r>
        <w:rPr>
          <w:spacing w:val="-1"/>
        </w:rPr>
        <w:t> </w:t>
      </w:r>
      <w:r>
        <w:rPr/>
        <w:t>了健全的法人治理结构，坚持依法运作，公司章程明确规定了股东大会、董事会、</w:t>
      </w:r>
      <w:r>
        <w:rPr>
          <w:spacing w:val="-84"/>
        </w:rPr>
        <w:t> </w:t>
      </w:r>
      <w:r>
        <w:rPr>
          <w:spacing w:val="-84"/>
        </w:rPr>
      </w:r>
      <w:r>
        <w:rPr/>
        <w:t>监事会和经理层的权限、职责和义务。严格执行各项公司内部控制制度，不断完善</w:t>
      </w:r>
      <w:r>
        <w:rPr>
          <w:spacing w:val="-84"/>
        </w:rPr>
        <w:t> </w:t>
      </w:r>
      <w:r>
        <w:rPr>
          <w:spacing w:val="-84"/>
        </w:rPr>
      </w:r>
      <w:r>
        <w:rPr/>
        <w:t>公司治理结构，认真做好各项治理工作，积极完善投资者关系管理，加强与投资者</w:t>
      </w:r>
      <w:r>
        <w:rPr>
          <w:spacing w:val="-84"/>
        </w:rPr>
        <w:t> </w:t>
      </w:r>
      <w:r>
        <w:rPr>
          <w:spacing w:val="-84"/>
        </w:rPr>
      </w:r>
      <w:r>
        <w:rPr/>
        <w:t>的信息交流，充分维护广大投资者的利益。截至报告期末，公司治理实际情况符合</w:t>
      </w:r>
      <w:r>
        <w:rPr>
          <w:spacing w:val="-84"/>
        </w:rPr>
        <w:t> </w:t>
      </w:r>
      <w:r>
        <w:rPr>
          <w:spacing w:val="-84"/>
        </w:rPr>
      </w:r>
      <w:r>
        <w:rPr/>
        <w:t>中国证监会、深圳证券交易所发布的有关上市公司治理的规范性文件要求，符合公</w:t>
      </w:r>
      <w:r>
        <w:rPr>
          <w:spacing w:val="-84"/>
        </w:rPr>
        <w:t> </w:t>
      </w:r>
      <w:r>
        <w:rPr>
          <w:spacing w:val="-84"/>
        </w:rPr>
      </w:r>
      <w:r>
        <w:rPr/>
        <w:t>司已建立制度的规定。报告期内公司未收到被监管部门采取行政监管措施的有关文</w:t>
      </w:r>
      <w:r>
        <w:rPr>
          <w:spacing w:val="-84"/>
        </w:rPr>
        <w:t> </w:t>
      </w:r>
      <w:r>
        <w:rPr>
          <w:spacing w:val="-84"/>
        </w:rPr>
      </w:r>
      <w:r>
        <w:rPr/>
        <w:t>件，不需要限期整改。截止报告期末，公司已建立的各项制度及相关公开信息披露</w:t>
      </w:r>
      <w:r>
        <w:rPr>
          <w:spacing w:val="-84"/>
        </w:rPr>
        <w:t> </w:t>
      </w:r>
      <w:r>
        <w:rPr>
          <w:spacing w:val="-84"/>
        </w:rPr>
      </w:r>
      <w:r>
        <w:rPr/>
        <w:t>情况如下：</w:t>
      </w:r>
    </w:p>
    <w:tbl>
      <w:tblPr>
        <w:tblW w:w="0" w:type="auto"/>
        <w:jc w:val="left"/>
        <w:tblInd w:w="107" w:type="dxa"/>
        <w:tblLayout w:type="fixed"/>
        <w:tblCellMar>
          <w:top w:w="0" w:type="dxa"/>
          <w:left w:w="0" w:type="dxa"/>
          <w:bottom w:w="0" w:type="dxa"/>
          <w:right w:w="0" w:type="dxa"/>
        </w:tblCellMar>
        <w:tblLook w:val="01E0"/>
      </w:tblPr>
      <w:tblGrid>
        <w:gridCol w:w="676"/>
        <w:gridCol w:w="5670"/>
        <w:gridCol w:w="1134"/>
        <w:gridCol w:w="1276"/>
      </w:tblGrid>
      <w:tr>
        <w:trPr>
          <w:trHeight w:val="329" w:hRule="exact"/>
        </w:trPr>
        <w:tc>
          <w:tcPr>
            <w:tcW w:w="6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序号</w:t>
            </w:r>
          </w:p>
        </w:tc>
        <w:tc>
          <w:tcPr>
            <w:tcW w:w="567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制度名称</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3"/>
              <w:ind w:right="200"/>
              <w:jc w:val="right"/>
              <w:rPr>
                <w:rFonts w:ascii="宋体" w:hAnsi="宋体" w:cs="宋体" w:eastAsia="宋体" w:hint="default"/>
                <w:sz w:val="18"/>
                <w:szCs w:val="18"/>
              </w:rPr>
            </w:pPr>
            <w:r>
              <w:rPr>
                <w:rFonts w:ascii="宋体" w:hAnsi="宋体" w:cs="宋体" w:eastAsia="宋体" w:hint="default"/>
                <w:sz w:val="18"/>
                <w:szCs w:val="18"/>
              </w:rPr>
              <w:t>披露日期</w:t>
            </w:r>
          </w:p>
        </w:tc>
        <w:tc>
          <w:tcPr>
            <w:tcW w:w="12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披露媒体</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18"/>
                <w:szCs w:val="18"/>
              </w:rPr>
            </w:pPr>
            <w:r>
              <w:rPr>
                <w:rFonts w:ascii="Times New Roman"/>
                <w:sz w:val="18"/>
              </w:rPr>
              <w:t>1</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董事会议事规则</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44"/>
              <w:jc w:val="right"/>
              <w:rPr>
                <w:rFonts w:ascii="Times New Roman" w:hAnsi="Times New Roman" w:cs="Times New Roman" w:eastAsia="Times New Roman" w:hint="default"/>
                <w:sz w:val="18"/>
                <w:szCs w:val="18"/>
              </w:rPr>
            </w:pPr>
            <w:r>
              <w:rPr>
                <w:rFonts w:ascii="Times New Roman"/>
                <w:spacing w:val="-1"/>
                <w:sz w:val="18"/>
              </w:rPr>
              <w:t>2007-11-29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18"/>
                <w:szCs w:val="18"/>
              </w:rPr>
            </w:pPr>
            <w:r>
              <w:rPr>
                <w:rFonts w:ascii="Times New Roman"/>
                <w:sz w:val="18"/>
              </w:rPr>
              <w:t>2</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公司章程（</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月修订）</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44"/>
              <w:jc w:val="right"/>
              <w:rPr>
                <w:rFonts w:ascii="Times New Roman" w:hAnsi="Times New Roman" w:cs="Times New Roman" w:eastAsia="Times New Roman" w:hint="default"/>
                <w:sz w:val="18"/>
                <w:szCs w:val="18"/>
              </w:rPr>
            </w:pPr>
            <w:r>
              <w:rPr>
                <w:rFonts w:ascii="Times New Roman"/>
                <w:spacing w:val="-1"/>
                <w:sz w:val="18"/>
              </w:rPr>
              <w:t>2007-11-29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18"/>
                <w:szCs w:val="18"/>
              </w:rPr>
            </w:pPr>
            <w:r>
              <w:rPr>
                <w:rFonts w:ascii="Times New Roman"/>
                <w:sz w:val="18"/>
              </w:rPr>
              <w:t>3</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股东大会议事规则（</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月修订）</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44"/>
              <w:jc w:val="right"/>
              <w:rPr>
                <w:rFonts w:ascii="Times New Roman" w:hAnsi="Times New Roman" w:cs="Times New Roman" w:eastAsia="Times New Roman" w:hint="default"/>
                <w:sz w:val="18"/>
                <w:szCs w:val="18"/>
              </w:rPr>
            </w:pPr>
            <w:r>
              <w:rPr>
                <w:rFonts w:ascii="Times New Roman"/>
                <w:spacing w:val="-1"/>
                <w:sz w:val="18"/>
              </w:rPr>
              <w:t>2007-11-29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18"/>
                <w:szCs w:val="18"/>
              </w:rPr>
            </w:pPr>
            <w:r>
              <w:rPr>
                <w:rFonts w:ascii="Times New Roman"/>
                <w:sz w:val="18"/>
              </w:rPr>
              <w:t>4</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监事会议事规则</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44"/>
              <w:jc w:val="right"/>
              <w:rPr>
                <w:rFonts w:ascii="Times New Roman" w:hAnsi="Times New Roman" w:cs="Times New Roman" w:eastAsia="Times New Roman" w:hint="default"/>
                <w:sz w:val="18"/>
                <w:szCs w:val="18"/>
              </w:rPr>
            </w:pPr>
            <w:r>
              <w:rPr>
                <w:rFonts w:ascii="Times New Roman"/>
                <w:spacing w:val="-1"/>
                <w:sz w:val="18"/>
              </w:rPr>
              <w:t>2007-11-29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18"/>
                <w:szCs w:val="18"/>
              </w:rPr>
            </w:pPr>
            <w:r>
              <w:rPr>
                <w:rFonts w:ascii="Times New Roman"/>
                <w:sz w:val="18"/>
              </w:rPr>
              <w:t>5</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募集资金管理办法（</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月修订）</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44"/>
              <w:jc w:val="right"/>
              <w:rPr>
                <w:rFonts w:ascii="Times New Roman" w:hAnsi="Times New Roman" w:cs="Times New Roman" w:eastAsia="Times New Roman" w:hint="default"/>
                <w:sz w:val="18"/>
                <w:szCs w:val="18"/>
              </w:rPr>
            </w:pPr>
            <w:r>
              <w:rPr>
                <w:rFonts w:ascii="Times New Roman"/>
                <w:spacing w:val="-1"/>
                <w:sz w:val="18"/>
              </w:rPr>
              <w:t>2007-11-29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18"/>
                <w:szCs w:val="18"/>
              </w:rPr>
            </w:pPr>
            <w:r>
              <w:rPr>
                <w:rFonts w:ascii="Times New Roman"/>
                <w:sz w:val="18"/>
              </w:rPr>
              <w:t>6</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投资者关系管理制度（</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月修订）</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44"/>
              <w:jc w:val="right"/>
              <w:rPr>
                <w:rFonts w:ascii="Times New Roman" w:hAnsi="Times New Roman" w:cs="Times New Roman" w:eastAsia="Times New Roman" w:hint="default"/>
                <w:sz w:val="18"/>
                <w:szCs w:val="18"/>
              </w:rPr>
            </w:pPr>
            <w:r>
              <w:rPr>
                <w:rFonts w:ascii="Times New Roman"/>
                <w:spacing w:val="-1"/>
                <w:sz w:val="18"/>
              </w:rPr>
              <w:t>2007-11-29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18"/>
                <w:szCs w:val="18"/>
              </w:rPr>
            </w:pPr>
            <w:r>
              <w:rPr>
                <w:rFonts w:ascii="Times New Roman"/>
                <w:sz w:val="18"/>
              </w:rPr>
              <w:t>7</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信息披露管理制度</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44"/>
              <w:jc w:val="right"/>
              <w:rPr>
                <w:rFonts w:ascii="Times New Roman" w:hAnsi="Times New Roman" w:cs="Times New Roman" w:eastAsia="Times New Roman" w:hint="default"/>
                <w:sz w:val="18"/>
                <w:szCs w:val="18"/>
              </w:rPr>
            </w:pPr>
            <w:r>
              <w:rPr>
                <w:rFonts w:ascii="Times New Roman"/>
                <w:spacing w:val="-1"/>
                <w:sz w:val="18"/>
              </w:rPr>
              <w:t>2007-11-29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18"/>
                <w:szCs w:val="18"/>
              </w:rPr>
            </w:pPr>
            <w:r>
              <w:rPr>
                <w:rFonts w:ascii="Times New Roman"/>
                <w:sz w:val="18"/>
              </w:rPr>
              <w:t>8</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募集资金专款使用管理细则（</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月修订）</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40"/>
              <w:jc w:val="right"/>
              <w:rPr>
                <w:rFonts w:ascii="Times New Roman" w:hAnsi="Times New Roman" w:cs="Times New Roman" w:eastAsia="Times New Roman" w:hint="default"/>
                <w:sz w:val="18"/>
                <w:szCs w:val="18"/>
              </w:rPr>
            </w:pPr>
            <w:r>
              <w:rPr>
                <w:rFonts w:ascii="Times New Roman"/>
                <w:w w:val="95"/>
                <w:sz w:val="18"/>
              </w:rPr>
              <w:t>2007-12-20</w:t>
            </w:r>
            <w:r>
              <w:rPr>
                <w:rFonts w:ascii="Times New Roman"/>
                <w:sz w:val="18"/>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18"/>
                <w:szCs w:val="18"/>
              </w:rPr>
            </w:pPr>
            <w:r>
              <w:rPr>
                <w:rFonts w:ascii="Times New Roman"/>
                <w:sz w:val="18"/>
              </w:rPr>
              <w:t>9</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董事会秘书工作细则</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5"/>
              <w:jc w:val="right"/>
              <w:rPr>
                <w:rFonts w:ascii="Times New Roman" w:hAnsi="Times New Roman" w:cs="Times New Roman" w:eastAsia="Times New Roman" w:hint="default"/>
                <w:sz w:val="18"/>
                <w:szCs w:val="18"/>
              </w:rPr>
            </w:pPr>
            <w:r>
              <w:rPr>
                <w:rFonts w:ascii="Times New Roman"/>
                <w:sz w:val="18"/>
              </w:rPr>
              <w:t>2008-3-12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Times New Roman" w:hAnsi="Times New Roman" w:cs="Times New Roman" w:eastAsia="Times New Roman" w:hint="default"/>
                <w:sz w:val="18"/>
                <w:szCs w:val="18"/>
              </w:rPr>
            </w:pPr>
            <w:r>
              <w:rPr>
                <w:rFonts w:ascii="Times New Roman"/>
                <w:sz w:val="18"/>
              </w:rPr>
              <w:t>10</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董事会审计委员会工作细则</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5"/>
              <w:jc w:val="right"/>
              <w:rPr>
                <w:rFonts w:ascii="Times New Roman" w:hAnsi="Times New Roman" w:cs="Times New Roman" w:eastAsia="Times New Roman" w:hint="default"/>
                <w:sz w:val="18"/>
                <w:szCs w:val="18"/>
              </w:rPr>
            </w:pPr>
            <w:r>
              <w:rPr>
                <w:rFonts w:ascii="Times New Roman"/>
                <w:sz w:val="18"/>
              </w:rPr>
              <w:t>2008-3-12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6"/>
              <w:jc w:val="center"/>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董事会提名委员会工作细则</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5"/>
              <w:jc w:val="right"/>
              <w:rPr>
                <w:rFonts w:ascii="Times New Roman" w:hAnsi="Times New Roman" w:cs="Times New Roman" w:eastAsia="Times New Roman" w:hint="default"/>
                <w:sz w:val="18"/>
                <w:szCs w:val="18"/>
              </w:rPr>
            </w:pPr>
            <w:r>
              <w:rPr>
                <w:rFonts w:ascii="Times New Roman"/>
                <w:sz w:val="18"/>
              </w:rPr>
              <w:t>2008-3-12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Times New Roman" w:hAnsi="Times New Roman" w:cs="Times New Roman" w:eastAsia="Times New Roman" w:hint="default"/>
                <w:sz w:val="18"/>
                <w:szCs w:val="18"/>
              </w:rPr>
            </w:pPr>
            <w:r>
              <w:rPr>
                <w:rFonts w:ascii="Times New Roman"/>
                <w:sz w:val="18"/>
              </w:rPr>
              <w:t>12</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董事会薪酬与考核委员会工作细则</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5"/>
              <w:jc w:val="right"/>
              <w:rPr>
                <w:rFonts w:ascii="Times New Roman" w:hAnsi="Times New Roman" w:cs="Times New Roman" w:eastAsia="Times New Roman" w:hint="default"/>
                <w:sz w:val="18"/>
                <w:szCs w:val="18"/>
              </w:rPr>
            </w:pPr>
            <w:r>
              <w:rPr>
                <w:rFonts w:ascii="Times New Roman"/>
                <w:sz w:val="18"/>
              </w:rPr>
              <w:t>2008-3-12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Times New Roman" w:hAnsi="Times New Roman" w:cs="Times New Roman" w:eastAsia="Times New Roman" w:hint="default"/>
                <w:sz w:val="18"/>
                <w:szCs w:val="18"/>
              </w:rPr>
            </w:pPr>
            <w:r>
              <w:rPr>
                <w:rFonts w:ascii="Times New Roman"/>
                <w:sz w:val="18"/>
              </w:rPr>
              <w:t>13</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董事会战略委员会工作细则</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5"/>
              <w:jc w:val="right"/>
              <w:rPr>
                <w:rFonts w:ascii="Times New Roman" w:hAnsi="Times New Roman" w:cs="Times New Roman" w:eastAsia="Times New Roman" w:hint="default"/>
                <w:sz w:val="18"/>
                <w:szCs w:val="18"/>
              </w:rPr>
            </w:pPr>
            <w:r>
              <w:rPr>
                <w:rFonts w:ascii="Times New Roman"/>
                <w:sz w:val="18"/>
              </w:rPr>
              <w:t>2008-3-12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Times New Roman" w:hAnsi="Times New Roman" w:cs="Times New Roman" w:eastAsia="Times New Roman" w:hint="default"/>
                <w:sz w:val="18"/>
                <w:szCs w:val="18"/>
              </w:rPr>
            </w:pPr>
            <w:r>
              <w:rPr>
                <w:rFonts w:ascii="Times New Roman"/>
                <w:sz w:val="18"/>
              </w:rPr>
              <w:t>14</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独立董事年报工作制度</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5"/>
              <w:jc w:val="right"/>
              <w:rPr>
                <w:rFonts w:ascii="Times New Roman" w:hAnsi="Times New Roman" w:cs="Times New Roman" w:eastAsia="Times New Roman" w:hint="default"/>
                <w:sz w:val="18"/>
                <w:szCs w:val="18"/>
              </w:rPr>
            </w:pPr>
            <w:r>
              <w:rPr>
                <w:rFonts w:ascii="Times New Roman"/>
                <w:sz w:val="18"/>
              </w:rPr>
              <w:t>2008-3-12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Times New Roman" w:hAnsi="Times New Roman" w:cs="Times New Roman" w:eastAsia="Times New Roman" w:hint="default"/>
                <w:sz w:val="18"/>
                <w:szCs w:val="18"/>
              </w:rPr>
            </w:pPr>
            <w:r>
              <w:rPr>
                <w:rFonts w:ascii="Times New Roman"/>
                <w:sz w:val="18"/>
              </w:rPr>
              <w:t>15</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审计委员会年报工作规程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5"/>
              <w:jc w:val="right"/>
              <w:rPr>
                <w:rFonts w:ascii="Times New Roman" w:hAnsi="Times New Roman" w:cs="Times New Roman" w:eastAsia="Times New Roman" w:hint="default"/>
                <w:sz w:val="18"/>
                <w:szCs w:val="18"/>
              </w:rPr>
            </w:pPr>
            <w:r>
              <w:rPr>
                <w:rFonts w:ascii="Times New Roman"/>
                <w:sz w:val="18"/>
              </w:rPr>
              <w:t>2008-3-12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Times New Roman" w:hAnsi="Times New Roman" w:cs="Times New Roman" w:eastAsia="Times New Roman" w:hint="default"/>
                <w:sz w:val="18"/>
                <w:szCs w:val="18"/>
              </w:rPr>
            </w:pPr>
            <w:r>
              <w:rPr>
                <w:rFonts w:ascii="Times New Roman"/>
                <w:sz w:val="18"/>
              </w:rPr>
              <w:t>16</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对外担保决策制度</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5"/>
              <w:jc w:val="right"/>
              <w:rPr>
                <w:rFonts w:ascii="Times New Roman" w:hAnsi="Times New Roman" w:cs="Times New Roman" w:eastAsia="Times New Roman" w:hint="default"/>
                <w:sz w:val="18"/>
                <w:szCs w:val="18"/>
              </w:rPr>
            </w:pPr>
            <w:r>
              <w:rPr>
                <w:rFonts w:ascii="Times New Roman"/>
                <w:sz w:val="18"/>
              </w:rPr>
              <w:t>2008-7-15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Times New Roman" w:hAnsi="Times New Roman" w:cs="Times New Roman" w:eastAsia="Times New Roman" w:hint="default"/>
                <w:sz w:val="18"/>
                <w:szCs w:val="18"/>
              </w:rPr>
            </w:pPr>
            <w:r>
              <w:rPr>
                <w:rFonts w:ascii="Times New Roman"/>
                <w:sz w:val="18"/>
              </w:rPr>
              <w:t>17</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对外投资管理制度（</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月修订）</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5"/>
              <w:jc w:val="right"/>
              <w:rPr>
                <w:rFonts w:ascii="Times New Roman" w:hAnsi="Times New Roman" w:cs="Times New Roman" w:eastAsia="Times New Roman" w:hint="default"/>
                <w:sz w:val="18"/>
                <w:szCs w:val="18"/>
              </w:rPr>
            </w:pPr>
            <w:r>
              <w:rPr>
                <w:rFonts w:ascii="Times New Roman"/>
                <w:sz w:val="18"/>
              </w:rPr>
              <w:t>2008-7-15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Times New Roman" w:hAnsi="Times New Roman" w:cs="Times New Roman" w:eastAsia="Times New Roman" w:hint="default"/>
                <w:sz w:val="18"/>
                <w:szCs w:val="18"/>
              </w:rPr>
            </w:pPr>
            <w:r>
              <w:rPr>
                <w:rFonts w:ascii="Times New Roman"/>
                <w:sz w:val="18"/>
              </w:rPr>
              <w:t>18</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关联交易决策制度</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5"/>
              <w:jc w:val="right"/>
              <w:rPr>
                <w:rFonts w:ascii="Times New Roman" w:hAnsi="Times New Roman" w:cs="Times New Roman" w:eastAsia="Times New Roman" w:hint="default"/>
                <w:sz w:val="18"/>
                <w:szCs w:val="18"/>
              </w:rPr>
            </w:pPr>
            <w:r>
              <w:rPr>
                <w:rFonts w:ascii="Times New Roman"/>
                <w:sz w:val="18"/>
              </w:rPr>
              <w:t>2008-7-15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Times New Roman" w:hAnsi="Times New Roman" w:cs="Times New Roman" w:eastAsia="Times New Roman" w:hint="default"/>
                <w:sz w:val="18"/>
                <w:szCs w:val="18"/>
              </w:rPr>
            </w:pPr>
            <w:r>
              <w:rPr>
                <w:rFonts w:ascii="Times New Roman"/>
                <w:sz w:val="18"/>
              </w:rPr>
              <w:t>19</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控股股东行为规范</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5"/>
              <w:jc w:val="right"/>
              <w:rPr>
                <w:rFonts w:ascii="Times New Roman" w:hAnsi="Times New Roman" w:cs="Times New Roman" w:eastAsia="Times New Roman" w:hint="default"/>
                <w:sz w:val="18"/>
                <w:szCs w:val="18"/>
              </w:rPr>
            </w:pPr>
            <w:r>
              <w:rPr>
                <w:rFonts w:ascii="Times New Roman"/>
                <w:sz w:val="18"/>
              </w:rPr>
              <w:t>2008-7-15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Times New Roman" w:hAnsi="Times New Roman" w:cs="Times New Roman" w:eastAsia="Times New Roman" w:hint="default"/>
                <w:sz w:val="18"/>
                <w:szCs w:val="18"/>
              </w:rPr>
            </w:pPr>
            <w:r>
              <w:rPr>
                <w:rFonts w:ascii="Times New Roman"/>
                <w:sz w:val="18"/>
              </w:rPr>
              <w:t>20</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重大投资决策制度（</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月修订）</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5"/>
              <w:jc w:val="right"/>
              <w:rPr>
                <w:rFonts w:ascii="Times New Roman" w:hAnsi="Times New Roman" w:cs="Times New Roman" w:eastAsia="Times New Roman" w:hint="default"/>
                <w:sz w:val="18"/>
                <w:szCs w:val="18"/>
              </w:rPr>
            </w:pPr>
            <w:r>
              <w:rPr>
                <w:rFonts w:ascii="Times New Roman"/>
                <w:sz w:val="18"/>
              </w:rPr>
              <w:t>2008-7-15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Times New Roman" w:hAnsi="Times New Roman" w:cs="Times New Roman" w:eastAsia="Times New Roman" w:hint="default"/>
                <w:sz w:val="18"/>
                <w:szCs w:val="18"/>
              </w:rPr>
            </w:pPr>
            <w:r>
              <w:rPr>
                <w:rFonts w:ascii="Times New Roman"/>
                <w:sz w:val="18"/>
              </w:rPr>
              <w:t>21</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总经理办公会议制度</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5"/>
              <w:jc w:val="right"/>
              <w:rPr>
                <w:rFonts w:ascii="Times New Roman" w:hAnsi="Times New Roman" w:cs="Times New Roman" w:eastAsia="Times New Roman" w:hint="default"/>
                <w:sz w:val="18"/>
                <w:szCs w:val="18"/>
              </w:rPr>
            </w:pPr>
            <w:r>
              <w:rPr>
                <w:rFonts w:ascii="Times New Roman"/>
                <w:sz w:val="18"/>
              </w:rPr>
              <w:t>2008-7-15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Times New Roman" w:hAnsi="Times New Roman" w:cs="Times New Roman" w:eastAsia="Times New Roman" w:hint="default"/>
                <w:sz w:val="18"/>
                <w:szCs w:val="18"/>
              </w:rPr>
            </w:pPr>
            <w:r>
              <w:rPr>
                <w:rFonts w:ascii="Times New Roman"/>
                <w:sz w:val="18"/>
              </w:rPr>
              <w:t>22</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总经理工作细则</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5"/>
              <w:jc w:val="right"/>
              <w:rPr>
                <w:rFonts w:ascii="Times New Roman" w:hAnsi="Times New Roman" w:cs="Times New Roman" w:eastAsia="Times New Roman" w:hint="default"/>
                <w:sz w:val="18"/>
                <w:szCs w:val="18"/>
              </w:rPr>
            </w:pPr>
            <w:r>
              <w:rPr>
                <w:rFonts w:ascii="Times New Roman"/>
                <w:sz w:val="18"/>
              </w:rPr>
              <w:t>2008-7-15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1"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Times New Roman" w:hAnsi="Times New Roman" w:cs="Times New Roman" w:eastAsia="Times New Roman" w:hint="default"/>
                <w:sz w:val="18"/>
                <w:szCs w:val="18"/>
              </w:rPr>
            </w:pPr>
            <w:r>
              <w:rPr>
                <w:rFonts w:ascii="Times New Roman"/>
                <w:sz w:val="18"/>
              </w:rPr>
              <w:t>23</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证券投资内控制度（</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月修订）</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88"/>
              <w:jc w:val="right"/>
              <w:rPr>
                <w:rFonts w:ascii="Times New Roman" w:hAnsi="Times New Roman" w:cs="Times New Roman" w:eastAsia="Times New Roman" w:hint="default"/>
                <w:sz w:val="18"/>
                <w:szCs w:val="18"/>
              </w:rPr>
            </w:pPr>
            <w:r>
              <w:rPr>
                <w:rFonts w:ascii="Times New Roman"/>
                <w:spacing w:val="-1"/>
                <w:sz w:val="18"/>
              </w:rPr>
              <w:t>2008-11-6</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bl>
    <w:p>
      <w:pPr>
        <w:spacing w:after="0" w:line="240" w:lineRule="auto"/>
        <w:jc w:val="center"/>
        <w:rPr>
          <w:rFonts w:ascii="宋体" w:hAnsi="宋体" w:cs="宋体" w:eastAsia="宋体" w:hint="default"/>
          <w:sz w:val="18"/>
          <w:szCs w:val="18"/>
        </w:rPr>
        <w:sectPr>
          <w:pgSz w:w="11910" w:h="16840"/>
          <w:pgMar w:header="877" w:footer="1048" w:top="1100" w:bottom="1240" w:left="1580" w:right="1300"/>
        </w:sectPr>
      </w:pPr>
    </w:p>
    <w:p>
      <w:pPr>
        <w:spacing w:line="240" w:lineRule="auto" w:before="6"/>
        <w:rPr>
          <w:rFonts w:ascii="宋体" w:hAnsi="宋体" w:cs="宋体" w:eastAsia="宋体" w:hint="default"/>
          <w:sz w:val="24"/>
          <w:szCs w:val="24"/>
        </w:rPr>
      </w:pPr>
    </w:p>
    <w:tbl>
      <w:tblPr>
        <w:tblW w:w="0" w:type="auto"/>
        <w:jc w:val="left"/>
        <w:tblInd w:w="107" w:type="dxa"/>
        <w:tblLayout w:type="fixed"/>
        <w:tblCellMar>
          <w:top w:w="0" w:type="dxa"/>
          <w:left w:w="0" w:type="dxa"/>
          <w:bottom w:w="0" w:type="dxa"/>
          <w:right w:w="0" w:type="dxa"/>
        </w:tblCellMar>
        <w:tblLook w:val="01E0"/>
      </w:tblPr>
      <w:tblGrid>
        <w:gridCol w:w="676"/>
        <w:gridCol w:w="5670"/>
        <w:gridCol w:w="1134"/>
        <w:gridCol w:w="1276"/>
      </w:tblGrid>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42" w:right="0"/>
              <w:jc w:val="left"/>
              <w:rPr>
                <w:rFonts w:ascii="Times New Roman" w:hAnsi="Times New Roman" w:cs="Times New Roman" w:eastAsia="Times New Roman" w:hint="default"/>
                <w:sz w:val="18"/>
                <w:szCs w:val="18"/>
              </w:rPr>
            </w:pPr>
            <w:r>
              <w:rPr>
                <w:rFonts w:ascii="Times New Roman"/>
                <w:sz w:val="18"/>
              </w:rPr>
              <w:t>24</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内幕信息知情人报备制度（</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月修订）</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30"/>
              <w:jc w:val="right"/>
              <w:rPr>
                <w:rFonts w:ascii="Times New Roman" w:hAnsi="Times New Roman" w:cs="Times New Roman" w:eastAsia="Times New Roman" w:hint="default"/>
                <w:sz w:val="18"/>
                <w:szCs w:val="18"/>
              </w:rPr>
            </w:pPr>
            <w:r>
              <w:rPr>
                <w:rFonts w:ascii="Times New Roman"/>
                <w:sz w:val="18"/>
              </w:rPr>
              <w:t>2010-2-5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81"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42" w:right="0"/>
              <w:jc w:val="left"/>
              <w:rPr>
                <w:rFonts w:ascii="Times New Roman" w:hAnsi="Times New Roman" w:cs="Times New Roman" w:eastAsia="Times New Roman" w:hint="default"/>
                <w:sz w:val="18"/>
                <w:szCs w:val="18"/>
              </w:rPr>
            </w:pPr>
            <w:r>
              <w:rPr>
                <w:rFonts w:ascii="Times New Roman"/>
                <w:sz w:val="18"/>
              </w:rPr>
              <w:t>25</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年报信息披露重大差错责任追究制度</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30"/>
              <w:jc w:val="right"/>
              <w:rPr>
                <w:rFonts w:ascii="Times New Roman" w:hAnsi="Times New Roman" w:cs="Times New Roman" w:eastAsia="Times New Roman" w:hint="default"/>
                <w:sz w:val="18"/>
                <w:szCs w:val="18"/>
              </w:rPr>
            </w:pPr>
            <w:r>
              <w:rPr>
                <w:rFonts w:ascii="Times New Roman"/>
                <w:sz w:val="18"/>
              </w:rPr>
              <w:t>2010-2-5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81"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42" w:right="0"/>
              <w:jc w:val="left"/>
              <w:rPr>
                <w:rFonts w:ascii="Times New Roman" w:hAnsi="Times New Roman" w:cs="Times New Roman" w:eastAsia="Times New Roman" w:hint="default"/>
                <w:sz w:val="18"/>
                <w:szCs w:val="18"/>
              </w:rPr>
            </w:pPr>
            <w:r>
              <w:rPr>
                <w:rFonts w:ascii="Times New Roman"/>
                <w:sz w:val="18"/>
              </w:rPr>
              <w:t>26</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控股股东内幕信息管理制度</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44"/>
              <w:jc w:val="right"/>
              <w:rPr>
                <w:rFonts w:ascii="Times New Roman" w:hAnsi="Times New Roman" w:cs="Times New Roman" w:eastAsia="Times New Roman" w:hint="default"/>
                <w:sz w:val="18"/>
                <w:szCs w:val="18"/>
              </w:rPr>
            </w:pPr>
            <w:r>
              <w:rPr>
                <w:rFonts w:ascii="Times New Roman"/>
                <w:spacing w:val="-1"/>
                <w:sz w:val="18"/>
              </w:rPr>
              <w:t>2010-11-23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81"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0" w:hRule="exact"/>
        </w:trPr>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42" w:right="0"/>
              <w:jc w:val="left"/>
              <w:rPr>
                <w:rFonts w:ascii="Times New Roman" w:hAnsi="Times New Roman" w:cs="Times New Roman" w:eastAsia="Times New Roman" w:hint="default"/>
                <w:sz w:val="18"/>
                <w:szCs w:val="18"/>
              </w:rPr>
            </w:pPr>
            <w:r>
              <w:rPr>
                <w:rFonts w:ascii="Times New Roman"/>
                <w:sz w:val="18"/>
              </w:rPr>
              <w:t>27</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股票期权激励计划考核办法（</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月修订）</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85"/>
              <w:jc w:val="right"/>
              <w:rPr>
                <w:rFonts w:ascii="Times New Roman" w:hAnsi="Times New Roman" w:cs="Times New Roman" w:eastAsia="Times New Roman" w:hint="default"/>
                <w:sz w:val="18"/>
                <w:szCs w:val="18"/>
              </w:rPr>
            </w:pPr>
            <w:r>
              <w:rPr>
                <w:rFonts w:ascii="Times New Roman"/>
                <w:sz w:val="18"/>
              </w:rPr>
              <w:t>2010-12-2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81"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bl>
    <w:p>
      <w:pPr>
        <w:spacing w:line="240" w:lineRule="auto" w:before="0"/>
        <w:rPr>
          <w:rFonts w:ascii="宋体" w:hAnsi="宋体" w:cs="宋体" w:eastAsia="宋体" w:hint="default"/>
          <w:sz w:val="13"/>
          <w:szCs w:val="13"/>
        </w:rPr>
      </w:pPr>
    </w:p>
    <w:p>
      <w:pPr>
        <w:pStyle w:val="BodyText"/>
        <w:spacing w:line="357" w:lineRule="auto" w:before="26"/>
        <w:ind w:left="700" w:right="0"/>
        <w:jc w:val="left"/>
      </w:pPr>
      <w:r>
        <w:rPr/>
        <w:t>（一）关于股东与股东大会 公司严格遵守《公司法》、《上市公司股东大会规则》、《公司章程》和公司</w:t>
      </w:r>
    </w:p>
    <w:p>
      <w:pPr>
        <w:pStyle w:val="BodyText"/>
        <w:spacing w:line="357" w:lineRule="auto" w:before="36"/>
        <w:ind w:left="220" w:right="110"/>
        <w:jc w:val="both"/>
      </w:pPr>
      <w:r>
        <w:rPr/>
        <w:t>《股东大会议事规则》等法律、法规及制度的要求，规范地召集、召开股东大会。</w:t>
      </w:r>
      <w:r>
        <w:rPr>
          <w:spacing w:val="-84"/>
        </w:rPr>
        <w:t> </w:t>
      </w:r>
      <w:r>
        <w:rPr>
          <w:spacing w:val="-84"/>
        </w:rPr>
      </w:r>
      <w:r>
        <w:rPr/>
        <w:t>股东大会的召集、召开程序、出席股东大会的人员资格及股东大会的表决程序均符</w:t>
      </w:r>
      <w:r>
        <w:rPr>
          <w:spacing w:val="-84"/>
        </w:rPr>
        <w:t> </w:t>
      </w:r>
      <w:r>
        <w:rPr>
          <w:spacing w:val="-84"/>
        </w:rPr>
      </w:r>
      <w:r>
        <w:rPr/>
        <w:t>合《公司法》、《上市公司股东大会规则》及其他法律法规的规定，能够确保全体</w:t>
      </w:r>
      <w:r>
        <w:rPr>
          <w:spacing w:val="-84"/>
        </w:rPr>
        <w:t> </w:t>
      </w:r>
      <w:r>
        <w:rPr>
          <w:spacing w:val="-84"/>
        </w:rPr>
      </w:r>
      <w:r>
        <w:rPr/>
        <w:t>股东享有平等地位、平等权利，特别是中小股东的合法权益，并承担相应的义务。</w:t>
      </w:r>
      <w:r>
        <w:rPr>
          <w:spacing w:val="-84"/>
        </w:rPr>
        <w:t> </w:t>
      </w:r>
      <w:r>
        <w:rPr>
          <w:spacing w:val="-84"/>
        </w:rPr>
      </w:r>
      <w:r>
        <w:rPr/>
        <w:t>报告期内的股东大会均由董事会召集召开，并有律师进行现场见证。根据《公司章</w:t>
      </w:r>
      <w:r>
        <w:rPr>
          <w:spacing w:val="-84"/>
        </w:rPr>
        <w:t> </w:t>
      </w:r>
      <w:r>
        <w:rPr>
          <w:spacing w:val="-84"/>
        </w:rPr>
      </w:r>
      <w:r>
        <w:rPr/>
        <w:t>程》及相关法律法规的规定应由股东大会表决的事项均按照相应的权限审批后交由</w:t>
      </w:r>
      <w:r>
        <w:rPr>
          <w:spacing w:val="-84"/>
        </w:rPr>
        <w:t> </w:t>
      </w:r>
      <w:r>
        <w:rPr>
          <w:spacing w:val="-84"/>
        </w:rPr>
      </w:r>
      <w:r>
        <w:rPr/>
        <w:t>股东大会审议，不存在越权审批的现象。股东大会审议关联交易事项时，关联股东</w:t>
      </w:r>
      <w:r>
        <w:rPr>
          <w:spacing w:val="-84"/>
        </w:rPr>
        <w:t> </w:t>
      </w:r>
      <w:r>
        <w:rPr>
          <w:spacing w:val="-84"/>
        </w:rPr>
      </w:r>
      <w:r>
        <w:rPr/>
        <w:t>回避表决，关联交易公平合理，不存在损害股东利益的情况。</w:t>
      </w:r>
    </w:p>
    <w:p>
      <w:pPr>
        <w:spacing w:line="240" w:lineRule="auto" w:before="0"/>
        <w:rPr>
          <w:rFonts w:ascii="宋体" w:hAnsi="宋体" w:cs="宋体" w:eastAsia="宋体" w:hint="default"/>
          <w:sz w:val="24"/>
          <w:szCs w:val="24"/>
        </w:rPr>
      </w:pPr>
    </w:p>
    <w:p>
      <w:pPr>
        <w:pStyle w:val="BodyText"/>
        <w:spacing w:line="357" w:lineRule="auto" w:before="190"/>
        <w:ind w:left="700" w:right="144" w:firstLine="60"/>
        <w:jc w:val="left"/>
      </w:pPr>
      <w:r>
        <w:rPr/>
        <w:t>（二）关于公司与控股股东 报告期内，公司控股股东恪守《中小企业板上市公司控股股东、实际控制人行</w:t>
      </w:r>
    </w:p>
    <w:p>
      <w:pPr>
        <w:pStyle w:val="BodyText"/>
        <w:spacing w:line="357" w:lineRule="auto" w:before="36"/>
        <w:ind w:left="220" w:right="162"/>
        <w:jc w:val="both"/>
      </w:pPr>
      <w:r>
        <w:rPr/>
        <w:t>为指引》的相关要求，依法行使其权利，并承担相应义务，通过股东大会行使出资 人权利，没有超越公司股东大会直接或间接干预公司的决策和经营活动。公司与控 股股东关联交易公平合理，决策程序符合规定，不存在控股股东占用公司资金的情 况，公司亦无为控股股东提供担保的情形。</w:t>
      </w:r>
    </w:p>
    <w:p>
      <w:pPr>
        <w:spacing w:line="240" w:lineRule="auto" w:before="0"/>
        <w:rPr>
          <w:rFonts w:ascii="宋体" w:hAnsi="宋体" w:cs="宋体" w:eastAsia="宋体" w:hint="default"/>
          <w:sz w:val="24"/>
          <w:szCs w:val="24"/>
        </w:rPr>
      </w:pPr>
    </w:p>
    <w:p>
      <w:pPr>
        <w:pStyle w:val="BodyText"/>
        <w:spacing w:line="357" w:lineRule="auto" w:before="190"/>
        <w:ind w:left="700" w:right="0" w:firstLine="60"/>
        <w:jc w:val="left"/>
      </w:pPr>
      <w:r>
        <w:rPr/>
        <w:t>（三）关于董事和董事会 公司董事会的人数、成员构成及董事的任职资格符合相关法律、法规的要求。</w:t>
      </w:r>
    </w:p>
    <w:p>
      <w:pPr>
        <w:pStyle w:val="BodyText"/>
        <w:spacing w:line="357" w:lineRule="auto" w:before="36"/>
        <w:ind w:left="220" w:right="110"/>
        <w:jc w:val="both"/>
      </w:pPr>
      <w:r>
        <w:rPr/>
        <w:t>公司董事的选聘程序公开、公平、公正。全体董事能够全面把握上市公司运作法律</w:t>
      </w:r>
      <w:r>
        <w:rPr>
          <w:spacing w:val="-84"/>
        </w:rPr>
        <w:t> </w:t>
      </w:r>
      <w:r>
        <w:rPr>
          <w:spacing w:val="-84"/>
        </w:rPr>
      </w:r>
      <w:r>
        <w:rPr/>
        <w:t>框架和公司治理基本原则，熟悉各自的权利、义务和法律责任，具有良好的履行董</w:t>
      </w:r>
      <w:r>
        <w:rPr>
          <w:spacing w:val="-84"/>
        </w:rPr>
        <w:t> </w:t>
      </w:r>
      <w:r>
        <w:rPr>
          <w:spacing w:val="-84"/>
        </w:rPr>
      </w:r>
      <w:r>
        <w:rPr/>
        <w:t>事职责的能力。在实际工作中，公司全体董事能够按照相关法律、法规及规章制度</w:t>
      </w:r>
      <w:r>
        <w:rPr>
          <w:spacing w:val="-84"/>
        </w:rPr>
        <w:t> </w:t>
      </w:r>
      <w:r>
        <w:rPr>
          <w:spacing w:val="-84"/>
        </w:rPr>
      </w:r>
      <w:r>
        <w:rPr/>
        <w:t>的要求开展工作，积极有效的履行职责，切实维护了广大中小投资者的利益。</w:t>
      </w:r>
    </w:p>
    <w:p>
      <w:pPr>
        <w:spacing w:line="240" w:lineRule="auto" w:before="0"/>
        <w:rPr>
          <w:rFonts w:ascii="宋体" w:hAnsi="宋体" w:cs="宋体" w:eastAsia="宋体" w:hint="default"/>
          <w:sz w:val="24"/>
          <w:szCs w:val="24"/>
        </w:rPr>
      </w:pPr>
    </w:p>
    <w:p>
      <w:pPr>
        <w:pStyle w:val="BodyText"/>
        <w:spacing w:line="240" w:lineRule="auto" w:before="190"/>
        <w:ind w:left="760" w:right="0"/>
        <w:jc w:val="left"/>
      </w:pPr>
      <w:r>
        <w:rPr/>
        <w:t>（四）关于监事和监事会</w:t>
      </w:r>
    </w:p>
    <w:p>
      <w:pPr>
        <w:spacing w:after="0" w:line="240" w:lineRule="auto"/>
        <w:jc w:val="left"/>
        <w:sectPr>
          <w:pgSz w:w="11910" w:h="16840"/>
          <w:pgMar w:header="877" w:footer="1048" w:top="1100" w:bottom="1240" w:left="1580" w:right="1300"/>
        </w:sectPr>
      </w:pPr>
    </w:p>
    <w:p>
      <w:pPr>
        <w:spacing w:line="240" w:lineRule="auto" w:before="7"/>
        <w:rPr>
          <w:rFonts w:ascii="宋体" w:hAnsi="宋体" w:cs="宋体" w:eastAsia="宋体" w:hint="default"/>
          <w:sz w:val="25"/>
          <w:szCs w:val="25"/>
        </w:rPr>
      </w:pPr>
    </w:p>
    <w:p>
      <w:pPr>
        <w:pStyle w:val="BodyText"/>
        <w:spacing w:line="357" w:lineRule="auto" w:before="26"/>
        <w:ind w:right="104" w:firstLine="480"/>
        <w:jc w:val="left"/>
      </w:pPr>
      <w:r>
        <w:rPr/>
        <w:t>公司监事会的人数、人员构成及监事的任职资格相关符合法律、法规的要求，</w:t>
      </w:r>
      <w:r>
        <w:rPr>
          <w:spacing w:val="1"/>
        </w:rPr>
        <w:t> </w:t>
      </w:r>
      <w:r>
        <w:rPr/>
        <w:t>公司监事的选聘程序符合相关法律法规的规定。监事会运作规范，监事会会议的召</w:t>
      </w:r>
      <w:r>
        <w:rPr>
          <w:spacing w:val="-84"/>
        </w:rPr>
        <w:t> </w:t>
      </w:r>
      <w:r>
        <w:rPr>
          <w:spacing w:val="-84"/>
        </w:rPr>
      </w:r>
      <w:r>
        <w:rPr>
          <w:spacing w:val="-3"/>
        </w:rPr>
        <w:t>集、召开和表决程序符合《公司法》、《公司章程》和《监事会议事规则》的规定。</w:t>
      </w:r>
      <w:r>
        <w:rPr>
          <w:spacing w:val="-111"/>
        </w:rPr>
        <w:t> </w:t>
      </w:r>
      <w:r>
        <w:rPr>
          <w:spacing w:val="-111"/>
        </w:rPr>
      </w:r>
      <w:r>
        <w:rPr/>
        <w:t>公司监事能够按照《监事会议事规则》等制度的要求，认真履行自己的职责，对公</w:t>
      </w:r>
      <w:r>
        <w:rPr>
          <w:spacing w:val="-84"/>
        </w:rPr>
        <w:t> </w:t>
      </w:r>
      <w:r>
        <w:rPr>
          <w:spacing w:val="-84"/>
        </w:rPr>
      </w:r>
      <w:r>
        <w:rPr/>
        <w:t>司运营情况、重大事项的决策以及公司董事和高级管理人员履行职责的合法合规性</w:t>
      </w:r>
      <w:r>
        <w:rPr>
          <w:spacing w:val="-84"/>
        </w:rPr>
        <w:t> </w:t>
      </w:r>
      <w:r>
        <w:rPr>
          <w:spacing w:val="-84"/>
        </w:rPr>
      </w:r>
      <w:r>
        <w:rPr/>
        <w:t>进行有效监督，积极维护公司及股东的合法权益。</w:t>
      </w:r>
    </w:p>
    <w:p>
      <w:pPr>
        <w:spacing w:line="240" w:lineRule="auto" w:before="0"/>
        <w:rPr>
          <w:rFonts w:ascii="宋体" w:hAnsi="宋体" w:cs="宋体" w:eastAsia="宋体" w:hint="default"/>
          <w:sz w:val="24"/>
          <w:szCs w:val="24"/>
        </w:rPr>
      </w:pPr>
    </w:p>
    <w:p>
      <w:pPr>
        <w:pStyle w:val="BodyText"/>
        <w:spacing w:line="357" w:lineRule="auto" w:before="190"/>
        <w:ind w:left="620" w:right="264" w:firstLine="60"/>
        <w:jc w:val="left"/>
      </w:pPr>
      <w:r>
        <w:rPr/>
        <w:t>（五）关于绩效评价与激励约束机制 公司已建立较为完善的董事、监事和高级管理人员绩效评价标准和激励约束机</w:t>
      </w:r>
    </w:p>
    <w:p>
      <w:pPr>
        <w:pStyle w:val="BodyText"/>
        <w:spacing w:line="348" w:lineRule="auto" w:before="36"/>
        <w:ind w:right="104"/>
        <w:jc w:val="left"/>
      </w:pPr>
      <w:r>
        <w:rPr/>
        <w:t>制，通过股权激励等方式加强对公司董事、高管的激励。公司建立健全了关键业绩 </w:t>
      </w:r>
      <w:r>
        <w:rPr>
          <w:spacing w:val="-10"/>
        </w:rPr>
        <w:t>指标（</w:t>
      </w:r>
      <w:r>
        <w:rPr>
          <w:rFonts w:ascii="Times New Roman" w:hAnsi="Times New Roman" w:cs="Times New Roman" w:eastAsia="Times New Roman" w:hint="default"/>
          <w:spacing w:val="-10"/>
        </w:rPr>
        <w:t>KPI</w:t>
      </w:r>
      <w:r>
        <w:rPr>
          <w:spacing w:val="-10"/>
        </w:rPr>
        <w:t>）管理体系，制定了与各工作岗位相符的切实可行的关键业绩指标（</w:t>
      </w:r>
      <w:r>
        <w:rPr>
          <w:rFonts w:ascii="Times New Roman" w:hAnsi="Times New Roman" w:cs="Times New Roman" w:eastAsia="Times New Roman" w:hint="default"/>
          <w:spacing w:val="-10"/>
        </w:rPr>
        <w:t>KPI</w:t>
      </w:r>
      <w:r>
        <w:rPr>
          <w:spacing w:val="-10"/>
        </w:rPr>
        <w:t>），</w:t>
      </w:r>
      <w:r>
        <w:rPr>
          <w:spacing w:val="-82"/>
        </w:rPr>
        <w:t> </w:t>
      </w:r>
      <w:r>
        <w:rPr>
          <w:spacing w:val="-82"/>
        </w:rPr>
      </w:r>
      <w:r>
        <w:rPr/>
        <w:t>经营管理层和员工的收入与其工作成效挂钩。</w:t>
      </w:r>
    </w:p>
    <w:p>
      <w:pPr>
        <w:spacing w:line="240" w:lineRule="auto" w:before="0"/>
        <w:rPr>
          <w:rFonts w:ascii="宋体" w:hAnsi="宋体" w:cs="宋体" w:eastAsia="宋体" w:hint="default"/>
          <w:sz w:val="24"/>
          <w:szCs w:val="24"/>
        </w:rPr>
      </w:pPr>
    </w:p>
    <w:p>
      <w:pPr>
        <w:pStyle w:val="BodyText"/>
        <w:spacing w:line="357" w:lineRule="auto" w:before="200"/>
        <w:ind w:left="620" w:right="264" w:firstLine="60"/>
        <w:jc w:val="left"/>
      </w:pPr>
      <w:r>
        <w:rPr/>
        <w:t>（六）关于相关利益者 公司在注重企业经营的同时，积极主动的承担社会责任，充分尊重和维护利益</w:t>
      </w:r>
    </w:p>
    <w:p>
      <w:pPr>
        <w:pStyle w:val="BodyText"/>
        <w:spacing w:line="357" w:lineRule="auto" w:before="36"/>
        <w:ind w:right="98"/>
        <w:jc w:val="left"/>
      </w:pPr>
      <w:r>
        <w:rPr>
          <w:spacing w:val="-2"/>
        </w:rPr>
        <w:t>相关者的合法权利，加强与各方的沟通和合作，努力促进和实现公司、股东、员工、</w:t>
      </w:r>
      <w:r>
        <w:rPr>
          <w:spacing w:val="-118"/>
        </w:rPr>
        <w:t> </w:t>
      </w:r>
      <w:r>
        <w:rPr>
          <w:spacing w:val="-118"/>
        </w:rPr>
      </w:r>
      <w:r>
        <w:rPr/>
        <w:t>客户、供应商、最终用户、社会等各方利益的均衡。</w:t>
      </w:r>
    </w:p>
    <w:p>
      <w:pPr>
        <w:spacing w:line="240" w:lineRule="auto" w:before="0"/>
        <w:rPr>
          <w:rFonts w:ascii="宋体" w:hAnsi="宋体" w:cs="宋体" w:eastAsia="宋体" w:hint="default"/>
          <w:sz w:val="24"/>
          <w:szCs w:val="24"/>
        </w:rPr>
      </w:pPr>
    </w:p>
    <w:p>
      <w:pPr>
        <w:pStyle w:val="BodyText"/>
        <w:spacing w:line="357" w:lineRule="auto" w:before="190"/>
        <w:ind w:left="620" w:right="104" w:firstLine="60"/>
        <w:jc w:val="left"/>
      </w:pPr>
      <w:r>
        <w:rPr/>
        <w:t>（七）关于信息披露与透明度 公司按照《深圳证券交易所股票上市规则》、《公司章程》等相关法律、法规</w:t>
      </w:r>
    </w:p>
    <w:p>
      <w:pPr>
        <w:pStyle w:val="BodyText"/>
        <w:spacing w:line="350" w:lineRule="auto" w:before="36"/>
        <w:ind w:right="230"/>
        <w:jc w:val="both"/>
      </w:pPr>
      <w:r>
        <w:rPr/>
        <w:t>的规定，不断建立健全有关公司信息披露的管理制度，加强信息披露事务管理，依</w:t>
      </w:r>
      <w:r>
        <w:rPr>
          <w:spacing w:val="-84"/>
        </w:rPr>
        <w:t> </w:t>
      </w:r>
      <w:r>
        <w:rPr>
          <w:spacing w:val="-84"/>
        </w:rPr>
      </w:r>
      <w:r>
        <w:rPr/>
        <w:t>法履行信息披露义务。公司指定《证券时报》、《中国证券报》、《上海证券报》</w:t>
      </w:r>
      <w:r>
        <w:rPr>
          <w:spacing w:val="-84"/>
        </w:rPr>
        <w:t> </w:t>
      </w:r>
      <w:r>
        <w:rPr>
          <w:spacing w:val="-84"/>
        </w:rPr>
      </w:r>
      <w:r>
        <w:rPr/>
        <w:t>和巨潮资讯网</w:t>
      </w:r>
      <w:r>
        <w:rPr>
          <w:rFonts w:ascii="Times New Roman" w:hAnsi="Times New Roman" w:cs="Times New Roman" w:eastAsia="Times New Roman" w:hint="default"/>
        </w:rPr>
        <w:t>(</w:t>
      </w:r>
      <w:hyperlink r:id="rId15">
        <w:r>
          <w:rPr>
            <w:rFonts w:ascii="Times New Roman" w:hAnsi="Times New Roman" w:cs="Times New Roman" w:eastAsia="Times New Roman" w:hint="default"/>
            <w:sz w:val="21"/>
            <w:szCs w:val="21"/>
          </w:rPr>
          <w:t>http://www.cninfo.com.cn</w:t>
        </w:r>
        <w:r>
          <w:rPr>
            <w:rFonts w:ascii="Times New Roman" w:hAnsi="Times New Roman" w:cs="Times New Roman" w:eastAsia="Times New Roman" w:hint="default"/>
          </w:rPr>
          <w:t>/)</w:t>
        </w:r>
        <w:r>
          <w:rPr/>
          <w:t>为公司信息披露的报纸和网站，真实、准确、</w:t>
        </w:r>
      </w:hyperlink>
      <w:r>
        <w:rPr/>
        <w:t> 及时地披露公司信息，确保公司所有股东及时、公平地获得公司相关信息。</w:t>
      </w:r>
    </w:p>
    <w:p>
      <w:pPr>
        <w:spacing w:line="240" w:lineRule="auto" w:before="0"/>
        <w:rPr>
          <w:rFonts w:ascii="宋体" w:hAnsi="宋体" w:cs="宋体" w:eastAsia="宋体" w:hint="default"/>
          <w:sz w:val="24"/>
          <w:szCs w:val="24"/>
        </w:rPr>
      </w:pPr>
    </w:p>
    <w:p>
      <w:pPr>
        <w:pStyle w:val="BodyText"/>
        <w:spacing w:line="357" w:lineRule="auto" w:before="197"/>
        <w:ind w:left="680" w:right="104"/>
        <w:jc w:val="left"/>
      </w:pPr>
      <w:r>
        <w:rPr/>
        <w:t>（八）内部审计制度 </w:t>
      </w:r>
      <w:r>
        <w:rPr>
          <w:spacing w:val="-1"/>
        </w:rPr>
        <w:t>公司已建立较为完善的内部审计制度，设立了内部审计机构，聘任了审计机构</w:t>
      </w:r>
    </w:p>
    <w:p>
      <w:pPr>
        <w:pStyle w:val="BodyText"/>
        <w:spacing w:line="357" w:lineRule="auto" w:before="36"/>
        <w:ind w:right="104"/>
        <w:jc w:val="left"/>
      </w:pPr>
      <w:r>
        <w:rPr/>
        <w:t>负责人。内部审计机构向董事会审计委员会负责并报告工作，不受其他部门或者个</w:t>
      </w:r>
      <w:r>
        <w:rPr>
          <w:spacing w:val="-84"/>
        </w:rPr>
        <w:t> </w:t>
      </w:r>
      <w:r>
        <w:rPr>
          <w:spacing w:val="-84"/>
        </w:rPr>
      </w:r>
      <w:r>
        <w:rPr/>
        <w:t>人的干涉。内部审计机构负责对本公司各内部机构、控股子公司以及具有重大影响</w:t>
      </w:r>
    </w:p>
    <w:p>
      <w:pPr>
        <w:spacing w:after="0" w:line="357" w:lineRule="auto"/>
        <w:jc w:val="left"/>
        <w:sectPr>
          <w:pgSz w:w="11910" w:h="16840"/>
          <w:pgMar w:header="877" w:footer="1048" w:top="1100" w:bottom="1240" w:left="1660" w:right="1180"/>
        </w:sectPr>
      </w:pPr>
    </w:p>
    <w:p>
      <w:pPr>
        <w:spacing w:line="240" w:lineRule="auto" w:before="7"/>
        <w:rPr>
          <w:rFonts w:ascii="宋体" w:hAnsi="宋体" w:cs="宋体" w:eastAsia="宋体" w:hint="default"/>
          <w:sz w:val="25"/>
          <w:szCs w:val="25"/>
        </w:rPr>
      </w:pPr>
    </w:p>
    <w:p>
      <w:pPr>
        <w:pStyle w:val="BodyText"/>
        <w:spacing w:line="357" w:lineRule="auto" w:before="26"/>
        <w:ind w:left="220" w:right="230"/>
        <w:jc w:val="both"/>
      </w:pPr>
      <w:r>
        <w:rPr/>
        <w:t>的参股公司的内部控制制度的完整性、合理性及其实施的有效性进行检查和评估，</w:t>
      </w:r>
      <w:r>
        <w:rPr>
          <w:spacing w:val="-84"/>
        </w:rPr>
        <w:t> </w:t>
      </w:r>
      <w:r>
        <w:rPr>
          <w:spacing w:val="-84"/>
        </w:rPr>
      </w:r>
      <w:r>
        <w:rPr/>
        <w:t>并提出相应的改进建议；对本公司各内部机构、控股子公司以及具有重大影响的参</w:t>
      </w:r>
      <w:r>
        <w:rPr>
          <w:spacing w:val="-84"/>
        </w:rPr>
        <w:t> </w:t>
      </w:r>
      <w:r>
        <w:rPr>
          <w:spacing w:val="-84"/>
        </w:rPr>
      </w:r>
      <w:r>
        <w:rPr/>
        <w:t>股公司的会计资料及其他有关的经济活动的合规性、真实性和完整性进行审计。</w:t>
      </w:r>
    </w:p>
    <w:p>
      <w:pPr>
        <w:spacing w:line="240" w:lineRule="auto" w:before="0"/>
        <w:rPr>
          <w:rFonts w:ascii="宋体" w:hAnsi="宋体" w:cs="宋体" w:eastAsia="宋体" w:hint="default"/>
          <w:sz w:val="24"/>
          <w:szCs w:val="24"/>
        </w:rPr>
      </w:pPr>
    </w:p>
    <w:p>
      <w:pPr>
        <w:pStyle w:val="BodyText"/>
        <w:spacing w:line="357" w:lineRule="auto" w:before="190"/>
        <w:ind w:left="760" w:right="104"/>
        <w:jc w:val="left"/>
      </w:pPr>
      <w:r>
        <w:rPr/>
        <w:t>（九）投资者关系 </w:t>
      </w:r>
      <w:r>
        <w:rPr>
          <w:spacing w:val="-4"/>
        </w:rPr>
        <w:t>公司高度重视投资者关系管理工作，严格按照相关法律法规、规章制度的要求，</w:t>
      </w:r>
    </w:p>
    <w:p>
      <w:pPr>
        <w:pStyle w:val="BodyText"/>
        <w:spacing w:line="357" w:lineRule="auto" w:before="36"/>
        <w:ind w:left="220" w:right="230"/>
        <w:jc w:val="both"/>
      </w:pPr>
      <w:r>
        <w:rPr/>
        <w:t>及时、真实、准确的向投资者披露公司的相关信息。公司规范接待投资者的实地调</w:t>
      </w:r>
      <w:r>
        <w:rPr>
          <w:spacing w:val="-84"/>
        </w:rPr>
        <w:t> </w:t>
      </w:r>
      <w:r>
        <w:rPr>
          <w:spacing w:val="-84"/>
        </w:rPr>
      </w:r>
      <w:r>
        <w:rPr/>
        <w:t>研，在不违反公平披露的原则下解答相关问题，加强了投资者对公司的认识，增进</w:t>
      </w:r>
      <w:r>
        <w:rPr>
          <w:spacing w:val="-84"/>
        </w:rPr>
        <w:t> </w:t>
      </w:r>
      <w:r>
        <w:rPr>
          <w:spacing w:val="-84"/>
        </w:rPr>
      </w:r>
      <w:r>
        <w:rPr/>
        <w:t>了投资者对公司的了解和信心；通过公司网站、投资者关系管理热线电话、电子信</w:t>
      </w:r>
      <w:r>
        <w:rPr>
          <w:spacing w:val="-84"/>
        </w:rPr>
        <w:t> </w:t>
      </w:r>
      <w:r>
        <w:rPr>
          <w:spacing w:val="-84"/>
        </w:rPr>
      </w:r>
      <w:r>
        <w:rPr/>
        <w:t>箱、传真、巨潮资讯网等多种渠道与投资者加强沟通，解答投资者的疑问，确保所</w:t>
      </w:r>
      <w:r>
        <w:rPr>
          <w:spacing w:val="-84"/>
        </w:rPr>
        <w:t> </w:t>
      </w:r>
      <w:r>
        <w:rPr>
          <w:spacing w:val="-84"/>
        </w:rPr>
      </w:r>
      <w:r>
        <w:rPr/>
        <w:t>有投资者公平地获得公司信息；积极维护投资者关系管理平台，详细回答投资者的</w:t>
      </w:r>
      <w:r>
        <w:rPr>
          <w:spacing w:val="-84"/>
        </w:rPr>
        <w:t> </w:t>
      </w:r>
      <w:r>
        <w:rPr>
          <w:spacing w:val="-84"/>
        </w:rPr>
      </w:r>
      <w:r>
        <w:rPr/>
        <w:t>问询，定期将投资者提出的问题和建议整理、汇总报送给公司管理层。</w:t>
      </w:r>
    </w:p>
    <w:p>
      <w:pPr>
        <w:spacing w:line="240" w:lineRule="auto" w:before="0"/>
        <w:rPr>
          <w:rFonts w:ascii="宋体" w:hAnsi="宋体" w:cs="宋体" w:eastAsia="宋体" w:hint="default"/>
          <w:sz w:val="24"/>
          <w:szCs w:val="24"/>
        </w:rPr>
      </w:pPr>
    </w:p>
    <w:p>
      <w:pPr>
        <w:pStyle w:val="BodyText"/>
        <w:spacing w:line="357" w:lineRule="auto" w:before="190"/>
        <w:ind w:left="700" w:right="264"/>
        <w:jc w:val="left"/>
      </w:pPr>
      <w:r>
        <w:rPr/>
        <w:t>二、董事履行职责情况 报告期内，公司全体董事均能严格按照《公司法》、《中小企业板上市公司董</w:t>
      </w:r>
    </w:p>
    <w:p>
      <w:pPr>
        <w:pStyle w:val="BodyText"/>
        <w:spacing w:line="357" w:lineRule="auto" w:before="36"/>
        <w:ind w:left="220" w:right="282"/>
        <w:jc w:val="both"/>
      </w:pPr>
      <w:r>
        <w:rPr/>
        <w:t>事行为指引》、《深圳证券交易所上市规则》及其他法律法规和《公司章程》的规 定和要求，诚实守信、勤勉、独立的履行职责，积极出席公司相关的会议，认真审 议各项董事会议案，忠诚于公司和股东的利益，切实维护了公司和全体股东的合法 权益。</w:t>
      </w:r>
    </w:p>
    <w:p>
      <w:pPr>
        <w:pStyle w:val="BodyText"/>
        <w:spacing w:line="240" w:lineRule="auto" w:before="36"/>
        <w:ind w:left="700" w:right="104"/>
        <w:jc w:val="left"/>
      </w:pPr>
      <w:r>
        <w:rPr/>
        <w:t>（一）报告期内董事出席董事会会议情况</w:t>
      </w:r>
    </w:p>
    <w:p>
      <w:pPr>
        <w:spacing w:line="240" w:lineRule="auto" w:before="9"/>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1008"/>
        <w:gridCol w:w="1080"/>
        <w:gridCol w:w="856"/>
        <w:gridCol w:w="851"/>
        <w:gridCol w:w="1417"/>
        <w:gridCol w:w="851"/>
        <w:gridCol w:w="709"/>
        <w:gridCol w:w="1416"/>
        <w:gridCol w:w="709"/>
      </w:tblGrid>
      <w:tr>
        <w:trPr>
          <w:trHeight w:val="650" w:hRule="exact"/>
        </w:trPr>
        <w:tc>
          <w:tcPr>
            <w:tcW w:w="100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董事姓名</w:t>
            </w:r>
          </w:p>
        </w:tc>
        <w:tc>
          <w:tcPr>
            <w:tcW w:w="10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具体职务</w:t>
            </w:r>
          </w:p>
        </w:tc>
        <w:tc>
          <w:tcPr>
            <w:tcW w:w="85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242" w:right="151" w:hanging="90"/>
              <w:jc w:val="left"/>
              <w:rPr>
                <w:rFonts w:ascii="宋体" w:hAnsi="宋体" w:cs="宋体" w:eastAsia="宋体" w:hint="default"/>
                <w:sz w:val="18"/>
                <w:szCs w:val="18"/>
              </w:rPr>
            </w:pPr>
            <w:r>
              <w:rPr>
                <w:rFonts w:ascii="宋体" w:hAnsi="宋体" w:cs="宋体" w:eastAsia="宋体" w:hint="default"/>
                <w:sz w:val="18"/>
                <w:szCs w:val="18"/>
              </w:rPr>
              <w:t>应出席 次数</w:t>
            </w:r>
          </w:p>
        </w:tc>
        <w:tc>
          <w:tcPr>
            <w:tcW w:w="85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148" w:right="150"/>
              <w:jc w:val="left"/>
              <w:rPr>
                <w:rFonts w:ascii="宋体" w:hAnsi="宋体" w:cs="宋体" w:eastAsia="宋体" w:hint="default"/>
                <w:sz w:val="18"/>
                <w:szCs w:val="18"/>
              </w:rPr>
            </w:pPr>
            <w:r>
              <w:rPr>
                <w:rFonts w:ascii="宋体" w:hAnsi="宋体" w:cs="宋体" w:eastAsia="宋体" w:hint="default"/>
                <w:sz w:val="18"/>
                <w:szCs w:val="18"/>
              </w:rPr>
              <w:t>现场出 席次数</w:t>
            </w:r>
          </w:p>
        </w:tc>
        <w:tc>
          <w:tcPr>
            <w:tcW w:w="141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253" w:right="162" w:hanging="90"/>
              <w:jc w:val="left"/>
              <w:rPr>
                <w:rFonts w:ascii="宋体" w:hAnsi="宋体" w:cs="宋体" w:eastAsia="宋体" w:hint="default"/>
                <w:sz w:val="18"/>
                <w:szCs w:val="18"/>
              </w:rPr>
            </w:pPr>
            <w:r>
              <w:rPr>
                <w:rFonts w:ascii="宋体" w:hAnsi="宋体" w:cs="宋体" w:eastAsia="宋体" w:hint="default"/>
                <w:sz w:val="18"/>
                <w:szCs w:val="18"/>
              </w:rPr>
              <w:t>以通讯方式参 加会议次数</w:t>
            </w:r>
          </w:p>
        </w:tc>
        <w:tc>
          <w:tcPr>
            <w:tcW w:w="85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148" w:right="150"/>
              <w:jc w:val="left"/>
              <w:rPr>
                <w:rFonts w:ascii="宋体" w:hAnsi="宋体" w:cs="宋体" w:eastAsia="宋体" w:hint="default"/>
                <w:sz w:val="18"/>
                <w:szCs w:val="18"/>
              </w:rPr>
            </w:pPr>
            <w:r>
              <w:rPr>
                <w:rFonts w:ascii="宋体" w:hAnsi="宋体" w:cs="宋体" w:eastAsia="宋体" w:hint="default"/>
                <w:sz w:val="18"/>
                <w:szCs w:val="18"/>
              </w:rPr>
              <w:t>委托出 席次数</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169" w:right="168"/>
              <w:jc w:val="left"/>
              <w:rPr>
                <w:rFonts w:ascii="宋体" w:hAnsi="宋体" w:cs="宋体" w:eastAsia="宋体" w:hint="default"/>
                <w:sz w:val="18"/>
                <w:szCs w:val="18"/>
              </w:rPr>
            </w:pPr>
            <w:r>
              <w:rPr>
                <w:rFonts w:ascii="宋体" w:hAnsi="宋体" w:cs="宋体" w:eastAsia="宋体" w:hint="default"/>
                <w:sz w:val="18"/>
                <w:szCs w:val="18"/>
              </w:rPr>
              <w:t>缺席 次数</w:t>
            </w:r>
          </w:p>
        </w:tc>
        <w:tc>
          <w:tcPr>
            <w:tcW w:w="141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251" w:right="162" w:hanging="90"/>
              <w:jc w:val="left"/>
              <w:rPr>
                <w:rFonts w:ascii="宋体" w:hAnsi="宋体" w:cs="宋体" w:eastAsia="宋体" w:hint="default"/>
                <w:sz w:val="18"/>
                <w:szCs w:val="18"/>
              </w:rPr>
            </w:pPr>
            <w:r>
              <w:rPr>
                <w:rFonts w:ascii="宋体" w:hAnsi="宋体" w:cs="宋体" w:eastAsia="宋体" w:hint="default"/>
                <w:sz w:val="18"/>
                <w:szCs w:val="18"/>
              </w:rPr>
              <w:t>是否连续两次 未亲自出席</w:t>
            </w:r>
          </w:p>
        </w:tc>
        <w:tc>
          <w:tcPr>
            <w:tcW w:w="70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68"/>
              <w:jc w:val="right"/>
              <w:rPr>
                <w:rFonts w:ascii="宋体" w:hAnsi="宋体" w:cs="宋体" w:eastAsia="宋体" w:hint="default"/>
                <w:sz w:val="18"/>
                <w:szCs w:val="18"/>
              </w:rPr>
            </w:pPr>
            <w:r>
              <w:rPr>
                <w:rFonts w:ascii="宋体" w:hAnsi="宋体" w:cs="宋体" w:eastAsia="宋体" w:hint="default"/>
                <w:sz w:val="18"/>
                <w:szCs w:val="18"/>
              </w:rPr>
              <w:t>备注</w:t>
            </w:r>
          </w:p>
        </w:tc>
      </w:tr>
      <w:tr>
        <w:trPr>
          <w:trHeight w:val="330" w:hRule="exact"/>
        </w:trPr>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杨文江</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13</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328" w:right="0"/>
              <w:jc w:val="left"/>
              <w:rPr>
                <w:rFonts w:ascii="Times New Roman" w:hAnsi="Times New Roman" w:cs="Times New Roman" w:eastAsia="Times New Roman" w:hint="default"/>
                <w:sz w:val="18"/>
                <w:szCs w:val="18"/>
              </w:rPr>
            </w:pPr>
            <w:r>
              <w:rPr>
                <w:rFonts w:ascii="Times New Roman"/>
                <w:sz w:val="18"/>
              </w:rPr>
              <w:t>11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1</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1</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612"/>
              <w:jc w:val="right"/>
              <w:rPr>
                <w:rFonts w:ascii="宋体" w:hAnsi="宋体" w:cs="宋体" w:eastAsia="宋体" w:hint="default"/>
                <w:sz w:val="18"/>
                <w:szCs w:val="18"/>
              </w:rPr>
            </w:pPr>
            <w:r>
              <w:rPr>
                <w:rFonts w:ascii="宋体" w:hAnsi="宋体" w:cs="宋体" w:eastAsia="宋体" w:hint="default"/>
                <w:sz w:val="18"/>
                <w:szCs w:val="18"/>
              </w:rPr>
              <w:t>否</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68"/>
              <w:jc w:val="right"/>
              <w:rPr>
                <w:rFonts w:ascii="宋体" w:hAnsi="宋体" w:cs="宋体" w:eastAsia="宋体" w:hint="default"/>
                <w:sz w:val="18"/>
                <w:szCs w:val="18"/>
              </w:rPr>
            </w:pPr>
            <w:r>
              <w:rPr>
                <w:rFonts w:ascii="宋体" w:hAnsi="宋体" w:cs="宋体" w:eastAsia="宋体" w:hint="default"/>
                <w:sz w:val="18"/>
                <w:szCs w:val="18"/>
              </w:rPr>
              <w:t>现任</w:t>
            </w:r>
          </w:p>
        </w:tc>
      </w:tr>
      <w:tr>
        <w:trPr>
          <w:trHeight w:val="330" w:hRule="exact"/>
        </w:trPr>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吴  宁</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13</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328" w:right="0"/>
              <w:jc w:val="left"/>
              <w:rPr>
                <w:rFonts w:ascii="Times New Roman" w:hAnsi="Times New Roman" w:cs="Times New Roman" w:eastAsia="Times New Roman" w:hint="default"/>
                <w:sz w:val="18"/>
                <w:szCs w:val="18"/>
              </w:rPr>
            </w:pPr>
            <w:r>
              <w:rPr>
                <w:rFonts w:ascii="Times New Roman"/>
                <w:sz w:val="18"/>
              </w:rPr>
              <w:t>12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1</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612"/>
              <w:jc w:val="right"/>
              <w:rPr>
                <w:rFonts w:ascii="宋体" w:hAnsi="宋体" w:cs="宋体" w:eastAsia="宋体" w:hint="default"/>
                <w:sz w:val="18"/>
                <w:szCs w:val="18"/>
              </w:rPr>
            </w:pPr>
            <w:r>
              <w:rPr>
                <w:rFonts w:ascii="宋体" w:hAnsi="宋体" w:cs="宋体" w:eastAsia="宋体" w:hint="default"/>
                <w:sz w:val="18"/>
                <w:szCs w:val="18"/>
              </w:rPr>
              <w:t>否</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68"/>
              <w:jc w:val="right"/>
              <w:rPr>
                <w:rFonts w:ascii="宋体" w:hAnsi="宋体" w:cs="宋体" w:eastAsia="宋体" w:hint="default"/>
                <w:sz w:val="18"/>
                <w:szCs w:val="18"/>
              </w:rPr>
            </w:pPr>
            <w:r>
              <w:rPr>
                <w:rFonts w:ascii="宋体" w:hAnsi="宋体" w:cs="宋体" w:eastAsia="宋体" w:hint="default"/>
                <w:sz w:val="18"/>
                <w:szCs w:val="18"/>
              </w:rPr>
              <w:t>现任</w:t>
            </w:r>
          </w:p>
        </w:tc>
      </w:tr>
      <w:tr>
        <w:trPr>
          <w:trHeight w:val="330" w:hRule="exact"/>
        </w:trPr>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王志杰</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13</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328" w:right="0"/>
              <w:jc w:val="left"/>
              <w:rPr>
                <w:rFonts w:ascii="Times New Roman" w:hAnsi="Times New Roman" w:cs="Times New Roman" w:eastAsia="Times New Roman" w:hint="default"/>
                <w:sz w:val="18"/>
                <w:szCs w:val="18"/>
              </w:rPr>
            </w:pPr>
            <w:r>
              <w:rPr>
                <w:rFonts w:ascii="Times New Roman"/>
                <w:sz w:val="18"/>
              </w:rPr>
              <w:t>13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612"/>
              <w:jc w:val="right"/>
              <w:rPr>
                <w:rFonts w:ascii="宋体" w:hAnsi="宋体" w:cs="宋体" w:eastAsia="宋体" w:hint="default"/>
                <w:sz w:val="18"/>
                <w:szCs w:val="18"/>
              </w:rPr>
            </w:pPr>
            <w:r>
              <w:rPr>
                <w:rFonts w:ascii="宋体" w:hAnsi="宋体" w:cs="宋体" w:eastAsia="宋体" w:hint="default"/>
                <w:sz w:val="18"/>
                <w:szCs w:val="18"/>
              </w:rPr>
              <w:t>否</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68"/>
              <w:jc w:val="right"/>
              <w:rPr>
                <w:rFonts w:ascii="宋体" w:hAnsi="宋体" w:cs="宋体" w:eastAsia="宋体" w:hint="default"/>
                <w:sz w:val="18"/>
                <w:szCs w:val="18"/>
              </w:rPr>
            </w:pPr>
            <w:r>
              <w:rPr>
                <w:rFonts w:ascii="宋体" w:hAnsi="宋体" w:cs="宋体" w:eastAsia="宋体" w:hint="default"/>
                <w:sz w:val="18"/>
                <w:szCs w:val="18"/>
              </w:rPr>
              <w:t>现任</w:t>
            </w:r>
          </w:p>
        </w:tc>
      </w:tr>
      <w:tr>
        <w:trPr>
          <w:trHeight w:val="330" w:hRule="exact"/>
        </w:trPr>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石本仁</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13</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328" w:right="0"/>
              <w:jc w:val="left"/>
              <w:rPr>
                <w:rFonts w:ascii="Times New Roman" w:hAnsi="Times New Roman" w:cs="Times New Roman" w:eastAsia="Times New Roman" w:hint="default"/>
                <w:sz w:val="18"/>
                <w:szCs w:val="18"/>
              </w:rPr>
            </w:pPr>
            <w:r>
              <w:rPr>
                <w:rFonts w:ascii="Times New Roman"/>
                <w:sz w:val="18"/>
              </w:rPr>
              <w:t>10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3</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612"/>
              <w:jc w:val="right"/>
              <w:rPr>
                <w:rFonts w:ascii="宋体" w:hAnsi="宋体" w:cs="宋体" w:eastAsia="宋体" w:hint="default"/>
                <w:sz w:val="18"/>
                <w:szCs w:val="18"/>
              </w:rPr>
            </w:pPr>
            <w:r>
              <w:rPr>
                <w:rFonts w:ascii="宋体" w:hAnsi="宋体" w:cs="宋体" w:eastAsia="宋体" w:hint="default"/>
                <w:sz w:val="18"/>
                <w:szCs w:val="18"/>
              </w:rPr>
              <w:t>否</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68"/>
              <w:jc w:val="right"/>
              <w:rPr>
                <w:rFonts w:ascii="宋体" w:hAnsi="宋体" w:cs="宋体" w:eastAsia="宋体" w:hint="default"/>
                <w:sz w:val="18"/>
                <w:szCs w:val="18"/>
              </w:rPr>
            </w:pPr>
            <w:r>
              <w:rPr>
                <w:rFonts w:ascii="宋体" w:hAnsi="宋体" w:cs="宋体" w:eastAsia="宋体" w:hint="default"/>
                <w:sz w:val="18"/>
                <w:szCs w:val="18"/>
              </w:rPr>
              <w:t>现任</w:t>
            </w:r>
          </w:p>
        </w:tc>
      </w:tr>
      <w:tr>
        <w:trPr>
          <w:trHeight w:val="330" w:hRule="exact"/>
        </w:trPr>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张  华</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13</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332" w:right="0"/>
              <w:jc w:val="left"/>
              <w:rPr>
                <w:rFonts w:ascii="Times New Roman" w:hAnsi="Times New Roman" w:cs="Times New Roman" w:eastAsia="Times New Roman" w:hint="default"/>
                <w:sz w:val="18"/>
                <w:szCs w:val="18"/>
              </w:rPr>
            </w:pPr>
            <w:r>
              <w:rPr>
                <w:rFonts w:ascii="Times New Roman"/>
                <w:spacing w:val="-4"/>
                <w:sz w:val="18"/>
              </w:rPr>
              <w:t>11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2</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612"/>
              <w:jc w:val="right"/>
              <w:rPr>
                <w:rFonts w:ascii="宋体" w:hAnsi="宋体" w:cs="宋体" w:eastAsia="宋体" w:hint="default"/>
                <w:sz w:val="18"/>
                <w:szCs w:val="18"/>
              </w:rPr>
            </w:pPr>
            <w:r>
              <w:rPr>
                <w:rFonts w:ascii="宋体" w:hAnsi="宋体" w:cs="宋体" w:eastAsia="宋体" w:hint="default"/>
                <w:sz w:val="18"/>
                <w:szCs w:val="18"/>
              </w:rPr>
              <w:t>否</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68"/>
              <w:jc w:val="right"/>
              <w:rPr>
                <w:rFonts w:ascii="宋体" w:hAnsi="宋体" w:cs="宋体" w:eastAsia="宋体" w:hint="default"/>
                <w:sz w:val="18"/>
                <w:szCs w:val="18"/>
              </w:rPr>
            </w:pPr>
            <w:r>
              <w:rPr>
                <w:rFonts w:ascii="宋体" w:hAnsi="宋体" w:cs="宋体" w:eastAsia="宋体" w:hint="default"/>
                <w:sz w:val="18"/>
                <w:szCs w:val="18"/>
              </w:rPr>
              <w:t>现任</w:t>
            </w:r>
          </w:p>
        </w:tc>
      </w:tr>
      <w:tr>
        <w:trPr>
          <w:trHeight w:val="330" w:hRule="exact"/>
        </w:trPr>
        <w:tc>
          <w:tcPr>
            <w:tcW w:w="3794" w:type="dxa"/>
            <w:gridSpan w:val="4"/>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年内召开董事会会议次数</w:t>
            </w:r>
          </w:p>
        </w:tc>
        <w:tc>
          <w:tcPr>
            <w:tcW w:w="510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13</w:t>
            </w:r>
          </w:p>
        </w:tc>
      </w:tr>
      <w:tr>
        <w:trPr>
          <w:trHeight w:val="330" w:hRule="exact"/>
        </w:trPr>
        <w:tc>
          <w:tcPr>
            <w:tcW w:w="3794" w:type="dxa"/>
            <w:gridSpan w:val="4"/>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其中：现场会议次数</w:t>
            </w:r>
          </w:p>
        </w:tc>
        <w:tc>
          <w:tcPr>
            <w:tcW w:w="510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 w:right="0"/>
              <w:jc w:val="center"/>
              <w:rPr>
                <w:rFonts w:ascii="Times New Roman" w:hAnsi="Times New Roman" w:cs="Times New Roman" w:eastAsia="Times New Roman" w:hint="default"/>
                <w:sz w:val="18"/>
                <w:szCs w:val="18"/>
              </w:rPr>
            </w:pPr>
            <w:r>
              <w:rPr>
                <w:rFonts w:ascii="Times New Roman"/>
                <w:sz w:val="18"/>
              </w:rPr>
              <w:t>8</w:t>
            </w:r>
          </w:p>
        </w:tc>
      </w:tr>
      <w:tr>
        <w:trPr>
          <w:trHeight w:val="330" w:hRule="exact"/>
        </w:trPr>
        <w:tc>
          <w:tcPr>
            <w:tcW w:w="3794" w:type="dxa"/>
            <w:gridSpan w:val="4"/>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643" w:right="0"/>
              <w:jc w:val="left"/>
              <w:rPr>
                <w:rFonts w:ascii="宋体" w:hAnsi="宋体" w:cs="宋体" w:eastAsia="宋体" w:hint="default"/>
                <w:sz w:val="18"/>
                <w:szCs w:val="18"/>
              </w:rPr>
            </w:pPr>
            <w:r>
              <w:rPr>
                <w:rFonts w:ascii="宋体" w:hAnsi="宋体" w:cs="宋体" w:eastAsia="宋体" w:hint="default"/>
                <w:sz w:val="18"/>
                <w:szCs w:val="18"/>
              </w:rPr>
              <w:t>通讯会议召开次数</w:t>
            </w:r>
          </w:p>
        </w:tc>
        <w:tc>
          <w:tcPr>
            <w:tcW w:w="510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0" w:hRule="exact"/>
        </w:trPr>
        <w:tc>
          <w:tcPr>
            <w:tcW w:w="3794" w:type="dxa"/>
            <w:gridSpan w:val="4"/>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643" w:right="0"/>
              <w:jc w:val="left"/>
              <w:rPr>
                <w:rFonts w:ascii="宋体" w:hAnsi="宋体" w:cs="宋体" w:eastAsia="宋体" w:hint="default"/>
                <w:sz w:val="18"/>
                <w:szCs w:val="18"/>
              </w:rPr>
            </w:pPr>
            <w:r>
              <w:rPr>
                <w:rFonts w:ascii="宋体" w:hAnsi="宋体" w:cs="宋体" w:eastAsia="宋体" w:hint="default"/>
                <w:sz w:val="18"/>
                <w:szCs w:val="18"/>
              </w:rPr>
              <w:t>现场结合通讯会议召开次数</w:t>
            </w:r>
          </w:p>
        </w:tc>
        <w:tc>
          <w:tcPr>
            <w:tcW w:w="510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 w:right="0"/>
              <w:jc w:val="center"/>
              <w:rPr>
                <w:rFonts w:ascii="Times New Roman" w:hAnsi="Times New Roman" w:cs="Times New Roman" w:eastAsia="Times New Roman" w:hint="default"/>
                <w:sz w:val="18"/>
                <w:szCs w:val="18"/>
              </w:rPr>
            </w:pPr>
            <w:r>
              <w:rPr>
                <w:rFonts w:ascii="Times New Roman"/>
                <w:sz w:val="18"/>
              </w:rPr>
              <w:t>5</w:t>
            </w:r>
          </w:p>
        </w:tc>
      </w:tr>
    </w:tbl>
    <w:p>
      <w:pPr>
        <w:spacing w:line="240" w:lineRule="auto" w:before="0"/>
        <w:rPr>
          <w:rFonts w:ascii="宋体" w:hAnsi="宋体" w:cs="宋体" w:eastAsia="宋体" w:hint="default"/>
          <w:sz w:val="13"/>
          <w:szCs w:val="13"/>
        </w:rPr>
      </w:pPr>
    </w:p>
    <w:p>
      <w:pPr>
        <w:pStyle w:val="BodyText"/>
        <w:spacing w:line="240" w:lineRule="auto" w:before="26"/>
        <w:ind w:left="702" w:right="104"/>
        <w:jc w:val="left"/>
      </w:pPr>
      <w:r>
        <w:rPr/>
        <w:t>（二）董事长履行职责情况</w:t>
      </w:r>
    </w:p>
    <w:p>
      <w:pPr>
        <w:spacing w:after="0" w:line="240" w:lineRule="auto"/>
        <w:jc w:val="left"/>
        <w:sectPr>
          <w:pgSz w:w="11910" w:h="16840"/>
          <w:pgMar w:header="877" w:footer="1048" w:top="1100" w:bottom="1240" w:left="1580" w:right="1180"/>
        </w:sectPr>
      </w:pPr>
    </w:p>
    <w:p>
      <w:pPr>
        <w:spacing w:line="240" w:lineRule="auto" w:before="7"/>
        <w:rPr>
          <w:rFonts w:ascii="宋体" w:hAnsi="宋体" w:cs="宋体" w:eastAsia="宋体" w:hint="default"/>
          <w:sz w:val="25"/>
          <w:szCs w:val="25"/>
        </w:rPr>
      </w:pPr>
    </w:p>
    <w:p>
      <w:pPr>
        <w:pStyle w:val="BodyText"/>
        <w:spacing w:line="357" w:lineRule="auto" w:before="26"/>
        <w:ind w:left="220" w:right="214" w:firstLine="480"/>
        <w:jc w:val="left"/>
      </w:pPr>
      <w:r>
        <w:rPr/>
        <w:t>报告期内，董事长严格按照相关法律法规、规章制度及 《公司章程》的规定</w:t>
      </w:r>
      <w:r>
        <w:rPr>
          <w:spacing w:val="-70"/>
        </w:rPr>
        <w:t> </w:t>
      </w:r>
      <w:r>
        <w:rPr/>
        <w:t>，</w:t>
      </w:r>
      <w:r>
        <w:rPr/>
        <w:t> 行使董事长职权；依法召集、主持董事会会议并督促董事亲自出席，切实执行董事 会集体决策机制。在日常工作中，积极推动公司治理工作和内部控制建设，积极推 动公司内部各项制度的制订和完善，督促股东大会和董事会的各项决议的执行，督 </w:t>
      </w:r>
      <w:r>
        <w:rPr>
          <w:spacing w:val="-2"/>
        </w:rPr>
        <w:t>促董事会秘书及时规范的披露对投资者决策有影响的重大信息，确保公司规范运作。</w:t>
      </w:r>
    </w:p>
    <w:p>
      <w:pPr>
        <w:pStyle w:val="BodyText"/>
        <w:spacing w:line="357" w:lineRule="auto" w:before="36"/>
        <w:ind w:left="760" w:right="214" w:hanging="60"/>
        <w:jc w:val="left"/>
      </w:pPr>
      <w:r>
        <w:rPr/>
        <w:t>（三）非独立董事履行职责情况 </w:t>
      </w:r>
      <w:r>
        <w:rPr>
          <w:spacing w:val="-1"/>
        </w:rPr>
        <w:t>报告期内，公司非独立董事能够严格按照相关法律法规、规章制度及《董事会</w:t>
      </w:r>
    </w:p>
    <w:p>
      <w:pPr>
        <w:pStyle w:val="BodyText"/>
        <w:spacing w:line="357" w:lineRule="auto" w:before="36"/>
        <w:ind w:left="220" w:right="214"/>
        <w:jc w:val="left"/>
      </w:pPr>
      <w:r>
        <w:rPr>
          <w:spacing w:val="-3"/>
        </w:rPr>
        <w:t>议事规则》等规定，遵守董事行为规范，勤勉尽责、忠实履行职务，积极参加会议，</w:t>
      </w:r>
      <w:r>
        <w:rPr>
          <w:spacing w:val="-84"/>
        </w:rPr>
        <w:t> </w:t>
      </w:r>
      <w:r>
        <w:rPr>
          <w:spacing w:val="-84"/>
        </w:rPr>
      </w:r>
      <w:r>
        <w:rPr/>
        <w:t>认真审议各项议案，发表意见审慎、客观，对公司稳健发展发挥了积极的作用。</w:t>
      </w:r>
    </w:p>
    <w:p>
      <w:pPr>
        <w:spacing w:line="240" w:lineRule="auto" w:before="0"/>
        <w:rPr>
          <w:rFonts w:ascii="宋体" w:hAnsi="宋体" w:cs="宋体" w:eastAsia="宋体" w:hint="default"/>
          <w:sz w:val="24"/>
          <w:szCs w:val="24"/>
        </w:rPr>
      </w:pPr>
    </w:p>
    <w:p>
      <w:pPr>
        <w:pStyle w:val="BodyText"/>
        <w:spacing w:line="357" w:lineRule="auto" w:before="190"/>
        <w:ind w:left="700" w:right="214"/>
        <w:jc w:val="left"/>
      </w:pPr>
      <w:r>
        <w:rPr/>
        <w:t>三、独立董事履行职责情况 </w:t>
      </w:r>
      <w:r>
        <w:rPr>
          <w:spacing w:val="-3"/>
        </w:rPr>
        <w:t>公司独立董事严格按照有关法律、法规和《公司章程》的规定，认真履行职责。</w:t>
      </w:r>
    </w:p>
    <w:p>
      <w:pPr>
        <w:pStyle w:val="BodyText"/>
        <w:spacing w:line="350" w:lineRule="auto" w:before="36"/>
        <w:ind w:left="220" w:right="402"/>
        <w:jc w:val="both"/>
      </w:pPr>
      <w:r>
        <w:rPr/>
        <w:t>公司独立董事认真审议各项议案并做出独立、客观、公正的判断，不受公司和公司 股东的影响，切实维护了公司和中小股东的利益。在</w:t>
      </w:r>
      <w:r>
        <w:rPr>
          <w:rFonts w:ascii="Times New Roman" w:hAnsi="Times New Roman" w:cs="Times New Roman" w:eastAsia="Times New Roman" w:hint="default"/>
        </w:rPr>
        <w:t>2011</w:t>
      </w:r>
      <w:r>
        <w:rPr/>
        <w:t>年年报编制及财务报表审 计过程中，独立董事认真听取管理层对公司</w:t>
      </w:r>
      <w:r>
        <w:rPr>
          <w:rFonts w:ascii="Times New Roman" w:hAnsi="Times New Roman" w:cs="Times New Roman" w:eastAsia="Times New Roman" w:hint="default"/>
        </w:rPr>
        <w:t>2011</w:t>
      </w:r>
      <w:r>
        <w:rPr/>
        <w:t>年年度生产经营情况及重大事项进 展情况的全面汇报，实地考察生产经营情况，并与年审注册会计师见面沟通，恪尽 职守、诚实守信地履行独立董事的职责。报告期内，公司独立董事未对董事会审议 的各项议案及其他相关事项提出异议。</w:t>
      </w:r>
    </w:p>
    <w:p>
      <w:pPr>
        <w:pStyle w:val="BodyText"/>
        <w:spacing w:line="240" w:lineRule="auto" w:before="43"/>
        <w:ind w:left="700" w:right="214"/>
        <w:jc w:val="left"/>
      </w:pPr>
      <w:r>
        <w:rPr/>
        <w:t>（一）独立董事石本仁先生履职情况</w:t>
      </w:r>
    </w:p>
    <w:p>
      <w:pPr>
        <w:pStyle w:val="BodyText"/>
        <w:spacing w:line="338" w:lineRule="auto" w:before="154"/>
        <w:ind w:left="700" w:right="214"/>
        <w:jc w:val="left"/>
      </w:pPr>
      <w:r>
        <w:rPr>
          <w:rFonts w:ascii="Times New Roman" w:hAnsi="Times New Roman" w:cs="Times New Roman" w:eastAsia="Times New Roman" w:hint="default"/>
        </w:rPr>
        <w:t>1</w:t>
      </w:r>
      <w:r>
        <w:rPr/>
        <w:t>、出席会议情况 </w:t>
      </w:r>
      <w:r>
        <w:rPr>
          <w:spacing w:val="-5"/>
        </w:rPr>
        <w:t>报告期内公司共召开</w:t>
      </w:r>
      <w:r>
        <w:rPr>
          <w:rFonts w:ascii="Times New Roman" w:hAnsi="Times New Roman" w:cs="Times New Roman" w:eastAsia="Times New Roman" w:hint="default"/>
          <w:spacing w:val="-5"/>
        </w:rPr>
        <w:t>13</w:t>
      </w:r>
      <w:r>
        <w:rPr>
          <w:spacing w:val="-5"/>
        </w:rPr>
        <w:t>次董事会，</w:t>
      </w:r>
      <w:r>
        <w:rPr>
          <w:rFonts w:ascii="Times New Roman" w:hAnsi="Times New Roman" w:cs="Times New Roman" w:eastAsia="Times New Roman" w:hint="default"/>
          <w:spacing w:val="-5"/>
        </w:rPr>
        <w:t>10</w:t>
      </w:r>
      <w:r>
        <w:rPr>
          <w:spacing w:val="-5"/>
        </w:rPr>
        <w:t>次现场出席会议，</w:t>
      </w:r>
      <w:r>
        <w:rPr>
          <w:rFonts w:ascii="Times New Roman" w:hAnsi="Times New Roman" w:cs="Times New Roman" w:eastAsia="Times New Roman" w:hint="default"/>
          <w:spacing w:val="-5"/>
        </w:rPr>
        <w:t>3</w:t>
      </w:r>
      <w:r>
        <w:rPr>
          <w:spacing w:val="-5"/>
        </w:rPr>
        <w:t>次以通讯方式参加会议，</w:t>
      </w:r>
    </w:p>
    <w:p>
      <w:pPr>
        <w:pStyle w:val="BodyText"/>
        <w:spacing w:line="240" w:lineRule="auto" w:before="27"/>
        <w:ind w:left="220" w:right="0"/>
        <w:jc w:val="both"/>
      </w:pPr>
      <w:r>
        <w:rPr/>
        <w:t>对董事会审议的议案均投赞成票；报告期内公司召开</w:t>
      </w:r>
      <w:r>
        <w:rPr>
          <w:rFonts w:ascii="Times New Roman" w:hAnsi="Times New Roman" w:cs="Times New Roman" w:eastAsia="Times New Roman" w:hint="default"/>
        </w:rPr>
        <w:t>7</w:t>
      </w:r>
      <w:r>
        <w:rPr/>
        <w:t>次股东大会，列席四次会议。</w:t>
      </w:r>
    </w:p>
    <w:p>
      <w:pPr>
        <w:pStyle w:val="BodyText"/>
        <w:spacing w:line="240" w:lineRule="auto"/>
        <w:ind w:left="700" w:right="214"/>
        <w:jc w:val="left"/>
      </w:pPr>
      <w:r>
        <w:rPr>
          <w:rFonts w:ascii="Times New Roman" w:hAnsi="Times New Roman" w:cs="Times New Roman" w:eastAsia="Times New Roman" w:hint="default"/>
        </w:rPr>
        <w:t>2</w:t>
      </w:r>
      <w:r>
        <w:rPr/>
        <w:t>、发表独立意见情况</w:t>
      </w:r>
    </w:p>
    <w:p>
      <w:pPr>
        <w:spacing w:line="240" w:lineRule="auto" w:before="4"/>
        <w:rPr>
          <w:rFonts w:ascii="宋体" w:hAnsi="宋体" w:cs="宋体" w:eastAsia="宋体" w:hint="default"/>
          <w:sz w:val="7"/>
          <w:szCs w:val="7"/>
        </w:rPr>
      </w:pPr>
    </w:p>
    <w:tbl>
      <w:tblPr>
        <w:tblW w:w="0" w:type="auto"/>
        <w:jc w:val="left"/>
        <w:tblInd w:w="107" w:type="dxa"/>
        <w:tblLayout w:type="fixed"/>
        <w:tblCellMar>
          <w:top w:w="0" w:type="dxa"/>
          <w:left w:w="0" w:type="dxa"/>
          <w:bottom w:w="0" w:type="dxa"/>
          <w:right w:w="0" w:type="dxa"/>
        </w:tblCellMar>
        <w:tblLook w:val="01E0"/>
      </w:tblPr>
      <w:tblGrid>
        <w:gridCol w:w="1526"/>
        <w:gridCol w:w="1843"/>
        <w:gridCol w:w="4818"/>
        <w:gridCol w:w="852"/>
      </w:tblGrid>
      <w:tr>
        <w:trPr>
          <w:trHeight w:val="650" w:hRule="exact"/>
        </w:trPr>
        <w:tc>
          <w:tcPr>
            <w:tcW w:w="152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会议日期</w:t>
            </w:r>
          </w:p>
        </w:tc>
        <w:tc>
          <w:tcPr>
            <w:tcW w:w="184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会议名称</w:t>
            </w:r>
          </w:p>
        </w:tc>
        <w:tc>
          <w:tcPr>
            <w:tcW w:w="481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事项内容</w:t>
            </w:r>
          </w:p>
        </w:tc>
        <w:tc>
          <w:tcPr>
            <w:tcW w:w="85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149" w:right="150"/>
              <w:jc w:val="left"/>
              <w:rPr>
                <w:rFonts w:ascii="宋体" w:hAnsi="宋体" w:cs="宋体" w:eastAsia="宋体" w:hint="default"/>
                <w:sz w:val="18"/>
                <w:szCs w:val="18"/>
              </w:rPr>
            </w:pPr>
            <w:r>
              <w:rPr>
                <w:rFonts w:ascii="宋体" w:hAnsi="宋体" w:cs="宋体" w:eastAsia="宋体" w:hint="default"/>
                <w:sz w:val="18"/>
                <w:szCs w:val="18"/>
              </w:rPr>
              <w:t>独立意 见类型</w:t>
            </w:r>
          </w:p>
        </w:tc>
      </w:tr>
      <w:tr>
        <w:trPr>
          <w:trHeight w:val="372" w:hRule="exact"/>
        </w:trPr>
        <w:tc>
          <w:tcPr>
            <w:tcW w:w="1526" w:type="dxa"/>
            <w:tcBorders>
              <w:top w:val="single" w:sz="4" w:space="0" w:color="000000"/>
              <w:left w:val="single" w:sz="4" w:space="0" w:color="000000"/>
              <w:bottom w:val="nil" w:sz="6" w:space="0" w:color="auto"/>
              <w:right w:val="single" w:sz="4" w:space="0" w:color="000000"/>
            </w:tcBorders>
          </w:tcPr>
          <w:p>
            <w:pPr/>
          </w:p>
        </w:tc>
        <w:tc>
          <w:tcPr>
            <w:tcW w:w="1843" w:type="dxa"/>
            <w:tcBorders>
              <w:top w:val="single" w:sz="4" w:space="0" w:color="000000"/>
              <w:left w:val="single" w:sz="4" w:space="0" w:color="000000"/>
              <w:bottom w:val="nil" w:sz="6" w:space="0" w:color="auto"/>
              <w:right w:val="single" w:sz="4" w:space="0" w:color="000000"/>
            </w:tcBorders>
          </w:tcPr>
          <w:p>
            <w:pPr/>
          </w:p>
        </w:tc>
        <w:tc>
          <w:tcPr>
            <w:tcW w:w="48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6"/>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、公司与关联方资金往来、公司累计和当期对外担保情况</w:t>
            </w:r>
          </w:p>
        </w:tc>
        <w:tc>
          <w:tcPr>
            <w:tcW w:w="852" w:type="dxa"/>
            <w:tcBorders>
              <w:top w:val="single" w:sz="4" w:space="0" w:color="000000"/>
              <w:left w:val="single" w:sz="4" w:space="0" w:color="000000"/>
              <w:bottom w:val="nil" w:sz="6" w:space="0" w:color="auto"/>
              <w:right w:val="single" w:sz="4" w:space="0" w:color="000000"/>
            </w:tcBorders>
          </w:tcPr>
          <w:p>
            <w:pPr/>
          </w:p>
        </w:tc>
      </w:tr>
      <w:tr>
        <w:trPr>
          <w:trHeight w:val="320" w:hRule="exact"/>
        </w:trPr>
        <w:tc>
          <w:tcPr>
            <w:tcW w:w="1526"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
        </w:tc>
        <w:tc>
          <w:tcPr>
            <w:tcW w:w="481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、公司内部控制自我评价报告</w:t>
            </w:r>
          </w:p>
        </w:tc>
        <w:tc>
          <w:tcPr>
            <w:tcW w:w="852" w:type="dxa"/>
            <w:tcBorders>
              <w:top w:val="nil" w:sz="6" w:space="0" w:color="auto"/>
              <w:left w:val="single" w:sz="4" w:space="0" w:color="000000"/>
              <w:bottom w:val="nil" w:sz="6" w:space="0" w:color="auto"/>
              <w:right w:val="single" w:sz="4" w:space="0" w:color="000000"/>
            </w:tcBorders>
          </w:tcPr>
          <w:p>
            <w:pPr/>
          </w:p>
        </w:tc>
      </w:tr>
      <w:tr>
        <w:trPr>
          <w:trHeight w:val="320" w:hRule="exact"/>
        </w:trPr>
        <w:tc>
          <w:tcPr>
            <w:tcW w:w="1526"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
        </w:tc>
        <w:tc>
          <w:tcPr>
            <w:tcW w:w="481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、公司</w:t>
            </w:r>
            <w:r>
              <w:rPr>
                <w:rFonts w:ascii="Times New Roman" w:hAnsi="Times New Roman" w:cs="Times New Roman" w:eastAsia="Times New Roman" w:hint="default"/>
                <w:sz w:val="18"/>
                <w:szCs w:val="18"/>
              </w:rPr>
              <w:t>2010</w:t>
            </w:r>
            <w:r>
              <w:rPr>
                <w:rFonts w:ascii="宋体" w:hAnsi="宋体" w:cs="宋体" w:eastAsia="宋体" w:hint="default"/>
                <w:sz w:val="18"/>
                <w:szCs w:val="18"/>
              </w:rPr>
              <w:t>年度关联交易</w:t>
            </w:r>
          </w:p>
        </w:tc>
        <w:tc>
          <w:tcPr>
            <w:tcW w:w="852" w:type="dxa"/>
            <w:tcBorders>
              <w:top w:val="nil" w:sz="6" w:space="0" w:color="auto"/>
              <w:left w:val="single" w:sz="4" w:space="0" w:color="000000"/>
              <w:bottom w:val="nil" w:sz="6" w:space="0" w:color="auto"/>
              <w:right w:val="single" w:sz="4" w:space="0" w:color="000000"/>
            </w:tcBorders>
          </w:tcPr>
          <w:p>
            <w:pPr/>
          </w:p>
        </w:tc>
      </w:tr>
      <w:tr>
        <w:trPr>
          <w:trHeight w:val="320" w:hRule="exact"/>
        </w:trPr>
        <w:tc>
          <w:tcPr>
            <w:tcW w:w="152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w:t>
            </w:r>
            <w:r>
              <w:rPr>
                <w:rFonts w:ascii="Times New Roman" w:hAnsi="Times New Roman" w:cs="Times New Roman" w:eastAsia="Times New Roman" w:hint="default"/>
                <w:sz w:val="18"/>
                <w:szCs w:val="18"/>
              </w:rPr>
              <w:t>24</w:t>
            </w:r>
            <w:r>
              <w:rPr>
                <w:rFonts w:ascii="宋体" w:hAnsi="宋体" w:cs="宋体" w:eastAsia="宋体" w:hint="default"/>
                <w:sz w:val="18"/>
                <w:szCs w:val="18"/>
              </w:rPr>
              <w:t>日</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三届十六次董事会</w:t>
            </w:r>
          </w:p>
        </w:tc>
        <w:tc>
          <w:tcPr>
            <w:tcW w:w="481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、公司与广州基准机械电子科技有限公司签订加工采购合</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9" w:right="0"/>
              <w:jc w:val="left"/>
              <w:rPr>
                <w:rFonts w:ascii="宋体" w:hAnsi="宋体" w:cs="宋体" w:eastAsia="宋体" w:hint="default"/>
                <w:sz w:val="18"/>
                <w:szCs w:val="18"/>
              </w:rPr>
            </w:pPr>
            <w:r>
              <w:rPr>
                <w:rFonts w:ascii="宋体" w:hAnsi="宋体" w:cs="宋体" w:eastAsia="宋体" w:hint="default"/>
                <w:sz w:val="18"/>
                <w:szCs w:val="18"/>
              </w:rPr>
              <w:t>同意</w:t>
            </w:r>
          </w:p>
        </w:tc>
      </w:tr>
      <w:tr>
        <w:trPr>
          <w:trHeight w:val="315" w:hRule="exact"/>
        </w:trPr>
        <w:tc>
          <w:tcPr>
            <w:tcW w:w="1526"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
        </w:tc>
        <w:tc>
          <w:tcPr>
            <w:tcW w:w="481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101" w:right="0"/>
              <w:jc w:val="left"/>
              <w:rPr>
                <w:rFonts w:ascii="宋体" w:hAnsi="宋体" w:cs="宋体" w:eastAsia="宋体" w:hint="default"/>
                <w:sz w:val="18"/>
                <w:szCs w:val="18"/>
              </w:rPr>
            </w:pPr>
            <w:r>
              <w:rPr>
                <w:rFonts w:ascii="宋体" w:hAnsi="宋体" w:cs="宋体" w:eastAsia="宋体" w:hint="default"/>
                <w:sz w:val="18"/>
                <w:szCs w:val="18"/>
              </w:rPr>
              <w:t>同关联事项</w:t>
            </w:r>
          </w:p>
        </w:tc>
        <w:tc>
          <w:tcPr>
            <w:tcW w:w="852" w:type="dxa"/>
            <w:tcBorders>
              <w:top w:val="nil" w:sz="6" w:space="0" w:color="auto"/>
              <w:left w:val="single" w:sz="4" w:space="0" w:color="000000"/>
              <w:bottom w:val="nil" w:sz="6" w:space="0" w:color="auto"/>
              <w:right w:val="single" w:sz="4" w:space="0" w:color="000000"/>
            </w:tcBorders>
          </w:tcPr>
          <w:p>
            <w:pPr/>
          </w:p>
        </w:tc>
      </w:tr>
      <w:tr>
        <w:trPr>
          <w:trHeight w:val="325" w:hRule="exact"/>
        </w:trPr>
        <w:tc>
          <w:tcPr>
            <w:tcW w:w="1526"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
        </w:tc>
        <w:tc>
          <w:tcPr>
            <w:tcW w:w="4818"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、续聘会计师事务所</w:t>
            </w:r>
          </w:p>
        </w:tc>
        <w:tc>
          <w:tcPr>
            <w:tcW w:w="852"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1526" w:type="dxa"/>
            <w:tcBorders>
              <w:top w:val="nil" w:sz="6" w:space="0" w:color="auto"/>
              <w:left w:val="single" w:sz="4" w:space="0" w:color="000000"/>
              <w:bottom w:val="single" w:sz="4" w:space="0" w:color="000000"/>
              <w:right w:val="single" w:sz="4" w:space="0" w:color="000000"/>
            </w:tcBorders>
          </w:tcPr>
          <w:p>
            <w:pPr/>
          </w:p>
        </w:tc>
        <w:tc>
          <w:tcPr>
            <w:tcW w:w="1843" w:type="dxa"/>
            <w:tcBorders>
              <w:top w:val="nil" w:sz="6" w:space="0" w:color="auto"/>
              <w:left w:val="single" w:sz="4" w:space="0" w:color="000000"/>
              <w:bottom w:val="single" w:sz="4" w:space="0" w:color="000000"/>
              <w:right w:val="single" w:sz="4" w:space="0" w:color="000000"/>
            </w:tcBorders>
          </w:tcPr>
          <w:p>
            <w:pPr/>
          </w:p>
        </w:tc>
        <w:tc>
          <w:tcPr>
            <w:tcW w:w="48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2010</w:t>
            </w:r>
            <w:r>
              <w:rPr>
                <w:rFonts w:ascii="宋体" w:hAnsi="宋体" w:cs="宋体" w:eastAsia="宋体" w:hint="default"/>
                <w:sz w:val="18"/>
                <w:szCs w:val="18"/>
              </w:rPr>
              <w:t>年度资本公积金转增股本及利润分配方案</w:t>
            </w:r>
          </w:p>
        </w:tc>
        <w:tc>
          <w:tcPr>
            <w:tcW w:w="852"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77" w:footer="1048" w:top="1100" w:bottom="1240" w:left="1580" w:right="1060"/>
        </w:sectPr>
      </w:pPr>
    </w:p>
    <w:p>
      <w:pPr>
        <w:spacing w:line="240" w:lineRule="auto" w:before="6"/>
        <w:rPr>
          <w:rFonts w:ascii="宋体" w:hAnsi="宋体" w:cs="宋体" w:eastAsia="宋体" w:hint="default"/>
          <w:sz w:val="24"/>
          <w:szCs w:val="24"/>
        </w:rPr>
      </w:pPr>
    </w:p>
    <w:tbl>
      <w:tblPr>
        <w:tblW w:w="0" w:type="auto"/>
        <w:jc w:val="left"/>
        <w:tblInd w:w="107" w:type="dxa"/>
        <w:tblLayout w:type="fixed"/>
        <w:tblCellMar>
          <w:top w:w="0" w:type="dxa"/>
          <w:left w:w="0" w:type="dxa"/>
          <w:bottom w:w="0" w:type="dxa"/>
          <w:right w:w="0" w:type="dxa"/>
        </w:tblCellMar>
        <w:tblLook w:val="01E0"/>
      </w:tblPr>
      <w:tblGrid>
        <w:gridCol w:w="1526"/>
        <w:gridCol w:w="1843"/>
        <w:gridCol w:w="4818"/>
        <w:gridCol w:w="852"/>
      </w:tblGrid>
      <w:tr>
        <w:trPr>
          <w:trHeight w:val="650" w:hRule="exact"/>
        </w:trPr>
        <w:tc>
          <w:tcPr>
            <w:tcW w:w="1526"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6"/>
              <w:ind w:left="101" w:right="10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7</w:t>
            </w:r>
            <w:r>
              <w:rPr>
                <w:rFonts w:ascii="宋体" w:hAnsi="宋体" w:cs="宋体" w:eastAsia="宋体" w:hint="default"/>
                <w:spacing w:val="-2"/>
                <w:sz w:val="18"/>
                <w:szCs w:val="18"/>
              </w:rPr>
              <w:t>、控股子公司广州御银自动柜员机技术有限公司</w:t>
            </w:r>
            <w:r>
              <w:rPr>
                <w:rFonts w:ascii="Times New Roman" w:hAnsi="Times New Roman" w:cs="Times New Roman" w:eastAsia="Times New Roman" w:hint="default"/>
                <w:spacing w:val="-2"/>
                <w:sz w:val="18"/>
                <w:szCs w:val="18"/>
              </w:rPr>
              <w:t>ATM</w:t>
            </w:r>
            <w:r>
              <w:rPr>
                <w:rFonts w:ascii="宋体" w:hAnsi="宋体" w:cs="宋体" w:eastAsia="宋体" w:hint="default"/>
                <w:spacing w:val="-2"/>
                <w:sz w:val="18"/>
                <w:szCs w:val="18"/>
              </w:rPr>
              <w:t>设备</w:t>
            </w:r>
            <w:r>
              <w:rPr>
                <w:rFonts w:ascii="宋体" w:hAnsi="宋体" w:cs="宋体" w:eastAsia="宋体" w:hint="default"/>
                <w:spacing w:val="-67"/>
                <w:sz w:val="18"/>
                <w:szCs w:val="18"/>
              </w:rPr>
              <w:t> </w:t>
            </w:r>
            <w:r>
              <w:rPr>
                <w:rFonts w:ascii="宋体" w:hAnsi="宋体" w:cs="宋体" w:eastAsia="宋体" w:hint="default"/>
                <w:sz w:val="18"/>
                <w:szCs w:val="18"/>
              </w:rPr>
              <w:t>扩大产能投资项目</w:t>
            </w:r>
          </w:p>
        </w:tc>
        <w:tc>
          <w:tcPr>
            <w:tcW w:w="852" w:type="dxa"/>
            <w:tcBorders>
              <w:top w:val="single" w:sz="4" w:space="0" w:color="000000"/>
              <w:left w:val="single" w:sz="4" w:space="0" w:color="000000"/>
              <w:bottom w:val="single" w:sz="4" w:space="0" w:color="000000"/>
              <w:right w:val="single" w:sz="4" w:space="0" w:color="000000"/>
            </w:tcBorders>
          </w:tcPr>
          <w:p>
            <w:pPr/>
          </w:p>
        </w:tc>
      </w:tr>
      <w:tr>
        <w:trPr>
          <w:trHeight w:val="2890"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left="1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27</w:t>
            </w:r>
            <w:r>
              <w:rPr>
                <w:rFonts w:ascii="宋体" w:hAnsi="宋体" w:cs="宋体" w:eastAsia="宋体" w:hint="default"/>
                <w:sz w:val="18"/>
                <w:szCs w:val="18"/>
              </w:rPr>
              <w:t>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right="0"/>
              <w:jc w:val="center"/>
              <w:rPr>
                <w:rFonts w:ascii="宋体" w:hAnsi="宋体" w:cs="宋体" w:eastAsia="宋体" w:hint="default"/>
                <w:sz w:val="18"/>
                <w:szCs w:val="18"/>
              </w:rPr>
            </w:pPr>
            <w:r>
              <w:rPr>
                <w:rFonts w:ascii="宋体" w:hAnsi="宋体" w:cs="宋体" w:eastAsia="宋体" w:hint="default"/>
                <w:sz w:val="18"/>
                <w:szCs w:val="18"/>
              </w:rPr>
              <w:t>三届十七次董事会</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6"/>
              <w:ind w:left="101" w:right="11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、广州御银科技股份有限公司及其子公司向中国工商银行 股份有限公司广州工业大道支行办理最高不超过两亿元融 资业务的议案 </w:t>
            </w:r>
            <w:r>
              <w:rPr>
                <w:rFonts w:ascii="Times New Roman" w:hAnsi="Times New Roman" w:cs="Times New Roman" w:eastAsia="Times New Roman" w:hint="default"/>
                <w:sz w:val="18"/>
                <w:szCs w:val="18"/>
              </w:rPr>
              <w:t>2</w:t>
            </w:r>
            <w:r>
              <w:rPr>
                <w:rFonts w:ascii="宋体" w:hAnsi="宋体" w:cs="宋体" w:eastAsia="宋体" w:hint="default"/>
                <w:sz w:val="18"/>
                <w:szCs w:val="18"/>
              </w:rPr>
              <w:t>、广州御银科技股份有限公司为子公司御银科技（香港） 有限公司在中国工商银行股份有限公司广州工业大道支行 办理的银行融资业务提供担保的议案 </w:t>
            </w:r>
            <w:r>
              <w:rPr>
                <w:rFonts w:ascii="Times New Roman" w:hAnsi="Times New Roman" w:cs="Times New Roman" w:eastAsia="Times New Roman" w:hint="default"/>
                <w:sz w:val="18"/>
                <w:szCs w:val="18"/>
              </w:rPr>
              <w:t>3</w:t>
            </w:r>
            <w:r>
              <w:rPr>
                <w:rFonts w:ascii="宋体" w:hAnsi="宋体" w:cs="宋体" w:eastAsia="宋体" w:hint="default"/>
                <w:sz w:val="18"/>
                <w:szCs w:val="18"/>
              </w:rPr>
              <w:t>、广州御银科技股份有限公司为子公司御银科技（香港） 有限公司在中国农业银行股份有限公司广东省分行营业部 办理的银行融资业务提供担保的议案</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right="240"/>
              <w:jc w:val="right"/>
              <w:rPr>
                <w:rFonts w:ascii="宋体" w:hAnsi="宋体" w:cs="宋体" w:eastAsia="宋体" w:hint="default"/>
                <w:sz w:val="18"/>
                <w:szCs w:val="18"/>
              </w:rPr>
            </w:pPr>
            <w:r>
              <w:rPr>
                <w:rFonts w:ascii="宋体" w:hAnsi="宋体" w:cs="宋体" w:eastAsia="宋体" w:hint="default"/>
                <w:sz w:val="18"/>
                <w:szCs w:val="18"/>
              </w:rPr>
              <w:t>同意</w:t>
            </w:r>
          </w:p>
        </w:tc>
      </w:tr>
      <w:tr>
        <w:trPr>
          <w:trHeight w:val="330"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21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三届十九次董事会</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1" w:right="0"/>
              <w:jc w:val="left"/>
              <w:rPr>
                <w:rFonts w:ascii="宋体" w:hAnsi="宋体" w:cs="宋体" w:eastAsia="宋体" w:hint="default"/>
                <w:sz w:val="18"/>
                <w:szCs w:val="18"/>
              </w:rPr>
            </w:pPr>
            <w:r>
              <w:rPr>
                <w:rFonts w:ascii="宋体" w:hAnsi="宋体" w:cs="宋体" w:eastAsia="宋体" w:hint="default"/>
                <w:sz w:val="18"/>
                <w:szCs w:val="18"/>
              </w:rPr>
              <w:t>使用部分闲置募集资金暂时补充流动资金</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40"/>
              <w:jc w:val="right"/>
              <w:rPr>
                <w:rFonts w:ascii="宋体" w:hAnsi="宋体" w:cs="宋体" w:eastAsia="宋体" w:hint="default"/>
                <w:sz w:val="18"/>
                <w:szCs w:val="18"/>
              </w:rPr>
            </w:pPr>
            <w:r>
              <w:rPr>
                <w:rFonts w:ascii="宋体" w:hAnsi="宋体" w:cs="宋体" w:eastAsia="宋体" w:hint="default"/>
                <w:sz w:val="18"/>
                <w:szCs w:val="18"/>
              </w:rPr>
              <w:t>同意</w:t>
            </w:r>
          </w:p>
        </w:tc>
      </w:tr>
      <w:tr>
        <w:trPr>
          <w:trHeight w:val="650"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30</w:t>
            </w:r>
            <w:r>
              <w:rPr>
                <w:rFonts w:ascii="宋体" w:hAnsi="宋体" w:cs="宋体" w:eastAsia="宋体" w:hint="default"/>
                <w:sz w:val="18"/>
                <w:szCs w:val="18"/>
              </w:rPr>
              <w:t>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三届二十次董事会</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、股票期权激励计划（草案）修订稿</w:t>
            </w:r>
          </w:p>
          <w:p>
            <w:pPr>
              <w:pStyle w:val="TableParagraph"/>
              <w:spacing w:line="240" w:lineRule="auto" w:before="7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、聘任高级管理人员</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40"/>
              <w:jc w:val="right"/>
              <w:rPr>
                <w:rFonts w:ascii="宋体" w:hAnsi="宋体" w:cs="宋体" w:eastAsia="宋体" w:hint="default"/>
                <w:sz w:val="18"/>
                <w:szCs w:val="18"/>
              </w:rPr>
            </w:pPr>
            <w:r>
              <w:rPr>
                <w:rFonts w:ascii="宋体" w:hAnsi="宋体" w:cs="宋体" w:eastAsia="宋体" w:hint="default"/>
                <w:sz w:val="18"/>
                <w:szCs w:val="18"/>
              </w:rPr>
              <w:t>同意</w:t>
            </w:r>
          </w:p>
        </w:tc>
      </w:tr>
      <w:tr>
        <w:trPr>
          <w:trHeight w:val="330"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三届二十一次董事会</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、确定公司股票期权激励计划首次授予日的议案</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40"/>
              <w:jc w:val="right"/>
              <w:rPr>
                <w:rFonts w:ascii="宋体" w:hAnsi="宋体" w:cs="宋体" w:eastAsia="宋体" w:hint="default"/>
                <w:sz w:val="18"/>
                <w:szCs w:val="18"/>
              </w:rPr>
            </w:pPr>
            <w:r>
              <w:rPr>
                <w:rFonts w:ascii="宋体" w:hAnsi="宋体" w:cs="宋体" w:eastAsia="宋体" w:hint="default"/>
                <w:sz w:val="18"/>
                <w:szCs w:val="18"/>
              </w:rPr>
              <w:t>同意</w:t>
            </w:r>
          </w:p>
        </w:tc>
      </w:tr>
      <w:tr>
        <w:trPr>
          <w:trHeight w:val="970"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left="1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28</w:t>
            </w:r>
            <w:r>
              <w:rPr>
                <w:rFonts w:ascii="宋体" w:hAnsi="宋体" w:cs="宋体" w:eastAsia="宋体" w:hint="default"/>
                <w:sz w:val="18"/>
                <w:szCs w:val="18"/>
              </w:rPr>
              <w:t>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三届二十三次董事会</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、控股股东及其他关联方占用公司资金及对外担保情况</w:t>
            </w:r>
          </w:p>
          <w:p>
            <w:pPr>
              <w:pStyle w:val="TableParagraph"/>
              <w:spacing w:line="240" w:lineRule="auto" w:before="7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、投资入股广东花都稠州村镇银行股份有限公司</w:t>
            </w:r>
          </w:p>
          <w:p>
            <w:pPr>
              <w:pStyle w:val="TableParagraph"/>
              <w:spacing w:line="240" w:lineRule="auto" w:before="7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、受让广州天河软件园高唐新建区土地使用权</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240"/>
              <w:jc w:val="right"/>
              <w:rPr>
                <w:rFonts w:ascii="宋体" w:hAnsi="宋体" w:cs="宋体" w:eastAsia="宋体" w:hint="default"/>
                <w:sz w:val="18"/>
                <w:szCs w:val="18"/>
              </w:rPr>
            </w:pPr>
            <w:r>
              <w:rPr>
                <w:rFonts w:ascii="宋体" w:hAnsi="宋体" w:cs="宋体" w:eastAsia="宋体" w:hint="default"/>
                <w:sz w:val="18"/>
                <w:szCs w:val="18"/>
              </w:rPr>
              <w:t>同意</w:t>
            </w:r>
          </w:p>
        </w:tc>
      </w:tr>
      <w:tr>
        <w:trPr>
          <w:trHeight w:val="330"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2</w:t>
            </w:r>
            <w:r>
              <w:rPr>
                <w:rFonts w:ascii="宋体" w:hAnsi="宋体" w:cs="宋体" w:eastAsia="宋体" w:hint="default"/>
                <w:sz w:val="18"/>
                <w:szCs w:val="18"/>
              </w:rPr>
              <w:t>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三届二十六次董事会</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1" w:right="0"/>
              <w:jc w:val="left"/>
              <w:rPr>
                <w:rFonts w:ascii="宋体" w:hAnsi="宋体" w:cs="宋体" w:eastAsia="宋体" w:hint="default"/>
                <w:sz w:val="18"/>
                <w:szCs w:val="18"/>
              </w:rPr>
            </w:pPr>
            <w:r>
              <w:rPr>
                <w:rFonts w:ascii="宋体" w:hAnsi="宋体" w:cs="宋体" w:eastAsia="宋体" w:hint="default"/>
                <w:sz w:val="18"/>
                <w:szCs w:val="18"/>
              </w:rPr>
              <w:t>使用部分闲置募集资金暂时补充流动资金</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40"/>
              <w:jc w:val="right"/>
              <w:rPr>
                <w:rFonts w:ascii="宋体" w:hAnsi="宋体" w:cs="宋体" w:eastAsia="宋体" w:hint="default"/>
                <w:sz w:val="18"/>
                <w:szCs w:val="18"/>
              </w:rPr>
            </w:pPr>
            <w:r>
              <w:rPr>
                <w:rFonts w:ascii="宋体" w:hAnsi="宋体" w:cs="宋体" w:eastAsia="宋体" w:hint="default"/>
                <w:sz w:val="18"/>
                <w:szCs w:val="18"/>
              </w:rPr>
              <w:t>同意</w:t>
            </w:r>
          </w:p>
        </w:tc>
      </w:tr>
      <w:tr>
        <w:trPr>
          <w:trHeight w:val="330"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22</w:t>
            </w:r>
            <w:r>
              <w:rPr>
                <w:rFonts w:ascii="宋体" w:hAnsi="宋体" w:cs="宋体" w:eastAsia="宋体" w:hint="default"/>
                <w:sz w:val="18"/>
                <w:szCs w:val="18"/>
              </w:rPr>
              <w:t>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三届二十七次董事会</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1" w:right="0"/>
              <w:jc w:val="left"/>
              <w:rPr>
                <w:rFonts w:ascii="宋体" w:hAnsi="宋体" w:cs="宋体" w:eastAsia="宋体" w:hint="default"/>
                <w:sz w:val="18"/>
                <w:szCs w:val="18"/>
              </w:rPr>
            </w:pPr>
            <w:r>
              <w:rPr>
                <w:rFonts w:ascii="宋体" w:hAnsi="宋体" w:cs="宋体" w:eastAsia="宋体" w:hint="default"/>
                <w:sz w:val="18"/>
                <w:szCs w:val="18"/>
              </w:rPr>
              <w:t>聘任</w:t>
            </w:r>
            <w:r>
              <w:rPr>
                <w:rFonts w:ascii="Times New Roman" w:hAnsi="Times New Roman" w:cs="Times New Roman" w:eastAsia="Times New Roman" w:hint="default"/>
                <w:sz w:val="18"/>
                <w:szCs w:val="18"/>
              </w:rPr>
              <w:t>2011</w:t>
            </w:r>
            <w:r>
              <w:rPr>
                <w:rFonts w:ascii="宋体" w:hAnsi="宋体" w:cs="宋体" w:eastAsia="宋体" w:hint="default"/>
                <w:sz w:val="18"/>
                <w:szCs w:val="18"/>
              </w:rPr>
              <w:t>年度财务审计机构</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40"/>
              <w:jc w:val="right"/>
              <w:rPr>
                <w:rFonts w:ascii="宋体" w:hAnsi="宋体" w:cs="宋体" w:eastAsia="宋体" w:hint="default"/>
                <w:sz w:val="18"/>
                <w:szCs w:val="18"/>
              </w:rPr>
            </w:pPr>
            <w:r>
              <w:rPr>
                <w:rFonts w:ascii="宋体" w:hAnsi="宋体" w:cs="宋体" w:eastAsia="宋体" w:hint="default"/>
                <w:sz w:val="18"/>
                <w:szCs w:val="18"/>
              </w:rPr>
              <w:t>同意</w:t>
            </w:r>
          </w:p>
        </w:tc>
      </w:tr>
      <w:tr>
        <w:trPr>
          <w:trHeight w:val="330"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三届二十八次董事会</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1" w:right="0"/>
              <w:jc w:val="left"/>
              <w:rPr>
                <w:rFonts w:ascii="宋体" w:hAnsi="宋体" w:cs="宋体" w:eastAsia="宋体" w:hint="default"/>
                <w:sz w:val="18"/>
                <w:szCs w:val="18"/>
              </w:rPr>
            </w:pPr>
            <w:r>
              <w:rPr>
                <w:rFonts w:ascii="宋体" w:hAnsi="宋体" w:cs="宋体" w:eastAsia="宋体" w:hint="default"/>
                <w:sz w:val="18"/>
                <w:szCs w:val="18"/>
              </w:rPr>
              <w:t>聘任高级管理人员</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40"/>
              <w:jc w:val="right"/>
              <w:rPr>
                <w:rFonts w:ascii="宋体" w:hAnsi="宋体" w:cs="宋体" w:eastAsia="宋体" w:hint="default"/>
                <w:sz w:val="18"/>
                <w:szCs w:val="18"/>
              </w:rPr>
            </w:pPr>
            <w:r>
              <w:rPr>
                <w:rFonts w:ascii="宋体" w:hAnsi="宋体" w:cs="宋体" w:eastAsia="宋体" w:hint="default"/>
                <w:sz w:val="18"/>
                <w:szCs w:val="18"/>
              </w:rPr>
              <w:t>同意</w:t>
            </w:r>
          </w:p>
        </w:tc>
      </w:tr>
    </w:tbl>
    <w:p>
      <w:pPr>
        <w:spacing w:line="240" w:lineRule="auto" w:before="0"/>
        <w:rPr>
          <w:rFonts w:ascii="宋体" w:hAnsi="宋体" w:cs="宋体" w:eastAsia="宋体" w:hint="default"/>
          <w:sz w:val="13"/>
          <w:szCs w:val="13"/>
        </w:rPr>
      </w:pPr>
    </w:p>
    <w:p>
      <w:pPr>
        <w:pStyle w:val="BodyText"/>
        <w:spacing w:line="240" w:lineRule="auto" w:before="26"/>
        <w:ind w:left="702" w:right="214"/>
        <w:jc w:val="left"/>
      </w:pPr>
      <w:r>
        <w:rPr>
          <w:rFonts w:ascii="Times New Roman" w:hAnsi="Times New Roman" w:cs="Times New Roman" w:eastAsia="Times New Roman" w:hint="default"/>
        </w:rPr>
        <w:t>3</w:t>
      </w:r>
      <w:r>
        <w:rPr/>
        <w:t>、现场办公情况</w:t>
      </w:r>
    </w:p>
    <w:p>
      <w:pPr>
        <w:pStyle w:val="BodyText"/>
        <w:spacing w:line="352" w:lineRule="auto"/>
        <w:ind w:left="219" w:right="219" w:firstLine="480"/>
        <w:jc w:val="left"/>
      </w:pPr>
      <w:r>
        <w:rPr>
          <w:rFonts w:ascii="Times New Roman" w:hAnsi="Times New Roman" w:cs="Times New Roman" w:eastAsia="Times New Roman" w:hint="default"/>
        </w:rPr>
        <w:t>2011</w:t>
      </w:r>
      <w:r>
        <w:rPr/>
        <w:t>年度，石本仁先生利用参加董事会、股东大会的机会以及其他时间对公司 进行现场检查，深入了解募投项目进展情况以及公司的经营和财务状况，并通过电 </w:t>
      </w:r>
      <w:r>
        <w:rPr>
          <w:spacing w:val="-2"/>
        </w:rPr>
        <w:t>话和邮件等多种方式与公司其他董事、高级管理人员及相关工作人员保持密切联系，</w:t>
      </w:r>
      <w:r>
        <w:rPr>
          <w:spacing w:val="-116"/>
        </w:rPr>
        <w:t> </w:t>
      </w:r>
      <w:r>
        <w:rPr>
          <w:spacing w:val="-116"/>
        </w:rPr>
      </w:r>
      <w:r>
        <w:rPr/>
        <w:t>时刻关注外部环境及市场变化对公司的影响，关注传媒、网络对公司的相关报道， 对公司的重大事项进展能够做到及时了解和掌握。</w:t>
      </w:r>
    </w:p>
    <w:p>
      <w:pPr>
        <w:pStyle w:val="BodyText"/>
        <w:spacing w:line="338" w:lineRule="auto" w:before="41"/>
        <w:ind w:left="700" w:right="384"/>
        <w:jc w:val="left"/>
      </w:pPr>
      <w:r>
        <w:rPr>
          <w:rFonts w:ascii="Times New Roman" w:hAnsi="Times New Roman" w:cs="Times New Roman" w:eastAsia="Times New Roman" w:hint="default"/>
        </w:rPr>
        <w:t>4</w:t>
      </w:r>
      <w:r>
        <w:rPr/>
        <w:t>、年报编报沟通情况 在公司</w:t>
      </w:r>
      <w:r>
        <w:rPr>
          <w:rFonts w:ascii="Times New Roman" w:hAnsi="Times New Roman" w:cs="Times New Roman" w:eastAsia="Times New Roman" w:hint="default"/>
        </w:rPr>
        <w:t>2011</w:t>
      </w:r>
      <w:r>
        <w:rPr/>
        <w:t>年年报及相关资料的编制和披露过程中，石本仁先生认真听取了高</w:t>
      </w:r>
    </w:p>
    <w:p>
      <w:pPr>
        <w:pStyle w:val="BodyText"/>
        <w:spacing w:line="350" w:lineRule="auto" w:before="27"/>
        <w:ind w:left="220" w:right="402"/>
        <w:jc w:val="both"/>
      </w:pPr>
      <w:r>
        <w:rPr/>
        <w:t>管层对今年行业发展趋势、经营状况、投融资活动等方面的情况汇报，与公司财务 总监、年审注册会计师进行了充分、有效沟通，了解掌握</w:t>
      </w:r>
      <w:r>
        <w:rPr>
          <w:rFonts w:ascii="Times New Roman" w:hAnsi="Times New Roman" w:cs="Times New Roman" w:eastAsia="Times New Roman" w:hint="default"/>
        </w:rPr>
        <w:t>2011</w:t>
      </w:r>
      <w:r>
        <w:rPr/>
        <w:t>年年报审计工作安排 及审计进展情况，并对年报审计工作提出了许多建设性意见，积极督促会计师事务 所按时完成审计工作。</w:t>
      </w:r>
    </w:p>
    <w:p>
      <w:pPr>
        <w:pStyle w:val="BodyText"/>
        <w:spacing w:line="338" w:lineRule="auto" w:before="43"/>
        <w:ind w:left="700" w:right="384"/>
        <w:jc w:val="left"/>
      </w:pPr>
      <w:r>
        <w:rPr>
          <w:rFonts w:ascii="Times New Roman" w:hAnsi="Times New Roman" w:cs="Times New Roman" w:eastAsia="Times New Roman" w:hint="default"/>
        </w:rPr>
        <w:t>5</w:t>
      </w:r>
      <w:r>
        <w:rPr/>
        <w:t>、董事会专门委员会工作情况 独立董事石本仁先生是公司董事会审计委员会主任委员，战略委员会、薪酬与</w:t>
      </w:r>
    </w:p>
    <w:p>
      <w:pPr>
        <w:pStyle w:val="BodyText"/>
        <w:spacing w:line="240" w:lineRule="auto" w:before="55"/>
        <w:ind w:left="220" w:right="0"/>
        <w:jc w:val="both"/>
      </w:pPr>
      <w:r>
        <w:rPr/>
        <w:t>考核委员会、提名委员会委员。</w:t>
      </w:r>
    </w:p>
    <w:p>
      <w:pPr>
        <w:spacing w:after="0" w:line="240" w:lineRule="auto"/>
        <w:jc w:val="both"/>
        <w:sectPr>
          <w:pgSz w:w="11910" w:h="16840"/>
          <w:pgMar w:header="877" w:footer="1048" w:top="1100" w:bottom="1240" w:left="1580" w:right="1060"/>
        </w:sectPr>
      </w:pPr>
    </w:p>
    <w:p>
      <w:pPr>
        <w:spacing w:line="240" w:lineRule="auto" w:before="7"/>
        <w:rPr>
          <w:rFonts w:ascii="宋体" w:hAnsi="宋体" w:cs="宋体" w:eastAsia="宋体" w:hint="default"/>
          <w:sz w:val="25"/>
          <w:szCs w:val="25"/>
        </w:rPr>
      </w:pPr>
    </w:p>
    <w:p>
      <w:pPr>
        <w:pStyle w:val="BodyText"/>
        <w:spacing w:line="348" w:lineRule="auto" w:before="26"/>
        <w:ind w:left="220" w:right="402" w:firstLine="480"/>
        <w:jc w:val="both"/>
      </w:pPr>
      <w:r>
        <w:rPr>
          <w:rFonts w:ascii="Times New Roman" w:hAnsi="Times New Roman" w:cs="Times New Roman" w:eastAsia="Times New Roman" w:hint="default"/>
        </w:rPr>
        <w:t>2011</w:t>
      </w:r>
      <w:r>
        <w:rPr/>
        <w:t>年度主要工作一是定期牵头召开公司审计委员会工作会议，审议公司审计 部提交的相关审计报告；二是对公司的定期财务报告进行分析，根据分析结果及时 提醒企业关注有关经营事项。</w:t>
      </w:r>
    </w:p>
    <w:p>
      <w:pPr>
        <w:pStyle w:val="BodyText"/>
        <w:spacing w:line="240" w:lineRule="auto" w:before="46"/>
        <w:ind w:left="700" w:right="214"/>
        <w:jc w:val="left"/>
      </w:pPr>
      <w:r>
        <w:rPr>
          <w:rFonts w:ascii="Times New Roman" w:hAnsi="Times New Roman" w:cs="Times New Roman" w:eastAsia="Times New Roman" w:hint="default"/>
        </w:rPr>
        <w:t>6</w:t>
      </w:r>
      <w:r>
        <w:rPr/>
        <w:t>、其他事项</w:t>
      </w:r>
    </w:p>
    <w:p>
      <w:pPr>
        <w:pStyle w:val="BodyText"/>
        <w:spacing w:line="240" w:lineRule="auto"/>
        <w:ind w:left="700" w:right="214"/>
        <w:jc w:val="left"/>
      </w:pPr>
      <w:r>
        <w:rPr/>
        <w:t>（</w:t>
      </w:r>
      <w:r>
        <w:rPr>
          <w:rFonts w:ascii="Times New Roman" w:hAnsi="Times New Roman" w:cs="Times New Roman" w:eastAsia="Times New Roman" w:hint="default"/>
        </w:rPr>
        <w:t>1</w:t>
      </w:r>
      <w:r>
        <w:rPr/>
        <w:t>）未提议召开董事会；</w:t>
      </w:r>
    </w:p>
    <w:p>
      <w:pPr>
        <w:pStyle w:val="BodyText"/>
        <w:spacing w:line="240" w:lineRule="auto"/>
        <w:ind w:left="700" w:right="214"/>
        <w:jc w:val="left"/>
      </w:pPr>
      <w:r>
        <w:rPr/>
        <w:t>（</w:t>
      </w:r>
      <w:r>
        <w:rPr>
          <w:rFonts w:ascii="Times New Roman" w:hAnsi="Times New Roman" w:cs="Times New Roman" w:eastAsia="Times New Roman" w:hint="default"/>
        </w:rPr>
        <w:t>2</w:t>
      </w:r>
      <w:r>
        <w:rPr/>
        <w:t>）无提议聘用或解聘会计师事务所的情况；</w:t>
      </w:r>
    </w:p>
    <w:p>
      <w:pPr>
        <w:pStyle w:val="BodyText"/>
        <w:spacing w:line="240" w:lineRule="auto"/>
        <w:ind w:left="700" w:right="214"/>
        <w:jc w:val="left"/>
      </w:pPr>
      <w:r>
        <w:rPr/>
        <w:t>（</w:t>
      </w:r>
      <w:r>
        <w:rPr>
          <w:rFonts w:ascii="Times New Roman" w:hAnsi="Times New Roman" w:cs="Times New Roman" w:eastAsia="Times New Roman" w:hint="default"/>
        </w:rPr>
        <w:t>3</w:t>
      </w:r>
      <w:r>
        <w:rPr/>
        <w:t>）未独立聘请外部审计机构和咨询机构。</w:t>
      </w: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2"/>
          <w:szCs w:val="22"/>
        </w:rPr>
      </w:pPr>
    </w:p>
    <w:p>
      <w:pPr>
        <w:pStyle w:val="BodyText"/>
        <w:spacing w:line="240" w:lineRule="auto" w:before="0"/>
        <w:ind w:left="685" w:right="214"/>
        <w:jc w:val="left"/>
      </w:pPr>
      <w:r>
        <w:rPr/>
        <w:t>（二）独立董事张华先生履职情况</w:t>
      </w:r>
    </w:p>
    <w:p>
      <w:pPr>
        <w:pStyle w:val="BodyText"/>
        <w:spacing w:line="338" w:lineRule="auto" w:before="154"/>
        <w:ind w:left="699" w:right="215"/>
        <w:jc w:val="left"/>
      </w:pPr>
      <w:r>
        <w:rPr>
          <w:rFonts w:ascii="Times New Roman" w:hAnsi="Times New Roman" w:cs="Times New Roman" w:eastAsia="Times New Roman" w:hint="default"/>
        </w:rPr>
        <w:t>1</w:t>
      </w:r>
      <w:r>
        <w:rPr/>
        <w:t>、出席会议情况 </w:t>
      </w:r>
      <w:r>
        <w:rPr>
          <w:spacing w:val="-5"/>
        </w:rPr>
        <w:t>报告期内公司共召开</w:t>
      </w:r>
      <w:r>
        <w:rPr>
          <w:rFonts w:ascii="Times New Roman" w:hAnsi="Times New Roman" w:cs="Times New Roman" w:eastAsia="Times New Roman" w:hint="default"/>
          <w:spacing w:val="-5"/>
        </w:rPr>
        <w:t>13</w:t>
      </w:r>
      <w:r>
        <w:rPr>
          <w:spacing w:val="-5"/>
        </w:rPr>
        <w:t>次董事会，</w:t>
      </w:r>
      <w:r>
        <w:rPr>
          <w:rFonts w:ascii="Times New Roman" w:hAnsi="Times New Roman" w:cs="Times New Roman" w:eastAsia="Times New Roman" w:hint="default"/>
          <w:spacing w:val="-5"/>
        </w:rPr>
        <w:t>11</w:t>
      </w:r>
      <w:r>
        <w:rPr>
          <w:spacing w:val="-5"/>
        </w:rPr>
        <w:t>次现场出席会议，</w:t>
      </w:r>
      <w:r>
        <w:rPr>
          <w:rFonts w:ascii="Times New Roman" w:hAnsi="Times New Roman" w:cs="Times New Roman" w:eastAsia="Times New Roman" w:hint="default"/>
          <w:spacing w:val="-5"/>
        </w:rPr>
        <w:t>2</w:t>
      </w:r>
      <w:r>
        <w:rPr>
          <w:spacing w:val="-5"/>
        </w:rPr>
        <w:t>次以通讯方式参加会议，</w:t>
      </w:r>
    </w:p>
    <w:p>
      <w:pPr>
        <w:pStyle w:val="BodyText"/>
        <w:spacing w:line="240" w:lineRule="auto" w:before="27"/>
        <w:ind w:left="220" w:right="214"/>
        <w:jc w:val="left"/>
      </w:pPr>
      <w:r>
        <w:rPr/>
        <w:t>对董事会审议的议案均投赞成票；亲自列席公司</w:t>
      </w:r>
      <w:r>
        <w:rPr>
          <w:rFonts w:ascii="Times New Roman" w:hAnsi="Times New Roman" w:cs="Times New Roman" w:eastAsia="Times New Roman" w:hint="default"/>
        </w:rPr>
        <w:t>7</w:t>
      </w:r>
      <w:r>
        <w:rPr/>
        <w:t>次股东大会。</w:t>
      </w:r>
    </w:p>
    <w:p>
      <w:pPr>
        <w:pStyle w:val="BodyText"/>
        <w:spacing w:line="240" w:lineRule="auto"/>
        <w:ind w:left="700" w:right="214"/>
        <w:jc w:val="left"/>
      </w:pPr>
      <w:r>
        <w:rPr>
          <w:rFonts w:ascii="Times New Roman" w:hAnsi="Times New Roman" w:cs="Times New Roman" w:eastAsia="Times New Roman" w:hint="default"/>
        </w:rPr>
        <w:t>2</w:t>
      </w:r>
      <w:r>
        <w:rPr/>
        <w:t>、发表独立意见情况</w:t>
      </w:r>
    </w:p>
    <w:p>
      <w:pPr>
        <w:spacing w:line="240" w:lineRule="auto" w:before="4"/>
        <w:rPr>
          <w:rFonts w:ascii="宋体" w:hAnsi="宋体" w:cs="宋体" w:eastAsia="宋体" w:hint="default"/>
          <w:sz w:val="7"/>
          <w:szCs w:val="7"/>
        </w:rPr>
      </w:pPr>
    </w:p>
    <w:tbl>
      <w:tblPr>
        <w:tblW w:w="0" w:type="auto"/>
        <w:jc w:val="left"/>
        <w:tblInd w:w="107" w:type="dxa"/>
        <w:tblLayout w:type="fixed"/>
        <w:tblCellMar>
          <w:top w:w="0" w:type="dxa"/>
          <w:left w:w="0" w:type="dxa"/>
          <w:bottom w:w="0" w:type="dxa"/>
          <w:right w:w="0" w:type="dxa"/>
        </w:tblCellMar>
        <w:tblLook w:val="01E0"/>
      </w:tblPr>
      <w:tblGrid>
        <w:gridCol w:w="1526"/>
        <w:gridCol w:w="1843"/>
        <w:gridCol w:w="4818"/>
        <w:gridCol w:w="852"/>
      </w:tblGrid>
      <w:tr>
        <w:trPr>
          <w:trHeight w:val="650" w:hRule="exact"/>
        </w:trPr>
        <w:tc>
          <w:tcPr>
            <w:tcW w:w="152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会议日期</w:t>
            </w:r>
          </w:p>
        </w:tc>
        <w:tc>
          <w:tcPr>
            <w:tcW w:w="1843"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会议名称</w:t>
            </w:r>
          </w:p>
        </w:tc>
        <w:tc>
          <w:tcPr>
            <w:tcW w:w="481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事项内容</w:t>
            </w:r>
          </w:p>
        </w:tc>
        <w:tc>
          <w:tcPr>
            <w:tcW w:w="85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149" w:right="150"/>
              <w:jc w:val="left"/>
              <w:rPr>
                <w:rFonts w:ascii="宋体" w:hAnsi="宋体" w:cs="宋体" w:eastAsia="宋体" w:hint="default"/>
                <w:sz w:val="18"/>
                <w:szCs w:val="18"/>
              </w:rPr>
            </w:pPr>
            <w:r>
              <w:rPr>
                <w:rFonts w:ascii="宋体" w:hAnsi="宋体" w:cs="宋体" w:eastAsia="宋体" w:hint="default"/>
                <w:sz w:val="18"/>
                <w:szCs w:val="18"/>
              </w:rPr>
              <w:t>独立意 见类型</w:t>
            </w:r>
          </w:p>
        </w:tc>
      </w:tr>
      <w:tr>
        <w:trPr>
          <w:trHeight w:val="2890"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w:t>
            </w:r>
            <w:r>
              <w:rPr>
                <w:rFonts w:ascii="Times New Roman" w:hAnsi="Times New Roman" w:cs="Times New Roman" w:eastAsia="Times New Roman" w:hint="default"/>
                <w:sz w:val="18"/>
                <w:szCs w:val="18"/>
              </w:rPr>
              <w:t>24</w:t>
            </w:r>
            <w:r>
              <w:rPr>
                <w:rFonts w:ascii="宋体" w:hAnsi="宋体" w:cs="宋体" w:eastAsia="宋体" w:hint="default"/>
                <w:sz w:val="18"/>
                <w:szCs w:val="18"/>
              </w:rPr>
              <w:t>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right="0"/>
              <w:jc w:val="center"/>
              <w:rPr>
                <w:rFonts w:ascii="宋体" w:hAnsi="宋体" w:cs="宋体" w:eastAsia="宋体" w:hint="default"/>
                <w:sz w:val="18"/>
                <w:szCs w:val="18"/>
              </w:rPr>
            </w:pPr>
            <w:r>
              <w:rPr>
                <w:rFonts w:ascii="宋体" w:hAnsi="宋体" w:cs="宋体" w:eastAsia="宋体" w:hint="default"/>
                <w:sz w:val="18"/>
                <w:szCs w:val="18"/>
              </w:rPr>
              <w:t>三届十六次董事会</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、公司与关联方资金往来、公司累计和当期对外担保情况</w:t>
            </w:r>
          </w:p>
          <w:p>
            <w:pPr>
              <w:pStyle w:val="TableParagraph"/>
              <w:spacing w:line="240" w:lineRule="auto" w:before="7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、公司内部控制自我评价报告</w:t>
            </w:r>
          </w:p>
          <w:p>
            <w:pPr>
              <w:pStyle w:val="TableParagraph"/>
              <w:spacing w:line="240" w:lineRule="auto" w:before="7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、公司</w:t>
            </w:r>
            <w:r>
              <w:rPr>
                <w:rFonts w:ascii="Times New Roman" w:hAnsi="Times New Roman" w:cs="Times New Roman" w:eastAsia="Times New Roman" w:hint="default"/>
                <w:sz w:val="18"/>
                <w:szCs w:val="18"/>
              </w:rPr>
              <w:t>2010</w:t>
            </w:r>
            <w:r>
              <w:rPr>
                <w:rFonts w:ascii="宋体" w:hAnsi="宋体" w:cs="宋体" w:eastAsia="宋体" w:hint="default"/>
                <w:sz w:val="18"/>
                <w:szCs w:val="18"/>
              </w:rPr>
              <w:t>年度关联交易</w:t>
            </w:r>
          </w:p>
          <w:p>
            <w:pPr>
              <w:pStyle w:val="TableParagraph"/>
              <w:spacing w:line="309" w:lineRule="auto" w:before="71"/>
              <w:ind w:left="101" w:right="114"/>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、公司与广州基准机械电子科技有限公司签订加工采购合 同关联事项</w:t>
            </w:r>
          </w:p>
          <w:p>
            <w:pPr>
              <w:pStyle w:val="TableParagraph"/>
              <w:spacing w:line="240" w:lineRule="auto" w:before="3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、续聘会计师事务所</w:t>
            </w:r>
          </w:p>
          <w:p>
            <w:pPr>
              <w:pStyle w:val="TableParagraph"/>
              <w:spacing w:line="240" w:lineRule="auto" w:before="7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2010</w:t>
            </w:r>
            <w:r>
              <w:rPr>
                <w:rFonts w:ascii="宋体" w:hAnsi="宋体" w:cs="宋体" w:eastAsia="宋体" w:hint="default"/>
                <w:sz w:val="18"/>
                <w:szCs w:val="18"/>
              </w:rPr>
              <w:t>年度资本公积金转增股本及利润分配方案</w:t>
            </w:r>
          </w:p>
          <w:p>
            <w:pPr>
              <w:pStyle w:val="TableParagraph"/>
              <w:spacing w:line="307" w:lineRule="auto" w:before="71"/>
              <w:ind w:left="101" w:right="10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7</w:t>
            </w:r>
            <w:r>
              <w:rPr>
                <w:rFonts w:ascii="宋体" w:hAnsi="宋体" w:cs="宋体" w:eastAsia="宋体" w:hint="default"/>
                <w:spacing w:val="-2"/>
                <w:sz w:val="18"/>
                <w:szCs w:val="18"/>
              </w:rPr>
              <w:t>、控股子公司广州御银自动柜员机技术有限公司</w:t>
            </w:r>
            <w:r>
              <w:rPr>
                <w:rFonts w:ascii="Times New Roman" w:hAnsi="Times New Roman" w:cs="Times New Roman" w:eastAsia="Times New Roman" w:hint="default"/>
                <w:spacing w:val="-2"/>
                <w:sz w:val="18"/>
                <w:szCs w:val="18"/>
              </w:rPr>
              <w:t>ATM</w:t>
            </w:r>
            <w:r>
              <w:rPr>
                <w:rFonts w:ascii="宋体" w:hAnsi="宋体" w:cs="宋体" w:eastAsia="宋体" w:hint="default"/>
                <w:spacing w:val="-2"/>
                <w:sz w:val="18"/>
                <w:szCs w:val="18"/>
              </w:rPr>
              <w:t>设备</w:t>
            </w:r>
            <w:r>
              <w:rPr>
                <w:rFonts w:ascii="宋体" w:hAnsi="宋体" w:cs="宋体" w:eastAsia="宋体" w:hint="default"/>
                <w:spacing w:val="-67"/>
                <w:sz w:val="18"/>
                <w:szCs w:val="18"/>
              </w:rPr>
              <w:t> </w:t>
            </w:r>
            <w:r>
              <w:rPr>
                <w:rFonts w:ascii="宋体" w:hAnsi="宋体" w:cs="宋体" w:eastAsia="宋体" w:hint="default"/>
                <w:sz w:val="18"/>
                <w:szCs w:val="18"/>
              </w:rPr>
              <w:t>扩大产能投资项目</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right="240"/>
              <w:jc w:val="right"/>
              <w:rPr>
                <w:rFonts w:ascii="宋体" w:hAnsi="宋体" w:cs="宋体" w:eastAsia="宋体" w:hint="default"/>
                <w:sz w:val="18"/>
                <w:szCs w:val="18"/>
              </w:rPr>
            </w:pPr>
            <w:r>
              <w:rPr>
                <w:rFonts w:ascii="宋体" w:hAnsi="宋体" w:cs="宋体" w:eastAsia="宋体" w:hint="default"/>
                <w:sz w:val="18"/>
                <w:szCs w:val="18"/>
              </w:rPr>
              <w:t>同意</w:t>
            </w:r>
          </w:p>
        </w:tc>
      </w:tr>
      <w:tr>
        <w:trPr>
          <w:trHeight w:val="2890"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27</w:t>
            </w:r>
            <w:r>
              <w:rPr>
                <w:rFonts w:ascii="宋体" w:hAnsi="宋体" w:cs="宋体" w:eastAsia="宋体" w:hint="default"/>
                <w:sz w:val="18"/>
                <w:szCs w:val="18"/>
              </w:rPr>
              <w:t>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right="0"/>
              <w:jc w:val="center"/>
              <w:rPr>
                <w:rFonts w:ascii="宋体" w:hAnsi="宋体" w:cs="宋体" w:eastAsia="宋体" w:hint="default"/>
                <w:sz w:val="18"/>
                <w:szCs w:val="18"/>
              </w:rPr>
            </w:pPr>
            <w:r>
              <w:rPr>
                <w:rFonts w:ascii="宋体" w:hAnsi="宋体" w:cs="宋体" w:eastAsia="宋体" w:hint="default"/>
                <w:sz w:val="18"/>
                <w:szCs w:val="18"/>
              </w:rPr>
              <w:t>三届十七次董事会</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6"/>
              <w:ind w:left="101" w:right="11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、广州御银科技股份有限公司及其子公司向中国工商银行 股份有限公司广州工业大道支行办理最高不超过两亿元融 资业务的议案 </w:t>
            </w:r>
            <w:r>
              <w:rPr>
                <w:rFonts w:ascii="Times New Roman" w:hAnsi="Times New Roman" w:cs="Times New Roman" w:eastAsia="Times New Roman" w:hint="default"/>
                <w:sz w:val="18"/>
                <w:szCs w:val="18"/>
              </w:rPr>
              <w:t>2</w:t>
            </w:r>
            <w:r>
              <w:rPr>
                <w:rFonts w:ascii="宋体" w:hAnsi="宋体" w:cs="宋体" w:eastAsia="宋体" w:hint="default"/>
                <w:sz w:val="18"/>
                <w:szCs w:val="18"/>
              </w:rPr>
              <w:t>、广州御银科技股份有限公司为子公司御银科技（香港） 有限公司在中国工商银行股份有限公司广州工业大道支行 办理的银行融资业务提供担保的议案 </w:t>
            </w:r>
            <w:r>
              <w:rPr>
                <w:rFonts w:ascii="Times New Roman" w:hAnsi="Times New Roman" w:cs="Times New Roman" w:eastAsia="Times New Roman" w:hint="default"/>
                <w:sz w:val="18"/>
                <w:szCs w:val="18"/>
              </w:rPr>
              <w:t>3</w:t>
            </w:r>
            <w:r>
              <w:rPr>
                <w:rFonts w:ascii="宋体" w:hAnsi="宋体" w:cs="宋体" w:eastAsia="宋体" w:hint="default"/>
                <w:sz w:val="18"/>
                <w:szCs w:val="18"/>
              </w:rPr>
              <w:t>、广州御银科技股份有限公司为子公司御银科技（香港） 有限公司在中国农业银行股份有限公司广东省分行营业部 办理的银行融资业务提供担保的议案</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right="240"/>
              <w:jc w:val="right"/>
              <w:rPr>
                <w:rFonts w:ascii="宋体" w:hAnsi="宋体" w:cs="宋体" w:eastAsia="宋体" w:hint="default"/>
                <w:sz w:val="18"/>
                <w:szCs w:val="18"/>
              </w:rPr>
            </w:pPr>
            <w:r>
              <w:rPr>
                <w:rFonts w:ascii="宋体" w:hAnsi="宋体" w:cs="宋体" w:eastAsia="宋体" w:hint="default"/>
                <w:sz w:val="18"/>
                <w:szCs w:val="18"/>
              </w:rPr>
              <w:t>同意</w:t>
            </w:r>
          </w:p>
        </w:tc>
      </w:tr>
      <w:tr>
        <w:trPr>
          <w:trHeight w:val="330"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三届十九次董事会</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1" w:right="0"/>
              <w:jc w:val="left"/>
              <w:rPr>
                <w:rFonts w:ascii="宋体" w:hAnsi="宋体" w:cs="宋体" w:eastAsia="宋体" w:hint="default"/>
                <w:sz w:val="18"/>
                <w:szCs w:val="18"/>
              </w:rPr>
            </w:pPr>
            <w:r>
              <w:rPr>
                <w:rFonts w:ascii="宋体" w:hAnsi="宋体" w:cs="宋体" w:eastAsia="宋体" w:hint="default"/>
                <w:sz w:val="18"/>
                <w:szCs w:val="18"/>
              </w:rPr>
              <w:t>使用部分闲置募集资金暂时补充流动资金</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40"/>
              <w:jc w:val="right"/>
              <w:rPr>
                <w:rFonts w:ascii="宋体" w:hAnsi="宋体" w:cs="宋体" w:eastAsia="宋体" w:hint="default"/>
                <w:sz w:val="18"/>
                <w:szCs w:val="18"/>
              </w:rPr>
            </w:pPr>
            <w:r>
              <w:rPr>
                <w:rFonts w:ascii="宋体" w:hAnsi="宋体" w:cs="宋体" w:eastAsia="宋体" w:hint="default"/>
                <w:sz w:val="18"/>
                <w:szCs w:val="18"/>
              </w:rPr>
              <w:t>同意</w:t>
            </w:r>
          </w:p>
        </w:tc>
      </w:tr>
      <w:tr>
        <w:trPr>
          <w:trHeight w:val="650"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30</w:t>
            </w:r>
            <w:r>
              <w:rPr>
                <w:rFonts w:ascii="宋体" w:hAnsi="宋体" w:cs="宋体" w:eastAsia="宋体" w:hint="default"/>
                <w:sz w:val="18"/>
                <w:szCs w:val="18"/>
              </w:rPr>
              <w:t>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三届二十次董事会</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、股票期权激励计划（草案）修订稿</w:t>
            </w:r>
          </w:p>
          <w:p>
            <w:pPr>
              <w:pStyle w:val="TableParagraph"/>
              <w:spacing w:line="240" w:lineRule="auto" w:before="7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、聘任高级管理人员</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40"/>
              <w:jc w:val="right"/>
              <w:rPr>
                <w:rFonts w:ascii="宋体" w:hAnsi="宋体" w:cs="宋体" w:eastAsia="宋体" w:hint="default"/>
                <w:sz w:val="18"/>
                <w:szCs w:val="18"/>
              </w:rPr>
            </w:pPr>
            <w:r>
              <w:rPr>
                <w:rFonts w:ascii="宋体" w:hAnsi="宋体" w:cs="宋体" w:eastAsia="宋体" w:hint="default"/>
                <w:sz w:val="18"/>
                <w:szCs w:val="18"/>
              </w:rPr>
              <w:t>同意</w:t>
            </w:r>
          </w:p>
        </w:tc>
      </w:tr>
      <w:tr>
        <w:trPr>
          <w:trHeight w:val="330"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三届二十一次董事会</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、确定公司股票期权激励计划首次授予日的议案</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40"/>
              <w:jc w:val="right"/>
              <w:rPr>
                <w:rFonts w:ascii="宋体" w:hAnsi="宋体" w:cs="宋体" w:eastAsia="宋体" w:hint="default"/>
                <w:sz w:val="18"/>
                <w:szCs w:val="18"/>
              </w:rPr>
            </w:pPr>
            <w:r>
              <w:rPr>
                <w:rFonts w:ascii="宋体" w:hAnsi="宋体" w:cs="宋体" w:eastAsia="宋体" w:hint="default"/>
                <w:sz w:val="18"/>
                <w:szCs w:val="18"/>
              </w:rPr>
              <w:t>同意</w:t>
            </w:r>
          </w:p>
        </w:tc>
      </w:tr>
    </w:tbl>
    <w:p>
      <w:pPr>
        <w:spacing w:after="0" w:line="240" w:lineRule="auto"/>
        <w:jc w:val="right"/>
        <w:rPr>
          <w:rFonts w:ascii="宋体" w:hAnsi="宋体" w:cs="宋体" w:eastAsia="宋体" w:hint="default"/>
          <w:sz w:val="18"/>
          <w:szCs w:val="18"/>
        </w:rPr>
        <w:sectPr>
          <w:pgSz w:w="11910" w:h="16840"/>
          <w:pgMar w:header="877" w:footer="1048" w:top="1100" w:bottom="1240" w:left="1580" w:right="1060"/>
        </w:sectPr>
      </w:pPr>
    </w:p>
    <w:p>
      <w:pPr>
        <w:spacing w:line="240" w:lineRule="auto" w:before="6"/>
        <w:rPr>
          <w:rFonts w:ascii="宋体" w:hAnsi="宋体" w:cs="宋体" w:eastAsia="宋体" w:hint="default"/>
          <w:sz w:val="24"/>
          <w:szCs w:val="24"/>
        </w:rPr>
      </w:pPr>
    </w:p>
    <w:tbl>
      <w:tblPr>
        <w:tblW w:w="0" w:type="auto"/>
        <w:jc w:val="left"/>
        <w:tblInd w:w="107" w:type="dxa"/>
        <w:tblLayout w:type="fixed"/>
        <w:tblCellMar>
          <w:top w:w="0" w:type="dxa"/>
          <w:left w:w="0" w:type="dxa"/>
          <w:bottom w:w="0" w:type="dxa"/>
          <w:right w:w="0" w:type="dxa"/>
        </w:tblCellMar>
        <w:tblLook w:val="01E0"/>
      </w:tblPr>
      <w:tblGrid>
        <w:gridCol w:w="1526"/>
        <w:gridCol w:w="1843"/>
        <w:gridCol w:w="4818"/>
        <w:gridCol w:w="852"/>
      </w:tblGrid>
      <w:tr>
        <w:trPr>
          <w:trHeight w:val="372" w:hRule="exact"/>
        </w:trPr>
        <w:tc>
          <w:tcPr>
            <w:tcW w:w="1526" w:type="dxa"/>
            <w:tcBorders>
              <w:top w:val="single" w:sz="4" w:space="0" w:color="000000"/>
              <w:left w:val="single" w:sz="4" w:space="0" w:color="000000"/>
              <w:bottom w:val="nil" w:sz="6" w:space="0" w:color="auto"/>
              <w:right w:val="single" w:sz="4" w:space="0" w:color="000000"/>
            </w:tcBorders>
          </w:tcPr>
          <w:p>
            <w:pPr/>
          </w:p>
        </w:tc>
        <w:tc>
          <w:tcPr>
            <w:tcW w:w="1843" w:type="dxa"/>
            <w:tcBorders>
              <w:top w:val="single" w:sz="4" w:space="0" w:color="000000"/>
              <w:left w:val="single" w:sz="4" w:space="0" w:color="000000"/>
              <w:bottom w:val="nil" w:sz="6" w:space="0" w:color="auto"/>
              <w:right w:val="single" w:sz="4" w:space="0" w:color="000000"/>
            </w:tcBorders>
          </w:tcPr>
          <w:p>
            <w:pPr/>
          </w:p>
        </w:tc>
        <w:tc>
          <w:tcPr>
            <w:tcW w:w="48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6"/>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、控股股东及其他关联方占用公司资金及对外担保情况</w:t>
            </w:r>
          </w:p>
        </w:tc>
        <w:tc>
          <w:tcPr>
            <w:tcW w:w="852" w:type="dxa"/>
            <w:tcBorders>
              <w:top w:val="single" w:sz="4" w:space="0" w:color="000000"/>
              <w:left w:val="single" w:sz="4" w:space="0" w:color="000000"/>
              <w:bottom w:val="nil" w:sz="6" w:space="0" w:color="auto"/>
              <w:right w:val="single" w:sz="4" w:space="0" w:color="000000"/>
            </w:tcBorders>
          </w:tcPr>
          <w:p>
            <w:pPr/>
          </w:p>
        </w:tc>
      </w:tr>
      <w:tr>
        <w:trPr>
          <w:trHeight w:val="320" w:hRule="exact"/>
        </w:trPr>
        <w:tc>
          <w:tcPr>
            <w:tcW w:w="152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1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28</w:t>
            </w:r>
            <w:r>
              <w:rPr>
                <w:rFonts w:ascii="宋体" w:hAnsi="宋体" w:cs="宋体" w:eastAsia="宋体" w:hint="default"/>
                <w:sz w:val="18"/>
                <w:szCs w:val="18"/>
              </w:rPr>
              <w:t>日</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104"/>
              <w:jc w:val="right"/>
              <w:rPr>
                <w:rFonts w:ascii="宋体" w:hAnsi="宋体" w:cs="宋体" w:eastAsia="宋体" w:hint="default"/>
                <w:sz w:val="18"/>
                <w:szCs w:val="18"/>
              </w:rPr>
            </w:pPr>
            <w:r>
              <w:rPr>
                <w:rFonts w:ascii="宋体" w:hAnsi="宋体" w:cs="宋体" w:eastAsia="宋体" w:hint="default"/>
                <w:sz w:val="18"/>
                <w:szCs w:val="18"/>
              </w:rPr>
              <w:t>三届二十三次董事会</w:t>
            </w:r>
          </w:p>
        </w:tc>
        <w:tc>
          <w:tcPr>
            <w:tcW w:w="481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、投资入股广东花都稠州村镇银行股份有限公司</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240"/>
              <w:jc w:val="right"/>
              <w:rPr>
                <w:rFonts w:ascii="宋体" w:hAnsi="宋体" w:cs="宋体" w:eastAsia="宋体" w:hint="default"/>
                <w:sz w:val="18"/>
                <w:szCs w:val="18"/>
              </w:rPr>
            </w:pPr>
            <w:r>
              <w:rPr>
                <w:rFonts w:ascii="宋体" w:hAnsi="宋体" w:cs="宋体" w:eastAsia="宋体" w:hint="default"/>
                <w:sz w:val="18"/>
                <w:szCs w:val="18"/>
              </w:rPr>
              <w:t>同意</w:t>
            </w:r>
          </w:p>
        </w:tc>
      </w:tr>
      <w:tr>
        <w:trPr>
          <w:trHeight w:val="278" w:hRule="exact"/>
        </w:trPr>
        <w:tc>
          <w:tcPr>
            <w:tcW w:w="1526" w:type="dxa"/>
            <w:tcBorders>
              <w:top w:val="nil" w:sz="6" w:space="0" w:color="auto"/>
              <w:left w:val="single" w:sz="4" w:space="0" w:color="000000"/>
              <w:bottom w:val="single" w:sz="4" w:space="0" w:color="000000"/>
              <w:right w:val="single" w:sz="4" w:space="0" w:color="000000"/>
            </w:tcBorders>
          </w:tcPr>
          <w:p>
            <w:pPr/>
          </w:p>
        </w:tc>
        <w:tc>
          <w:tcPr>
            <w:tcW w:w="1843" w:type="dxa"/>
            <w:tcBorders>
              <w:top w:val="nil" w:sz="6" w:space="0" w:color="auto"/>
              <w:left w:val="single" w:sz="4" w:space="0" w:color="000000"/>
              <w:bottom w:val="single" w:sz="4" w:space="0" w:color="000000"/>
              <w:right w:val="single" w:sz="4" w:space="0" w:color="000000"/>
            </w:tcBorders>
          </w:tcPr>
          <w:p>
            <w:pPr/>
          </w:p>
        </w:tc>
        <w:tc>
          <w:tcPr>
            <w:tcW w:w="48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、受让广州天河软件园高唐新建区土地使用权</w:t>
            </w:r>
          </w:p>
        </w:tc>
        <w:tc>
          <w:tcPr>
            <w:tcW w:w="852" w:type="dxa"/>
            <w:tcBorders>
              <w:top w:val="nil" w:sz="6" w:space="0" w:color="auto"/>
              <w:left w:val="single" w:sz="4" w:space="0" w:color="000000"/>
              <w:bottom w:val="single" w:sz="4" w:space="0" w:color="000000"/>
              <w:right w:val="single" w:sz="4" w:space="0" w:color="000000"/>
            </w:tcBorders>
          </w:tcPr>
          <w:p>
            <w:pPr/>
          </w:p>
        </w:tc>
      </w:tr>
      <w:tr>
        <w:trPr>
          <w:trHeight w:val="330"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2</w:t>
            </w:r>
            <w:r>
              <w:rPr>
                <w:rFonts w:ascii="宋体" w:hAnsi="宋体" w:cs="宋体" w:eastAsia="宋体" w:hint="default"/>
                <w:sz w:val="18"/>
                <w:szCs w:val="18"/>
              </w:rPr>
              <w:t>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4"/>
              <w:jc w:val="right"/>
              <w:rPr>
                <w:rFonts w:ascii="宋体" w:hAnsi="宋体" w:cs="宋体" w:eastAsia="宋体" w:hint="default"/>
                <w:sz w:val="18"/>
                <w:szCs w:val="18"/>
              </w:rPr>
            </w:pPr>
            <w:r>
              <w:rPr>
                <w:rFonts w:ascii="宋体" w:hAnsi="宋体" w:cs="宋体" w:eastAsia="宋体" w:hint="default"/>
                <w:sz w:val="18"/>
                <w:szCs w:val="18"/>
              </w:rPr>
              <w:t>三届二十六次董事会</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1" w:right="0"/>
              <w:jc w:val="left"/>
              <w:rPr>
                <w:rFonts w:ascii="宋体" w:hAnsi="宋体" w:cs="宋体" w:eastAsia="宋体" w:hint="default"/>
                <w:sz w:val="18"/>
                <w:szCs w:val="18"/>
              </w:rPr>
            </w:pPr>
            <w:r>
              <w:rPr>
                <w:rFonts w:ascii="宋体" w:hAnsi="宋体" w:cs="宋体" w:eastAsia="宋体" w:hint="default"/>
                <w:sz w:val="18"/>
                <w:szCs w:val="18"/>
              </w:rPr>
              <w:t>使用部分闲置募集资金暂时补充流动资金</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40"/>
              <w:jc w:val="right"/>
              <w:rPr>
                <w:rFonts w:ascii="宋体" w:hAnsi="宋体" w:cs="宋体" w:eastAsia="宋体" w:hint="default"/>
                <w:sz w:val="18"/>
                <w:szCs w:val="18"/>
              </w:rPr>
            </w:pPr>
            <w:r>
              <w:rPr>
                <w:rFonts w:ascii="宋体" w:hAnsi="宋体" w:cs="宋体" w:eastAsia="宋体" w:hint="default"/>
                <w:sz w:val="18"/>
                <w:szCs w:val="18"/>
              </w:rPr>
              <w:t>同意</w:t>
            </w:r>
          </w:p>
        </w:tc>
      </w:tr>
      <w:tr>
        <w:trPr>
          <w:trHeight w:val="330"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22</w:t>
            </w:r>
            <w:r>
              <w:rPr>
                <w:rFonts w:ascii="宋体" w:hAnsi="宋体" w:cs="宋体" w:eastAsia="宋体" w:hint="default"/>
                <w:sz w:val="18"/>
                <w:szCs w:val="18"/>
              </w:rPr>
              <w:t>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4"/>
              <w:jc w:val="right"/>
              <w:rPr>
                <w:rFonts w:ascii="宋体" w:hAnsi="宋体" w:cs="宋体" w:eastAsia="宋体" w:hint="default"/>
                <w:sz w:val="18"/>
                <w:szCs w:val="18"/>
              </w:rPr>
            </w:pPr>
            <w:r>
              <w:rPr>
                <w:rFonts w:ascii="宋体" w:hAnsi="宋体" w:cs="宋体" w:eastAsia="宋体" w:hint="default"/>
                <w:sz w:val="18"/>
                <w:szCs w:val="18"/>
              </w:rPr>
              <w:t>三届二十七次董事会</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1" w:right="0"/>
              <w:jc w:val="left"/>
              <w:rPr>
                <w:rFonts w:ascii="宋体" w:hAnsi="宋体" w:cs="宋体" w:eastAsia="宋体" w:hint="default"/>
                <w:sz w:val="18"/>
                <w:szCs w:val="18"/>
              </w:rPr>
            </w:pPr>
            <w:r>
              <w:rPr>
                <w:rFonts w:ascii="宋体" w:hAnsi="宋体" w:cs="宋体" w:eastAsia="宋体" w:hint="default"/>
                <w:sz w:val="18"/>
                <w:szCs w:val="18"/>
              </w:rPr>
              <w:t>聘任</w:t>
            </w:r>
            <w:r>
              <w:rPr>
                <w:rFonts w:ascii="Times New Roman" w:hAnsi="Times New Roman" w:cs="Times New Roman" w:eastAsia="Times New Roman" w:hint="default"/>
                <w:sz w:val="18"/>
                <w:szCs w:val="18"/>
              </w:rPr>
              <w:t>2011</w:t>
            </w:r>
            <w:r>
              <w:rPr>
                <w:rFonts w:ascii="宋体" w:hAnsi="宋体" w:cs="宋体" w:eastAsia="宋体" w:hint="default"/>
                <w:sz w:val="18"/>
                <w:szCs w:val="18"/>
              </w:rPr>
              <w:t>年度财务审计机构</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40"/>
              <w:jc w:val="right"/>
              <w:rPr>
                <w:rFonts w:ascii="宋体" w:hAnsi="宋体" w:cs="宋体" w:eastAsia="宋体" w:hint="default"/>
                <w:sz w:val="18"/>
                <w:szCs w:val="18"/>
              </w:rPr>
            </w:pPr>
            <w:r>
              <w:rPr>
                <w:rFonts w:ascii="宋体" w:hAnsi="宋体" w:cs="宋体" w:eastAsia="宋体" w:hint="default"/>
                <w:sz w:val="18"/>
                <w:szCs w:val="18"/>
              </w:rPr>
              <w:t>同意</w:t>
            </w:r>
          </w:p>
        </w:tc>
      </w:tr>
      <w:tr>
        <w:trPr>
          <w:trHeight w:val="331"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4"/>
              <w:jc w:val="right"/>
              <w:rPr>
                <w:rFonts w:ascii="宋体" w:hAnsi="宋体" w:cs="宋体" w:eastAsia="宋体" w:hint="default"/>
                <w:sz w:val="18"/>
                <w:szCs w:val="18"/>
              </w:rPr>
            </w:pPr>
            <w:r>
              <w:rPr>
                <w:rFonts w:ascii="宋体" w:hAnsi="宋体" w:cs="宋体" w:eastAsia="宋体" w:hint="default"/>
                <w:sz w:val="18"/>
                <w:szCs w:val="18"/>
              </w:rPr>
              <w:t>三届二十八次董事会</w:t>
            </w:r>
          </w:p>
        </w:tc>
        <w:tc>
          <w:tcPr>
            <w:tcW w:w="4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1" w:right="0"/>
              <w:jc w:val="left"/>
              <w:rPr>
                <w:rFonts w:ascii="宋体" w:hAnsi="宋体" w:cs="宋体" w:eastAsia="宋体" w:hint="default"/>
                <w:sz w:val="18"/>
                <w:szCs w:val="18"/>
              </w:rPr>
            </w:pPr>
            <w:r>
              <w:rPr>
                <w:rFonts w:ascii="宋体" w:hAnsi="宋体" w:cs="宋体" w:eastAsia="宋体" w:hint="default"/>
                <w:sz w:val="18"/>
                <w:szCs w:val="18"/>
              </w:rPr>
              <w:t>聘任高级管理人员</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40"/>
              <w:jc w:val="right"/>
              <w:rPr>
                <w:rFonts w:ascii="宋体" w:hAnsi="宋体" w:cs="宋体" w:eastAsia="宋体" w:hint="default"/>
                <w:sz w:val="18"/>
                <w:szCs w:val="18"/>
              </w:rPr>
            </w:pPr>
            <w:r>
              <w:rPr>
                <w:rFonts w:ascii="宋体" w:hAnsi="宋体" w:cs="宋体" w:eastAsia="宋体" w:hint="default"/>
                <w:sz w:val="18"/>
                <w:szCs w:val="18"/>
              </w:rPr>
              <w:t>同意</w:t>
            </w:r>
          </w:p>
        </w:tc>
      </w:tr>
    </w:tbl>
    <w:p>
      <w:pPr>
        <w:spacing w:line="240" w:lineRule="auto" w:before="0"/>
        <w:rPr>
          <w:rFonts w:ascii="宋体" w:hAnsi="宋体" w:cs="宋体" w:eastAsia="宋体" w:hint="default"/>
          <w:sz w:val="13"/>
          <w:szCs w:val="13"/>
        </w:rPr>
      </w:pPr>
    </w:p>
    <w:p>
      <w:pPr>
        <w:pStyle w:val="BodyText"/>
        <w:spacing w:line="240" w:lineRule="auto" w:before="26"/>
        <w:ind w:left="702" w:right="214"/>
        <w:jc w:val="left"/>
      </w:pPr>
      <w:r>
        <w:rPr>
          <w:rFonts w:ascii="Times New Roman" w:hAnsi="Times New Roman" w:cs="Times New Roman" w:eastAsia="Times New Roman" w:hint="default"/>
        </w:rPr>
        <w:t>3</w:t>
      </w:r>
      <w:r>
        <w:rPr/>
        <w:t>、现场办公情况</w:t>
      </w:r>
    </w:p>
    <w:p>
      <w:pPr>
        <w:pStyle w:val="BodyText"/>
        <w:spacing w:line="352" w:lineRule="auto"/>
        <w:ind w:left="220" w:right="350" w:firstLine="480"/>
        <w:jc w:val="both"/>
      </w:pPr>
      <w:r>
        <w:rPr>
          <w:rFonts w:ascii="Times New Roman" w:hAnsi="Times New Roman" w:cs="Times New Roman" w:eastAsia="Times New Roman" w:hint="default"/>
        </w:rPr>
        <w:t>2011</w:t>
      </w:r>
      <w:r>
        <w:rPr>
          <w:rFonts w:ascii="Times New Roman" w:hAnsi="Times New Roman" w:cs="Times New Roman" w:eastAsia="Times New Roman" w:hint="default"/>
          <w:spacing w:val="24"/>
        </w:rPr>
        <w:t> </w:t>
      </w:r>
      <w:r>
        <w:rPr>
          <w:spacing w:val="-3"/>
        </w:rPr>
        <w:t>年度，张华先生利用各种机会对公司进行了实地考察，与生产经营管理人</w:t>
      </w:r>
      <w:r>
        <w:rPr/>
        <w:t> 员进行交流，全面了解公司内部运作情况，并通过及时了解媒体信息等渠道，多方</w:t>
      </w:r>
      <w:r>
        <w:rPr>
          <w:spacing w:val="-84"/>
        </w:rPr>
        <w:t> </w:t>
      </w:r>
      <w:r>
        <w:rPr>
          <w:spacing w:val="-84"/>
        </w:rPr>
      </w:r>
      <w:r>
        <w:rPr/>
        <w:t>面了解公司所面临的各种经营形势，时刻关注外部环境及市场变化对公司的影响，</w:t>
      </w:r>
      <w:r>
        <w:rPr>
          <w:spacing w:val="-84"/>
        </w:rPr>
        <w:t> </w:t>
      </w:r>
      <w:r>
        <w:rPr>
          <w:spacing w:val="-84"/>
        </w:rPr>
      </w:r>
      <w:r>
        <w:rPr/>
        <w:t>积极与董事、监事、高级管理层进行深层次沟通，深入了解公司生产经营状况，及</w:t>
      </w:r>
      <w:r>
        <w:rPr>
          <w:spacing w:val="-84"/>
        </w:rPr>
        <w:t> </w:t>
      </w:r>
      <w:r>
        <w:rPr>
          <w:spacing w:val="-84"/>
        </w:rPr>
      </w:r>
      <w:r>
        <w:rPr/>
        <w:t>时掌握公司经营动态。</w:t>
      </w:r>
    </w:p>
    <w:p>
      <w:pPr>
        <w:pStyle w:val="BodyText"/>
        <w:spacing w:line="338" w:lineRule="auto" w:before="41"/>
        <w:ind w:left="700" w:right="214"/>
        <w:jc w:val="left"/>
      </w:pPr>
      <w:r>
        <w:rPr>
          <w:rFonts w:ascii="Times New Roman" w:hAnsi="Times New Roman" w:cs="Times New Roman" w:eastAsia="Times New Roman" w:hint="default"/>
        </w:rPr>
        <w:t>4</w:t>
      </w:r>
      <w:r>
        <w:rPr/>
        <w:t>、年报编报沟通情况 在公司</w:t>
      </w:r>
      <w:r>
        <w:rPr>
          <w:rFonts w:ascii="Times New Roman" w:hAnsi="Times New Roman" w:cs="Times New Roman" w:eastAsia="Times New Roman" w:hint="default"/>
        </w:rPr>
        <w:t>2011</w:t>
      </w:r>
      <w:r>
        <w:rPr/>
        <w:t>年年报及相关资料的编制过程中，张华先生与公司高管层、内审部</w:t>
      </w:r>
    </w:p>
    <w:p>
      <w:pPr>
        <w:pStyle w:val="BodyText"/>
        <w:spacing w:line="357" w:lineRule="auto" w:before="27"/>
        <w:ind w:left="220" w:right="218"/>
        <w:jc w:val="left"/>
      </w:pPr>
      <w:r>
        <w:rPr>
          <w:spacing w:val="-2"/>
        </w:rPr>
        <w:t>门、会计师进行了深入交流，积极了解公司经营状况，听取了相关人员的情况汇报，</w:t>
      </w:r>
      <w:r>
        <w:rPr>
          <w:spacing w:val="-115"/>
        </w:rPr>
        <w:t> </w:t>
      </w:r>
      <w:r>
        <w:rPr>
          <w:spacing w:val="-115"/>
        </w:rPr>
      </w:r>
      <w:r>
        <w:rPr/>
        <w:t>并积极关注本次年报审计工作的整体安排及具体进展情况，与独立董事石本仁先生</w:t>
      </w:r>
      <w:r>
        <w:rPr>
          <w:spacing w:val="-84"/>
        </w:rPr>
        <w:t> </w:t>
      </w:r>
      <w:r>
        <w:rPr>
          <w:spacing w:val="-84"/>
        </w:rPr>
      </w:r>
      <w:r>
        <w:rPr/>
        <w:t>相互配合，督促会计师事务所及时提交审计报告。</w:t>
      </w:r>
    </w:p>
    <w:p>
      <w:pPr>
        <w:pStyle w:val="BodyText"/>
        <w:spacing w:line="338" w:lineRule="auto" w:before="36"/>
        <w:ind w:left="700" w:right="384"/>
        <w:jc w:val="left"/>
      </w:pPr>
      <w:r>
        <w:rPr>
          <w:rFonts w:ascii="Times New Roman" w:hAnsi="Times New Roman" w:cs="Times New Roman" w:eastAsia="Times New Roman" w:hint="default"/>
        </w:rPr>
        <w:t>5</w:t>
      </w:r>
      <w:r>
        <w:rPr/>
        <w:t>、董事会专门委员会工作情况 独立董事张华先生是公司董事会薪酬与考核委员会和提名委员会主任委员，审</w:t>
      </w:r>
    </w:p>
    <w:p>
      <w:pPr>
        <w:pStyle w:val="BodyText"/>
        <w:spacing w:line="240" w:lineRule="auto" w:before="55"/>
        <w:ind w:left="220" w:right="214"/>
        <w:jc w:val="left"/>
      </w:pPr>
      <w:r>
        <w:rPr/>
        <w:t>计委员会委员。</w:t>
      </w:r>
    </w:p>
    <w:p>
      <w:pPr>
        <w:pStyle w:val="BodyText"/>
        <w:spacing w:line="348" w:lineRule="auto" w:before="154"/>
        <w:ind w:left="220" w:right="402" w:firstLine="480"/>
        <w:jc w:val="both"/>
      </w:pPr>
      <w:r>
        <w:rPr>
          <w:rFonts w:ascii="Times New Roman" w:hAnsi="Times New Roman" w:cs="Times New Roman" w:eastAsia="Times New Roman" w:hint="default"/>
        </w:rPr>
        <w:t>2011</w:t>
      </w:r>
      <w:r>
        <w:rPr/>
        <w:t>年度，张华先生根据公司实际情况，对公司聘任管理人员、设计高级管理 人员薪酬体系及公司发展规划等方面提出了一些可行的建议，对公司董事、监事和 高级管理人员在</w:t>
      </w:r>
      <w:r>
        <w:rPr>
          <w:rFonts w:ascii="Times New Roman" w:hAnsi="Times New Roman" w:cs="Times New Roman" w:eastAsia="Times New Roman" w:hint="default"/>
        </w:rPr>
        <w:t>2011</w:t>
      </w:r>
      <w:r>
        <w:rPr/>
        <w:t>年度的工作表现进行了评价。</w:t>
      </w:r>
    </w:p>
    <w:p>
      <w:pPr>
        <w:pStyle w:val="BodyText"/>
        <w:spacing w:line="240" w:lineRule="auto" w:before="16"/>
        <w:ind w:left="700" w:right="214"/>
        <w:jc w:val="left"/>
      </w:pPr>
      <w:r>
        <w:rPr>
          <w:rFonts w:ascii="Times New Roman" w:hAnsi="Times New Roman" w:cs="Times New Roman" w:eastAsia="Times New Roman" w:hint="default"/>
        </w:rPr>
        <w:t>6</w:t>
      </w:r>
      <w:r>
        <w:rPr/>
        <w:t>、其他事项</w:t>
      </w:r>
    </w:p>
    <w:p>
      <w:pPr>
        <w:pStyle w:val="BodyText"/>
        <w:spacing w:line="240" w:lineRule="auto"/>
        <w:ind w:left="700" w:right="214"/>
        <w:jc w:val="left"/>
      </w:pPr>
      <w:r>
        <w:rPr/>
        <w:t>（</w:t>
      </w:r>
      <w:r>
        <w:rPr>
          <w:rFonts w:ascii="Times New Roman" w:hAnsi="Times New Roman" w:cs="Times New Roman" w:eastAsia="Times New Roman" w:hint="default"/>
        </w:rPr>
        <w:t>1</w:t>
      </w:r>
      <w:r>
        <w:rPr/>
        <w:t>）未提议召开董事会；</w:t>
      </w:r>
    </w:p>
    <w:p>
      <w:pPr>
        <w:pStyle w:val="BodyText"/>
        <w:spacing w:line="240" w:lineRule="auto"/>
        <w:ind w:left="700" w:right="214"/>
        <w:jc w:val="left"/>
      </w:pPr>
      <w:r>
        <w:rPr/>
        <w:t>（</w:t>
      </w:r>
      <w:r>
        <w:rPr>
          <w:rFonts w:ascii="Times New Roman" w:hAnsi="Times New Roman" w:cs="Times New Roman" w:eastAsia="Times New Roman" w:hint="default"/>
        </w:rPr>
        <w:t>2</w:t>
      </w:r>
      <w:r>
        <w:rPr/>
        <w:t>）无提议聘用或解聘会计师事务所的情况；</w:t>
      </w:r>
    </w:p>
    <w:p>
      <w:pPr>
        <w:pStyle w:val="BodyText"/>
        <w:spacing w:line="240" w:lineRule="auto"/>
        <w:ind w:left="700" w:right="214"/>
        <w:jc w:val="left"/>
      </w:pPr>
      <w:r>
        <w:rPr/>
        <w:t>（</w:t>
      </w:r>
      <w:r>
        <w:rPr>
          <w:rFonts w:ascii="Times New Roman" w:hAnsi="Times New Roman" w:cs="Times New Roman" w:eastAsia="Times New Roman" w:hint="default"/>
        </w:rPr>
        <w:t>3</w:t>
      </w:r>
      <w:r>
        <w:rPr/>
        <w:t>）未独立聘请外部审计机构和咨询机构。</w:t>
      </w: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2"/>
          <w:szCs w:val="22"/>
        </w:rPr>
      </w:pPr>
    </w:p>
    <w:p>
      <w:pPr>
        <w:pStyle w:val="BodyText"/>
        <w:spacing w:line="357" w:lineRule="auto" w:before="0"/>
        <w:ind w:left="700" w:right="384"/>
        <w:jc w:val="left"/>
      </w:pPr>
      <w:r>
        <w:rPr/>
        <w:t>四、公司与控股股东在业务、人员、资产、机构、财务等方面的情况 公司拥有独立完整的研发、采购、生产和销售系统，具备独立完整的业务及面</w:t>
      </w:r>
    </w:p>
    <w:p>
      <w:pPr>
        <w:pStyle w:val="BodyText"/>
        <w:spacing w:line="240" w:lineRule="auto" w:before="36"/>
        <w:ind w:left="220" w:right="214"/>
        <w:jc w:val="left"/>
      </w:pPr>
      <w:r>
        <w:rPr/>
        <w:t>向市场自主经营的能力，与控股股东及其控制的法人不存在相互占用资产或共享客</w:t>
      </w:r>
    </w:p>
    <w:p>
      <w:pPr>
        <w:spacing w:after="0" w:line="240" w:lineRule="auto"/>
        <w:jc w:val="left"/>
        <w:sectPr>
          <w:pgSz w:w="11910" w:h="16840"/>
          <w:pgMar w:header="877" w:footer="1048" w:top="1100" w:bottom="1240" w:left="1580" w:right="1060"/>
        </w:sectPr>
      </w:pPr>
    </w:p>
    <w:p>
      <w:pPr>
        <w:spacing w:line="240" w:lineRule="auto" w:before="7"/>
        <w:rPr>
          <w:rFonts w:ascii="宋体" w:hAnsi="宋体" w:cs="宋体" w:eastAsia="宋体" w:hint="default"/>
          <w:sz w:val="25"/>
          <w:szCs w:val="25"/>
        </w:rPr>
      </w:pPr>
    </w:p>
    <w:p>
      <w:pPr>
        <w:pStyle w:val="BodyText"/>
        <w:spacing w:line="357" w:lineRule="auto" w:before="26"/>
        <w:ind w:right="282"/>
        <w:jc w:val="both"/>
      </w:pPr>
      <w:r>
        <w:rPr/>
        <w:t>户资源及共用技术、销售人员的行为，也不存在与其他股东及关联方相互依赖的情 形，在业务、资产、机构、人员、财务等方面与控股股东完全分开和独立。</w:t>
      </w:r>
    </w:p>
    <w:p>
      <w:pPr>
        <w:pStyle w:val="BodyText"/>
        <w:spacing w:line="357" w:lineRule="auto" w:before="36"/>
        <w:ind w:left="620" w:right="104"/>
        <w:jc w:val="left"/>
      </w:pPr>
      <w:r>
        <w:rPr/>
        <w:t>（一）业务方面 公司的生产经营独立于控股股东，无需依赖股东及其他关联方进行生产经营活</w:t>
      </w:r>
    </w:p>
    <w:p>
      <w:pPr>
        <w:pStyle w:val="BodyText"/>
        <w:spacing w:line="357" w:lineRule="auto" w:before="36"/>
        <w:ind w:right="230"/>
        <w:jc w:val="both"/>
      </w:pPr>
      <w:r>
        <w:rPr/>
        <w:t>动，公司拥有独立的研发、采购、生产和销售系统，业务机构完整。公司独立开展</w:t>
      </w:r>
      <w:r>
        <w:rPr>
          <w:spacing w:val="-84"/>
        </w:rPr>
        <w:t> </w:t>
      </w:r>
      <w:r>
        <w:rPr>
          <w:spacing w:val="-84"/>
        </w:rPr>
      </w:r>
      <w:r>
        <w:rPr/>
        <w:t>业务，独立核算和决策，独立承担责任与风险。</w:t>
      </w:r>
    </w:p>
    <w:p>
      <w:pPr>
        <w:pStyle w:val="BodyText"/>
        <w:spacing w:line="357" w:lineRule="auto" w:before="36"/>
        <w:ind w:left="620" w:right="104"/>
        <w:jc w:val="left"/>
      </w:pPr>
      <w:r>
        <w:rPr/>
        <w:t>（二）人员方面 公司在人力资源管理上完全独立，公司的人事制度自成体系，公司的总经理、</w:t>
      </w:r>
    </w:p>
    <w:p>
      <w:pPr>
        <w:pStyle w:val="BodyText"/>
        <w:spacing w:line="357" w:lineRule="auto" w:before="36"/>
        <w:ind w:right="230"/>
        <w:jc w:val="both"/>
      </w:pPr>
      <w:r>
        <w:rPr/>
        <w:t>副总经理、董事会秘书、财务总监等高级管理人员均在本公司工作，并在本公司领</w:t>
      </w:r>
      <w:r>
        <w:rPr>
          <w:spacing w:val="-84"/>
        </w:rPr>
        <w:t> </w:t>
      </w:r>
      <w:r>
        <w:rPr>
          <w:spacing w:val="-84"/>
        </w:rPr>
      </w:r>
      <w:r>
        <w:rPr/>
        <w:t>取报酬，未在股东单位及其关联企业领取报酬或担任除董事、监事以外的职务。</w:t>
      </w:r>
    </w:p>
    <w:p>
      <w:pPr>
        <w:pStyle w:val="BodyText"/>
        <w:spacing w:line="357" w:lineRule="auto" w:before="36"/>
        <w:ind w:left="620" w:right="264"/>
        <w:jc w:val="left"/>
      </w:pPr>
      <w:r>
        <w:rPr/>
        <w:t>（三）资产方面 公司拥有独立于控股股东的生产经营场所，拥有独立的土地使用权、商标、专</w:t>
      </w:r>
    </w:p>
    <w:p>
      <w:pPr>
        <w:pStyle w:val="BodyText"/>
        <w:spacing w:line="357" w:lineRule="auto" w:before="36"/>
        <w:ind w:right="98"/>
        <w:jc w:val="left"/>
      </w:pPr>
      <w:r>
        <w:rPr>
          <w:spacing w:val="-2"/>
        </w:rPr>
        <w:t>利等无形资产，拥有与生产经营相关的完整的生产系统、辅助生产系统和配套设施。</w:t>
      </w:r>
      <w:r>
        <w:rPr>
          <w:spacing w:val="-116"/>
        </w:rPr>
        <w:t> </w:t>
      </w:r>
      <w:r>
        <w:rPr>
          <w:spacing w:val="-116"/>
        </w:rPr>
      </w:r>
      <w:r>
        <w:rPr/>
        <w:t>公司没有为任何股东的债务提供担保，也没有将公司的借款、授信额度转借给任何 股东。公司不存在资产、资金被控股股东占用而损害公司利益的情况。</w:t>
      </w:r>
    </w:p>
    <w:p>
      <w:pPr>
        <w:pStyle w:val="BodyText"/>
        <w:spacing w:line="357" w:lineRule="auto" w:before="36"/>
        <w:ind w:left="620" w:right="264"/>
        <w:jc w:val="left"/>
      </w:pPr>
      <w:r>
        <w:rPr/>
        <w:t>（四）机构方面 公司根据经营战略发展需要和自身实际情况建立了健全的组织机构体系，所有</w:t>
      </w:r>
    </w:p>
    <w:p>
      <w:pPr>
        <w:pStyle w:val="BodyText"/>
        <w:spacing w:line="357" w:lineRule="auto" w:before="36"/>
        <w:ind w:right="282"/>
        <w:jc w:val="both"/>
      </w:pPr>
      <w:r>
        <w:rPr/>
        <w:t>机构设置程序和机构职能独立，与其他单位办公机构及经营场所分开，不存在与控 股股东混合经营、合署办公等情况。公司股东大会、董事会、监事会等内部机构独 立运作，不存在与控股股东职能部门之间的从属关系。</w:t>
      </w:r>
    </w:p>
    <w:p>
      <w:pPr>
        <w:pStyle w:val="BodyText"/>
        <w:spacing w:line="357" w:lineRule="auto" w:before="36"/>
        <w:ind w:left="620" w:right="264"/>
        <w:jc w:val="left"/>
      </w:pPr>
      <w:r>
        <w:rPr/>
        <w:t>（五）财务方面 公司按照《企业会计准则》的要求建立了一系列独立、完整、规范的财务会计</w:t>
      </w:r>
    </w:p>
    <w:p>
      <w:pPr>
        <w:pStyle w:val="BodyText"/>
        <w:spacing w:line="357" w:lineRule="auto" w:before="36"/>
        <w:ind w:right="282"/>
        <w:jc w:val="both"/>
      </w:pPr>
      <w:r>
        <w:rPr/>
        <w:t>核算体系和财务管理制度，并建立了相应的内部控制制度，独立作出财务决策。公 司设立独立的财务部门，配备了专职财务人员；公司在银行单独开立账户，拥有独 立的银行账号；公司作为独立的纳税人，依法独立纳税。</w:t>
      </w:r>
    </w:p>
    <w:p>
      <w:pPr>
        <w:spacing w:line="240" w:lineRule="auto" w:before="0"/>
        <w:rPr>
          <w:rFonts w:ascii="宋体" w:hAnsi="宋体" w:cs="宋体" w:eastAsia="宋体" w:hint="default"/>
          <w:sz w:val="24"/>
          <w:szCs w:val="24"/>
        </w:rPr>
      </w:pPr>
    </w:p>
    <w:p>
      <w:pPr>
        <w:pStyle w:val="BodyText"/>
        <w:spacing w:line="357" w:lineRule="auto" w:before="190"/>
        <w:ind w:left="620" w:right="264"/>
        <w:jc w:val="left"/>
      </w:pPr>
      <w:r>
        <w:rPr/>
        <w:t>五、公司对高级管理人员的考评机制和激励制度 公司建立了较为健全的考评机制和激励制度，以公司年度经营目标及战略规划</w:t>
      </w:r>
    </w:p>
    <w:p>
      <w:pPr>
        <w:pStyle w:val="BodyText"/>
        <w:spacing w:line="240" w:lineRule="auto" w:before="36"/>
        <w:ind w:right="0"/>
        <w:jc w:val="both"/>
      </w:pPr>
      <w:r>
        <w:rPr/>
        <w:t>为基础，制定公司各部门年度计划，并以量化的考核指标定期对高级管理人员进行</w:t>
      </w:r>
    </w:p>
    <w:p>
      <w:pPr>
        <w:spacing w:after="0" w:line="240" w:lineRule="auto"/>
        <w:jc w:val="both"/>
        <w:sectPr>
          <w:pgSz w:w="11910" w:h="16840"/>
          <w:pgMar w:header="877" w:footer="1048" w:top="1100" w:bottom="1240" w:left="1660" w:right="1180"/>
        </w:sectPr>
      </w:pPr>
    </w:p>
    <w:p>
      <w:pPr>
        <w:spacing w:line="240" w:lineRule="auto" w:before="7"/>
        <w:rPr>
          <w:rFonts w:ascii="宋体" w:hAnsi="宋体" w:cs="宋体" w:eastAsia="宋体" w:hint="default"/>
          <w:sz w:val="25"/>
          <w:szCs w:val="25"/>
        </w:rPr>
      </w:pPr>
    </w:p>
    <w:p>
      <w:pPr>
        <w:pStyle w:val="BodyText"/>
        <w:spacing w:line="338" w:lineRule="auto" w:before="26"/>
        <w:ind w:right="102"/>
        <w:jc w:val="left"/>
      </w:pPr>
      <w:r>
        <w:rPr>
          <w:spacing w:val="-2"/>
        </w:rPr>
        <w:t>业绩考核。经过考评，</w:t>
      </w:r>
      <w:r>
        <w:rPr>
          <w:rFonts w:ascii="Times New Roman" w:hAnsi="Times New Roman" w:cs="Times New Roman" w:eastAsia="Times New Roman" w:hint="default"/>
          <w:spacing w:val="-2"/>
        </w:rPr>
        <w:t>2011</w:t>
      </w:r>
      <w:r>
        <w:rPr>
          <w:spacing w:val="-2"/>
        </w:rPr>
        <w:t>年度公司高管人员认真履行了工作职责，工作业绩良好，</w:t>
      </w:r>
      <w:r>
        <w:rPr>
          <w:spacing w:val="-111"/>
        </w:rPr>
        <w:t> </w:t>
      </w:r>
      <w:r>
        <w:rPr>
          <w:spacing w:val="-111"/>
        </w:rPr>
      </w:r>
      <w:r>
        <w:rPr/>
        <w:t>较好的完成了本年度所确定的各项任务。</w:t>
      </w:r>
    </w:p>
    <w:p>
      <w:pPr>
        <w:pStyle w:val="BodyText"/>
        <w:spacing w:line="350" w:lineRule="auto" w:before="55"/>
        <w:ind w:right="282" w:firstLine="480"/>
        <w:jc w:val="both"/>
      </w:pPr>
      <w:r>
        <w:rPr/>
        <w:t>此外，报告期内，为进一步完善法人治理结构，建立和完善公司的激励和约束 机制，公司实施了股票期权激励计划，向公司董事（不包括独立董事）、中高层管 理人员、核心技术（业务）人员合计</w:t>
      </w:r>
      <w:r>
        <w:rPr>
          <w:rFonts w:ascii="Times New Roman" w:hAnsi="Times New Roman" w:cs="Times New Roman" w:eastAsia="Times New Roman" w:hint="default"/>
        </w:rPr>
        <w:t>29</w:t>
      </w:r>
      <w:r>
        <w:rPr/>
        <w:t>人授予了</w:t>
      </w:r>
      <w:r>
        <w:rPr>
          <w:rFonts w:ascii="Times New Roman" w:hAnsi="Times New Roman" w:cs="Times New Roman" w:eastAsia="Times New Roman" w:hint="default"/>
        </w:rPr>
        <w:t>292.50</w:t>
      </w:r>
      <w:r>
        <w:rPr/>
        <w:t>万份股票期权，进一步提高 了管理人员的归属感，保持个人利益和公司利益的高度一致，使股东利益最大化。</w:t>
      </w:r>
    </w:p>
    <w:p>
      <w:pPr>
        <w:spacing w:after="0" w:line="350" w:lineRule="auto"/>
        <w:jc w:val="both"/>
        <w:sectPr>
          <w:pgSz w:w="11910" w:h="16840"/>
          <w:pgMar w:header="877" w:footer="1048" w:top="1100" w:bottom="1240" w:left="1660" w:right="118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Heading1"/>
        <w:tabs>
          <w:tab w:pos="1632" w:val="left" w:leader="none"/>
        </w:tabs>
        <w:spacing w:line="240" w:lineRule="auto"/>
        <w:ind w:left="25" w:right="0"/>
        <w:jc w:val="center"/>
        <w:rPr>
          <w:b w:val="0"/>
          <w:bCs w:val="0"/>
        </w:rPr>
      </w:pPr>
      <w:bookmarkStart w:name="_TOC_250005" w:id="4"/>
      <w:r>
        <w:rPr>
          <w:w w:val="95"/>
        </w:rPr>
        <w:t>第六节</w:t>
        <w:tab/>
      </w:r>
      <w:r>
        <w:rPr/>
        <w:t>内部控制</w:t>
      </w:r>
      <w:bookmarkEnd w:id="4"/>
      <w:r>
        <w:rPr>
          <w:b w:val="0"/>
          <w:bCs w:val="0"/>
        </w:rPr>
      </w:r>
    </w:p>
    <w:p>
      <w:pPr>
        <w:spacing w:line="240" w:lineRule="auto" w:before="7"/>
        <w:rPr>
          <w:rFonts w:ascii="宋体" w:hAnsi="宋体" w:cs="宋体" w:eastAsia="宋体" w:hint="default"/>
          <w:b/>
          <w:bCs/>
          <w:sz w:val="34"/>
          <w:szCs w:val="34"/>
        </w:rPr>
      </w:pPr>
    </w:p>
    <w:p>
      <w:pPr>
        <w:pStyle w:val="BodyText"/>
        <w:spacing w:line="357" w:lineRule="auto" w:before="0"/>
        <w:ind w:left="620" w:right="104" w:firstLine="60"/>
        <w:jc w:val="left"/>
      </w:pPr>
      <w:r>
        <w:rPr/>
        <w:t>一、内部控制制度的建立和健全情况 </w:t>
      </w:r>
      <w:r>
        <w:rPr>
          <w:spacing w:val="-20"/>
        </w:rPr>
        <w:t>公司严格按照《公司法》、《证券法》、《企业内部控制基本规范》、《中小企业板</w:t>
      </w:r>
    </w:p>
    <w:p>
      <w:pPr>
        <w:pStyle w:val="BodyText"/>
        <w:spacing w:line="352" w:lineRule="auto" w:before="36"/>
        <w:ind w:right="162"/>
        <w:jc w:val="both"/>
      </w:pPr>
      <w:r>
        <w:rPr/>
        <w:t>上市公司内部审计工作指引》等有关法律法规和规范性文件的要求，不断完善内部 控制制度，建立内部控制管理，细化内部控制流程，结合自身经营实际</w:t>
      </w:r>
      <w:r>
        <w:rPr>
          <w:rFonts w:ascii="Times New Roman" w:hAnsi="Times New Roman" w:cs="Times New Roman" w:eastAsia="Times New Roman" w:hint="default"/>
        </w:rPr>
        <w:t>, </w:t>
      </w:r>
      <w:r>
        <w:rPr/>
        <w:t>不断完善 公司治理，强化内控检查，确保公司的稳健经营。在报告期内，公司管理层根据经 营环境的变化对《内幕信息知情人报备制度》、《股东大会议事规则》、《募集资 金专款使用管理细则》、《投资者关系管理制度》进行了修订，并在日常工作中严 格遵照执行，促使公司的内部控制制度体系更加健全，法人治理结构更加完善。</w:t>
      </w:r>
    </w:p>
    <w:p>
      <w:pPr>
        <w:spacing w:line="240" w:lineRule="auto" w:before="0"/>
        <w:rPr>
          <w:rFonts w:ascii="宋体" w:hAnsi="宋体" w:cs="宋体" w:eastAsia="宋体" w:hint="default"/>
          <w:sz w:val="24"/>
          <w:szCs w:val="24"/>
        </w:rPr>
      </w:pPr>
    </w:p>
    <w:p>
      <w:pPr>
        <w:pStyle w:val="BodyText"/>
        <w:spacing w:line="240" w:lineRule="auto" w:before="195"/>
        <w:ind w:left="620" w:right="104"/>
        <w:jc w:val="left"/>
      </w:pPr>
      <w:r>
        <w:rPr/>
        <w:t>二、董事会、监事会、独立董事和会计师事务所对内部控制自我评价的意见</w:t>
      </w:r>
    </w:p>
    <w:p>
      <w:pPr>
        <w:pStyle w:val="BodyText"/>
        <w:spacing w:line="357" w:lineRule="auto" w:before="154"/>
        <w:ind w:left="620" w:right="104"/>
        <w:jc w:val="left"/>
      </w:pPr>
      <w:r>
        <w:rPr/>
        <w:t>（一）董事会对公司内部控制的自我评价 </w:t>
      </w:r>
      <w:r>
        <w:rPr>
          <w:spacing w:val="-14"/>
        </w:rPr>
        <w:t>公司的内部控制制度是根据《公司法》、《证券法》、《企业内部控制基本规范》</w:t>
      </w:r>
    </w:p>
    <w:p>
      <w:pPr>
        <w:pStyle w:val="BodyText"/>
        <w:spacing w:line="357" w:lineRule="auto" w:before="36"/>
        <w:ind w:right="162"/>
        <w:jc w:val="both"/>
      </w:pPr>
      <w:r>
        <w:rPr/>
        <w:t>和《中小企业板上市公司内部审计工作指引》等有关法律、法规的要求建立的，内 部控制制度流程和职责比较符合公司生产经营管理的实际情况，具有较强的针对性 和合理性。报告期内，各项内部控制均得到充分有效的实施。董事会认为：公司目 前已经基本建立了能覆盖管理及生产经营各环节的内部控制制度，并能得到有效的 实施，能够满足公司现行管理和发展的需要，能够对公司各项业务的稳健运行及经 营风险的控制提供保证。公司的内控体系与相关制度能够基本符合国家法律、法规 和监管部门的有关要求，随着公司未来经营发展的需要，为确保公司长期发展战略 和经营目标的实现，公司将不断深化管理，进一步完善内部控制制度，使之能一致 适应公司发展的需要和国家相关法律法规的要求。</w:t>
      </w:r>
    </w:p>
    <w:p>
      <w:pPr>
        <w:pStyle w:val="BodyText"/>
        <w:spacing w:line="357" w:lineRule="auto" w:before="36"/>
        <w:ind w:left="620" w:right="104"/>
        <w:jc w:val="left"/>
      </w:pPr>
      <w:r>
        <w:rPr/>
        <w:t>（二）监事会对公司内部控制自我评价报告的意见 对公司</w:t>
      </w:r>
      <w:r>
        <w:rPr>
          <w:rFonts w:ascii="Times New Roman" w:hAnsi="Times New Roman" w:cs="Times New Roman" w:eastAsia="Times New Roman" w:hint="default"/>
        </w:rPr>
        <w:t>2011</w:t>
      </w:r>
      <w:r>
        <w:rPr/>
        <w:t>年度内部控制的自我评价报告、公司内部控制制度的建设和运行情</w:t>
      </w:r>
    </w:p>
    <w:p>
      <w:pPr>
        <w:pStyle w:val="BodyText"/>
        <w:spacing w:line="357" w:lineRule="auto" w:before="5"/>
        <w:ind w:right="110"/>
        <w:jc w:val="both"/>
      </w:pPr>
      <w:r>
        <w:rPr/>
        <w:t>况进行了审核，认为：公司已经基本建立健全了内部控制制度，能够适应当前公司</w:t>
      </w:r>
      <w:r>
        <w:rPr>
          <w:spacing w:val="-84"/>
        </w:rPr>
        <w:t> </w:t>
      </w:r>
      <w:r>
        <w:rPr>
          <w:spacing w:val="-84"/>
        </w:rPr>
      </w:r>
      <w:r>
        <w:rPr/>
        <w:t>管理的要求和发展的需要，且各项内部控制制度在营运环节中得到了有效执行。公</w:t>
      </w:r>
      <w:r>
        <w:rPr>
          <w:spacing w:val="-84"/>
        </w:rPr>
        <w:t> </w:t>
      </w:r>
      <w:r>
        <w:rPr>
          <w:spacing w:val="-84"/>
        </w:rPr>
      </w:r>
      <w:r>
        <w:rPr/>
        <w:t>司内部控制的自我评价报告真实、客观地反映了公司内部控制制度的建设及执行情</w:t>
      </w:r>
      <w:r>
        <w:rPr>
          <w:spacing w:val="-84"/>
        </w:rPr>
        <w:t> </w:t>
      </w:r>
      <w:r>
        <w:rPr>
          <w:spacing w:val="-84"/>
        </w:rPr>
      </w:r>
      <w:r>
        <w:rPr/>
        <w:t>况。</w:t>
      </w:r>
    </w:p>
    <w:p>
      <w:pPr>
        <w:spacing w:after="0" w:line="357" w:lineRule="auto"/>
        <w:jc w:val="both"/>
        <w:sectPr>
          <w:pgSz w:w="11910" w:h="16840"/>
          <w:pgMar w:header="877" w:footer="1048" w:top="1100" w:bottom="1240" w:left="1660" w:right="1300"/>
        </w:sectPr>
      </w:pPr>
    </w:p>
    <w:p>
      <w:pPr>
        <w:spacing w:line="240" w:lineRule="auto" w:before="7"/>
        <w:rPr>
          <w:rFonts w:ascii="宋体" w:hAnsi="宋体" w:cs="宋体" w:eastAsia="宋体" w:hint="default"/>
          <w:sz w:val="25"/>
          <w:szCs w:val="25"/>
        </w:rPr>
      </w:pPr>
    </w:p>
    <w:p>
      <w:pPr>
        <w:pStyle w:val="BodyText"/>
        <w:spacing w:line="357" w:lineRule="auto" w:before="26"/>
        <w:ind w:left="620" w:right="864"/>
        <w:jc w:val="left"/>
      </w:pPr>
      <w:r>
        <w:rPr/>
        <w:t>（三）独立董事对公司内部控制自我评价报告的意见 公司已建立了较为完善的法人治理结构，内部控制体系较为健全，符合有关法</w:t>
      </w:r>
    </w:p>
    <w:p>
      <w:pPr>
        <w:pStyle w:val="BodyText"/>
        <w:spacing w:line="350" w:lineRule="auto" w:before="36"/>
        <w:ind w:right="882"/>
        <w:jc w:val="both"/>
      </w:pPr>
      <w:r>
        <w:rPr/>
        <w:t>律法规和规章制度的要求。公司内部控制制度能得到有效的执行，对控制和防范经 营管理风险、保护投资者的合法权益、促使公司规范运作和健康发展起到了积极的 促进作用。公司内部控制是有效的。同意公司编制并经董事会审核通过的《</w:t>
      </w:r>
      <w:r>
        <w:rPr>
          <w:rFonts w:ascii="Times New Roman" w:hAnsi="Times New Roman" w:cs="Times New Roman" w:eastAsia="Times New Roman" w:hint="default"/>
        </w:rPr>
        <w:t>2011</w:t>
      </w:r>
      <w:r>
        <w:rPr/>
        <w:t>年 度内部控制自我评价报告》。</w:t>
      </w:r>
    </w:p>
    <w:p>
      <w:pPr>
        <w:pStyle w:val="BodyText"/>
        <w:spacing w:line="240" w:lineRule="auto" w:before="43"/>
        <w:ind w:left="620" w:right="864"/>
        <w:jc w:val="left"/>
      </w:pPr>
      <w:r>
        <w:rPr/>
        <w:t>（四）会计师事务所的审核意见</w:t>
      </w:r>
    </w:p>
    <w:p>
      <w:pPr>
        <w:pStyle w:val="BodyText"/>
        <w:spacing w:line="338" w:lineRule="auto" w:before="154"/>
        <w:ind w:right="704" w:firstLine="480"/>
        <w:jc w:val="left"/>
      </w:pPr>
      <w:r>
        <w:rPr/>
        <w:t>立信会计师事务所</w:t>
      </w:r>
      <w:r>
        <w:rPr>
          <w:rFonts w:ascii="Times New Roman" w:hAnsi="Times New Roman" w:cs="Times New Roman" w:eastAsia="Times New Roman" w:hint="default"/>
        </w:rPr>
        <w:t>(</w:t>
      </w:r>
      <w:r>
        <w:rPr/>
        <w:t>特殊普通合伙</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spacing w:val="-6"/>
        </w:rPr>
        <w:t>按照财政部发布的《企业内部控制基本规范》</w:t>
      </w:r>
      <w:r>
        <w:rPr/>
        <w:t> 及相关规范对公司管理层作出的截止</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日内部控制有效性的评估报告进 行了鉴证并出具了信会师报字</w:t>
      </w:r>
      <w:r>
        <w:rPr>
          <w:rFonts w:ascii="Times New Roman" w:hAnsi="Times New Roman" w:cs="Times New Roman" w:eastAsia="Times New Roman" w:hint="default"/>
        </w:rPr>
        <w:t>[2012]</w:t>
      </w:r>
      <w:r>
        <w:rPr/>
        <w:t>第</w:t>
      </w:r>
      <w:r>
        <w:rPr>
          <w:rFonts w:ascii="Times New Roman" w:hAnsi="Times New Roman" w:cs="Times New Roman" w:eastAsia="Times New Roman" w:hint="default"/>
        </w:rPr>
        <w:t>310032</w:t>
      </w:r>
      <w:r>
        <w:rPr/>
        <w:t>号《内部控制鉴证报告》。报告认为： 御银股份按照《企业内部控制基本规范》及相关规范于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日在所有重大 方面保持了有效的内部控制。</w:t>
      </w:r>
    </w:p>
    <w:p>
      <w:pPr>
        <w:spacing w:line="240" w:lineRule="auto" w:before="0"/>
        <w:rPr>
          <w:rFonts w:ascii="宋体" w:hAnsi="宋体" w:cs="宋体" w:eastAsia="宋体" w:hint="default"/>
          <w:sz w:val="24"/>
          <w:szCs w:val="24"/>
        </w:rPr>
      </w:pPr>
    </w:p>
    <w:p>
      <w:pPr>
        <w:pStyle w:val="BodyText"/>
        <w:spacing w:line="240" w:lineRule="auto" w:before="209"/>
        <w:ind w:left="620" w:right="864"/>
        <w:jc w:val="left"/>
      </w:pPr>
      <w:r>
        <w:rPr/>
        <w:t>三、公司内部审计制度的建立和执行情况</w:t>
      </w:r>
    </w:p>
    <w:p>
      <w:pPr>
        <w:pStyle w:val="BodyText"/>
        <w:spacing w:line="240" w:lineRule="auto" w:before="154"/>
        <w:ind w:left="3045" w:right="864"/>
        <w:jc w:val="left"/>
      </w:pPr>
      <w:r>
        <w:rPr>
          <w:rFonts w:ascii="Times New Roman" w:hAnsi="Times New Roman" w:cs="Times New Roman" w:eastAsia="Times New Roman" w:hint="default"/>
        </w:rPr>
        <w:t>2011</w:t>
      </w:r>
      <w:r>
        <w:rPr/>
        <w:t>年内部控制相关情况披露表</w:t>
      </w:r>
    </w:p>
    <w:p>
      <w:pPr>
        <w:spacing w:line="240" w:lineRule="auto" w:before="4"/>
        <w:rPr>
          <w:rFonts w:ascii="宋体" w:hAnsi="宋体" w:cs="宋体" w:eastAsia="宋体" w:hint="default"/>
          <w:sz w:val="7"/>
          <w:szCs w:val="7"/>
        </w:rPr>
      </w:pPr>
    </w:p>
    <w:tbl>
      <w:tblPr>
        <w:tblW w:w="0" w:type="auto"/>
        <w:jc w:val="left"/>
        <w:tblInd w:w="135" w:type="dxa"/>
        <w:tblLayout w:type="fixed"/>
        <w:tblCellMar>
          <w:top w:w="0" w:type="dxa"/>
          <w:left w:w="0" w:type="dxa"/>
          <w:bottom w:w="0" w:type="dxa"/>
          <w:right w:w="0" w:type="dxa"/>
        </w:tblCellMar>
        <w:tblLook w:val="01E0"/>
      </w:tblPr>
      <w:tblGrid>
        <w:gridCol w:w="5928"/>
        <w:gridCol w:w="876"/>
        <w:gridCol w:w="2600"/>
      </w:tblGrid>
      <w:tr>
        <w:trPr>
          <w:trHeight w:val="161" w:hRule="exact"/>
        </w:trPr>
        <w:tc>
          <w:tcPr>
            <w:tcW w:w="5928" w:type="dxa"/>
            <w:tcBorders>
              <w:top w:val="single" w:sz="4" w:space="0" w:color="000000"/>
              <w:left w:val="single" w:sz="4" w:space="0" w:color="000000"/>
              <w:bottom w:val="nil" w:sz="6" w:space="0" w:color="auto"/>
              <w:right w:val="single" w:sz="4" w:space="0" w:color="000000"/>
            </w:tcBorders>
            <w:shd w:val="clear" w:color="auto" w:fill="DCDCDC"/>
          </w:tcPr>
          <w:p>
            <w:pPr/>
          </w:p>
        </w:tc>
        <w:tc>
          <w:tcPr>
            <w:tcW w:w="876" w:type="dxa"/>
            <w:vMerge w:val="restart"/>
            <w:tcBorders>
              <w:top w:val="single" w:sz="4" w:space="0" w:color="000000"/>
              <w:left w:val="single" w:sz="4" w:space="0" w:color="000000"/>
              <w:right w:val="single" w:sz="4" w:space="0" w:color="000000"/>
            </w:tcBorders>
            <w:shd w:val="clear" w:color="auto" w:fill="DCDCDC"/>
          </w:tcPr>
          <w:p>
            <w:pPr>
              <w:pStyle w:val="TableParagraph"/>
              <w:spacing w:line="300" w:lineRule="auto" w:before="10"/>
              <w:ind w:left="251" w:right="110" w:hanging="140"/>
              <w:jc w:val="left"/>
              <w:rPr>
                <w:rFonts w:ascii="宋体" w:hAnsi="宋体" w:cs="宋体" w:eastAsia="宋体" w:hint="default"/>
                <w:sz w:val="18"/>
                <w:szCs w:val="18"/>
              </w:rPr>
            </w:pP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w:t>
            </w:r>
            <w:r>
              <w:rPr>
                <w:rFonts w:ascii="Times New Roman" w:hAnsi="Times New Roman" w:cs="Times New Roman" w:eastAsia="Times New Roman" w:hint="default"/>
                <w:sz w:val="18"/>
                <w:szCs w:val="18"/>
              </w:rPr>
              <w:t>/</w:t>
            </w:r>
            <w:r>
              <w:rPr>
                <w:rFonts w:ascii="宋体" w:hAnsi="宋体" w:cs="宋体" w:eastAsia="宋体" w:hint="default"/>
                <w:sz w:val="18"/>
                <w:szCs w:val="18"/>
              </w:rPr>
              <w:t>不 适用</w:t>
            </w:r>
          </w:p>
        </w:tc>
        <w:tc>
          <w:tcPr>
            <w:tcW w:w="2600" w:type="dxa"/>
            <w:vMerge w:val="restart"/>
            <w:tcBorders>
              <w:top w:val="single" w:sz="4" w:space="0" w:color="000000"/>
              <w:left w:val="single" w:sz="4" w:space="0" w:color="000000"/>
              <w:right w:val="single" w:sz="4" w:space="0" w:color="000000"/>
            </w:tcBorders>
            <w:shd w:val="clear" w:color="auto" w:fill="DCDCDC"/>
          </w:tcPr>
          <w:p>
            <w:pPr>
              <w:pStyle w:val="TableParagraph"/>
              <w:spacing w:line="300" w:lineRule="auto" w:before="10"/>
              <w:ind w:left="574" w:right="-3" w:hanging="552"/>
              <w:jc w:val="left"/>
              <w:rPr>
                <w:rFonts w:ascii="宋体" w:hAnsi="宋体" w:cs="宋体" w:eastAsia="宋体" w:hint="default"/>
                <w:sz w:val="18"/>
                <w:szCs w:val="18"/>
              </w:rPr>
            </w:pPr>
            <w:r>
              <w:rPr>
                <w:rFonts w:ascii="宋体" w:hAnsi="宋体" w:cs="宋体" w:eastAsia="宋体" w:hint="default"/>
                <w:sz w:val="18"/>
                <w:szCs w:val="18"/>
              </w:rPr>
              <w:t>备注</w:t>
            </w:r>
            <w:r>
              <w:rPr>
                <w:rFonts w:ascii="Times New Roman" w:hAnsi="Times New Roman" w:cs="Times New Roman" w:eastAsia="Times New Roman" w:hint="default"/>
                <w:sz w:val="18"/>
                <w:szCs w:val="18"/>
              </w:rPr>
              <w:t>/</w:t>
            </w:r>
            <w:r>
              <w:rPr>
                <w:rFonts w:ascii="宋体" w:hAnsi="宋体" w:cs="宋体" w:eastAsia="宋体" w:hint="default"/>
                <w:sz w:val="18"/>
                <w:szCs w:val="18"/>
              </w:rPr>
              <w:t>说明（如选择否或不适用， 请说明具体原因）</w:t>
            </w:r>
          </w:p>
        </w:tc>
      </w:tr>
      <w:tr>
        <w:trPr>
          <w:trHeight w:val="312" w:hRule="exact"/>
        </w:trPr>
        <w:tc>
          <w:tcPr>
            <w:tcW w:w="592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内部控制相关情况</w:t>
            </w:r>
          </w:p>
        </w:tc>
        <w:tc>
          <w:tcPr>
            <w:tcW w:w="876" w:type="dxa"/>
            <w:vMerge/>
            <w:tcBorders>
              <w:left w:val="single" w:sz="4" w:space="0" w:color="000000"/>
              <w:right w:val="single" w:sz="4" w:space="0" w:color="000000"/>
            </w:tcBorders>
            <w:shd w:val="clear" w:color="auto" w:fill="DCDCDC"/>
          </w:tcPr>
          <w:p>
            <w:pPr/>
          </w:p>
        </w:tc>
        <w:tc>
          <w:tcPr>
            <w:tcW w:w="2600" w:type="dxa"/>
            <w:vMerge/>
            <w:tcBorders>
              <w:left w:val="single" w:sz="4" w:space="0" w:color="000000"/>
              <w:right w:val="single" w:sz="4" w:space="0" w:color="000000"/>
            </w:tcBorders>
            <w:shd w:val="clear" w:color="auto" w:fill="DCDCDC"/>
          </w:tcPr>
          <w:p>
            <w:pPr/>
          </w:p>
        </w:tc>
      </w:tr>
      <w:tr>
        <w:trPr>
          <w:trHeight w:val="161" w:hRule="exact"/>
        </w:trPr>
        <w:tc>
          <w:tcPr>
            <w:tcW w:w="5928" w:type="dxa"/>
            <w:tcBorders>
              <w:top w:val="nil" w:sz="6" w:space="0" w:color="auto"/>
              <w:left w:val="single" w:sz="4" w:space="0" w:color="000000"/>
              <w:bottom w:val="single" w:sz="4" w:space="0" w:color="000000"/>
              <w:right w:val="single" w:sz="4" w:space="0" w:color="000000"/>
            </w:tcBorders>
            <w:shd w:val="clear" w:color="auto" w:fill="DCDCDC"/>
          </w:tcPr>
          <w:p>
            <w:pPr/>
          </w:p>
        </w:tc>
        <w:tc>
          <w:tcPr>
            <w:tcW w:w="876" w:type="dxa"/>
            <w:vMerge/>
            <w:tcBorders>
              <w:left w:val="single" w:sz="4" w:space="0" w:color="000000"/>
              <w:bottom w:val="single" w:sz="4" w:space="0" w:color="000000"/>
              <w:right w:val="single" w:sz="4" w:space="0" w:color="000000"/>
            </w:tcBorders>
            <w:shd w:val="clear" w:color="auto" w:fill="DCDCDC"/>
          </w:tcPr>
          <w:p>
            <w:pPr/>
          </w:p>
        </w:tc>
        <w:tc>
          <w:tcPr>
            <w:tcW w:w="2600" w:type="dxa"/>
            <w:vMerge/>
            <w:tcBorders>
              <w:left w:val="single" w:sz="4" w:space="0" w:color="000000"/>
              <w:bottom w:val="single" w:sz="4" w:space="0" w:color="000000"/>
              <w:right w:val="single" w:sz="4" w:space="0" w:color="000000"/>
            </w:tcBorders>
            <w:shd w:val="clear" w:color="auto" w:fill="DCDCDC"/>
          </w:tcPr>
          <w:p>
            <w:pPr/>
          </w:p>
        </w:tc>
      </w:tr>
      <w:tr>
        <w:trPr>
          <w:trHeight w:val="322" w:hRule="exact"/>
        </w:trPr>
        <w:tc>
          <w:tcPr>
            <w:tcW w:w="59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一、内部审计制度的建立情况</w:t>
            </w:r>
          </w:p>
        </w:tc>
        <w:tc>
          <w:tcPr>
            <w:tcW w:w="87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60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22" w:hRule="exact"/>
        </w:trPr>
        <w:tc>
          <w:tcPr>
            <w:tcW w:w="59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．公司是否建立内部审计制度，内部审计制度是否经公司董事会审议通过</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4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264"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34" w:hRule="exact"/>
        </w:trPr>
        <w:tc>
          <w:tcPr>
            <w:tcW w:w="59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10"/>
              <w:ind w:left="22" w:right="4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．公司董事会是否设立审计委员会，公司是否设立独立于财务部门的内部 审计部门</w:t>
            </w:r>
          </w:p>
        </w:tc>
        <w:tc>
          <w:tcPr>
            <w:tcW w:w="87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3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264"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34" w:hRule="exact"/>
        </w:trPr>
        <w:tc>
          <w:tcPr>
            <w:tcW w:w="59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11"/>
              <w:ind w:left="22" w:right="43"/>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）审计委员会成员是否全部由董事组成，独立董事占半数以上并担任</w:t>
            </w:r>
            <w:r>
              <w:rPr>
                <w:rFonts w:ascii="宋体" w:hAnsi="宋体" w:cs="宋体" w:eastAsia="宋体" w:hint="default"/>
                <w:spacing w:val="-78"/>
                <w:sz w:val="18"/>
                <w:szCs w:val="18"/>
              </w:rPr>
              <w:t> </w:t>
            </w:r>
            <w:r>
              <w:rPr>
                <w:rFonts w:ascii="宋体" w:hAnsi="宋体" w:cs="宋体" w:eastAsia="宋体" w:hint="default"/>
                <w:sz w:val="18"/>
                <w:szCs w:val="18"/>
              </w:rPr>
              <w:t>召集人，且至少有一名独立董事为会计专业人士</w:t>
            </w:r>
          </w:p>
        </w:tc>
        <w:tc>
          <w:tcPr>
            <w:tcW w:w="87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3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64"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34" w:hRule="exact"/>
        </w:trPr>
        <w:tc>
          <w:tcPr>
            <w:tcW w:w="59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10"/>
              <w:ind w:left="22" w:right="43"/>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）内部审计部门是否配置三名以上（含三名）专职人员从事内部审计工 作</w:t>
            </w:r>
          </w:p>
        </w:tc>
        <w:tc>
          <w:tcPr>
            <w:tcW w:w="87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3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264"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59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二、年度内部控制自我评价报告披露相关情况</w:t>
            </w:r>
          </w:p>
        </w:tc>
        <w:tc>
          <w:tcPr>
            <w:tcW w:w="87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60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22" w:hRule="exact"/>
        </w:trPr>
        <w:tc>
          <w:tcPr>
            <w:tcW w:w="59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．公司是否根据相关规定出具年度内部控制自我评价报告</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4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64"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34" w:hRule="exact"/>
        </w:trPr>
        <w:tc>
          <w:tcPr>
            <w:tcW w:w="59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10"/>
              <w:ind w:left="22" w:right="4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．内部控制自我评价报告结论是否为内部控制有效（如为内部控制无效， 请说明内部控制存在的重大缺陷）</w:t>
            </w:r>
          </w:p>
        </w:tc>
        <w:tc>
          <w:tcPr>
            <w:tcW w:w="87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3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264"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59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．本年度是否聘请会计师事务所对内部控制有效性出具审计报告</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4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264"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946" w:hRule="exact"/>
        </w:trPr>
        <w:tc>
          <w:tcPr>
            <w:tcW w:w="59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9" w:lineRule="auto" w:before="11"/>
              <w:ind w:left="22" w:right="43"/>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．会计师事务所对公司内部控制有效性是否出具标准审计报告。如出具非 标准审计报告或指出公司非财务报告内部控制存在重大缺陷的，公司董事 会、监事会是否针对所涉及事项做出专项说明</w:t>
            </w:r>
          </w:p>
        </w:tc>
        <w:tc>
          <w:tcPr>
            <w:tcW w:w="87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33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264"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59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．独立董事、监事会是否出具明确同意意见（如为异议意见，请说明）</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4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264"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161" w:hRule="exact"/>
        </w:trPr>
        <w:tc>
          <w:tcPr>
            <w:tcW w:w="5928" w:type="dxa"/>
            <w:tcBorders>
              <w:top w:val="single" w:sz="4" w:space="0" w:color="000000"/>
              <w:left w:val="single" w:sz="4" w:space="0" w:color="000000"/>
              <w:bottom w:val="nil" w:sz="6" w:space="0" w:color="auto"/>
              <w:right w:val="single" w:sz="4" w:space="0" w:color="000000"/>
            </w:tcBorders>
            <w:shd w:val="clear" w:color="auto" w:fill="DCDCDC"/>
          </w:tcPr>
          <w:p>
            <w:pPr/>
          </w:p>
        </w:tc>
        <w:tc>
          <w:tcPr>
            <w:tcW w:w="876"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6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2600" w:type="dxa"/>
            <w:vMerge w:val="restart"/>
            <w:tcBorders>
              <w:top w:val="single" w:sz="4" w:space="0" w:color="000000"/>
              <w:left w:val="single" w:sz="4" w:space="0" w:color="000000"/>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保荐机构的持续督导期已于</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2010</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日结束，由于公司的</w:t>
            </w:r>
          </w:p>
        </w:tc>
      </w:tr>
      <w:tr>
        <w:trPr>
          <w:trHeight w:val="312" w:hRule="exact"/>
        </w:trPr>
        <w:tc>
          <w:tcPr>
            <w:tcW w:w="5928" w:type="dxa"/>
            <w:tcBorders>
              <w:top w:val="nil" w:sz="6" w:space="0" w:color="auto"/>
              <w:left w:val="single" w:sz="4" w:space="0" w:color="000000"/>
              <w:bottom w:val="nil" w:sz="6" w:space="0" w:color="auto"/>
              <w:right w:val="single" w:sz="4" w:space="0" w:color="000000"/>
            </w:tcBorders>
          </w:tcPr>
          <w:p>
            <w:pPr>
              <w:pStyle w:val="TableParagraph"/>
              <w:tabs>
                <w:tab w:pos="5895" w:val="left" w:leader="none"/>
              </w:tabs>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CDCDC" w:color="auto" w:val="clear"/>
              </w:rPr>
              <w:t>6</w:t>
            </w:r>
            <w:r>
              <w:rPr>
                <w:rFonts w:ascii="宋体" w:hAnsi="宋体" w:cs="宋体" w:eastAsia="宋体" w:hint="default"/>
                <w:sz w:val="18"/>
                <w:szCs w:val="18"/>
                <w:shd w:fill="DCDCDC" w:color="auto" w:val="clear"/>
              </w:rPr>
              <w:t>．保荐机构和保荐代表人是否出具明确同意的核查意见（如适用）</w:t>
              <w:tab/>
            </w:r>
            <w:r>
              <w:rPr>
                <w:rFonts w:ascii="宋体" w:hAnsi="宋体" w:cs="宋体" w:eastAsia="宋体" w:hint="default"/>
                <w:sz w:val="18"/>
                <w:szCs w:val="18"/>
              </w:rPr>
            </w:r>
          </w:p>
        </w:tc>
        <w:tc>
          <w:tcPr>
            <w:tcW w:w="876" w:type="dxa"/>
            <w:vMerge/>
            <w:tcBorders>
              <w:left w:val="single" w:sz="4" w:space="0" w:color="000000"/>
              <w:right w:val="single" w:sz="4" w:space="0" w:color="000000"/>
            </w:tcBorders>
          </w:tcPr>
          <w:p>
            <w:pPr/>
          </w:p>
        </w:tc>
        <w:tc>
          <w:tcPr>
            <w:tcW w:w="2600" w:type="dxa"/>
            <w:vMerge/>
            <w:tcBorders>
              <w:left w:val="single" w:sz="4" w:space="0" w:color="000000"/>
              <w:right w:val="single" w:sz="4" w:space="0" w:color="000000"/>
            </w:tcBorders>
          </w:tcPr>
          <w:p>
            <w:pPr/>
          </w:p>
        </w:tc>
      </w:tr>
      <w:tr>
        <w:trPr>
          <w:trHeight w:val="161" w:hRule="exact"/>
        </w:trPr>
        <w:tc>
          <w:tcPr>
            <w:tcW w:w="5928" w:type="dxa"/>
            <w:tcBorders>
              <w:top w:val="nil" w:sz="6" w:space="0" w:color="auto"/>
              <w:left w:val="single" w:sz="4" w:space="0" w:color="000000"/>
              <w:bottom w:val="single" w:sz="4" w:space="0" w:color="000000"/>
              <w:right w:val="single" w:sz="4" w:space="0" w:color="000000"/>
            </w:tcBorders>
            <w:shd w:val="clear" w:color="auto" w:fill="DCDCDC"/>
          </w:tcPr>
          <w:p>
            <w:pPr/>
          </w:p>
        </w:tc>
        <w:tc>
          <w:tcPr>
            <w:tcW w:w="876" w:type="dxa"/>
            <w:vMerge/>
            <w:tcBorders>
              <w:left w:val="single" w:sz="4" w:space="0" w:color="000000"/>
              <w:bottom w:val="single" w:sz="4" w:space="0" w:color="000000"/>
              <w:right w:val="single" w:sz="4" w:space="0" w:color="000000"/>
            </w:tcBorders>
          </w:tcPr>
          <w:p>
            <w:pPr/>
          </w:p>
        </w:tc>
        <w:tc>
          <w:tcPr>
            <w:tcW w:w="2600" w:type="dxa"/>
            <w:vMerge/>
            <w:tcBorders>
              <w:left w:val="single" w:sz="4" w:space="0" w:color="000000"/>
              <w:bottom w:val="single" w:sz="4" w:space="0" w:color="000000"/>
              <w:right w:val="single" w:sz="4" w:space="0" w:color="000000"/>
            </w:tcBorders>
          </w:tcPr>
          <w:p>
            <w:pPr/>
          </w:p>
        </w:tc>
      </w:tr>
    </w:tbl>
    <w:p>
      <w:pPr>
        <w:spacing w:after="0"/>
        <w:sectPr>
          <w:pgSz w:w="11910" w:h="16840"/>
          <w:pgMar w:header="877" w:footer="1048" w:top="1100" w:bottom="1240" w:left="1660" w:right="580"/>
        </w:sectPr>
      </w:pPr>
    </w:p>
    <w:p>
      <w:pPr>
        <w:spacing w:line="240" w:lineRule="auto" w:before="6"/>
        <w:rPr>
          <w:rFonts w:ascii="宋体" w:hAnsi="宋体" w:cs="宋体" w:eastAsia="宋体" w:hint="default"/>
          <w:sz w:val="24"/>
          <w:szCs w:val="24"/>
        </w:rPr>
      </w:pPr>
    </w:p>
    <w:tbl>
      <w:tblPr>
        <w:tblW w:w="0" w:type="auto"/>
        <w:jc w:val="left"/>
        <w:tblInd w:w="135" w:type="dxa"/>
        <w:tblLayout w:type="fixed"/>
        <w:tblCellMar>
          <w:top w:w="0" w:type="dxa"/>
          <w:left w:w="0" w:type="dxa"/>
          <w:bottom w:w="0" w:type="dxa"/>
          <w:right w:w="0" w:type="dxa"/>
        </w:tblCellMar>
        <w:tblLook w:val="01E0"/>
      </w:tblPr>
      <w:tblGrid>
        <w:gridCol w:w="5928"/>
        <w:gridCol w:w="876"/>
        <w:gridCol w:w="2600"/>
      </w:tblGrid>
      <w:tr>
        <w:trPr>
          <w:trHeight w:val="946" w:hRule="exact"/>
        </w:trPr>
        <w:tc>
          <w:tcPr>
            <w:tcW w:w="592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876" w:type="dxa"/>
            <w:tcBorders>
              <w:top w:val="single" w:sz="4" w:space="0" w:color="000000"/>
              <w:left w:val="single" w:sz="4" w:space="0" w:color="000000"/>
              <w:bottom w:val="single" w:sz="4" w:space="0" w:color="000000"/>
              <w:right w:val="single" w:sz="4" w:space="0" w:color="000000"/>
            </w:tcBorders>
          </w:tcPr>
          <w:p>
            <w:pP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22"/>
              <w:jc w:val="both"/>
              <w:rPr>
                <w:rFonts w:ascii="宋体" w:hAnsi="宋体" w:cs="宋体" w:eastAsia="宋体" w:hint="default"/>
                <w:sz w:val="18"/>
                <w:szCs w:val="18"/>
              </w:rPr>
            </w:pPr>
            <w:r>
              <w:rPr>
                <w:rFonts w:ascii="宋体" w:hAnsi="宋体" w:cs="宋体" w:eastAsia="宋体" w:hint="default"/>
                <w:sz w:val="18"/>
                <w:szCs w:val="18"/>
              </w:rPr>
              <w:t>募集资金尚未使用完，对募集资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金使用的延长持续督导时间，直</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至资金使用完毕止。</w:t>
            </w:r>
          </w:p>
        </w:tc>
      </w:tr>
      <w:tr>
        <w:trPr>
          <w:trHeight w:val="322" w:hRule="exact"/>
        </w:trPr>
        <w:tc>
          <w:tcPr>
            <w:tcW w:w="9404"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三、审计委员会和内部审计部门本年度的主要工作内容与工作成效</w:t>
            </w:r>
          </w:p>
        </w:tc>
      </w:tr>
      <w:tr>
        <w:trPr>
          <w:trHeight w:val="1882" w:hRule="exact"/>
        </w:trPr>
        <w:tc>
          <w:tcPr>
            <w:tcW w:w="9404"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23"/>
              <w:jc w:val="left"/>
              <w:rPr>
                <w:rFonts w:ascii="宋体" w:hAnsi="宋体" w:cs="宋体" w:eastAsia="宋体" w:hint="default"/>
                <w:sz w:val="18"/>
                <w:szCs w:val="18"/>
              </w:rPr>
            </w:pPr>
            <w:r>
              <w:rPr>
                <w:rFonts w:ascii="宋体" w:hAnsi="宋体" w:cs="宋体" w:eastAsia="宋体" w:hint="default"/>
                <w:spacing w:val="-1"/>
                <w:sz w:val="18"/>
                <w:szCs w:val="18"/>
              </w:rPr>
              <w:t>公司内部审计部门严格按照《深圳证券交易所中小企业板上市公司规范运作指引》及内部审计工作指引相关法律法规等</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pacing w:val="-1"/>
                <w:sz w:val="18"/>
                <w:szCs w:val="18"/>
              </w:rPr>
              <w:t>规范性文件，制定年度审计计划并参照开展内部审计工作，对公司经营管理、内部控制有效性、募集资金等事项进行审</w:t>
            </w:r>
            <w:r>
              <w:rPr>
                <w:rFonts w:ascii="宋体" w:hAnsi="宋体" w:cs="宋体" w:eastAsia="宋体" w:hint="default"/>
                <w:spacing w:val="-54"/>
                <w:sz w:val="18"/>
                <w:szCs w:val="18"/>
              </w:rPr>
              <w:t> </w:t>
            </w:r>
            <w:r>
              <w:rPr>
                <w:rFonts w:ascii="宋体" w:hAnsi="宋体" w:cs="宋体" w:eastAsia="宋体" w:hint="default"/>
                <w:spacing w:val="-54"/>
                <w:sz w:val="18"/>
                <w:szCs w:val="18"/>
              </w:rPr>
            </w:r>
            <w:r>
              <w:rPr>
                <w:rFonts w:ascii="宋体" w:hAnsi="宋体" w:cs="宋体" w:eastAsia="宋体" w:hint="default"/>
                <w:spacing w:val="-1"/>
                <w:sz w:val="18"/>
                <w:szCs w:val="18"/>
              </w:rPr>
              <w:t>计，并出具专项审计报告分析成因，促成整改，每季度将内部审计工作情况向董事会审计委员会汇报。审计委员会每季</w:t>
            </w:r>
            <w:r>
              <w:rPr>
                <w:rFonts w:ascii="宋体" w:hAnsi="宋体" w:cs="宋体" w:eastAsia="宋体" w:hint="default"/>
                <w:spacing w:val="-55"/>
                <w:sz w:val="18"/>
                <w:szCs w:val="18"/>
              </w:rPr>
              <w:t> </w:t>
            </w:r>
            <w:r>
              <w:rPr>
                <w:rFonts w:ascii="宋体" w:hAnsi="宋体" w:cs="宋体" w:eastAsia="宋体" w:hint="default"/>
                <w:spacing w:val="-55"/>
                <w:sz w:val="18"/>
                <w:szCs w:val="18"/>
              </w:rPr>
            </w:r>
            <w:r>
              <w:rPr>
                <w:rFonts w:ascii="宋体" w:hAnsi="宋体" w:cs="宋体" w:eastAsia="宋体" w:hint="default"/>
                <w:sz w:val="18"/>
                <w:szCs w:val="18"/>
              </w:rPr>
              <w:t>度召开会议，对内部审计计划的执行情况进行核查，对内部审计工作提供指导。 </w:t>
            </w:r>
            <w:r>
              <w:rPr>
                <w:rFonts w:ascii="宋体" w:hAnsi="宋体" w:cs="宋体" w:eastAsia="宋体" w:hint="default"/>
                <w:spacing w:val="-1"/>
                <w:sz w:val="18"/>
                <w:szCs w:val="18"/>
              </w:rPr>
              <w:t>在年报审计期间，审计委员会与内部审计部门与审计机构紧密联系，及时了解年报审计进展情况，沟通问题，保证年报</w:t>
            </w:r>
            <w:r>
              <w:rPr>
                <w:rFonts w:ascii="宋体" w:hAnsi="宋体" w:cs="宋体" w:eastAsia="宋体" w:hint="default"/>
                <w:spacing w:val="-53"/>
                <w:sz w:val="18"/>
                <w:szCs w:val="18"/>
              </w:rPr>
              <w:t> </w:t>
            </w:r>
            <w:r>
              <w:rPr>
                <w:rFonts w:ascii="宋体" w:hAnsi="宋体" w:cs="宋体" w:eastAsia="宋体" w:hint="default"/>
                <w:spacing w:val="-53"/>
                <w:sz w:val="18"/>
                <w:szCs w:val="18"/>
              </w:rPr>
            </w:r>
            <w:r>
              <w:rPr>
                <w:rFonts w:ascii="宋体" w:hAnsi="宋体" w:cs="宋体" w:eastAsia="宋体" w:hint="default"/>
                <w:sz w:val="18"/>
                <w:szCs w:val="18"/>
              </w:rPr>
              <w:t>数据的及时性、真实性和准确性。</w:t>
            </w:r>
          </w:p>
        </w:tc>
      </w:tr>
      <w:tr>
        <w:trPr>
          <w:trHeight w:val="322" w:hRule="exact"/>
        </w:trPr>
        <w:tc>
          <w:tcPr>
            <w:tcW w:w="9404"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四、公司认为需要说明的其他情况（如有）</w:t>
            </w:r>
          </w:p>
        </w:tc>
      </w:tr>
      <w:tr>
        <w:trPr>
          <w:trHeight w:val="323" w:hRule="exact"/>
        </w:trPr>
        <w:tc>
          <w:tcPr>
            <w:tcW w:w="940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12"/>
        <w:rPr>
          <w:rFonts w:ascii="宋体" w:hAnsi="宋体" w:cs="宋体" w:eastAsia="宋体" w:hint="default"/>
          <w:sz w:val="24"/>
          <w:szCs w:val="24"/>
        </w:rPr>
      </w:pPr>
    </w:p>
    <w:p>
      <w:pPr>
        <w:pStyle w:val="BodyText"/>
        <w:spacing w:line="357" w:lineRule="auto" w:before="26"/>
        <w:ind w:left="620" w:right="864"/>
        <w:jc w:val="left"/>
      </w:pPr>
      <w:r>
        <w:rPr/>
        <w:t>四、公司治理专项活动情况 根据中国证监会广东监管局、深圳证券交易所相关文件的规定及要求，报告期</w:t>
      </w:r>
    </w:p>
    <w:p>
      <w:pPr>
        <w:pStyle w:val="BodyText"/>
        <w:spacing w:line="357" w:lineRule="auto" w:before="36"/>
        <w:ind w:right="882"/>
        <w:jc w:val="both"/>
      </w:pPr>
      <w:r>
        <w:rPr/>
        <w:t>内，公司继续深入推进公司治理活动。根据深交所《关于开展“加强中小企业板上 市公司内控规则落实”专项活动的通知》，公司对内控规则的落实情况进行了严格 的自查，并根据自查报告中发现的问题修订了《投资者关系管理制度》，在制度中 明确了在与特定直接对象沟通前要求特定对象签署承诺书。</w:t>
      </w:r>
    </w:p>
    <w:p>
      <w:pPr>
        <w:pStyle w:val="BodyText"/>
        <w:spacing w:line="352" w:lineRule="auto" w:before="36"/>
        <w:ind w:right="841" w:firstLine="480"/>
        <w:jc w:val="both"/>
      </w:pPr>
      <w:r>
        <w:rPr/>
        <w:t>公司根据《关于开展依法打击和防控内幕交易联合专项检查工作的通知》（广 东证监</w:t>
      </w:r>
      <w:r>
        <w:rPr>
          <w:rFonts w:ascii="Times New Roman" w:hAnsi="Times New Roman" w:cs="Times New Roman" w:eastAsia="Times New Roman" w:hint="default"/>
        </w:rPr>
        <w:t>[2011]170</w:t>
      </w:r>
      <w:r>
        <w:rPr/>
        <w:t>号）的要求，对内幕信息管理制度的建设情况和执行情况进行了自 查，并对公司内幕信息知情人是否涉及内幕交易进行了排查。根据自查的结果，进 一步加强了公司董事、监事、高级管理人员对内幕信息管理工作的认识，完善了信 息披露过程中信息传递的记录和档案保管工作，健全了内幕交易防控机制，保障了 广大投资者的合法权益。</w:t>
      </w:r>
    </w:p>
    <w:p>
      <w:pPr>
        <w:spacing w:after="0" w:line="352" w:lineRule="auto"/>
        <w:jc w:val="both"/>
        <w:sectPr>
          <w:pgSz w:w="11910" w:h="16840"/>
          <w:pgMar w:header="877" w:footer="1048" w:top="1100" w:bottom="1240" w:left="1660" w:right="58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Heading1"/>
        <w:tabs>
          <w:tab w:pos="3941" w:val="left" w:leader="none"/>
        </w:tabs>
        <w:spacing w:line="240" w:lineRule="auto"/>
        <w:ind w:left="2657" w:right="104"/>
        <w:jc w:val="left"/>
        <w:rPr>
          <w:b w:val="0"/>
          <w:bCs w:val="0"/>
        </w:rPr>
      </w:pPr>
      <w:bookmarkStart w:name="_TOC_250004" w:id="5"/>
      <w:r>
        <w:rPr>
          <w:w w:val="95"/>
        </w:rPr>
        <w:t>第七节</w:t>
        <w:tab/>
      </w:r>
      <w:r>
        <w:rPr/>
        <w:t>股东大会情况简介</w:t>
      </w:r>
      <w:bookmarkEnd w:id="5"/>
      <w:r>
        <w:rPr>
          <w:b w:val="0"/>
          <w:bCs w:val="0"/>
        </w:rPr>
      </w:r>
    </w:p>
    <w:p>
      <w:pPr>
        <w:spacing w:line="240" w:lineRule="auto" w:before="7"/>
        <w:rPr>
          <w:rFonts w:ascii="宋体" w:hAnsi="宋体" w:cs="宋体" w:eastAsia="宋体" w:hint="default"/>
          <w:b/>
          <w:bCs/>
          <w:sz w:val="34"/>
          <w:szCs w:val="34"/>
        </w:rPr>
      </w:pPr>
    </w:p>
    <w:p>
      <w:pPr>
        <w:pStyle w:val="BodyText"/>
        <w:spacing w:line="338" w:lineRule="auto" w:before="0"/>
        <w:ind w:right="98" w:firstLine="540"/>
        <w:jc w:val="left"/>
      </w:pPr>
      <w:r>
        <w:rPr/>
        <w:t>报告期内，公司召开了</w:t>
      </w:r>
      <w:r>
        <w:rPr>
          <w:rFonts w:ascii="Times New Roman" w:hAnsi="Times New Roman" w:cs="Times New Roman" w:eastAsia="Times New Roman" w:hint="default"/>
        </w:rPr>
        <w:t>2010</w:t>
      </w:r>
      <w:r>
        <w:rPr/>
        <w:t>年度股东大会和六次临时股东大会，会议的通知、 </w:t>
      </w:r>
      <w:r>
        <w:rPr>
          <w:spacing w:val="-2"/>
        </w:rPr>
        <w:t>召集、召开和表决程序均符合有关法律法规和《公司章程》的规定，具体情况如下：</w:t>
      </w:r>
    </w:p>
    <w:p>
      <w:pPr>
        <w:pStyle w:val="BodyText"/>
        <w:spacing w:line="338" w:lineRule="auto" w:before="55"/>
        <w:ind w:right="324" w:firstLine="540"/>
        <w:jc w:val="left"/>
      </w:pPr>
      <w:r>
        <w:rPr/>
        <w:t>一、公司于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18</w:t>
      </w:r>
      <w:r>
        <w:rPr/>
        <w:t>日召开了</w:t>
      </w:r>
      <w:r>
        <w:rPr>
          <w:rFonts w:ascii="Times New Roman" w:hAnsi="Times New Roman" w:cs="Times New Roman" w:eastAsia="Times New Roman" w:hint="default"/>
        </w:rPr>
        <w:t>2010</w:t>
      </w:r>
      <w:r>
        <w:rPr/>
        <w:t>年度股东大会，会议审议并通过了如下 事项：</w:t>
      </w:r>
    </w:p>
    <w:p>
      <w:pPr>
        <w:pStyle w:val="BodyText"/>
        <w:spacing w:line="240" w:lineRule="auto" w:before="55"/>
        <w:ind w:left="620" w:right="104"/>
        <w:jc w:val="left"/>
      </w:pPr>
      <w:r>
        <w:rPr>
          <w:rFonts w:ascii="Times New Roman" w:hAnsi="Times New Roman" w:cs="Times New Roman" w:eastAsia="Times New Roman" w:hint="default"/>
        </w:rPr>
        <w:t>1</w:t>
      </w:r>
      <w:r>
        <w:rPr/>
        <w:t>、《公司</w:t>
      </w:r>
      <w:r>
        <w:rPr>
          <w:rFonts w:ascii="Times New Roman" w:hAnsi="Times New Roman" w:cs="Times New Roman" w:eastAsia="Times New Roman" w:hint="default"/>
        </w:rPr>
        <w:t>2010</w:t>
      </w:r>
      <w:r>
        <w:rPr/>
        <w:t>年度董事会工作报告的议案》；</w:t>
      </w:r>
    </w:p>
    <w:p>
      <w:pPr>
        <w:pStyle w:val="BodyText"/>
        <w:spacing w:line="240" w:lineRule="auto"/>
        <w:ind w:left="620" w:right="104"/>
        <w:jc w:val="left"/>
      </w:pPr>
      <w:r>
        <w:rPr>
          <w:rFonts w:ascii="Times New Roman" w:hAnsi="Times New Roman" w:cs="Times New Roman" w:eastAsia="Times New Roman" w:hint="default"/>
        </w:rPr>
        <w:t>2</w:t>
      </w:r>
      <w:r>
        <w:rPr/>
        <w:t>、《公司</w:t>
      </w:r>
      <w:r>
        <w:rPr>
          <w:rFonts w:ascii="Times New Roman" w:hAnsi="Times New Roman" w:cs="Times New Roman" w:eastAsia="Times New Roman" w:hint="default"/>
        </w:rPr>
        <w:t>2010</w:t>
      </w:r>
      <w:r>
        <w:rPr/>
        <w:t>年度财务决算报告的议案》；</w:t>
      </w:r>
    </w:p>
    <w:p>
      <w:pPr>
        <w:pStyle w:val="BodyText"/>
        <w:spacing w:line="240" w:lineRule="auto"/>
        <w:ind w:left="620" w:right="104"/>
        <w:jc w:val="left"/>
      </w:pPr>
      <w:r>
        <w:rPr>
          <w:rFonts w:ascii="Times New Roman" w:hAnsi="Times New Roman" w:cs="Times New Roman" w:eastAsia="Times New Roman" w:hint="default"/>
        </w:rPr>
        <w:t>3</w:t>
      </w:r>
      <w:r>
        <w:rPr/>
        <w:t>、《公司</w:t>
      </w:r>
      <w:r>
        <w:rPr>
          <w:rFonts w:ascii="Times New Roman" w:hAnsi="Times New Roman" w:cs="Times New Roman" w:eastAsia="Times New Roman" w:hint="default"/>
        </w:rPr>
        <w:t>2010</w:t>
      </w:r>
      <w:r>
        <w:rPr/>
        <w:t>年度监事会工作报告的议案》；</w:t>
      </w:r>
    </w:p>
    <w:p>
      <w:pPr>
        <w:pStyle w:val="BodyText"/>
        <w:spacing w:line="240" w:lineRule="auto"/>
        <w:ind w:left="620" w:right="104"/>
        <w:jc w:val="left"/>
      </w:pPr>
      <w:r>
        <w:rPr>
          <w:rFonts w:ascii="Times New Roman" w:hAnsi="Times New Roman" w:cs="Times New Roman" w:eastAsia="Times New Roman" w:hint="default"/>
        </w:rPr>
        <w:t>4</w:t>
      </w:r>
      <w:r>
        <w:rPr/>
        <w:t>、《公司</w:t>
      </w:r>
      <w:r>
        <w:rPr>
          <w:rFonts w:ascii="Times New Roman" w:hAnsi="Times New Roman" w:cs="Times New Roman" w:eastAsia="Times New Roman" w:hint="default"/>
        </w:rPr>
        <w:t>2010</w:t>
      </w:r>
      <w:r>
        <w:rPr/>
        <w:t>年度利润分配及资本公积金转增股本预案的议案》；</w:t>
      </w:r>
    </w:p>
    <w:p>
      <w:pPr>
        <w:pStyle w:val="BodyText"/>
        <w:spacing w:line="240" w:lineRule="auto"/>
        <w:ind w:left="620" w:right="104"/>
        <w:jc w:val="left"/>
      </w:pPr>
      <w:r>
        <w:rPr>
          <w:rFonts w:ascii="Times New Roman" w:hAnsi="Times New Roman" w:cs="Times New Roman" w:eastAsia="Times New Roman" w:hint="default"/>
        </w:rPr>
        <w:t>5</w:t>
      </w:r>
      <w:r>
        <w:rPr/>
        <w:t>、《关于批准报出</w:t>
      </w:r>
      <w:r>
        <w:rPr>
          <w:rFonts w:ascii="Times New Roman" w:hAnsi="Times New Roman" w:cs="Times New Roman" w:eastAsia="Times New Roman" w:hint="default"/>
        </w:rPr>
        <w:t>2010</w:t>
      </w:r>
      <w:r>
        <w:rPr/>
        <w:t>年度报告及摘要的议案》；</w:t>
      </w:r>
    </w:p>
    <w:p>
      <w:pPr>
        <w:pStyle w:val="BodyText"/>
        <w:spacing w:line="338" w:lineRule="auto"/>
        <w:ind w:right="218" w:firstLine="480"/>
        <w:jc w:val="left"/>
      </w:pPr>
      <w:r>
        <w:rPr>
          <w:rFonts w:ascii="Times New Roman" w:hAnsi="Times New Roman" w:cs="Times New Roman" w:eastAsia="Times New Roman" w:hint="default"/>
          <w:spacing w:val="-2"/>
        </w:rPr>
        <w:t>6</w:t>
      </w:r>
      <w:r>
        <w:rPr>
          <w:spacing w:val="-2"/>
        </w:rPr>
        <w:t>、《关于聘请立信大华会计师事务所有限公司为公司</w:t>
      </w:r>
      <w:r>
        <w:rPr>
          <w:rFonts w:ascii="Times New Roman" w:hAnsi="Times New Roman" w:cs="Times New Roman" w:eastAsia="Times New Roman" w:hint="default"/>
          <w:spacing w:val="-2"/>
        </w:rPr>
        <w:t>2011</w:t>
      </w:r>
      <w:r>
        <w:rPr>
          <w:spacing w:val="-2"/>
        </w:rPr>
        <w:t>年财务审计机构的议</w:t>
      </w:r>
      <w:r>
        <w:rPr/>
        <w:t> 案》；</w:t>
      </w:r>
    </w:p>
    <w:p>
      <w:pPr>
        <w:pStyle w:val="BodyText"/>
        <w:spacing w:line="240" w:lineRule="auto" w:before="55"/>
        <w:ind w:left="620" w:right="104"/>
        <w:jc w:val="left"/>
      </w:pPr>
      <w:r>
        <w:rPr>
          <w:rFonts w:ascii="Times New Roman" w:hAnsi="Times New Roman" w:cs="Times New Roman" w:eastAsia="Times New Roman" w:hint="default"/>
        </w:rPr>
        <w:t>7</w:t>
      </w:r>
      <w:r>
        <w:rPr/>
        <w:t>、《关于修订</w:t>
      </w:r>
      <w:r>
        <w:rPr>
          <w:rFonts w:ascii="Times New Roman" w:hAnsi="Times New Roman" w:cs="Times New Roman" w:eastAsia="Times New Roman" w:hint="default"/>
        </w:rPr>
        <w:t>&lt;</w:t>
      </w:r>
      <w:r>
        <w:rPr/>
        <w:t>股东大会议事规则</w:t>
      </w:r>
      <w:r>
        <w:rPr>
          <w:rFonts w:ascii="Times New Roman" w:hAnsi="Times New Roman" w:cs="Times New Roman" w:eastAsia="Times New Roman" w:hint="default"/>
        </w:rPr>
        <w:t>&gt;</w:t>
      </w:r>
      <w:r>
        <w:rPr/>
        <w:t>的议案》；</w:t>
      </w:r>
    </w:p>
    <w:p>
      <w:pPr>
        <w:pStyle w:val="BodyText"/>
        <w:spacing w:line="240" w:lineRule="auto"/>
        <w:ind w:left="619" w:right="104"/>
        <w:jc w:val="left"/>
      </w:pPr>
      <w:r>
        <w:rPr>
          <w:rFonts w:ascii="Times New Roman" w:hAnsi="Times New Roman" w:cs="Times New Roman" w:eastAsia="Times New Roman" w:hint="default"/>
        </w:rPr>
        <w:t>8</w:t>
      </w:r>
      <w:r>
        <w:rPr/>
        <w:t>、《关于修订</w:t>
      </w:r>
      <w:r>
        <w:rPr>
          <w:rFonts w:ascii="Times New Roman" w:hAnsi="Times New Roman" w:cs="Times New Roman" w:eastAsia="Times New Roman" w:hint="default"/>
        </w:rPr>
        <w:t>&lt;</w:t>
      </w:r>
      <w:r>
        <w:rPr/>
        <w:t>公司章程</w:t>
      </w:r>
      <w:r>
        <w:rPr>
          <w:rFonts w:ascii="Times New Roman" w:hAnsi="Times New Roman" w:cs="Times New Roman" w:eastAsia="Times New Roman" w:hint="default"/>
        </w:rPr>
        <w:t>&gt;</w:t>
      </w:r>
      <w:r>
        <w:rPr/>
        <w:t>的议案》；</w:t>
      </w:r>
    </w:p>
    <w:p>
      <w:pPr>
        <w:pStyle w:val="BodyText"/>
        <w:spacing w:line="338" w:lineRule="auto"/>
        <w:ind w:left="619" w:right="225"/>
        <w:jc w:val="left"/>
      </w:pPr>
      <w:r>
        <w:rPr>
          <w:rFonts w:ascii="Times New Roman" w:hAnsi="Times New Roman" w:cs="Times New Roman" w:eastAsia="Times New Roman" w:hint="default"/>
        </w:rPr>
        <w:t>9</w:t>
      </w:r>
      <w:r>
        <w:rPr/>
        <w:t>、《关于修订</w:t>
      </w:r>
      <w:r>
        <w:rPr>
          <w:rFonts w:ascii="Times New Roman" w:hAnsi="Times New Roman" w:cs="Times New Roman" w:eastAsia="Times New Roman" w:hint="default"/>
        </w:rPr>
        <w:t>&lt;</w:t>
      </w:r>
      <w:r>
        <w:rPr/>
        <w:t>募集资金专款使用管理细则</w:t>
      </w:r>
      <w:r>
        <w:rPr>
          <w:rFonts w:ascii="Times New Roman" w:hAnsi="Times New Roman" w:cs="Times New Roman" w:eastAsia="Times New Roman" w:hint="default"/>
        </w:rPr>
        <w:t>&gt;</w:t>
      </w:r>
      <w:r>
        <w:rPr/>
        <w:t>的议案》； </w:t>
      </w:r>
      <w:r>
        <w:rPr>
          <w:spacing w:val="-2"/>
        </w:rPr>
        <w:t>公司</w:t>
      </w:r>
      <w:r>
        <w:rPr>
          <w:rFonts w:ascii="Times New Roman" w:hAnsi="Times New Roman" w:cs="Times New Roman" w:eastAsia="Times New Roman" w:hint="default"/>
          <w:spacing w:val="-2"/>
        </w:rPr>
        <w:t>2010</w:t>
      </w:r>
      <w:r>
        <w:rPr>
          <w:spacing w:val="-2"/>
        </w:rPr>
        <w:t>年度股东大会决议公告于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19</w:t>
      </w:r>
      <w:r>
        <w:rPr>
          <w:spacing w:val="-2"/>
        </w:rPr>
        <w:t>日刊登在《证券时报》和巨潮资</w:t>
      </w:r>
    </w:p>
    <w:p>
      <w:pPr>
        <w:pStyle w:val="BodyText"/>
        <w:spacing w:line="338" w:lineRule="auto" w:before="27"/>
        <w:ind w:left="679" w:right="325" w:hanging="540"/>
        <w:jc w:val="left"/>
      </w:pPr>
      <w:r>
        <w:rPr/>
        <w:t>讯网</w:t>
      </w:r>
      <w:hyperlink r:id="rId16">
        <w:r>
          <w:rPr>
            <w:rFonts w:ascii="Times New Roman" w:hAnsi="Times New Roman" w:cs="Times New Roman" w:eastAsia="Times New Roman" w:hint="default"/>
          </w:rPr>
          <w:t>(http://www.cninfo.com.cn/)</w:t>
        </w:r>
      </w:hyperlink>
      <w:r>
        <w:rPr/>
        <w:t>上。 二、公司于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13</w:t>
      </w:r>
      <w:r>
        <w:rPr/>
        <w:t>日召开了第一次临时股东大会，会议审议并通过了如</w:t>
      </w:r>
    </w:p>
    <w:p>
      <w:pPr>
        <w:pStyle w:val="BodyText"/>
        <w:spacing w:line="240" w:lineRule="auto" w:before="27"/>
        <w:ind w:left="139" w:right="104"/>
        <w:jc w:val="left"/>
      </w:pPr>
      <w:r>
        <w:rPr/>
        <w:t>下事项：</w:t>
      </w:r>
    </w:p>
    <w:p>
      <w:pPr>
        <w:pStyle w:val="BodyText"/>
        <w:spacing w:line="348" w:lineRule="auto" w:before="154"/>
        <w:ind w:left="139" w:right="282" w:firstLine="540"/>
        <w:jc w:val="both"/>
      </w:pPr>
      <w:r>
        <w:rPr>
          <w:rFonts w:ascii="Times New Roman" w:hAnsi="Times New Roman" w:cs="Times New Roman" w:eastAsia="Times New Roman" w:hint="default"/>
        </w:rPr>
        <w:t>1</w:t>
      </w:r>
      <w:r>
        <w:rPr/>
        <w:t>、审议《关于同意广州御银科技股份有限公司为子公司御银科技（香港）有 限公司在中国工商银行股份有限公司广州工业大道支行办理的银行融资业务提供担 保的议案》；</w:t>
      </w:r>
    </w:p>
    <w:p>
      <w:pPr>
        <w:pStyle w:val="BodyText"/>
        <w:spacing w:line="348" w:lineRule="auto" w:before="46"/>
        <w:ind w:left="139" w:right="282" w:firstLine="540"/>
        <w:jc w:val="both"/>
      </w:pPr>
      <w:r>
        <w:rPr>
          <w:rFonts w:ascii="Times New Roman" w:hAnsi="Times New Roman" w:cs="Times New Roman" w:eastAsia="Times New Roman" w:hint="default"/>
        </w:rPr>
        <w:t>2</w:t>
      </w:r>
      <w:r>
        <w:rPr/>
        <w:t>、审议《关于同意广州御银科技股份有限公司为子公司御银科技（香港）有 限公司在中国农业银行股份有限公司广东省分行营业部办理的银行融资业务提供担 保的议案》。</w:t>
      </w:r>
    </w:p>
    <w:p>
      <w:pPr>
        <w:pStyle w:val="BodyText"/>
        <w:spacing w:line="338" w:lineRule="auto" w:before="46"/>
        <w:ind w:right="104" w:firstLine="540"/>
        <w:jc w:val="left"/>
      </w:pPr>
      <w:r>
        <w:rPr>
          <w:spacing w:val="-1"/>
        </w:rPr>
        <w:t>公司</w:t>
      </w:r>
      <w:r>
        <w:rPr>
          <w:rFonts w:ascii="Times New Roman" w:hAnsi="Times New Roman" w:cs="Times New Roman" w:eastAsia="Times New Roman" w:hint="default"/>
          <w:spacing w:val="-1"/>
        </w:rPr>
        <w:t>2011</w:t>
      </w:r>
      <w:r>
        <w:rPr>
          <w:spacing w:val="-1"/>
        </w:rPr>
        <w:t>年第一次临时股东大会决议公告于</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14</w:t>
      </w:r>
      <w:r>
        <w:rPr>
          <w:spacing w:val="-1"/>
        </w:rPr>
        <w:t>日刊登在《证券时报》</w:t>
      </w:r>
      <w:r>
        <w:rPr/>
        <w:t> 和巨潮资讯网</w:t>
      </w:r>
      <w:hyperlink r:id="rId16">
        <w:r>
          <w:rPr>
            <w:rFonts w:ascii="Times New Roman" w:hAnsi="Times New Roman" w:cs="Times New Roman" w:eastAsia="Times New Roman" w:hint="default"/>
          </w:rPr>
          <w:t>(http://www.cninfo.c</w:t>
        </w:r>
      </w:hyperlink>
      <w:r>
        <w:rPr>
          <w:rFonts w:ascii="Times New Roman" w:hAnsi="Times New Roman" w:cs="Times New Roman" w:eastAsia="Times New Roman" w:hint="default"/>
        </w:rPr>
        <w:t>o</w:t>
      </w:r>
      <w:hyperlink r:id="rId16">
        <w:r>
          <w:rPr>
            <w:rFonts w:ascii="Times New Roman" w:hAnsi="Times New Roman" w:cs="Times New Roman" w:eastAsia="Times New Roman" w:hint="default"/>
          </w:rPr>
          <w:t>m.cn/)</w:t>
        </w:r>
        <w:r>
          <w:rPr/>
          <w:t>上。</w:t>
        </w:r>
      </w:hyperlink>
    </w:p>
    <w:p>
      <w:pPr>
        <w:pStyle w:val="BodyText"/>
        <w:spacing w:line="240" w:lineRule="auto" w:before="27"/>
        <w:ind w:left="620" w:right="104"/>
        <w:jc w:val="left"/>
      </w:pPr>
      <w:r>
        <w:rPr/>
        <w:t>三、公司于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23</w:t>
      </w:r>
      <w:r>
        <w:rPr/>
        <w:t>日召开了第二次临时股东大会，会议审议并通过了《关</w:t>
      </w:r>
    </w:p>
    <w:p>
      <w:pPr>
        <w:spacing w:after="0" w:line="240" w:lineRule="auto"/>
        <w:jc w:val="left"/>
        <w:sectPr>
          <w:pgSz w:w="11910" w:h="16840"/>
          <w:pgMar w:header="877" w:footer="1048" w:top="1100" w:bottom="1240" w:left="1660" w:right="1180"/>
        </w:sectPr>
      </w:pPr>
    </w:p>
    <w:p>
      <w:pPr>
        <w:spacing w:line="240" w:lineRule="auto" w:before="7"/>
        <w:rPr>
          <w:rFonts w:ascii="宋体" w:hAnsi="宋体" w:cs="宋体" w:eastAsia="宋体" w:hint="default"/>
          <w:sz w:val="25"/>
          <w:szCs w:val="25"/>
        </w:rPr>
      </w:pPr>
    </w:p>
    <w:p>
      <w:pPr>
        <w:pStyle w:val="BodyText"/>
        <w:spacing w:line="357" w:lineRule="auto" w:before="26"/>
        <w:ind w:left="680" w:right="104" w:hanging="540"/>
        <w:jc w:val="left"/>
      </w:pPr>
      <w:r>
        <w:rPr/>
        <w:t>于使用部分闲置募集资金暂时补充流动资金的议案》。 </w:t>
      </w:r>
      <w:r>
        <w:rPr>
          <w:spacing w:val="-1"/>
        </w:rPr>
        <w:t>公司</w:t>
      </w:r>
      <w:r>
        <w:rPr>
          <w:rFonts w:ascii="Times New Roman" w:hAnsi="Times New Roman" w:cs="Times New Roman" w:eastAsia="Times New Roman" w:hint="default"/>
          <w:spacing w:val="-1"/>
        </w:rPr>
        <w:t>2011</w:t>
      </w:r>
      <w:r>
        <w:rPr>
          <w:spacing w:val="-1"/>
        </w:rPr>
        <w:t>年第二次临时股东大会决议公告于</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24</w:t>
      </w:r>
      <w:r>
        <w:rPr>
          <w:spacing w:val="-1"/>
        </w:rPr>
        <w:t>日刊登在《证券时报》</w:t>
      </w:r>
    </w:p>
    <w:p>
      <w:pPr>
        <w:pStyle w:val="BodyText"/>
        <w:spacing w:line="240" w:lineRule="auto" w:before="5"/>
        <w:ind w:left="121" w:right="4229"/>
        <w:jc w:val="center"/>
      </w:pPr>
      <w:r>
        <w:rPr/>
        <w:t>和巨潮资讯网</w:t>
      </w:r>
      <w:hyperlink r:id="rId16">
        <w:r>
          <w:rPr>
            <w:rFonts w:ascii="Times New Roman" w:hAnsi="Times New Roman" w:cs="Times New Roman" w:eastAsia="Times New Roman" w:hint="default"/>
          </w:rPr>
          <w:t>(http://www.cninfo.c</w:t>
        </w:r>
      </w:hyperlink>
      <w:r>
        <w:rPr>
          <w:rFonts w:ascii="Times New Roman" w:hAnsi="Times New Roman" w:cs="Times New Roman" w:eastAsia="Times New Roman" w:hint="default"/>
        </w:rPr>
        <w:t>o</w:t>
      </w:r>
      <w:hyperlink r:id="rId16">
        <w:r>
          <w:rPr>
            <w:rFonts w:ascii="Times New Roman" w:hAnsi="Times New Roman" w:cs="Times New Roman" w:eastAsia="Times New Roman" w:hint="default"/>
          </w:rPr>
          <w:t>m.cn/)</w:t>
        </w:r>
        <w:r>
          <w:rPr/>
          <w:t>上。</w:t>
        </w:r>
      </w:hyperlink>
    </w:p>
    <w:p>
      <w:pPr>
        <w:pStyle w:val="BodyText"/>
        <w:spacing w:line="338" w:lineRule="auto"/>
        <w:ind w:left="139" w:right="217" w:firstLine="480"/>
        <w:jc w:val="left"/>
      </w:pPr>
      <w:r>
        <w:rPr/>
        <w:t>四、公司于</w:t>
      </w:r>
      <w:r>
        <w:rPr>
          <w:spacing w:val="-52"/>
        </w:rPr>
        <w:t> </w:t>
      </w:r>
      <w:r>
        <w:rPr>
          <w:rFonts w:ascii="Times New Roman" w:hAnsi="Times New Roman" w:cs="Times New Roman" w:eastAsia="Times New Roman" w:hint="default"/>
        </w:rPr>
        <w:t>2011</w:t>
      </w:r>
      <w:r>
        <w:rPr>
          <w:rFonts w:ascii="Times New Roman" w:hAnsi="Times New Roman" w:cs="Times New Roman" w:eastAsia="Times New Roman" w:hint="default"/>
          <w:spacing w:val="8"/>
        </w:rPr>
        <w:t> </w:t>
      </w:r>
      <w:r>
        <w:rPr/>
        <w:t>年</w:t>
      </w:r>
      <w:r>
        <w:rPr>
          <w:spacing w:val="-52"/>
        </w:rPr>
        <w:t> </w:t>
      </w:r>
      <w:r>
        <w:rPr>
          <w:rFonts w:ascii="Times New Roman" w:hAnsi="Times New Roman" w:cs="Times New Roman" w:eastAsia="Times New Roman" w:hint="default"/>
        </w:rPr>
        <w:t>6</w:t>
      </w:r>
      <w:r>
        <w:rPr>
          <w:rFonts w:ascii="Times New Roman" w:hAnsi="Times New Roman" w:cs="Times New Roman" w:eastAsia="Times New Roman" w:hint="default"/>
          <w:spacing w:val="8"/>
        </w:rPr>
        <w:t> </w:t>
      </w:r>
      <w:r>
        <w:rPr/>
        <w:t>月</w:t>
      </w:r>
      <w:r>
        <w:rPr>
          <w:spacing w:val="-52"/>
        </w:rPr>
        <w:t> </w:t>
      </w:r>
      <w:r>
        <w:rPr>
          <w:rFonts w:ascii="Times New Roman" w:hAnsi="Times New Roman" w:cs="Times New Roman" w:eastAsia="Times New Roman" w:hint="default"/>
        </w:rPr>
        <w:t>15</w:t>
      </w:r>
      <w:r>
        <w:rPr>
          <w:rFonts w:ascii="Times New Roman" w:hAnsi="Times New Roman" w:cs="Times New Roman" w:eastAsia="Times New Roman" w:hint="default"/>
          <w:spacing w:val="8"/>
        </w:rPr>
        <w:t> </w:t>
      </w:r>
      <w:r>
        <w:rPr/>
        <w:t>日召开了第三次临时股东大会，会议审议并通过了 如下事项：</w:t>
      </w:r>
    </w:p>
    <w:p>
      <w:pPr>
        <w:pStyle w:val="BodyText"/>
        <w:spacing w:line="240" w:lineRule="auto" w:before="55"/>
        <w:ind w:left="619" w:right="104"/>
        <w:jc w:val="left"/>
      </w:pPr>
      <w:r>
        <w:rPr/>
        <w:t>（一）审议《关于</w:t>
      </w:r>
      <w:r>
        <w:rPr>
          <w:rFonts w:ascii="Times New Roman" w:hAnsi="Times New Roman" w:cs="Times New Roman" w:eastAsia="Times New Roman" w:hint="default"/>
        </w:rPr>
        <w:t>&lt;</w:t>
      </w:r>
      <w:r>
        <w:rPr/>
        <w:t>股票期权激励计划（草案）修订稿</w:t>
      </w:r>
      <w:r>
        <w:rPr>
          <w:rFonts w:ascii="Times New Roman" w:hAnsi="Times New Roman" w:cs="Times New Roman" w:eastAsia="Times New Roman" w:hint="default"/>
        </w:rPr>
        <w:t>&gt;</w:t>
      </w:r>
      <w:r>
        <w:rPr/>
        <w:t>的议案》；</w:t>
      </w:r>
    </w:p>
    <w:p>
      <w:pPr>
        <w:pStyle w:val="BodyText"/>
        <w:spacing w:line="240" w:lineRule="auto"/>
        <w:ind w:left="740" w:right="104"/>
        <w:jc w:val="left"/>
      </w:pPr>
      <w:r>
        <w:rPr>
          <w:rFonts w:ascii="Times New Roman" w:hAnsi="Times New Roman" w:cs="Times New Roman" w:eastAsia="Times New Roman" w:hint="default"/>
        </w:rPr>
        <w:t>1.1  </w:t>
      </w:r>
      <w:r>
        <w:rPr/>
        <w:t>激励对象的确定依据和范围</w:t>
      </w:r>
    </w:p>
    <w:p>
      <w:pPr>
        <w:pStyle w:val="BodyText"/>
        <w:spacing w:line="240" w:lineRule="auto"/>
        <w:ind w:left="740" w:right="104"/>
        <w:jc w:val="left"/>
      </w:pPr>
      <w:r>
        <w:rPr>
          <w:rFonts w:ascii="Times New Roman" w:hAnsi="Times New Roman" w:cs="Times New Roman" w:eastAsia="Times New Roman" w:hint="default"/>
        </w:rPr>
        <w:t>1.2  </w:t>
      </w:r>
      <w:r>
        <w:rPr/>
        <w:t>股票期权激励计划的股票来源和股票数量</w:t>
      </w:r>
    </w:p>
    <w:p>
      <w:pPr>
        <w:pStyle w:val="BodyText"/>
        <w:spacing w:line="240" w:lineRule="auto"/>
        <w:ind w:left="740" w:right="104"/>
        <w:jc w:val="left"/>
      </w:pPr>
      <w:r>
        <w:rPr>
          <w:rFonts w:ascii="Times New Roman" w:hAnsi="Times New Roman" w:cs="Times New Roman" w:eastAsia="Times New Roman" w:hint="default"/>
        </w:rPr>
        <w:t>1.3  </w:t>
      </w:r>
      <w:r>
        <w:rPr/>
        <w:t>股票期权激励对象的分配情况</w:t>
      </w:r>
    </w:p>
    <w:p>
      <w:pPr>
        <w:pStyle w:val="BodyText"/>
        <w:spacing w:line="240" w:lineRule="auto"/>
        <w:ind w:left="739" w:right="104"/>
        <w:jc w:val="left"/>
      </w:pPr>
      <w:r>
        <w:rPr>
          <w:rFonts w:ascii="Times New Roman" w:hAnsi="Times New Roman" w:cs="Times New Roman" w:eastAsia="Times New Roman" w:hint="default"/>
        </w:rPr>
        <w:t>1.4  </w:t>
      </w:r>
      <w:r>
        <w:rPr/>
        <w:t>股票期权激励计划的有效期、授权日、可行权日、禁售期</w:t>
      </w:r>
    </w:p>
    <w:p>
      <w:pPr>
        <w:pStyle w:val="BodyText"/>
        <w:spacing w:line="240" w:lineRule="auto"/>
        <w:ind w:left="739" w:right="104"/>
        <w:jc w:val="left"/>
      </w:pPr>
      <w:r>
        <w:rPr>
          <w:rFonts w:ascii="Times New Roman" w:hAnsi="Times New Roman" w:cs="Times New Roman" w:eastAsia="Times New Roman" w:hint="default"/>
        </w:rPr>
        <w:t>1.5  </w:t>
      </w:r>
      <w:r>
        <w:rPr/>
        <w:t>股票期权行权价格和行权价格的确定方法</w:t>
      </w:r>
    </w:p>
    <w:p>
      <w:pPr>
        <w:pStyle w:val="BodyText"/>
        <w:spacing w:line="240" w:lineRule="auto"/>
        <w:ind w:left="739" w:right="104"/>
        <w:jc w:val="left"/>
      </w:pPr>
      <w:r>
        <w:rPr>
          <w:rFonts w:ascii="Times New Roman" w:hAnsi="Times New Roman" w:cs="Times New Roman" w:eastAsia="Times New Roman" w:hint="default"/>
        </w:rPr>
        <w:t>1.6  </w:t>
      </w:r>
      <w:r>
        <w:rPr/>
        <w:t>股票期权获授条件、行权条件及行权安排</w:t>
      </w:r>
    </w:p>
    <w:p>
      <w:pPr>
        <w:pStyle w:val="BodyText"/>
        <w:spacing w:line="240" w:lineRule="auto"/>
        <w:ind w:left="739" w:right="104"/>
        <w:jc w:val="left"/>
      </w:pPr>
      <w:r>
        <w:rPr>
          <w:rFonts w:ascii="Times New Roman" w:hAnsi="Times New Roman" w:cs="Times New Roman" w:eastAsia="Times New Roman" w:hint="default"/>
        </w:rPr>
        <w:t>1.7  </w:t>
      </w:r>
      <w:r>
        <w:rPr/>
        <w:t>股票期权激励计划的调整方法和程序</w:t>
      </w:r>
    </w:p>
    <w:p>
      <w:pPr>
        <w:pStyle w:val="BodyText"/>
        <w:spacing w:line="240" w:lineRule="auto"/>
        <w:ind w:left="739" w:right="104"/>
        <w:jc w:val="left"/>
      </w:pPr>
      <w:r>
        <w:rPr>
          <w:rFonts w:ascii="Times New Roman" w:hAnsi="Times New Roman" w:cs="Times New Roman" w:eastAsia="Times New Roman" w:hint="default"/>
        </w:rPr>
        <w:t>1.8  </w:t>
      </w:r>
      <w:r>
        <w:rPr/>
        <w:t>股票期权授予程序及激励对象行权程序</w:t>
      </w:r>
    </w:p>
    <w:p>
      <w:pPr>
        <w:pStyle w:val="BodyText"/>
        <w:spacing w:line="240" w:lineRule="auto"/>
        <w:ind w:left="739" w:right="104"/>
        <w:jc w:val="left"/>
      </w:pPr>
      <w:r>
        <w:rPr>
          <w:rFonts w:ascii="Times New Roman" w:hAnsi="Times New Roman" w:cs="Times New Roman" w:eastAsia="Times New Roman" w:hint="default"/>
        </w:rPr>
        <w:t>1.9  </w:t>
      </w:r>
      <w:r>
        <w:rPr/>
        <w:t>公司与激励对象的权利和义务</w:t>
      </w:r>
    </w:p>
    <w:p>
      <w:pPr>
        <w:pStyle w:val="BodyText"/>
        <w:spacing w:line="240" w:lineRule="auto"/>
        <w:ind w:left="739" w:right="104"/>
        <w:jc w:val="left"/>
      </w:pPr>
      <w:r>
        <w:rPr>
          <w:rFonts w:ascii="Times New Roman" w:hAnsi="Times New Roman" w:cs="Times New Roman" w:eastAsia="Times New Roman" w:hint="default"/>
        </w:rPr>
        <w:t>1.10  </w:t>
      </w:r>
      <w:r>
        <w:rPr/>
        <w:t>股票期权激励计划变更、终止及其他事项</w:t>
      </w:r>
    </w:p>
    <w:p>
      <w:pPr>
        <w:pStyle w:val="BodyText"/>
        <w:spacing w:line="357" w:lineRule="auto"/>
        <w:ind w:left="139" w:right="104" w:firstLine="600"/>
        <w:jc w:val="left"/>
      </w:pPr>
      <w:r>
        <w:rPr>
          <w:spacing w:val="-3"/>
        </w:rPr>
        <w:t>（二）审议《关于提请股东大会授权董事会办理股票期权激励计划相关事宜的</w:t>
      </w:r>
      <w:r>
        <w:rPr/>
        <w:t> 议案》。</w:t>
      </w:r>
    </w:p>
    <w:p>
      <w:pPr>
        <w:pStyle w:val="BodyText"/>
        <w:spacing w:line="338" w:lineRule="auto" w:before="36"/>
        <w:ind w:left="139" w:right="145" w:firstLine="480"/>
        <w:jc w:val="left"/>
      </w:pPr>
      <w:r>
        <w:rPr/>
        <w:t>公司</w:t>
      </w:r>
      <w:r>
        <w:rPr>
          <w:rFonts w:ascii="Times New Roman" w:hAnsi="Times New Roman" w:cs="Times New Roman" w:eastAsia="Times New Roman" w:hint="default"/>
        </w:rPr>
        <w:t>2011</w:t>
      </w:r>
      <w:r>
        <w:rPr/>
        <w:t>年第三次临时股东大会决议公告于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16</w:t>
      </w:r>
      <w:r>
        <w:rPr/>
        <w:t>日刊登在《证券时报》 和巨潮资讯网</w:t>
      </w:r>
      <w:hyperlink r:id="rId16">
        <w:r>
          <w:rPr>
            <w:rFonts w:ascii="Times New Roman" w:hAnsi="Times New Roman" w:cs="Times New Roman" w:eastAsia="Times New Roman" w:hint="default"/>
          </w:rPr>
          <w:t>(http://www.cninfo.c</w:t>
        </w:r>
      </w:hyperlink>
      <w:r>
        <w:rPr>
          <w:rFonts w:ascii="Times New Roman" w:hAnsi="Times New Roman" w:cs="Times New Roman" w:eastAsia="Times New Roman" w:hint="default"/>
        </w:rPr>
        <w:t>o</w:t>
      </w:r>
      <w:hyperlink r:id="rId16">
        <w:r>
          <w:rPr>
            <w:rFonts w:ascii="Times New Roman" w:hAnsi="Times New Roman" w:cs="Times New Roman" w:eastAsia="Times New Roman" w:hint="default"/>
          </w:rPr>
          <w:t>m.cn/)</w:t>
        </w:r>
        <w:r>
          <w:rPr/>
          <w:t>上。</w:t>
        </w:r>
      </w:hyperlink>
    </w:p>
    <w:p>
      <w:pPr>
        <w:pStyle w:val="BodyText"/>
        <w:spacing w:line="338" w:lineRule="auto" w:before="27"/>
        <w:ind w:left="139" w:right="104" w:firstLine="540"/>
        <w:jc w:val="left"/>
      </w:pPr>
      <w:r>
        <w:rPr>
          <w:spacing w:val="-4"/>
        </w:rPr>
        <w:t>五、公司于</w:t>
      </w:r>
      <w:r>
        <w:rPr>
          <w:rFonts w:ascii="Times New Roman" w:hAnsi="Times New Roman" w:cs="Times New Roman" w:eastAsia="Times New Roman" w:hint="default"/>
          <w:spacing w:val="-4"/>
        </w:rPr>
        <w:t>2011</w:t>
      </w:r>
      <w:r>
        <w:rPr>
          <w:spacing w:val="-4"/>
        </w:rPr>
        <w:t>年</w:t>
      </w:r>
      <w:r>
        <w:rPr>
          <w:rFonts w:ascii="Times New Roman" w:hAnsi="Times New Roman" w:cs="Times New Roman" w:eastAsia="Times New Roman" w:hint="default"/>
          <w:spacing w:val="-4"/>
        </w:rPr>
        <w:t>7</w:t>
      </w:r>
      <w:r>
        <w:rPr>
          <w:spacing w:val="-4"/>
        </w:rPr>
        <w:t>月</w:t>
      </w:r>
      <w:r>
        <w:rPr>
          <w:rFonts w:ascii="Times New Roman" w:hAnsi="Times New Roman" w:cs="Times New Roman" w:eastAsia="Times New Roman" w:hint="default"/>
          <w:spacing w:val="-4"/>
        </w:rPr>
        <w:t>28</w:t>
      </w:r>
      <w:r>
        <w:rPr>
          <w:spacing w:val="-4"/>
        </w:rPr>
        <w:t>日召开了第四次临时股东大会，会议审议并通过了《关</w:t>
      </w:r>
      <w:r>
        <w:rPr/>
        <w:t> 于参与发行</w:t>
      </w:r>
      <w:r>
        <w:rPr>
          <w:rFonts w:ascii="Times New Roman" w:hAnsi="Times New Roman" w:cs="Times New Roman" w:eastAsia="Times New Roman" w:hint="default"/>
        </w:rPr>
        <w:t>2011</w:t>
      </w:r>
      <w:r>
        <w:rPr/>
        <w:t>年招商银行第一期中小企业集合中期票据的议案》。</w:t>
      </w:r>
    </w:p>
    <w:p>
      <w:pPr>
        <w:pStyle w:val="BodyText"/>
        <w:spacing w:line="338" w:lineRule="auto" w:before="27"/>
        <w:ind w:left="139" w:right="104" w:firstLine="540"/>
        <w:jc w:val="left"/>
      </w:pPr>
      <w:r>
        <w:rPr>
          <w:spacing w:val="-1"/>
        </w:rPr>
        <w:t>公司</w:t>
      </w:r>
      <w:r>
        <w:rPr>
          <w:rFonts w:ascii="Times New Roman" w:hAnsi="Times New Roman" w:cs="Times New Roman" w:eastAsia="Times New Roman" w:hint="default"/>
          <w:spacing w:val="-1"/>
        </w:rPr>
        <w:t>2011</w:t>
      </w:r>
      <w:r>
        <w:rPr>
          <w:spacing w:val="-1"/>
        </w:rPr>
        <w:t>年第四次临时股东大会决议公告于</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29</w:t>
      </w:r>
      <w:r>
        <w:rPr>
          <w:spacing w:val="-1"/>
        </w:rPr>
        <w:t>日刊登在《证券时报》</w:t>
      </w:r>
      <w:r>
        <w:rPr/>
        <w:t> 和巨潮资讯网</w:t>
      </w:r>
      <w:hyperlink r:id="rId16">
        <w:r>
          <w:rPr>
            <w:rFonts w:ascii="Times New Roman" w:hAnsi="Times New Roman" w:cs="Times New Roman" w:eastAsia="Times New Roman" w:hint="default"/>
          </w:rPr>
          <w:t>(http://www.cninfo.c</w:t>
        </w:r>
      </w:hyperlink>
      <w:r>
        <w:rPr>
          <w:rFonts w:ascii="Times New Roman" w:hAnsi="Times New Roman" w:cs="Times New Roman" w:eastAsia="Times New Roman" w:hint="default"/>
        </w:rPr>
        <w:t>o</w:t>
      </w:r>
      <w:hyperlink r:id="rId16">
        <w:r>
          <w:rPr>
            <w:rFonts w:ascii="Times New Roman" w:hAnsi="Times New Roman" w:cs="Times New Roman" w:eastAsia="Times New Roman" w:hint="default"/>
          </w:rPr>
          <w:t>m.cn/)</w:t>
        </w:r>
        <w:r>
          <w:rPr/>
          <w:t>上。</w:t>
        </w:r>
      </w:hyperlink>
    </w:p>
    <w:p>
      <w:pPr>
        <w:pStyle w:val="BodyText"/>
        <w:spacing w:line="338" w:lineRule="auto" w:before="27"/>
        <w:ind w:right="215" w:firstLine="480"/>
        <w:jc w:val="left"/>
      </w:pPr>
      <w:r>
        <w:rPr>
          <w:spacing w:val="-7"/>
        </w:rPr>
        <w:t>六、公司于</w:t>
      </w:r>
      <w:r>
        <w:rPr>
          <w:spacing w:val="-66"/>
        </w:rPr>
        <w:t> </w:t>
      </w:r>
      <w:r>
        <w:rPr>
          <w:rFonts w:ascii="Times New Roman" w:hAnsi="Times New Roman" w:cs="Times New Roman" w:eastAsia="Times New Roman" w:hint="default"/>
        </w:rPr>
        <w:t>2011</w:t>
      </w:r>
      <w:r>
        <w:rPr>
          <w:rFonts w:ascii="Times New Roman" w:hAnsi="Times New Roman" w:cs="Times New Roman" w:eastAsia="Times New Roman" w:hint="default"/>
          <w:spacing w:val="-6"/>
        </w:rPr>
        <w:t> </w:t>
      </w:r>
      <w:r>
        <w:rPr/>
        <w:t>年</w:t>
      </w:r>
      <w:r>
        <w:rPr>
          <w:spacing w:val="-66"/>
        </w:rPr>
        <w:t> </w:t>
      </w:r>
      <w:r>
        <w:rPr>
          <w:rFonts w:ascii="Times New Roman" w:hAnsi="Times New Roman" w:cs="Times New Roman" w:eastAsia="Times New Roman" w:hint="default"/>
        </w:rPr>
        <w:t>11</w:t>
      </w:r>
      <w:r>
        <w:rPr>
          <w:rFonts w:ascii="Times New Roman" w:hAnsi="Times New Roman" w:cs="Times New Roman" w:eastAsia="Times New Roman" w:hint="default"/>
          <w:spacing w:val="-6"/>
        </w:rPr>
        <w:t> </w:t>
      </w:r>
      <w:r>
        <w:rPr/>
        <w:t>月</w:t>
      </w:r>
      <w:r>
        <w:rPr>
          <w:spacing w:val="-66"/>
        </w:rPr>
        <w:t> </w:t>
      </w:r>
      <w:r>
        <w:rPr>
          <w:rFonts w:ascii="Times New Roman" w:hAnsi="Times New Roman" w:cs="Times New Roman" w:eastAsia="Times New Roman" w:hint="default"/>
        </w:rPr>
        <w:t>21</w:t>
      </w:r>
      <w:r>
        <w:rPr>
          <w:rFonts w:ascii="Times New Roman" w:hAnsi="Times New Roman" w:cs="Times New Roman" w:eastAsia="Times New Roman" w:hint="default"/>
          <w:spacing w:val="-6"/>
        </w:rPr>
        <w:t> </w:t>
      </w:r>
      <w:r>
        <w:rPr/>
        <w:t>日召开了第五次临时股东大会，会议审议并通过了 如下事项：</w:t>
      </w:r>
    </w:p>
    <w:p>
      <w:pPr>
        <w:pStyle w:val="BodyText"/>
        <w:spacing w:line="240" w:lineRule="auto" w:before="55"/>
        <w:ind w:left="620" w:right="104"/>
        <w:jc w:val="left"/>
      </w:pPr>
      <w:r>
        <w:rPr>
          <w:rFonts w:ascii="Times New Roman" w:hAnsi="Times New Roman" w:cs="Times New Roman" w:eastAsia="Times New Roman" w:hint="default"/>
        </w:rPr>
        <w:t>1</w:t>
      </w:r>
      <w:r>
        <w:rPr/>
        <w:t>、审议《关于使用部分闲置募集资金暂时补充流动资金的议案》；</w:t>
      </w:r>
    </w:p>
    <w:p>
      <w:pPr>
        <w:pStyle w:val="BodyText"/>
        <w:spacing w:line="338" w:lineRule="auto"/>
        <w:ind w:left="680" w:right="444" w:hanging="75"/>
        <w:jc w:val="left"/>
      </w:pPr>
      <w:r>
        <w:rPr>
          <w:rFonts w:ascii="Times New Roman" w:hAnsi="Times New Roman" w:cs="Times New Roman" w:eastAsia="Times New Roman" w:hint="default"/>
        </w:rPr>
        <w:t>2</w:t>
      </w:r>
      <w:r>
        <w:rPr/>
        <w:t>、审议《关于修订</w:t>
      </w:r>
      <w:r>
        <w:rPr>
          <w:rFonts w:ascii="Times New Roman" w:hAnsi="Times New Roman" w:cs="Times New Roman" w:eastAsia="Times New Roman" w:hint="default"/>
        </w:rPr>
        <w:t>&lt;</w:t>
      </w:r>
      <w:r>
        <w:rPr/>
        <w:t>公司章程</w:t>
      </w:r>
      <w:r>
        <w:rPr>
          <w:rFonts w:ascii="Times New Roman" w:hAnsi="Times New Roman" w:cs="Times New Roman" w:eastAsia="Times New Roman" w:hint="default"/>
        </w:rPr>
        <w:t>&gt; </w:t>
      </w:r>
      <w:r>
        <w:rPr/>
        <w:t>的议案》。 公司</w:t>
      </w:r>
      <w:r>
        <w:rPr>
          <w:rFonts w:ascii="Times New Roman" w:hAnsi="Times New Roman" w:cs="Times New Roman" w:eastAsia="Times New Roman" w:hint="default"/>
        </w:rPr>
        <w:t>2011</w:t>
      </w:r>
      <w:r>
        <w:rPr/>
        <w:t>年第五次临时股东大会决议公告于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22</w:t>
      </w:r>
      <w:r>
        <w:rPr/>
        <w:t>日刊登在《证券时</w:t>
      </w:r>
    </w:p>
    <w:p>
      <w:pPr>
        <w:spacing w:after="0" w:line="338" w:lineRule="auto"/>
        <w:jc w:val="left"/>
        <w:sectPr>
          <w:pgSz w:w="11910" w:h="16840"/>
          <w:pgMar w:header="877" w:footer="1048" w:top="1100" w:bottom="1240" w:left="1660" w:right="1180"/>
        </w:sectPr>
      </w:pPr>
    </w:p>
    <w:p>
      <w:pPr>
        <w:spacing w:line="240" w:lineRule="auto" w:before="7"/>
        <w:rPr>
          <w:rFonts w:ascii="宋体" w:hAnsi="宋体" w:cs="宋体" w:eastAsia="宋体" w:hint="default"/>
          <w:sz w:val="25"/>
          <w:szCs w:val="25"/>
        </w:rPr>
      </w:pPr>
    </w:p>
    <w:p>
      <w:pPr>
        <w:pStyle w:val="BodyText"/>
        <w:spacing w:line="338" w:lineRule="auto" w:before="26"/>
        <w:ind w:right="271"/>
        <w:jc w:val="left"/>
      </w:pPr>
      <w:r>
        <w:rPr/>
        <w:t>报》、《中国证券报》、《上海证券报》和巨潮资讯网</w:t>
      </w:r>
      <w:hyperlink r:id="rId17">
        <w:r>
          <w:rPr>
            <w:rFonts w:ascii="Times New Roman" w:hAnsi="Times New Roman" w:cs="Times New Roman" w:eastAsia="Times New Roman" w:hint="default"/>
          </w:rPr>
          <w:t>(http://www.cninfo.com.cn/</w:t>
        </w:r>
      </w:hyperlink>
      <w:r>
        <w:rPr>
          <w:rFonts w:ascii="Times New Roman" w:hAnsi="Times New Roman" w:cs="Times New Roman" w:eastAsia="Times New Roman" w:hint="default"/>
        </w:rPr>
        <w:t>)</w:t>
      </w:r>
      <w:r>
        <w:rPr>
          <w:rFonts w:ascii="Times New Roman" w:hAnsi="Times New Roman" w:cs="Times New Roman" w:eastAsia="Times New Roman" w:hint="default"/>
        </w:rPr>
        <w:t> </w:t>
      </w:r>
      <w:r>
        <w:rPr/>
        <w:t>上。</w:t>
      </w:r>
    </w:p>
    <w:p>
      <w:pPr>
        <w:pStyle w:val="BodyText"/>
        <w:spacing w:line="240" w:lineRule="auto" w:before="55"/>
        <w:ind w:left="620" w:right="0"/>
        <w:jc w:val="left"/>
      </w:pPr>
      <w:r>
        <w:rPr/>
        <w:t>七、公司于</w:t>
      </w:r>
      <w:r>
        <w:rPr>
          <w:spacing w:val="-52"/>
        </w:rPr>
        <w:t> </w:t>
      </w:r>
      <w:r>
        <w:rPr>
          <w:rFonts w:ascii="Times New Roman" w:hAnsi="Times New Roman" w:cs="Times New Roman" w:eastAsia="Times New Roman" w:hint="default"/>
        </w:rPr>
        <w:t>2011</w:t>
      </w:r>
      <w:r>
        <w:rPr>
          <w:rFonts w:ascii="Times New Roman" w:hAnsi="Times New Roman" w:cs="Times New Roman" w:eastAsia="Times New Roman" w:hint="default"/>
          <w:spacing w:val="8"/>
        </w:rPr>
        <w:t> </w:t>
      </w:r>
      <w:r>
        <w:rPr/>
        <w:t>年</w:t>
      </w:r>
      <w:r>
        <w:rPr>
          <w:spacing w:val="-52"/>
        </w:rPr>
        <w:t> </w:t>
      </w:r>
      <w:r>
        <w:rPr>
          <w:rFonts w:ascii="Times New Roman" w:hAnsi="Times New Roman" w:cs="Times New Roman" w:eastAsia="Times New Roman" w:hint="default"/>
        </w:rPr>
        <w:t>12</w:t>
      </w:r>
      <w:r>
        <w:rPr>
          <w:rFonts w:ascii="Times New Roman" w:hAnsi="Times New Roman" w:cs="Times New Roman" w:eastAsia="Times New Roman" w:hint="default"/>
          <w:spacing w:val="8"/>
        </w:rPr>
        <w:t> </w:t>
      </w:r>
      <w:r>
        <w:rPr/>
        <w:t>月</w:t>
      </w:r>
      <w:r>
        <w:rPr>
          <w:spacing w:val="-52"/>
        </w:rPr>
        <w:t> </w:t>
      </w:r>
      <w:r>
        <w:rPr>
          <w:rFonts w:ascii="Times New Roman" w:hAnsi="Times New Roman" w:cs="Times New Roman" w:eastAsia="Times New Roman" w:hint="default"/>
        </w:rPr>
        <w:t>9</w:t>
      </w:r>
      <w:r>
        <w:rPr>
          <w:rFonts w:ascii="Times New Roman" w:hAnsi="Times New Roman" w:cs="Times New Roman" w:eastAsia="Times New Roman" w:hint="default"/>
          <w:spacing w:val="8"/>
        </w:rPr>
        <w:t> </w:t>
      </w:r>
      <w:r>
        <w:rPr/>
        <w:t>日召开了第六次临时股东大会，会议审议并通过了</w:t>
      </w:r>
    </w:p>
    <w:p>
      <w:pPr>
        <w:pStyle w:val="BodyText"/>
        <w:spacing w:line="338" w:lineRule="auto"/>
        <w:ind w:right="96"/>
        <w:jc w:val="left"/>
      </w:pPr>
      <w:r>
        <w:rPr>
          <w:spacing w:val="-3"/>
        </w:rPr>
        <w:t>《关于聘任立信会计师事务所（特殊普通合伙）为公司</w:t>
      </w:r>
      <w:r>
        <w:rPr>
          <w:spacing w:val="-60"/>
        </w:rPr>
        <w:t> </w:t>
      </w:r>
      <w:r>
        <w:rPr>
          <w:rFonts w:ascii="Times New Roman" w:hAnsi="Times New Roman" w:cs="Times New Roman" w:eastAsia="Times New Roman" w:hint="default"/>
        </w:rPr>
        <w:t>2011 </w:t>
      </w:r>
      <w:r>
        <w:rPr/>
        <w:t>年度财务审计机构的议 案》。</w:t>
      </w:r>
    </w:p>
    <w:p>
      <w:pPr>
        <w:pStyle w:val="BodyText"/>
        <w:spacing w:line="338" w:lineRule="auto" w:before="55"/>
        <w:ind w:right="289" w:firstLine="540"/>
        <w:jc w:val="both"/>
      </w:pPr>
      <w:r>
        <w:rPr/>
        <w:t>公司</w:t>
      </w:r>
      <w:r>
        <w:rPr>
          <w:rFonts w:ascii="Times New Roman" w:hAnsi="Times New Roman" w:cs="Times New Roman" w:eastAsia="Times New Roman" w:hint="default"/>
        </w:rPr>
        <w:t>2011</w:t>
      </w:r>
      <w:r>
        <w:rPr/>
        <w:t>年第六次临时股东大会决议公告于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10</w:t>
      </w:r>
      <w:r>
        <w:rPr/>
        <w:t>日刊登在《证券时 报》、《中国证券报》、《上海证券报》和巨潮资讯网</w:t>
      </w:r>
      <w:hyperlink r:id="rId17">
        <w:r>
          <w:rPr>
            <w:rFonts w:ascii="Times New Roman" w:hAnsi="Times New Roman" w:cs="Times New Roman" w:eastAsia="Times New Roman" w:hint="default"/>
          </w:rPr>
          <w:t>(http://www.cninfo.com.cn/</w:t>
        </w:r>
      </w:hyperlink>
      <w:r>
        <w:rPr>
          <w:rFonts w:ascii="Times New Roman" w:hAnsi="Times New Roman" w:cs="Times New Roman" w:eastAsia="Times New Roman" w:hint="default"/>
        </w:rPr>
        <w:t>)</w:t>
      </w:r>
      <w:r>
        <w:rPr>
          <w:rFonts w:ascii="Times New Roman" w:hAnsi="Times New Roman" w:cs="Times New Roman" w:eastAsia="Times New Roman" w:hint="default"/>
        </w:rPr>
        <w:t> </w:t>
      </w:r>
      <w:r>
        <w:rPr/>
        <w:t>上。</w:t>
      </w:r>
    </w:p>
    <w:p>
      <w:pPr>
        <w:spacing w:after="0" w:line="338" w:lineRule="auto"/>
        <w:jc w:val="both"/>
        <w:sectPr>
          <w:pgSz w:w="11910" w:h="16840"/>
          <w:pgMar w:header="877" w:footer="1048" w:top="1100" w:bottom="1240" w:left="1660" w:right="1300"/>
        </w:sectPr>
      </w:pPr>
    </w:p>
    <w:p>
      <w:pPr>
        <w:spacing w:line="240" w:lineRule="auto" w:before="5"/>
        <w:rPr>
          <w:rFonts w:ascii="宋体" w:hAnsi="宋体" w:cs="宋体" w:eastAsia="宋体" w:hint="default"/>
          <w:sz w:val="28"/>
          <w:szCs w:val="28"/>
        </w:rPr>
      </w:pPr>
    </w:p>
    <w:p>
      <w:pPr>
        <w:pStyle w:val="Heading1"/>
        <w:tabs>
          <w:tab w:pos="1285" w:val="left" w:leader="none"/>
        </w:tabs>
        <w:spacing w:line="240" w:lineRule="auto"/>
        <w:ind w:right="112"/>
        <w:jc w:val="center"/>
        <w:rPr>
          <w:b w:val="0"/>
          <w:bCs w:val="0"/>
        </w:rPr>
      </w:pPr>
      <w:bookmarkStart w:name="_TOC_250003" w:id="6"/>
      <w:r>
        <w:rPr>
          <w:w w:val="95"/>
        </w:rPr>
        <w:t>第八节</w:t>
        <w:tab/>
      </w:r>
      <w:r>
        <w:rPr/>
        <w:t>董事会报告</w:t>
      </w:r>
      <w:bookmarkEnd w:id="6"/>
      <w:r>
        <w:rPr>
          <w:b w:val="0"/>
          <w:bCs w:val="0"/>
        </w:rPr>
      </w:r>
    </w:p>
    <w:p>
      <w:pPr>
        <w:pStyle w:val="BodyText"/>
        <w:spacing w:line="240" w:lineRule="auto" w:before="193"/>
        <w:ind w:left="680" w:right="156"/>
        <w:jc w:val="left"/>
      </w:pPr>
      <w:r>
        <w:rPr/>
        <w:t>一、报告期内公司经营情况的讨论和分析</w:t>
      </w:r>
    </w:p>
    <w:p>
      <w:pPr>
        <w:pStyle w:val="BodyText"/>
        <w:spacing w:line="240" w:lineRule="auto" w:before="154"/>
        <w:ind w:left="677" w:right="156"/>
        <w:jc w:val="left"/>
      </w:pPr>
      <w:r>
        <w:rPr/>
        <w:t>（一）报告期内公司经营情况的回顾</w:t>
      </w:r>
    </w:p>
    <w:p>
      <w:pPr>
        <w:pStyle w:val="BodyText"/>
        <w:spacing w:line="345" w:lineRule="auto" w:before="154"/>
        <w:ind w:right="248" w:firstLine="480"/>
        <w:jc w:val="both"/>
      </w:pPr>
      <w:r>
        <w:rPr>
          <w:rFonts w:ascii="Times New Roman" w:hAnsi="Times New Roman" w:cs="Times New Roman" w:eastAsia="Times New Roman" w:hint="default"/>
        </w:rPr>
        <w:t>2011</w:t>
      </w:r>
      <w:r>
        <w:rPr>
          <w:rFonts w:ascii="Times New Roman" w:hAnsi="Times New Roman" w:cs="Times New Roman" w:eastAsia="Times New Roman" w:hint="default"/>
          <w:spacing w:val="-10"/>
        </w:rPr>
        <w:t> </w:t>
      </w:r>
      <w:r>
        <w:rPr/>
        <w:t>年，公司把握市场机遇，实现跨越式发展。经营层在公司战略目标的指引 下，围绕年度经营目标，带领全体员工大力推进制度建设，不断夯实管理基础；加</w:t>
      </w:r>
      <w:r>
        <w:rPr>
          <w:spacing w:val="-84"/>
        </w:rPr>
        <w:t> </w:t>
      </w:r>
      <w:r>
        <w:rPr>
          <w:spacing w:val="-84"/>
        </w:rPr>
      </w:r>
      <w:r>
        <w:rPr/>
        <w:t>快技术改造创新，积极调整产品业务结构；狠抓市场营销，稳步推进各项工作，较</w:t>
      </w:r>
      <w:r>
        <w:rPr>
          <w:spacing w:val="-84"/>
        </w:rPr>
        <w:t> </w:t>
      </w:r>
      <w:r>
        <w:rPr>
          <w:spacing w:val="-84"/>
        </w:rPr>
      </w:r>
      <w:r>
        <w:rPr/>
        <w:t>好地完成了目标任务。全年公司实现营业总收入</w:t>
      </w:r>
      <w:r>
        <w:rPr>
          <w:spacing w:val="13"/>
        </w:rPr>
        <w:t> </w:t>
      </w:r>
      <w:r>
        <w:rPr>
          <w:rFonts w:ascii="Times New Roman" w:hAnsi="Times New Roman" w:cs="Times New Roman" w:eastAsia="Times New Roman" w:hint="default"/>
        </w:rPr>
        <w:t>74,145.78</w:t>
      </w:r>
      <w:r>
        <w:rPr>
          <w:rFonts w:ascii="Times New Roman" w:hAnsi="Times New Roman" w:cs="Times New Roman" w:eastAsia="Times New Roman" w:hint="default"/>
          <w:spacing w:val="14"/>
        </w:rPr>
        <w:t> </w:t>
      </w:r>
      <w:r>
        <w:rPr/>
        <w:t>万元，比上年同期增加</w:t>
      </w:r>
      <w:r>
        <w:rPr>
          <w:spacing w:val="-117"/>
        </w:rPr>
        <w:t> </w:t>
      </w:r>
      <w:r>
        <w:rPr>
          <w:rFonts w:ascii="Times New Roman" w:hAnsi="Times New Roman" w:cs="Times New Roman" w:eastAsia="Times New Roman" w:hint="default"/>
        </w:rPr>
        <w:t>58.36%</w:t>
      </w:r>
      <w:r>
        <w:rPr/>
        <w:t>；实现利润总额 </w:t>
      </w:r>
      <w:r>
        <w:rPr>
          <w:rFonts w:ascii="Times New Roman" w:hAnsi="Times New Roman" w:cs="Times New Roman" w:eastAsia="Times New Roman" w:hint="default"/>
        </w:rPr>
        <w:t>19,961.05 </w:t>
      </w:r>
      <w:r>
        <w:rPr/>
        <w:t>万元，比上年同期增加</w:t>
      </w:r>
      <w:r>
        <w:rPr>
          <w:spacing w:val="-54"/>
        </w:rPr>
        <w:t> </w:t>
      </w:r>
      <w:r>
        <w:rPr>
          <w:rFonts w:ascii="Times New Roman" w:hAnsi="Times New Roman" w:cs="Times New Roman" w:eastAsia="Times New Roman" w:hint="default"/>
        </w:rPr>
        <w:t>85.09%</w:t>
      </w:r>
      <w:r>
        <w:rPr/>
        <w:t>；归属上市公司股 东的净利润为</w:t>
      </w:r>
      <w:r>
        <w:rPr>
          <w:spacing w:val="-60"/>
        </w:rPr>
        <w:t> </w:t>
      </w:r>
      <w:r>
        <w:rPr>
          <w:rFonts w:ascii="Times New Roman" w:hAnsi="Times New Roman" w:cs="Times New Roman" w:eastAsia="Times New Roman" w:hint="default"/>
        </w:rPr>
        <w:t>17,880.96 </w:t>
      </w:r>
      <w:r>
        <w:rPr/>
        <w:t>万元，比上年同期增加</w:t>
      </w:r>
      <w:r>
        <w:rPr>
          <w:spacing w:val="-60"/>
        </w:rPr>
        <w:t> </w:t>
      </w:r>
      <w:r>
        <w:rPr>
          <w:rFonts w:ascii="Times New Roman" w:hAnsi="Times New Roman" w:cs="Times New Roman" w:eastAsia="Times New Roman" w:hint="default"/>
        </w:rPr>
        <w:t>90.13%</w:t>
      </w:r>
      <w:r>
        <w:rPr/>
        <w:t>。</w:t>
      </w:r>
    </w:p>
    <w:p>
      <w:pPr>
        <w:pStyle w:val="BodyText"/>
        <w:spacing w:line="357" w:lineRule="auto" w:before="19"/>
        <w:ind w:right="250" w:firstLine="480"/>
        <w:jc w:val="both"/>
      </w:pPr>
      <w:r>
        <w:rPr/>
        <w:t>报告期内，公司根据市场需求做了充分的技术和营销积累，向市场批量投入存</w:t>
      </w:r>
      <w:r>
        <w:rPr>
          <w:spacing w:val="1"/>
        </w:rPr>
        <w:t> </w:t>
      </w:r>
      <w:r>
        <w:rPr/>
        <w:t>取款一体机设备（或称现金循环机）并得到了客户的认可。公司通过对存取款一体</w:t>
      </w:r>
      <w:r>
        <w:rPr>
          <w:spacing w:val="-84"/>
        </w:rPr>
        <w:t> </w:t>
      </w:r>
      <w:r>
        <w:rPr>
          <w:spacing w:val="-84"/>
        </w:rPr>
      </w:r>
      <w:r>
        <w:rPr/>
        <w:t>机运营的研究，掌握了其投放规律，投放的存取款一体机可以帮助银行吸收大量存</w:t>
      </w:r>
      <w:r>
        <w:rPr>
          <w:spacing w:val="-84"/>
        </w:rPr>
        <w:t> </w:t>
      </w:r>
      <w:r>
        <w:rPr>
          <w:spacing w:val="-84"/>
        </w:rPr>
      </w:r>
      <w:r>
        <w:rPr/>
        <w:t>款，降低合作金融机构的运营成本，从而提高了公司的整体竞争力和谈判地位，为</w:t>
      </w:r>
      <w:r>
        <w:rPr>
          <w:spacing w:val="-84"/>
        </w:rPr>
        <w:t> </w:t>
      </w:r>
      <w:r>
        <w:rPr>
          <w:spacing w:val="-84"/>
        </w:rPr>
      </w:r>
      <w:r>
        <w:rPr/>
        <w:t>公司的长足高速发展奠定了坚实的基础。</w:t>
      </w:r>
    </w:p>
    <w:p>
      <w:pPr>
        <w:pStyle w:val="BodyText"/>
        <w:spacing w:line="352" w:lineRule="auto" w:before="36"/>
        <w:ind w:right="284" w:firstLine="480"/>
        <w:jc w:val="left"/>
      </w:pPr>
      <w:r>
        <w:rPr/>
        <w:t>为了促进公司长期稳定发展，有效调动管理层和重要骨干的积极性，吸引和留 住优秀管理人才、研发人员和业务骨干，董事会和股东大会在报告期内审议通过了 经中国证监会备案无异议的《股票期权激励计划（草案）修订稿》，目前该股票期 权激励计划的首次授予已于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24</w:t>
      </w:r>
      <w:r>
        <w:rPr/>
        <w:t>日在中国证券登记结算有限责任公司深圳 分公司完成登记工作。</w:t>
      </w:r>
    </w:p>
    <w:p>
      <w:pPr>
        <w:pStyle w:val="BodyText"/>
        <w:spacing w:line="338" w:lineRule="auto" w:before="41"/>
        <w:ind w:right="253" w:firstLine="480"/>
        <w:jc w:val="both"/>
      </w:pPr>
      <w:r>
        <w:rPr/>
        <w:t>此外，公司在报告期内取得了 </w:t>
      </w:r>
      <w:r>
        <w:rPr>
          <w:rFonts w:ascii="Times New Roman" w:hAnsi="Times New Roman" w:cs="Times New Roman" w:eastAsia="Times New Roman" w:hint="default"/>
        </w:rPr>
        <w:t>4 </w:t>
      </w:r>
      <w:r>
        <w:rPr/>
        <w:t>项发明专利、</w:t>
      </w:r>
      <w:r>
        <w:rPr>
          <w:rFonts w:ascii="Times New Roman" w:hAnsi="Times New Roman" w:cs="Times New Roman" w:eastAsia="Times New Roman" w:hint="default"/>
        </w:rPr>
        <w:t>10 </w:t>
      </w:r>
      <w:r>
        <w:rPr/>
        <w:t>项实用新型专利、</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项软件著 作权；获得“广东省名牌产品”称号、连续 </w:t>
      </w:r>
      <w:r>
        <w:rPr>
          <w:rFonts w:ascii="Times New Roman" w:hAnsi="Times New Roman" w:cs="Times New Roman" w:eastAsia="Times New Roman" w:hint="default"/>
        </w:rPr>
        <w:t>5</w:t>
      </w:r>
      <w:r>
        <w:rPr>
          <w:rFonts w:ascii="Times New Roman" w:hAnsi="Times New Roman" w:cs="Times New Roman" w:eastAsia="Times New Roman" w:hint="default"/>
          <w:spacing w:val="-10"/>
        </w:rPr>
        <w:t> </w:t>
      </w:r>
      <w:r>
        <w:rPr/>
        <w:t>年被评为“守合同重信用企业”等多 项荣誉。</w:t>
      </w:r>
    </w:p>
    <w:p>
      <w:pPr>
        <w:spacing w:line="240" w:lineRule="auto" w:before="0"/>
        <w:rPr>
          <w:rFonts w:ascii="宋体" w:hAnsi="宋体" w:cs="宋体" w:eastAsia="宋体" w:hint="default"/>
          <w:sz w:val="24"/>
          <w:szCs w:val="24"/>
        </w:rPr>
      </w:pPr>
    </w:p>
    <w:p>
      <w:pPr>
        <w:pStyle w:val="BodyText"/>
        <w:spacing w:line="240" w:lineRule="auto" w:before="209"/>
        <w:ind w:left="620" w:right="156"/>
        <w:jc w:val="left"/>
      </w:pPr>
      <w:r>
        <w:rPr/>
        <w:t>（二）公司近三年主要财务数据变动及其原因</w:t>
      </w:r>
    </w:p>
    <w:p>
      <w:pPr>
        <w:spacing w:before="202"/>
        <w:ind w:left="0" w:right="482"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13"/>
        <w:rPr>
          <w:rFonts w:ascii="宋体" w:hAnsi="宋体" w:cs="宋体" w:eastAsia="宋体" w:hint="default"/>
          <w:sz w:val="10"/>
          <w:szCs w:val="10"/>
        </w:rPr>
      </w:pPr>
    </w:p>
    <w:tbl>
      <w:tblPr>
        <w:tblW w:w="0" w:type="auto"/>
        <w:jc w:val="left"/>
        <w:tblInd w:w="131" w:type="dxa"/>
        <w:tblLayout w:type="fixed"/>
        <w:tblCellMar>
          <w:top w:w="0" w:type="dxa"/>
          <w:left w:w="0" w:type="dxa"/>
          <w:bottom w:w="0" w:type="dxa"/>
          <w:right w:w="0" w:type="dxa"/>
        </w:tblCellMar>
        <w:tblLook w:val="01E0"/>
      </w:tblPr>
      <w:tblGrid>
        <w:gridCol w:w="2884"/>
        <w:gridCol w:w="1440"/>
        <w:gridCol w:w="1440"/>
        <w:gridCol w:w="1620"/>
        <w:gridCol w:w="1440"/>
      </w:tblGrid>
      <w:tr>
        <w:trPr>
          <w:trHeight w:val="166" w:hRule="exact"/>
        </w:trPr>
        <w:tc>
          <w:tcPr>
            <w:tcW w:w="2884" w:type="dxa"/>
            <w:tcBorders>
              <w:top w:val="single" w:sz="4" w:space="0" w:color="000000"/>
              <w:left w:val="single" w:sz="4" w:space="0" w:color="000000"/>
              <w:bottom w:val="nil" w:sz="6" w:space="0" w:color="auto"/>
              <w:right w:val="single" w:sz="4" w:space="0" w:color="000000"/>
            </w:tcBorders>
            <w:shd w:val="clear" w:color="auto" w:fill="C0C0C0"/>
          </w:tcPr>
          <w:p>
            <w:pPr/>
          </w:p>
        </w:tc>
        <w:tc>
          <w:tcPr>
            <w:tcW w:w="1440" w:type="dxa"/>
            <w:vMerge w:val="restart"/>
            <w:tcBorders>
              <w:top w:val="single" w:sz="4" w:space="0" w:color="000000"/>
              <w:left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440" w:type="dxa"/>
            <w:vMerge w:val="restart"/>
            <w:tcBorders>
              <w:top w:val="single" w:sz="4" w:space="0" w:color="000000"/>
              <w:left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20" w:type="dxa"/>
            <w:vMerge w:val="restart"/>
            <w:tcBorders>
              <w:top w:val="single" w:sz="4" w:space="0" w:color="000000"/>
              <w:left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本年比上年增减</w:t>
            </w:r>
          </w:p>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440" w:type="dxa"/>
            <w:vMerge w:val="restart"/>
            <w:tcBorders>
              <w:top w:val="single" w:sz="4" w:space="0" w:color="000000"/>
              <w:left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19" w:hRule="exact"/>
        </w:trPr>
        <w:tc>
          <w:tcPr>
            <w:tcW w:w="2884" w:type="dxa"/>
            <w:tcBorders>
              <w:top w:val="nil" w:sz="6" w:space="0" w:color="auto"/>
              <w:left w:val="single" w:sz="4" w:space="0" w:color="000000"/>
              <w:bottom w:val="nil" w:sz="6" w:space="0" w:color="auto"/>
              <w:right w:val="single" w:sz="4" w:space="0" w:color="000000"/>
            </w:tcBorders>
            <w:shd w:val="clear" w:color="auto" w:fill="C0C0C0"/>
          </w:tcPr>
          <w:p>
            <w:pPr/>
          </w:p>
        </w:tc>
        <w:tc>
          <w:tcPr>
            <w:tcW w:w="1440" w:type="dxa"/>
            <w:vMerge/>
            <w:tcBorders>
              <w:left w:val="single" w:sz="4" w:space="0" w:color="000000"/>
              <w:right w:val="single" w:sz="4" w:space="0" w:color="000000"/>
            </w:tcBorders>
            <w:shd w:val="clear" w:color="auto" w:fill="C0C0C0"/>
          </w:tcPr>
          <w:p>
            <w:pPr/>
          </w:p>
        </w:tc>
        <w:tc>
          <w:tcPr>
            <w:tcW w:w="1440" w:type="dxa"/>
            <w:vMerge/>
            <w:tcBorders>
              <w:left w:val="single" w:sz="4" w:space="0" w:color="000000"/>
              <w:right w:val="single" w:sz="4" w:space="0" w:color="000000"/>
            </w:tcBorders>
            <w:shd w:val="clear" w:color="auto" w:fill="C0C0C0"/>
          </w:tcPr>
          <w:p>
            <w:pPr/>
          </w:p>
        </w:tc>
        <w:tc>
          <w:tcPr>
            <w:tcW w:w="1620" w:type="dxa"/>
            <w:vMerge/>
            <w:tcBorders>
              <w:left w:val="single" w:sz="4" w:space="0" w:color="000000"/>
              <w:right w:val="single" w:sz="4" w:space="0" w:color="000000"/>
            </w:tcBorders>
            <w:shd w:val="clear" w:color="auto" w:fill="C0C0C0"/>
          </w:tcPr>
          <w:p>
            <w:pPr/>
          </w:p>
        </w:tc>
        <w:tc>
          <w:tcPr>
            <w:tcW w:w="1440" w:type="dxa"/>
            <w:vMerge/>
            <w:tcBorders>
              <w:left w:val="single" w:sz="4" w:space="0" w:color="000000"/>
              <w:right w:val="single" w:sz="4" w:space="0" w:color="000000"/>
            </w:tcBorders>
            <w:shd w:val="clear" w:color="auto" w:fill="C0C0C0"/>
          </w:tcPr>
          <w:p>
            <w:pPr/>
          </w:p>
        </w:tc>
      </w:tr>
      <w:tr>
        <w:trPr>
          <w:trHeight w:val="166" w:hRule="exact"/>
        </w:trPr>
        <w:tc>
          <w:tcPr>
            <w:tcW w:w="2884" w:type="dxa"/>
            <w:tcBorders>
              <w:top w:val="nil" w:sz="6" w:space="0" w:color="auto"/>
              <w:left w:val="single" w:sz="4" w:space="0" w:color="000000"/>
              <w:bottom w:val="single" w:sz="4" w:space="0" w:color="000000"/>
              <w:right w:val="single" w:sz="4" w:space="0" w:color="000000"/>
            </w:tcBorders>
            <w:shd w:val="clear" w:color="auto" w:fill="C0C0C0"/>
          </w:tcPr>
          <w:p>
            <w:pPr/>
          </w:p>
        </w:tc>
        <w:tc>
          <w:tcPr>
            <w:tcW w:w="1440" w:type="dxa"/>
            <w:vMerge/>
            <w:tcBorders>
              <w:left w:val="single" w:sz="4" w:space="0" w:color="000000"/>
              <w:bottom w:val="single" w:sz="4" w:space="0" w:color="000000"/>
              <w:right w:val="single" w:sz="4" w:space="0" w:color="000000"/>
            </w:tcBorders>
            <w:shd w:val="clear" w:color="auto" w:fill="C0C0C0"/>
          </w:tcPr>
          <w:p>
            <w:pPr/>
          </w:p>
        </w:tc>
        <w:tc>
          <w:tcPr>
            <w:tcW w:w="1440" w:type="dxa"/>
            <w:vMerge/>
            <w:tcBorders>
              <w:left w:val="single" w:sz="4" w:space="0" w:color="000000"/>
              <w:bottom w:val="single" w:sz="4" w:space="0" w:color="000000"/>
              <w:right w:val="single" w:sz="4" w:space="0" w:color="000000"/>
            </w:tcBorders>
            <w:shd w:val="clear" w:color="auto" w:fill="C0C0C0"/>
          </w:tcPr>
          <w:p>
            <w:pPr/>
          </w:p>
        </w:tc>
        <w:tc>
          <w:tcPr>
            <w:tcW w:w="1620" w:type="dxa"/>
            <w:vMerge/>
            <w:tcBorders>
              <w:left w:val="single" w:sz="4" w:space="0" w:color="000000"/>
              <w:bottom w:val="single" w:sz="4" w:space="0" w:color="000000"/>
              <w:right w:val="single" w:sz="4" w:space="0" w:color="000000"/>
            </w:tcBorders>
            <w:shd w:val="clear" w:color="auto" w:fill="C0C0C0"/>
          </w:tcPr>
          <w:p>
            <w:pPr/>
          </w:p>
        </w:tc>
        <w:tc>
          <w:tcPr>
            <w:tcW w:w="1440" w:type="dxa"/>
            <w:vMerge/>
            <w:tcBorders>
              <w:left w:val="single" w:sz="4" w:space="0" w:color="000000"/>
              <w:bottom w:val="single" w:sz="4" w:space="0" w:color="000000"/>
              <w:right w:val="single" w:sz="4" w:space="0" w:color="000000"/>
            </w:tcBorders>
            <w:shd w:val="clear" w:color="auto" w:fill="C0C0C0"/>
          </w:tcPr>
          <w:p>
            <w:pPr/>
          </w:p>
        </w:tc>
      </w:tr>
      <w:tr>
        <w:trPr>
          <w:trHeight w:val="330" w:hRule="exact"/>
        </w:trPr>
        <w:tc>
          <w:tcPr>
            <w:tcW w:w="288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营业总收入（元）</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52" w:right="0"/>
              <w:jc w:val="left"/>
              <w:rPr>
                <w:rFonts w:ascii="Times New Roman" w:hAnsi="Times New Roman" w:cs="Times New Roman" w:eastAsia="Times New Roman" w:hint="default"/>
                <w:sz w:val="18"/>
                <w:szCs w:val="18"/>
              </w:rPr>
            </w:pPr>
            <w:r>
              <w:rPr>
                <w:rFonts w:ascii="Times New Roman"/>
                <w:sz w:val="18"/>
              </w:rPr>
              <w:t>741,457,812.06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468,199,458.05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526" w:right="0"/>
              <w:jc w:val="left"/>
              <w:rPr>
                <w:rFonts w:ascii="Times New Roman" w:hAnsi="Times New Roman" w:cs="Times New Roman" w:eastAsia="Times New Roman" w:hint="default"/>
                <w:sz w:val="18"/>
                <w:szCs w:val="18"/>
              </w:rPr>
            </w:pPr>
            <w:r>
              <w:rPr>
                <w:rFonts w:ascii="Times New Roman"/>
                <w:sz w:val="18"/>
              </w:rPr>
              <w:t>58.36%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51" w:right="0"/>
              <w:jc w:val="left"/>
              <w:rPr>
                <w:rFonts w:ascii="Times New Roman" w:hAnsi="Times New Roman" w:cs="Times New Roman" w:eastAsia="Times New Roman" w:hint="default"/>
                <w:sz w:val="18"/>
                <w:szCs w:val="18"/>
              </w:rPr>
            </w:pPr>
            <w:r>
              <w:rPr>
                <w:rFonts w:ascii="Times New Roman"/>
                <w:sz w:val="18"/>
              </w:rPr>
              <w:t>452,715,170.32</w:t>
            </w:r>
          </w:p>
        </w:tc>
      </w:tr>
      <w:tr>
        <w:trPr>
          <w:trHeight w:val="330" w:hRule="exact"/>
        </w:trPr>
        <w:tc>
          <w:tcPr>
            <w:tcW w:w="288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营业利润（元）</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52" w:right="0"/>
              <w:jc w:val="left"/>
              <w:rPr>
                <w:rFonts w:ascii="Times New Roman" w:hAnsi="Times New Roman" w:cs="Times New Roman" w:eastAsia="Times New Roman" w:hint="default"/>
                <w:sz w:val="18"/>
                <w:szCs w:val="18"/>
              </w:rPr>
            </w:pPr>
            <w:r>
              <w:rPr>
                <w:rFonts w:ascii="Times New Roman"/>
                <w:sz w:val="18"/>
              </w:rPr>
              <w:t>181,280,206.96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sz w:val="18"/>
              </w:rPr>
              <w:t>94,141,240.12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526" w:right="0"/>
              <w:jc w:val="left"/>
              <w:rPr>
                <w:rFonts w:ascii="Times New Roman" w:hAnsi="Times New Roman" w:cs="Times New Roman" w:eastAsia="Times New Roman" w:hint="default"/>
                <w:sz w:val="18"/>
                <w:szCs w:val="18"/>
              </w:rPr>
            </w:pPr>
            <w:r>
              <w:rPr>
                <w:rFonts w:ascii="Times New Roman"/>
                <w:sz w:val="18"/>
              </w:rPr>
              <w:t>92.56%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96" w:right="0"/>
              <w:jc w:val="left"/>
              <w:rPr>
                <w:rFonts w:ascii="Times New Roman" w:hAnsi="Times New Roman" w:cs="Times New Roman" w:eastAsia="Times New Roman" w:hint="default"/>
                <w:sz w:val="18"/>
                <w:szCs w:val="18"/>
              </w:rPr>
            </w:pPr>
            <w:r>
              <w:rPr>
                <w:rFonts w:ascii="Times New Roman"/>
                <w:sz w:val="18"/>
              </w:rPr>
              <w:t>93,212,405.38</w:t>
            </w:r>
          </w:p>
        </w:tc>
      </w:tr>
      <w:tr>
        <w:trPr>
          <w:trHeight w:val="330" w:hRule="exact"/>
        </w:trPr>
        <w:tc>
          <w:tcPr>
            <w:tcW w:w="288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利润总额（元）</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52" w:right="0"/>
              <w:jc w:val="left"/>
              <w:rPr>
                <w:rFonts w:ascii="Times New Roman" w:hAnsi="Times New Roman" w:cs="Times New Roman" w:eastAsia="Times New Roman" w:hint="default"/>
                <w:sz w:val="18"/>
                <w:szCs w:val="18"/>
              </w:rPr>
            </w:pPr>
            <w:r>
              <w:rPr>
                <w:rFonts w:ascii="Times New Roman"/>
                <w:sz w:val="18"/>
              </w:rPr>
              <w:t>199,610,510.31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107,845,521.31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526" w:right="0"/>
              <w:jc w:val="left"/>
              <w:rPr>
                <w:rFonts w:ascii="Times New Roman" w:hAnsi="Times New Roman" w:cs="Times New Roman" w:eastAsia="Times New Roman" w:hint="default"/>
                <w:sz w:val="18"/>
                <w:szCs w:val="18"/>
              </w:rPr>
            </w:pPr>
            <w:r>
              <w:rPr>
                <w:rFonts w:ascii="Times New Roman"/>
                <w:sz w:val="18"/>
              </w:rPr>
              <w:t>85.09%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51" w:right="0"/>
              <w:jc w:val="left"/>
              <w:rPr>
                <w:rFonts w:ascii="Times New Roman" w:hAnsi="Times New Roman" w:cs="Times New Roman" w:eastAsia="Times New Roman" w:hint="default"/>
                <w:sz w:val="18"/>
                <w:szCs w:val="18"/>
              </w:rPr>
            </w:pPr>
            <w:r>
              <w:rPr>
                <w:rFonts w:ascii="Times New Roman"/>
                <w:sz w:val="18"/>
              </w:rPr>
              <w:t>107,460,124.95</w:t>
            </w:r>
          </w:p>
        </w:tc>
      </w:tr>
      <w:tr>
        <w:trPr>
          <w:trHeight w:val="330" w:hRule="exact"/>
        </w:trPr>
        <w:tc>
          <w:tcPr>
            <w:tcW w:w="288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22" w:right="-29"/>
              <w:jc w:val="center"/>
              <w:rPr>
                <w:rFonts w:ascii="宋体" w:hAnsi="宋体" w:cs="宋体" w:eastAsia="宋体" w:hint="default"/>
                <w:sz w:val="18"/>
                <w:szCs w:val="18"/>
              </w:rPr>
            </w:pPr>
            <w:r>
              <w:rPr>
                <w:rFonts w:ascii="宋体" w:hAnsi="宋体" w:cs="宋体" w:eastAsia="宋体" w:hint="default"/>
                <w:sz w:val="18"/>
                <w:szCs w:val="18"/>
              </w:rPr>
              <w:t>归属于上市公司股东的净利润（元）</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52" w:right="0"/>
              <w:jc w:val="left"/>
              <w:rPr>
                <w:rFonts w:ascii="Times New Roman" w:hAnsi="Times New Roman" w:cs="Times New Roman" w:eastAsia="Times New Roman" w:hint="default"/>
                <w:sz w:val="18"/>
                <w:szCs w:val="18"/>
              </w:rPr>
            </w:pPr>
            <w:r>
              <w:rPr>
                <w:rFonts w:ascii="Times New Roman"/>
                <w:sz w:val="18"/>
              </w:rPr>
              <w:t>178,809,583.01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sz w:val="18"/>
              </w:rPr>
              <w:t>94,047,869.79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526" w:right="0"/>
              <w:jc w:val="left"/>
              <w:rPr>
                <w:rFonts w:ascii="Times New Roman" w:hAnsi="Times New Roman" w:cs="Times New Roman" w:eastAsia="Times New Roman" w:hint="default"/>
                <w:sz w:val="18"/>
                <w:szCs w:val="18"/>
              </w:rPr>
            </w:pPr>
            <w:r>
              <w:rPr>
                <w:rFonts w:ascii="Times New Roman"/>
                <w:sz w:val="18"/>
              </w:rPr>
              <w:t>90.13%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96" w:right="0"/>
              <w:jc w:val="left"/>
              <w:rPr>
                <w:rFonts w:ascii="Times New Roman" w:hAnsi="Times New Roman" w:cs="Times New Roman" w:eastAsia="Times New Roman" w:hint="default"/>
                <w:sz w:val="18"/>
                <w:szCs w:val="18"/>
              </w:rPr>
            </w:pPr>
            <w:r>
              <w:rPr>
                <w:rFonts w:ascii="Times New Roman"/>
                <w:sz w:val="18"/>
              </w:rPr>
              <w:t>90,815,103.05</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1048" w:top="1100" w:bottom="1240" w:left="1660" w:right="1160"/>
        </w:sectPr>
      </w:pPr>
    </w:p>
    <w:p>
      <w:pPr>
        <w:spacing w:line="240" w:lineRule="auto" w:before="6"/>
        <w:rPr>
          <w:rFonts w:ascii="宋体" w:hAnsi="宋体" w:cs="宋体" w:eastAsia="宋体" w:hint="default"/>
          <w:sz w:val="24"/>
          <w:szCs w:val="24"/>
        </w:rPr>
      </w:pPr>
    </w:p>
    <w:tbl>
      <w:tblPr>
        <w:tblW w:w="0" w:type="auto"/>
        <w:jc w:val="left"/>
        <w:tblInd w:w="131" w:type="dxa"/>
        <w:tblLayout w:type="fixed"/>
        <w:tblCellMar>
          <w:top w:w="0" w:type="dxa"/>
          <w:left w:w="0" w:type="dxa"/>
          <w:bottom w:w="0" w:type="dxa"/>
          <w:right w:w="0" w:type="dxa"/>
        </w:tblCellMar>
        <w:tblLook w:val="01E0"/>
      </w:tblPr>
      <w:tblGrid>
        <w:gridCol w:w="2884"/>
        <w:gridCol w:w="1440"/>
        <w:gridCol w:w="1440"/>
        <w:gridCol w:w="1620"/>
        <w:gridCol w:w="1440"/>
      </w:tblGrid>
      <w:tr>
        <w:trPr>
          <w:trHeight w:val="650" w:hRule="exact"/>
        </w:trPr>
        <w:tc>
          <w:tcPr>
            <w:tcW w:w="288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536" w:right="85" w:hanging="450"/>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 性损益的净利润（元）</w:t>
            </w:r>
          </w:p>
        </w:tc>
        <w:tc>
          <w:tcPr>
            <w:tcW w:w="1440" w:type="dxa"/>
            <w:tcBorders>
              <w:top w:val="single" w:sz="4" w:space="0" w:color="000000"/>
              <w:left w:val="single" w:sz="13" w:space="0" w:color="C0C0C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9"/>
              <w:jc w:val="center"/>
              <w:rPr>
                <w:rFonts w:ascii="Times New Roman" w:hAnsi="Times New Roman" w:cs="Times New Roman" w:eastAsia="Times New Roman" w:hint="default"/>
                <w:sz w:val="18"/>
                <w:szCs w:val="18"/>
              </w:rPr>
            </w:pPr>
            <w:r>
              <w:rPr>
                <w:rFonts w:ascii="Times New Roman"/>
                <w:sz w:val="18"/>
              </w:rPr>
              <w:t>177,441,465.47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95,165,367.60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526" w:right="0"/>
              <w:jc w:val="left"/>
              <w:rPr>
                <w:rFonts w:ascii="Times New Roman" w:hAnsi="Times New Roman" w:cs="Times New Roman" w:eastAsia="Times New Roman" w:hint="default"/>
                <w:sz w:val="18"/>
                <w:szCs w:val="18"/>
              </w:rPr>
            </w:pPr>
            <w:r>
              <w:rPr>
                <w:rFonts w:ascii="Times New Roman"/>
                <w:sz w:val="18"/>
              </w:rPr>
              <w:t>86.46%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91,506,694.91</w:t>
            </w:r>
          </w:p>
        </w:tc>
      </w:tr>
      <w:tr>
        <w:trPr>
          <w:trHeight w:val="330" w:hRule="exact"/>
        </w:trPr>
        <w:tc>
          <w:tcPr>
            <w:tcW w:w="288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22" w:right="-29"/>
              <w:jc w:val="center"/>
              <w:rPr>
                <w:rFonts w:ascii="宋体" w:hAnsi="宋体" w:cs="宋体" w:eastAsia="宋体" w:hint="default"/>
                <w:sz w:val="18"/>
                <w:szCs w:val="18"/>
              </w:rPr>
            </w:pPr>
            <w:r>
              <w:rPr>
                <w:rFonts w:ascii="宋体" w:hAnsi="宋体" w:cs="宋体" w:eastAsia="宋体" w:hint="default"/>
                <w:sz w:val="18"/>
                <w:szCs w:val="18"/>
              </w:rPr>
              <w:t>经营活动产生的现金流量净额（元）</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sz w:val="18"/>
              </w:rPr>
              <w:t>50,486,330.80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sz w:val="18"/>
              </w:rPr>
              <w:t>36,947,898.55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526" w:right="0"/>
              <w:jc w:val="left"/>
              <w:rPr>
                <w:rFonts w:ascii="Times New Roman" w:hAnsi="Times New Roman" w:cs="Times New Roman" w:eastAsia="Times New Roman" w:hint="default"/>
                <w:sz w:val="18"/>
                <w:szCs w:val="18"/>
              </w:rPr>
            </w:pPr>
            <w:r>
              <w:rPr>
                <w:rFonts w:ascii="Times New Roman"/>
                <w:sz w:val="18"/>
              </w:rPr>
              <w:t>36.64%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sz w:val="18"/>
              </w:rPr>
              <w:t>30,226,761.39</w:t>
            </w:r>
          </w:p>
        </w:tc>
      </w:tr>
      <w:tr>
        <w:trPr>
          <w:trHeight w:val="164" w:hRule="exact"/>
        </w:trPr>
        <w:tc>
          <w:tcPr>
            <w:tcW w:w="2884" w:type="dxa"/>
            <w:tcBorders>
              <w:top w:val="single" w:sz="4" w:space="0" w:color="000000"/>
              <w:left w:val="single" w:sz="4" w:space="0" w:color="000000"/>
              <w:bottom w:val="nil" w:sz="6" w:space="0" w:color="auto"/>
              <w:right w:val="single" w:sz="4" w:space="0" w:color="000000"/>
            </w:tcBorders>
            <w:shd w:val="clear" w:color="auto" w:fill="C0C0C0"/>
          </w:tcPr>
          <w:p>
            <w:pPr/>
          </w:p>
        </w:tc>
        <w:tc>
          <w:tcPr>
            <w:tcW w:w="1440" w:type="dxa"/>
            <w:vMerge w:val="restart"/>
            <w:tcBorders>
              <w:top w:val="single" w:sz="4" w:space="0" w:color="000000"/>
              <w:left w:val="single" w:sz="4" w:space="0" w:color="000000"/>
              <w:right w:val="single" w:sz="4" w:space="0" w:color="000000"/>
            </w:tcBorders>
            <w:shd w:val="clear" w:color="auto" w:fill="C0C0C0"/>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3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年末</w:t>
            </w:r>
          </w:p>
        </w:tc>
        <w:tc>
          <w:tcPr>
            <w:tcW w:w="1440" w:type="dxa"/>
            <w:vMerge w:val="restart"/>
            <w:tcBorders>
              <w:top w:val="single" w:sz="4" w:space="0" w:color="000000"/>
              <w:left w:val="single" w:sz="4" w:space="0" w:color="000000"/>
              <w:right w:val="single" w:sz="4" w:space="0" w:color="000000"/>
            </w:tcBorders>
            <w:shd w:val="clear" w:color="auto" w:fill="C0C0C0"/>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3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620" w:type="dxa"/>
            <w:vMerge w:val="restart"/>
            <w:tcBorders>
              <w:top w:val="single" w:sz="4" w:space="0" w:color="000000"/>
              <w:left w:val="single" w:sz="4" w:space="0" w:color="000000"/>
              <w:right w:val="single" w:sz="4" w:space="0" w:color="000000"/>
            </w:tcBorders>
            <w:shd w:val="clear" w:color="auto" w:fill="C0C0C0"/>
          </w:tcPr>
          <w:p>
            <w:pPr>
              <w:pStyle w:val="TableParagraph"/>
              <w:spacing w:line="326" w:lineRule="auto" w:before="56"/>
              <w:ind w:left="443" w:right="84" w:hanging="360"/>
              <w:jc w:val="left"/>
              <w:rPr>
                <w:rFonts w:ascii="宋体" w:hAnsi="宋体" w:cs="宋体" w:eastAsia="宋体" w:hint="default"/>
                <w:sz w:val="18"/>
                <w:szCs w:val="18"/>
              </w:rPr>
            </w:pPr>
            <w:r>
              <w:rPr>
                <w:rFonts w:ascii="宋体" w:hAnsi="宋体" w:cs="宋体" w:eastAsia="宋体" w:hint="default"/>
                <w:sz w:val="18"/>
                <w:szCs w:val="18"/>
              </w:rPr>
              <w:t>本年末比上年末增 减（％）</w:t>
            </w:r>
          </w:p>
        </w:tc>
        <w:tc>
          <w:tcPr>
            <w:tcW w:w="1440" w:type="dxa"/>
            <w:vMerge w:val="restart"/>
            <w:tcBorders>
              <w:top w:val="single" w:sz="4" w:space="0" w:color="000000"/>
              <w:left w:val="single" w:sz="4" w:space="0" w:color="000000"/>
              <w:right w:val="single" w:sz="4" w:space="0" w:color="000000"/>
            </w:tcBorders>
            <w:shd w:val="clear" w:color="auto" w:fill="C0C0C0"/>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3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320" w:hRule="exact"/>
        </w:trPr>
        <w:tc>
          <w:tcPr>
            <w:tcW w:w="2884" w:type="dxa"/>
            <w:tcBorders>
              <w:top w:val="nil" w:sz="6" w:space="0" w:color="auto"/>
              <w:left w:val="single" w:sz="4" w:space="0" w:color="000000"/>
              <w:bottom w:val="nil" w:sz="6" w:space="0" w:color="auto"/>
              <w:right w:val="single" w:sz="4" w:space="0" w:color="000000"/>
            </w:tcBorders>
            <w:shd w:val="clear" w:color="auto" w:fill="C0C0C0"/>
          </w:tcPr>
          <w:p>
            <w:pPr/>
          </w:p>
        </w:tc>
        <w:tc>
          <w:tcPr>
            <w:tcW w:w="1440" w:type="dxa"/>
            <w:vMerge/>
            <w:tcBorders>
              <w:left w:val="single" w:sz="4" w:space="0" w:color="000000"/>
              <w:right w:val="single" w:sz="4" w:space="0" w:color="000000"/>
            </w:tcBorders>
            <w:shd w:val="clear" w:color="auto" w:fill="C0C0C0"/>
          </w:tcPr>
          <w:p>
            <w:pPr/>
          </w:p>
        </w:tc>
        <w:tc>
          <w:tcPr>
            <w:tcW w:w="1440" w:type="dxa"/>
            <w:vMerge/>
            <w:tcBorders>
              <w:left w:val="single" w:sz="4" w:space="0" w:color="000000"/>
              <w:right w:val="single" w:sz="4" w:space="0" w:color="000000"/>
            </w:tcBorders>
            <w:shd w:val="clear" w:color="auto" w:fill="C0C0C0"/>
          </w:tcPr>
          <w:p>
            <w:pPr/>
          </w:p>
        </w:tc>
        <w:tc>
          <w:tcPr>
            <w:tcW w:w="1620" w:type="dxa"/>
            <w:vMerge/>
            <w:tcBorders>
              <w:left w:val="single" w:sz="4" w:space="0" w:color="000000"/>
              <w:right w:val="single" w:sz="4" w:space="0" w:color="000000"/>
            </w:tcBorders>
            <w:shd w:val="clear" w:color="auto" w:fill="C0C0C0"/>
          </w:tcPr>
          <w:p>
            <w:pPr/>
          </w:p>
        </w:tc>
        <w:tc>
          <w:tcPr>
            <w:tcW w:w="1440" w:type="dxa"/>
            <w:vMerge/>
            <w:tcBorders>
              <w:left w:val="single" w:sz="4" w:space="0" w:color="000000"/>
              <w:right w:val="single" w:sz="4" w:space="0" w:color="000000"/>
            </w:tcBorders>
            <w:shd w:val="clear" w:color="auto" w:fill="C0C0C0"/>
          </w:tcPr>
          <w:p>
            <w:pPr/>
          </w:p>
        </w:tc>
      </w:tr>
      <w:tr>
        <w:trPr>
          <w:trHeight w:val="164" w:hRule="exact"/>
        </w:trPr>
        <w:tc>
          <w:tcPr>
            <w:tcW w:w="2884" w:type="dxa"/>
            <w:tcBorders>
              <w:top w:val="nil" w:sz="6" w:space="0" w:color="auto"/>
              <w:left w:val="single" w:sz="4" w:space="0" w:color="000000"/>
              <w:bottom w:val="single" w:sz="4" w:space="0" w:color="000000"/>
              <w:right w:val="single" w:sz="4" w:space="0" w:color="000000"/>
            </w:tcBorders>
            <w:shd w:val="clear" w:color="auto" w:fill="C0C0C0"/>
          </w:tcPr>
          <w:p>
            <w:pPr/>
          </w:p>
        </w:tc>
        <w:tc>
          <w:tcPr>
            <w:tcW w:w="1440" w:type="dxa"/>
            <w:vMerge/>
            <w:tcBorders>
              <w:left w:val="single" w:sz="4" w:space="0" w:color="000000"/>
              <w:bottom w:val="single" w:sz="4" w:space="0" w:color="000000"/>
              <w:right w:val="single" w:sz="4" w:space="0" w:color="000000"/>
            </w:tcBorders>
            <w:shd w:val="clear" w:color="auto" w:fill="C0C0C0"/>
          </w:tcPr>
          <w:p>
            <w:pPr/>
          </w:p>
        </w:tc>
        <w:tc>
          <w:tcPr>
            <w:tcW w:w="1440" w:type="dxa"/>
            <w:vMerge/>
            <w:tcBorders>
              <w:left w:val="single" w:sz="4" w:space="0" w:color="000000"/>
              <w:bottom w:val="single" w:sz="4" w:space="0" w:color="000000"/>
              <w:right w:val="single" w:sz="4" w:space="0" w:color="000000"/>
            </w:tcBorders>
            <w:shd w:val="clear" w:color="auto" w:fill="C0C0C0"/>
          </w:tcPr>
          <w:p>
            <w:pPr/>
          </w:p>
        </w:tc>
        <w:tc>
          <w:tcPr>
            <w:tcW w:w="1620" w:type="dxa"/>
            <w:vMerge/>
            <w:tcBorders>
              <w:left w:val="single" w:sz="4" w:space="0" w:color="000000"/>
              <w:bottom w:val="single" w:sz="4" w:space="0" w:color="000000"/>
              <w:right w:val="single" w:sz="4" w:space="0" w:color="000000"/>
            </w:tcBorders>
            <w:shd w:val="clear" w:color="auto" w:fill="C0C0C0"/>
          </w:tcPr>
          <w:p>
            <w:pPr/>
          </w:p>
        </w:tc>
        <w:tc>
          <w:tcPr>
            <w:tcW w:w="1440" w:type="dxa"/>
            <w:vMerge/>
            <w:tcBorders>
              <w:left w:val="single" w:sz="4" w:space="0" w:color="000000"/>
              <w:bottom w:val="single" w:sz="4" w:space="0" w:color="000000"/>
              <w:right w:val="single" w:sz="4" w:space="0" w:color="000000"/>
            </w:tcBorders>
            <w:shd w:val="clear" w:color="auto" w:fill="C0C0C0"/>
          </w:tcPr>
          <w:p>
            <w:pPr/>
          </w:p>
        </w:tc>
      </w:tr>
      <w:tr>
        <w:trPr>
          <w:trHeight w:val="330" w:hRule="exact"/>
        </w:trPr>
        <w:tc>
          <w:tcPr>
            <w:tcW w:w="288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7"/>
              <w:ind w:right="1"/>
              <w:jc w:val="center"/>
              <w:rPr>
                <w:rFonts w:ascii="宋体" w:hAnsi="宋体" w:cs="宋体" w:eastAsia="宋体" w:hint="default"/>
                <w:sz w:val="18"/>
                <w:szCs w:val="18"/>
              </w:rPr>
            </w:pPr>
            <w:r>
              <w:rPr>
                <w:rFonts w:ascii="宋体" w:hAnsi="宋体" w:cs="宋体" w:eastAsia="宋体" w:hint="default"/>
                <w:sz w:val="18"/>
                <w:szCs w:val="18"/>
              </w:rPr>
              <w:t>资产总额（元）</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1,707,401,634.51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1,491,325,077.70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526" w:right="0"/>
              <w:jc w:val="left"/>
              <w:rPr>
                <w:rFonts w:ascii="Times New Roman" w:hAnsi="Times New Roman" w:cs="Times New Roman" w:eastAsia="Times New Roman" w:hint="default"/>
                <w:sz w:val="18"/>
                <w:szCs w:val="18"/>
              </w:rPr>
            </w:pPr>
            <w:r>
              <w:rPr>
                <w:rFonts w:ascii="Times New Roman"/>
                <w:sz w:val="18"/>
              </w:rPr>
              <w:t>14.49%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1,121,399,380.18</w:t>
            </w:r>
          </w:p>
        </w:tc>
      </w:tr>
      <w:tr>
        <w:trPr>
          <w:trHeight w:val="330" w:hRule="exact"/>
        </w:trPr>
        <w:tc>
          <w:tcPr>
            <w:tcW w:w="288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7"/>
              <w:ind w:right="1"/>
              <w:jc w:val="center"/>
              <w:rPr>
                <w:rFonts w:ascii="宋体" w:hAnsi="宋体" w:cs="宋体" w:eastAsia="宋体" w:hint="default"/>
                <w:sz w:val="18"/>
                <w:szCs w:val="18"/>
              </w:rPr>
            </w:pPr>
            <w:r>
              <w:rPr>
                <w:rFonts w:ascii="宋体" w:hAnsi="宋体" w:cs="宋体" w:eastAsia="宋体" w:hint="default"/>
                <w:sz w:val="18"/>
                <w:szCs w:val="18"/>
              </w:rPr>
              <w:t>负债总额（元）</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392,997,370.16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250,549,204.79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526" w:right="0"/>
              <w:jc w:val="left"/>
              <w:rPr>
                <w:rFonts w:ascii="Times New Roman" w:hAnsi="Times New Roman" w:cs="Times New Roman" w:eastAsia="Times New Roman" w:hint="default"/>
                <w:sz w:val="18"/>
                <w:szCs w:val="18"/>
              </w:rPr>
            </w:pPr>
            <w:r>
              <w:rPr>
                <w:rFonts w:ascii="Times New Roman"/>
                <w:sz w:val="18"/>
              </w:rPr>
              <w:t>56.85%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142,916,127.06</w:t>
            </w:r>
          </w:p>
        </w:tc>
      </w:tr>
      <w:tr>
        <w:trPr>
          <w:trHeight w:val="650" w:hRule="exact"/>
        </w:trPr>
        <w:tc>
          <w:tcPr>
            <w:tcW w:w="288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7"/>
              <w:ind w:right="1"/>
              <w:jc w:val="center"/>
              <w:rPr>
                <w:rFonts w:ascii="宋体" w:hAnsi="宋体" w:cs="宋体" w:eastAsia="宋体" w:hint="default"/>
                <w:sz w:val="18"/>
                <w:szCs w:val="18"/>
              </w:rPr>
            </w:pPr>
            <w:r>
              <w:rPr>
                <w:rFonts w:ascii="宋体" w:hAnsi="宋体" w:cs="宋体" w:eastAsia="宋体" w:hint="default"/>
                <w:sz w:val="18"/>
                <w:szCs w:val="18"/>
              </w:rPr>
              <w:t>归属于上市公司股东的所有者权益</w:t>
            </w:r>
          </w:p>
          <w:p>
            <w:pPr>
              <w:pStyle w:val="TableParagraph"/>
              <w:spacing w:line="240" w:lineRule="auto" w:before="83"/>
              <w:ind w:right="1"/>
              <w:jc w:val="center"/>
              <w:rPr>
                <w:rFonts w:ascii="宋体" w:hAnsi="宋体" w:cs="宋体" w:eastAsia="宋体" w:hint="default"/>
                <w:sz w:val="18"/>
                <w:szCs w:val="18"/>
              </w:rPr>
            </w:pPr>
            <w:r>
              <w:rPr>
                <w:rFonts w:ascii="宋体" w:hAnsi="宋体" w:cs="宋体" w:eastAsia="宋体" w:hint="default"/>
                <w:sz w:val="18"/>
                <w:szCs w:val="18"/>
              </w:rPr>
              <w:t>（元）</w:t>
            </w:r>
          </w:p>
        </w:tc>
        <w:tc>
          <w:tcPr>
            <w:tcW w:w="1440" w:type="dxa"/>
            <w:tcBorders>
              <w:top w:val="single" w:sz="4" w:space="0" w:color="000000"/>
              <w:left w:val="single" w:sz="13" w:space="0" w:color="C0C0C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1"/>
              <w:jc w:val="center"/>
              <w:rPr>
                <w:rFonts w:ascii="Times New Roman" w:hAnsi="Times New Roman" w:cs="Times New Roman" w:eastAsia="Times New Roman" w:hint="default"/>
                <w:sz w:val="18"/>
                <w:szCs w:val="18"/>
              </w:rPr>
            </w:pPr>
            <w:r>
              <w:rPr>
                <w:rFonts w:ascii="Times New Roman"/>
                <w:sz w:val="18"/>
              </w:rPr>
              <w:t>1,314,404,264.35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1,240,775,872.91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572" w:right="0"/>
              <w:jc w:val="left"/>
              <w:rPr>
                <w:rFonts w:ascii="Times New Roman" w:hAnsi="Times New Roman" w:cs="Times New Roman" w:eastAsia="Times New Roman" w:hint="default"/>
                <w:sz w:val="18"/>
                <w:szCs w:val="18"/>
              </w:rPr>
            </w:pPr>
            <w:r>
              <w:rPr>
                <w:rFonts w:ascii="Times New Roman"/>
                <w:sz w:val="18"/>
              </w:rPr>
              <w:t>5.93%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978,483,253.12</w:t>
            </w:r>
          </w:p>
        </w:tc>
      </w:tr>
    </w:tbl>
    <w:p>
      <w:pPr>
        <w:pStyle w:val="BodyText"/>
        <w:spacing w:line="357" w:lineRule="auto" w:before="40"/>
        <w:ind w:left="620" w:right="1244"/>
        <w:jc w:val="left"/>
      </w:pPr>
      <w:r>
        <w:rPr/>
        <w:t>注释： 报告期内，公司加大对市场的开拓，促使经营业绩取得了显著增长。</w:t>
      </w:r>
    </w:p>
    <w:p>
      <w:pPr>
        <w:pStyle w:val="BodyText"/>
        <w:spacing w:line="338" w:lineRule="auto" w:before="36"/>
        <w:ind w:left="139" w:right="250" w:firstLine="480"/>
        <w:jc w:val="left"/>
      </w:pPr>
      <w:r>
        <w:rPr>
          <w:spacing w:val="-1"/>
        </w:rPr>
        <w:t>营业总收入较上年增长</w:t>
      </w:r>
      <w:r>
        <w:rPr>
          <w:rFonts w:ascii="Times New Roman" w:hAnsi="Times New Roman" w:cs="Times New Roman" w:eastAsia="Times New Roman" w:hint="default"/>
          <w:spacing w:val="-1"/>
        </w:rPr>
        <w:t>58.36%</w:t>
      </w:r>
      <w:r>
        <w:rPr>
          <w:spacing w:val="-1"/>
        </w:rPr>
        <w:t>，主要原因是</w:t>
      </w:r>
      <w:r>
        <w:rPr>
          <w:rFonts w:ascii="Times New Roman" w:hAnsi="Times New Roman" w:cs="Times New Roman" w:eastAsia="Times New Roman" w:hint="default"/>
          <w:spacing w:val="-1"/>
        </w:rPr>
        <w:t>ATM</w:t>
      </w:r>
      <w:r>
        <w:rPr>
          <w:spacing w:val="-1"/>
        </w:rPr>
        <w:t>产品销售、运营服务业务收入</w:t>
      </w:r>
      <w:r>
        <w:rPr/>
        <w:t> 增加所致。</w:t>
      </w:r>
    </w:p>
    <w:p>
      <w:pPr>
        <w:pStyle w:val="BodyText"/>
        <w:spacing w:line="338" w:lineRule="auto" w:before="55"/>
        <w:ind w:left="139" w:right="245" w:firstLine="480"/>
        <w:jc w:val="left"/>
      </w:pPr>
      <w:r>
        <w:rPr/>
        <w:t>营业利润和利润总额分别较上年增长</w:t>
      </w:r>
      <w:r>
        <w:rPr>
          <w:rFonts w:ascii="Times New Roman" w:hAnsi="Times New Roman" w:cs="Times New Roman" w:eastAsia="Times New Roman" w:hint="default"/>
        </w:rPr>
        <w:t>92.56%</w:t>
      </w:r>
      <w:r>
        <w:rPr/>
        <w:t>、</w:t>
      </w:r>
      <w:r>
        <w:rPr>
          <w:rFonts w:ascii="Times New Roman" w:hAnsi="Times New Roman" w:cs="Times New Roman" w:eastAsia="Times New Roman" w:hint="default"/>
        </w:rPr>
        <w:t>85.09%</w:t>
      </w:r>
      <w:r>
        <w:rPr/>
        <w:t>，主要原因是公司在营业 收入大幅增长同时，有效控制期间费用，促进营业利润和利润总额的增长。</w:t>
      </w:r>
    </w:p>
    <w:p>
      <w:pPr>
        <w:pStyle w:val="BodyText"/>
        <w:spacing w:line="338" w:lineRule="auto" w:before="55"/>
        <w:ind w:left="139" w:right="156" w:firstLine="480"/>
        <w:jc w:val="left"/>
      </w:pPr>
      <w:r>
        <w:rPr/>
        <w:t>经营活动产生的现金流量净额较上年增长</w:t>
      </w:r>
      <w:r>
        <w:rPr>
          <w:rFonts w:ascii="Times New Roman" w:hAnsi="Times New Roman" w:cs="Times New Roman" w:eastAsia="Times New Roman" w:hint="default"/>
        </w:rPr>
        <w:t>36.64%</w:t>
      </w:r>
      <w:r>
        <w:rPr/>
        <w:t>，主要原因是公司加大货款回</w:t>
      </w:r>
      <w:r>
        <w:rPr>
          <w:spacing w:val="1"/>
        </w:rPr>
        <w:t> </w:t>
      </w:r>
      <w:r>
        <w:rPr/>
        <w:t>收的力度，同时有效控制期间费用支出所致。</w:t>
      </w:r>
    </w:p>
    <w:p>
      <w:pPr>
        <w:pStyle w:val="BodyText"/>
        <w:spacing w:line="348" w:lineRule="auto" w:before="55"/>
        <w:ind w:left="139" w:right="119" w:firstLine="480"/>
        <w:jc w:val="left"/>
      </w:pPr>
      <w:r>
        <w:rPr/>
        <w:t>负债总额较</w:t>
      </w:r>
      <w:r>
        <w:rPr>
          <w:rFonts w:ascii="Times New Roman" w:hAnsi="Times New Roman" w:cs="Times New Roman" w:eastAsia="Times New Roman" w:hint="default"/>
        </w:rPr>
        <w:t>2010</w:t>
      </w:r>
      <w:r>
        <w:rPr/>
        <w:t>年末增长</w:t>
      </w:r>
      <w:r>
        <w:rPr>
          <w:rFonts w:ascii="Times New Roman" w:hAnsi="Times New Roman" w:cs="Times New Roman" w:eastAsia="Times New Roman" w:hint="default"/>
        </w:rPr>
        <w:t>56.85%</w:t>
      </w:r>
      <w:r>
        <w:rPr/>
        <w:t>，主要原因是公司于</w:t>
      </w:r>
      <w:r>
        <w:rPr>
          <w:rFonts w:ascii="Times New Roman" w:hAnsi="Times New Roman" w:cs="Times New Roman" w:eastAsia="Times New Roman" w:hint="default"/>
        </w:rPr>
        <w:t>2011</w:t>
      </w:r>
      <w:r>
        <w:rPr/>
        <w:t>年加大了生产经营投</w:t>
      </w:r>
      <w:r>
        <w:rPr>
          <w:spacing w:val="1"/>
        </w:rPr>
        <w:t> </w:t>
      </w:r>
      <w:r>
        <w:rPr>
          <w:spacing w:val="-2"/>
        </w:rPr>
        <w:t>入，银行短期借款、应付和预收款项相应增加；同时公司销售和运营服务设备增加，</w:t>
      </w:r>
      <w:r>
        <w:rPr>
          <w:spacing w:val="-115"/>
        </w:rPr>
        <w:t> </w:t>
      </w:r>
      <w:r>
        <w:rPr>
          <w:spacing w:val="-115"/>
        </w:rPr>
      </w:r>
      <w:r>
        <w:rPr/>
        <w:t>相应计提的维护费增加所致。</w:t>
      </w:r>
    </w:p>
    <w:p>
      <w:pPr>
        <w:spacing w:line="240" w:lineRule="auto" w:before="0"/>
        <w:rPr>
          <w:rFonts w:ascii="宋体" w:hAnsi="宋体" w:cs="宋体" w:eastAsia="宋体" w:hint="default"/>
          <w:sz w:val="24"/>
          <w:szCs w:val="24"/>
        </w:rPr>
      </w:pPr>
    </w:p>
    <w:p>
      <w:pPr>
        <w:pStyle w:val="BodyText"/>
        <w:spacing w:line="357" w:lineRule="auto" w:before="200"/>
        <w:ind w:left="619" w:right="232" w:firstLine="60"/>
        <w:jc w:val="left"/>
      </w:pPr>
      <w:r>
        <w:rPr/>
        <w:t>（三）公司主营业务概览 公司的主要产品为</w:t>
      </w:r>
      <w:r>
        <w:rPr>
          <w:rFonts w:ascii="Times New Roman" w:hAnsi="Times New Roman" w:cs="Times New Roman" w:eastAsia="Times New Roman" w:hint="default"/>
        </w:rPr>
        <w:t>ATM</w:t>
      </w:r>
      <w:r>
        <w:rPr/>
        <w:t>自助设备，主要是提供给银行类金融机构用于为其客户</w:t>
      </w:r>
    </w:p>
    <w:p>
      <w:pPr>
        <w:pStyle w:val="BodyText"/>
        <w:spacing w:line="338" w:lineRule="auto" w:before="5"/>
        <w:ind w:left="139" w:right="156"/>
        <w:jc w:val="left"/>
      </w:pPr>
      <w:r>
        <w:rPr>
          <w:spacing w:val="-2"/>
        </w:rPr>
        <w:t>提供自助式金融服务，目前公司的主营业务由</w:t>
      </w:r>
      <w:r>
        <w:rPr>
          <w:rFonts w:ascii="Times New Roman" w:hAnsi="Times New Roman" w:cs="Times New Roman" w:eastAsia="Times New Roman" w:hint="default"/>
          <w:spacing w:val="-2"/>
        </w:rPr>
        <w:t>ATM</w:t>
      </w:r>
      <w:r>
        <w:rPr>
          <w:spacing w:val="-2"/>
        </w:rPr>
        <w:t>产品销售和</w:t>
      </w:r>
      <w:r>
        <w:rPr>
          <w:rFonts w:ascii="Times New Roman" w:hAnsi="Times New Roman" w:cs="Times New Roman" w:eastAsia="Times New Roman" w:hint="default"/>
          <w:spacing w:val="-2"/>
        </w:rPr>
        <w:t>ATM</w:t>
      </w:r>
      <w:r>
        <w:rPr>
          <w:spacing w:val="-2"/>
        </w:rPr>
        <w:t>合作运营服务两</w:t>
      </w:r>
      <w:r>
        <w:rPr>
          <w:spacing w:val="-104"/>
        </w:rPr>
        <w:t> </w:t>
      </w:r>
      <w:r>
        <w:rPr/>
        <w:t>部分组成：</w:t>
      </w:r>
    </w:p>
    <w:p>
      <w:pPr>
        <w:pStyle w:val="BodyText"/>
        <w:spacing w:line="240" w:lineRule="auto" w:before="55"/>
        <w:ind w:left="619" w:right="156"/>
        <w:jc w:val="left"/>
        <w:rPr>
          <w:rFonts w:ascii="Times New Roman" w:hAnsi="Times New Roman" w:cs="Times New Roman" w:eastAsia="Times New Roman" w:hint="default"/>
        </w:rPr>
      </w:pPr>
      <w:r>
        <w:rPr>
          <w:rFonts w:ascii="Times New Roman" w:hAnsi="Times New Roman" w:cs="Times New Roman" w:eastAsia="Times New Roman" w:hint="default"/>
        </w:rPr>
        <w:t>1</w:t>
      </w:r>
      <w:r>
        <w:rPr/>
        <w:t>、</w:t>
      </w:r>
      <w:r>
        <w:rPr>
          <w:rFonts w:ascii="Times New Roman" w:hAnsi="Times New Roman" w:cs="Times New Roman" w:eastAsia="Times New Roman" w:hint="default"/>
        </w:rPr>
        <w:t>ATM</w:t>
      </w:r>
      <w:r>
        <w:rPr/>
        <w:t>设备及相关系统软件的研发、制造、销售，公司主要产品为</w:t>
      </w:r>
      <w:r>
        <w:rPr>
          <w:rFonts w:ascii="Times New Roman" w:hAnsi="Times New Roman" w:cs="Times New Roman" w:eastAsia="Times New Roman" w:hint="default"/>
        </w:rPr>
        <w:t>KingTeller</w:t>
      </w:r>
    </w:p>
    <w:p>
      <w:pPr>
        <w:pStyle w:val="BodyText"/>
        <w:spacing w:line="240" w:lineRule="auto"/>
        <w:ind w:left="139" w:right="156"/>
        <w:jc w:val="left"/>
      </w:pPr>
      <w:r>
        <w:rPr/>
        <w:t>系列自动柜员机；</w:t>
      </w:r>
    </w:p>
    <w:p>
      <w:pPr>
        <w:pStyle w:val="BodyText"/>
        <w:spacing w:line="343" w:lineRule="auto" w:before="154"/>
        <w:ind w:left="139" w:right="232" w:firstLine="480"/>
        <w:jc w:val="left"/>
      </w:pPr>
      <w:r>
        <w:rPr>
          <w:rFonts w:ascii="Times New Roman" w:hAnsi="Times New Roman" w:cs="Times New Roman" w:eastAsia="Times New Roman" w:hint="default"/>
        </w:rPr>
        <w:t>2</w:t>
      </w:r>
      <w:r>
        <w:rPr/>
        <w:t>、为银行类金融机构提供</w:t>
      </w:r>
      <w:r>
        <w:rPr>
          <w:rFonts w:ascii="Times New Roman" w:hAnsi="Times New Roman" w:cs="Times New Roman" w:eastAsia="Times New Roman" w:hint="default"/>
        </w:rPr>
        <w:t>ATM</w:t>
      </w:r>
      <w:r>
        <w:rPr/>
        <w:t>运营服务，即公司与银行类金融机构合作建设 </w:t>
      </w:r>
      <w:r>
        <w:rPr>
          <w:rFonts w:ascii="Times New Roman" w:hAnsi="Times New Roman" w:cs="Times New Roman" w:eastAsia="Times New Roman" w:hint="default"/>
          <w:spacing w:val="-2"/>
        </w:rPr>
        <w:t>ATM</w:t>
      </w:r>
      <w:r>
        <w:rPr>
          <w:spacing w:val="-2"/>
        </w:rPr>
        <w:t>终端，公司负责提供</w:t>
      </w:r>
      <w:r>
        <w:rPr>
          <w:rFonts w:ascii="Times New Roman" w:hAnsi="Times New Roman" w:cs="Times New Roman" w:eastAsia="Times New Roman" w:hint="default"/>
          <w:spacing w:val="-2"/>
        </w:rPr>
        <w:t>ATM</w:t>
      </w:r>
      <w:r>
        <w:rPr>
          <w:spacing w:val="-2"/>
        </w:rPr>
        <w:t>设备、网点选址、设备维护、技术支持等服务，银行</w:t>
      </w:r>
      <w:r>
        <w:rPr>
          <w:spacing w:val="-104"/>
        </w:rPr>
        <w:t> </w:t>
      </w:r>
      <w:r>
        <w:rPr>
          <w:spacing w:val="-104"/>
        </w:rPr>
      </w:r>
      <w:r>
        <w:rPr/>
        <w:t>类金融机构负责将</w:t>
      </w:r>
      <w:r>
        <w:rPr>
          <w:rFonts w:ascii="Times New Roman" w:hAnsi="Times New Roman" w:cs="Times New Roman" w:eastAsia="Times New Roman" w:hint="default"/>
        </w:rPr>
        <w:t>ATM</w:t>
      </w:r>
      <w:r>
        <w:rPr/>
        <w:t>网点向中国银监会或其授权机构报备、提供加钞和清算等， 合作银行在收取跨行交易的代理手续费后，按照合作协议约定的比例将公司应收取 的服务费支付给公司，公司的运营服务根据合作条件、收款方式、收入确认等方面</w:t>
      </w:r>
    </w:p>
    <w:p>
      <w:pPr>
        <w:spacing w:after="0" w:line="343" w:lineRule="auto"/>
        <w:jc w:val="left"/>
        <w:sectPr>
          <w:pgSz w:w="11910" w:h="16840"/>
          <w:pgMar w:header="877" w:footer="1048" w:top="1100" w:bottom="1240" w:left="1660" w:right="1160"/>
        </w:sectPr>
      </w:pPr>
    </w:p>
    <w:p>
      <w:pPr>
        <w:spacing w:line="240" w:lineRule="auto" w:before="7"/>
        <w:rPr>
          <w:rFonts w:ascii="宋体" w:hAnsi="宋体" w:cs="宋体" w:eastAsia="宋体" w:hint="default"/>
          <w:sz w:val="25"/>
          <w:szCs w:val="25"/>
        </w:rPr>
      </w:pPr>
    </w:p>
    <w:p>
      <w:pPr>
        <w:pStyle w:val="BodyText"/>
        <w:spacing w:line="240" w:lineRule="auto" w:before="26"/>
        <w:ind w:left="220" w:right="2306"/>
        <w:jc w:val="left"/>
      </w:pPr>
      <w:r>
        <w:rPr/>
        <w:t>的差异可分为</w:t>
      </w:r>
      <w:r>
        <w:rPr>
          <w:rFonts w:ascii="Times New Roman" w:hAnsi="Times New Roman" w:cs="Times New Roman" w:eastAsia="Times New Roman" w:hint="default"/>
        </w:rPr>
        <w:t>ATM</w:t>
      </w:r>
      <w:r>
        <w:rPr/>
        <w:t>合作运营服务和</w:t>
      </w:r>
      <w:r>
        <w:rPr>
          <w:rFonts w:ascii="Times New Roman" w:hAnsi="Times New Roman" w:cs="Times New Roman" w:eastAsia="Times New Roman" w:hint="default"/>
        </w:rPr>
        <w:t>ATM</w:t>
      </w:r>
      <w:r>
        <w:rPr/>
        <w:t>融资租赁两种模式。</w:t>
      </w: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2"/>
          <w:szCs w:val="22"/>
        </w:rPr>
      </w:pPr>
    </w:p>
    <w:p>
      <w:pPr>
        <w:pStyle w:val="BodyText"/>
        <w:spacing w:line="240" w:lineRule="auto" w:before="0"/>
        <w:ind w:left="759" w:right="2306"/>
        <w:jc w:val="left"/>
      </w:pPr>
      <w:r>
        <w:rPr/>
        <w:t>（四）公司主营业务经营情况分析</w:t>
      </w:r>
    </w:p>
    <w:p>
      <w:pPr>
        <w:pStyle w:val="BodyText"/>
        <w:spacing w:line="240" w:lineRule="auto" w:before="154"/>
        <w:ind w:left="757" w:right="2306"/>
        <w:jc w:val="left"/>
      </w:pPr>
      <w:r>
        <w:rPr>
          <w:rFonts w:ascii="Times New Roman" w:hAnsi="Times New Roman" w:cs="Times New Roman" w:eastAsia="Times New Roman" w:hint="default"/>
        </w:rPr>
        <w:t>1</w:t>
      </w:r>
      <w:r>
        <w:rPr/>
        <w:t>、主营业务分行业、产品情况表</w:t>
      </w:r>
    </w:p>
    <w:p>
      <w:pPr>
        <w:spacing w:line="240" w:lineRule="auto" w:before="9"/>
        <w:rPr>
          <w:rFonts w:ascii="宋体" w:hAnsi="宋体" w:cs="宋体" w:eastAsia="宋体" w:hint="default"/>
          <w:sz w:val="10"/>
          <w:szCs w:val="10"/>
        </w:rPr>
      </w:pPr>
    </w:p>
    <w:p>
      <w:pPr>
        <w:spacing w:before="44"/>
        <w:ind w:left="0" w:right="473" w:firstLine="0"/>
        <w:jc w:val="right"/>
        <w:rPr>
          <w:rFonts w:ascii="宋体" w:hAnsi="宋体" w:cs="宋体" w:eastAsia="宋体" w:hint="default"/>
          <w:sz w:val="18"/>
          <w:szCs w:val="18"/>
        </w:rPr>
      </w:pPr>
      <w:r>
        <w:rPr>
          <w:rFonts w:ascii="宋体" w:hAnsi="宋体" w:cs="宋体" w:eastAsia="宋体" w:hint="default"/>
          <w:sz w:val="18"/>
          <w:szCs w:val="18"/>
        </w:rPr>
        <w:t>单位：（人民币）万元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p>
      <w:pPr>
        <w:spacing w:before="44"/>
        <w:ind w:left="0" w:right="100" w:firstLine="0"/>
        <w:jc w:val="right"/>
        <w:rPr>
          <w:rFonts w:ascii="宋体" w:hAnsi="宋体" w:cs="宋体" w:eastAsia="宋体" w:hint="default"/>
          <w:sz w:val="18"/>
          <w:szCs w:val="18"/>
        </w:rPr>
      </w:pPr>
      <w:r>
        <w:rPr/>
        <w:pict>
          <v:shape style="position:absolute;margin-left:354.119385pt;margin-top:-16.627983pt;width:70.650pt;height:32.0500pt;mso-position-horizontal-relative:page;mso-position-vertical-relative:paragraph;z-index:-827488" type="#_x0000_t202" filled="false" stroked="false">
            <v:textbox inset="0,0,0,0">
              <w:txbxContent>
                <w:p>
                  <w:pPr>
                    <w:spacing w:line="240" w:lineRule="auto" w:before="8"/>
                    <w:rPr>
                      <w:rFonts w:ascii="宋体" w:hAnsi="宋体" w:cs="宋体" w:eastAsia="宋体" w:hint="default"/>
                      <w:sz w:val="16"/>
                      <w:szCs w:val="16"/>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shape style="position:absolute;margin-left:88.379997pt;margin-top:-33.607964pt;width:452.1pt;height:148.5pt;mso-position-horizontal-relative:page;mso-position-vertical-relative:paragraph;z-index:1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28"/>
                    <w:gridCol w:w="1300"/>
                    <w:gridCol w:w="1301"/>
                    <w:gridCol w:w="1000"/>
                    <w:gridCol w:w="1300"/>
                    <w:gridCol w:w="1301"/>
                    <w:gridCol w:w="1000"/>
                  </w:tblGrid>
                  <w:tr>
                    <w:trPr>
                      <w:trHeight w:val="330" w:hRule="exact"/>
                    </w:trPr>
                    <w:tc>
                      <w:tcPr>
                        <w:tcW w:w="9028" w:type="dxa"/>
                        <w:gridSpan w:val="7"/>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主营业务分行业情况</w:t>
                        </w:r>
                      </w:p>
                    </w:tc>
                  </w:tr>
                  <w:tr>
                    <w:trPr>
                      <w:trHeight w:val="650" w:hRule="exact"/>
                    </w:trPr>
                    <w:tc>
                      <w:tcPr>
                        <w:tcW w:w="182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分行业或分产品</w:t>
                        </w:r>
                      </w:p>
                    </w:tc>
                    <w:tc>
                      <w:tcPr>
                        <w:tcW w:w="13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30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10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88"/>
                          <w:jc w:val="center"/>
                          <w:rPr>
                            <w:rFonts w:ascii="Times New Roman" w:hAnsi="Times New Roman" w:cs="Times New Roman" w:eastAsia="Times New Roman" w:hint="default"/>
                            <w:sz w:val="18"/>
                            <w:szCs w:val="18"/>
                          </w:rPr>
                        </w:pPr>
                        <w:r>
                          <w:rPr>
                            <w:rFonts w:ascii="宋体" w:hAnsi="宋体" w:cs="宋体" w:eastAsia="宋体" w:hint="default"/>
                            <w:spacing w:val="-4"/>
                            <w:sz w:val="18"/>
                            <w:szCs w:val="18"/>
                          </w:rPr>
                          <w:t>毛利率（</w:t>
                        </w:r>
                        <w:r>
                          <w:rPr>
                            <w:rFonts w:ascii="Times New Roman" w:hAnsi="Times New Roman" w:cs="Times New Roman" w:eastAsia="Times New Roman" w:hint="default"/>
                            <w:spacing w:val="-4"/>
                            <w:sz w:val="18"/>
                            <w:szCs w:val="18"/>
                          </w:rPr>
                          <w:t>%</w:t>
                        </w:r>
                      </w:p>
                    </w:tc>
                    <w:tc>
                      <w:tcPr>
                        <w:tcW w:w="13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0" w:lineRule="exact" w:before="10"/>
                          <w:ind w:left="119" w:right="103" w:hanging="16"/>
                          <w:jc w:val="left"/>
                          <w:rPr>
                            <w:rFonts w:ascii="宋体" w:hAnsi="宋体" w:cs="宋体" w:eastAsia="宋体" w:hint="default"/>
                            <w:sz w:val="18"/>
                            <w:szCs w:val="18"/>
                          </w:rPr>
                        </w:pPr>
                        <w:r>
                          <w:rPr>
                            <w:rFonts w:ascii="宋体" w:hAnsi="宋体" w:cs="宋体" w:eastAsia="宋体" w:hint="default"/>
                            <w:sz w:val="18"/>
                            <w:szCs w:val="18"/>
                          </w:rPr>
                          <w:t>营业收入比上 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0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0" w:lineRule="exact" w:before="10"/>
                          <w:ind w:left="121" w:right="103" w:hanging="16"/>
                          <w:jc w:val="left"/>
                          <w:rPr>
                            <w:rFonts w:ascii="宋体" w:hAnsi="宋体" w:cs="宋体" w:eastAsia="宋体" w:hint="default"/>
                            <w:sz w:val="18"/>
                            <w:szCs w:val="18"/>
                          </w:rPr>
                        </w:pPr>
                        <w:r>
                          <w:rPr>
                            <w:rFonts w:ascii="宋体" w:hAnsi="宋体" w:cs="宋体" w:eastAsia="宋体" w:hint="default"/>
                            <w:sz w:val="18"/>
                            <w:szCs w:val="18"/>
                          </w:rPr>
                          <w:t>营业成本比上 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0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0" w:lineRule="exact" w:before="10"/>
                          <w:ind w:left="22" w:right="43" w:firstLine="21"/>
                          <w:jc w:val="left"/>
                          <w:rPr>
                            <w:rFonts w:ascii="Times New Roman" w:hAnsi="Times New Roman" w:cs="Times New Roman" w:eastAsia="Times New Roman" w:hint="default"/>
                            <w:sz w:val="18"/>
                            <w:szCs w:val="18"/>
                          </w:rPr>
                        </w:pPr>
                        <w:r>
                          <w:rPr>
                            <w:rFonts w:ascii="宋体" w:hAnsi="宋体" w:cs="宋体" w:eastAsia="宋体" w:hint="default"/>
                            <w:sz w:val="18"/>
                            <w:szCs w:val="18"/>
                          </w:rPr>
                          <w:t>毛利率比上 </w:t>
                        </w:r>
                        <w:r>
                          <w:rPr>
                            <w:rFonts w:ascii="宋体" w:hAnsi="宋体" w:cs="宋体" w:eastAsia="宋体" w:hint="default"/>
                            <w:spacing w:val="-4"/>
                            <w:sz w:val="18"/>
                            <w:szCs w:val="18"/>
                          </w:rPr>
                          <w:t>年增减（</w:t>
                        </w:r>
                        <w:r>
                          <w:rPr>
                            <w:rFonts w:ascii="Times New Roman" w:hAnsi="Times New Roman" w:cs="Times New Roman" w:eastAsia="Times New Roman" w:hint="default"/>
                            <w:spacing w:val="-4"/>
                            <w:sz w:val="18"/>
                            <w:szCs w:val="18"/>
                          </w:rPr>
                          <w:t>%</w:t>
                        </w:r>
                      </w:p>
                    </w:tc>
                  </w:tr>
                  <w:tr>
                    <w:trPr>
                      <w:trHeight w:val="330" w:hRule="exact"/>
                    </w:trPr>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专用设备制造业</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73,672.04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34,998.27</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52.49%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58.50%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Times New Roman" w:hAnsi="Times New Roman" w:cs="Times New Roman" w:eastAsia="Times New Roman" w:hint="default"/>
                            <w:sz w:val="18"/>
                            <w:szCs w:val="18"/>
                          </w:rPr>
                        </w:pPr>
                        <w:r>
                          <w:rPr>
                            <w:rFonts w:ascii="Times New Roman"/>
                            <w:sz w:val="18"/>
                          </w:rPr>
                          <w:t>64.05%</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2" w:right="0"/>
                          <w:jc w:val="left"/>
                          <w:rPr>
                            <w:rFonts w:ascii="Times New Roman" w:hAnsi="Times New Roman" w:cs="Times New Roman" w:eastAsia="Times New Roman" w:hint="default"/>
                            <w:sz w:val="18"/>
                            <w:szCs w:val="18"/>
                          </w:rPr>
                        </w:pPr>
                        <w:r>
                          <w:rPr>
                            <w:rFonts w:ascii="Times New Roman"/>
                            <w:sz w:val="18"/>
                          </w:rPr>
                          <w:t>-1.61%</w:t>
                        </w:r>
                      </w:p>
                    </w:tc>
                  </w:tr>
                  <w:tr>
                    <w:trPr>
                      <w:trHeight w:val="330" w:hRule="exact"/>
                    </w:trPr>
                    <w:tc>
                      <w:tcPr>
                        <w:tcW w:w="9028" w:type="dxa"/>
                        <w:gridSpan w:val="7"/>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主营业务分产品情况</w:t>
                        </w:r>
                      </w:p>
                    </w:tc>
                  </w:tr>
                  <w:tr>
                    <w:trPr>
                      <w:trHeight w:val="330" w:hRule="exact"/>
                    </w:trPr>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产品销售</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35,420.60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16,671.39</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52.93%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56.46%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Times New Roman" w:hAnsi="Times New Roman" w:cs="Times New Roman" w:eastAsia="Times New Roman" w:hint="default"/>
                            <w:sz w:val="18"/>
                            <w:szCs w:val="18"/>
                          </w:rPr>
                        </w:pPr>
                        <w:r>
                          <w:rPr>
                            <w:rFonts w:ascii="Times New Roman"/>
                            <w:sz w:val="18"/>
                          </w:rPr>
                          <w:t>61.35%</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2" w:right="0"/>
                          <w:jc w:val="left"/>
                          <w:rPr>
                            <w:rFonts w:ascii="Times New Roman" w:hAnsi="Times New Roman" w:cs="Times New Roman" w:eastAsia="Times New Roman" w:hint="default"/>
                            <w:sz w:val="18"/>
                            <w:szCs w:val="18"/>
                          </w:rPr>
                        </w:pPr>
                        <w:r>
                          <w:rPr>
                            <w:rFonts w:ascii="Times New Roman"/>
                            <w:sz w:val="18"/>
                          </w:rPr>
                          <w:t>-1.43%</w:t>
                        </w:r>
                      </w:p>
                    </w:tc>
                  </w:tr>
                  <w:tr>
                    <w:trPr>
                      <w:trHeight w:val="330" w:hRule="exact"/>
                    </w:trPr>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合作运营服务</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16,737.09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Times New Roman" w:hAnsi="Times New Roman" w:cs="Times New Roman" w:eastAsia="Times New Roman" w:hint="default"/>
                            <w:sz w:val="18"/>
                            <w:szCs w:val="18"/>
                          </w:rPr>
                        </w:pPr>
                        <w:r>
                          <w:rPr>
                            <w:rFonts w:ascii="Times New Roman"/>
                            <w:sz w:val="18"/>
                          </w:rPr>
                          <w:t>8,471.60</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49.38%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10.91%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 w:right="0"/>
                          <w:jc w:val="center"/>
                          <w:rPr>
                            <w:rFonts w:ascii="Times New Roman" w:hAnsi="Times New Roman" w:cs="Times New Roman" w:eastAsia="Times New Roman" w:hint="default"/>
                            <w:sz w:val="18"/>
                            <w:szCs w:val="18"/>
                          </w:rPr>
                        </w:pPr>
                        <w:r>
                          <w:rPr>
                            <w:rFonts w:ascii="Times New Roman"/>
                            <w:sz w:val="18"/>
                          </w:rPr>
                          <w:t>8.94%</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62" w:right="0"/>
                          <w:jc w:val="left"/>
                          <w:rPr>
                            <w:rFonts w:ascii="Times New Roman" w:hAnsi="Times New Roman" w:cs="Times New Roman" w:eastAsia="Times New Roman" w:hint="default"/>
                            <w:sz w:val="18"/>
                            <w:szCs w:val="18"/>
                          </w:rPr>
                        </w:pPr>
                        <w:r>
                          <w:rPr>
                            <w:rFonts w:ascii="Times New Roman"/>
                            <w:sz w:val="18"/>
                          </w:rPr>
                          <w:t>0.91%</w:t>
                        </w:r>
                      </w:p>
                    </w:tc>
                  </w:tr>
                  <w:tr>
                    <w:trPr>
                      <w:trHeight w:val="330" w:hRule="exact"/>
                    </w:trPr>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融资租赁</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19,957.46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Times New Roman" w:hAnsi="Times New Roman" w:cs="Times New Roman" w:eastAsia="Times New Roman" w:hint="default"/>
                            <w:sz w:val="18"/>
                            <w:szCs w:val="18"/>
                          </w:rPr>
                        </w:pPr>
                        <w:r>
                          <w:rPr>
                            <w:rFonts w:ascii="Times New Roman"/>
                            <w:sz w:val="18"/>
                          </w:rPr>
                          <w:t>9,529.58</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52.25%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Times New Roman" w:hAnsi="Times New Roman" w:cs="Times New Roman" w:eastAsia="Times New Roman" w:hint="default"/>
                            <w:sz w:val="18"/>
                            <w:szCs w:val="18"/>
                          </w:rPr>
                        </w:pPr>
                        <w:r>
                          <w:rPr>
                            <w:rFonts w:ascii="Times New Roman"/>
                            <w:sz w:val="18"/>
                          </w:rPr>
                          <w:t>152.67%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204.11%</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3" w:right="0"/>
                          <w:jc w:val="left"/>
                          <w:rPr>
                            <w:rFonts w:ascii="Times New Roman" w:hAnsi="Times New Roman" w:cs="Times New Roman" w:eastAsia="Times New Roman" w:hint="default"/>
                            <w:sz w:val="18"/>
                            <w:szCs w:val="18"/>
                          </w:rPr>
                        </w:pPr>
                        <w:r>
                          <w:rPr>
                            <w:rFonts w:ascii="Times New Roman"/>
                            <w:sz w:val="18"/>
                          </w:rPr>
                          <w:t>-8.08%</w:t>
                        </w:r>
                      </w:p>
                    </w:tc>
                  </w:tr>
                  <w:tr>
                    <w:trPr>
                      <w:trHeight w:val="330" w:hRule="exact"/>
                    </w:trPr>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技术、金融服务</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1,556.89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325.69</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sz w:val="18"/>
                          </w:rPr>
                          <w:t>79.08%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sz w:val="18"/>
                          </w:rPr>
                          <w:t>82.64%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Times New Roman" w:hAnsi="Times New Roman" w:cs="Times New Roman" w:eastAsia="Times New Roman" w:hint="default"/>
                            <w:sz w:val="18"/>
                            <w:szCs w:val="18"/>
                          </w:rPr>
                        </w:pPr>
                        <w:r>
                          <w:rPr>
                            <w:rFonts w:ascii="Times New Roman"/>
                            <w:sz w:val="18"/>
                          </w:rPr>
                          <w:t>257.88%</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86" w:right="0"/>
                          <w:jc w:val="left"/>
                          <w:rPr>
                            <w:rFonts w:ascii="Times New Roman" w:hAnsi="Times New Roman" w:cs="Times New Roman" w:eastAsia="Times New Roman" w:hint="default"/>
                            <w:sz w:val="18"/>
                            <w:szCs w:val="18"/>
                          </w:rPr>
                        </w:pPr>
                        <w:r>
                          <w:rPr>
                            <w:rFonts w:ascii="Times New Roman"/>
                            <w:sz w:val="18"/>
                          </w:rPr>
                          <w:t>-10.24%</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pStyle w:val="BodyText"/>
        <w:spacing w:line="357" w:lineRule="auto" w:before="26"/>
        <w:ind w:left="700" w:right="469"/>
        <w:jc w:val="left"/>
      </w:pPr>
      <w:r>
        <w:rPr/>
        <w:t>注释： </w:t>
      </w:r>
      <w:r>
        <w:rPr>
          <w:spacing w:val="-1"/>
        </w:rPr>
        <w:t>报告期内，公司的主营业务收入较上年同期增长了</w:t>
      </w:r>
      <w:r>
        <w:rPr>
          <w:rFonts w:ascii="Times New Roman" w:hAnsi="Times New Roman" w:cs="Times New Roman" w:eastAsia="Times New Roman" w:hint="default"/>
          <w:spacing w:val="-1"/>
        </w:rPr>
        <w:t>58.50%</w:t>
      </w:r>
      <w:r>
        <w:rPr>
          <w:spacing w:val="-1"/>
        </w:rPr>
        <w:t>，其中</w:t>
      </w:r>
      <w:r>
        <w:rPr>
          <w:rFonts w:ascii="Times New Roman" w:hAnsi="Times New Roman" w:cs="Times New Roman" w:eastAsia="Times New Roman" w:hint="default"/>
          <w:spacing w:val="-1"/>
        </w:rPr>
        <w:t>ATM</w:t>
      </w:r>
      <w:r>
        <w:rPr>
          <w:spacing w:val="-1"/>
        </w:rPr>
        <w:t>产品销售</w:t>
      </w:r>
    </w:p>
    <w:p>
      <w:pPr>
        <w:pStyle w:val="BodyText"/>
        <w:spacing w:line="338" w:lineRule="auto" w:before="5"/>
        <w:ind w:left="219" w:right="469"/>
        <w:jc w:val="both"/>
      </w:pPr>
      <w:r>
        <w:rPr/>
        <w:t>业务较上年同期增长</w:t>
      </w:r>
      <w:r>
        <w:rPr>
          <w:rFonts w:ascii="Times New Roman" w:hAnsi="Times New Roman" w:cs="Times New Roman" w:eastAsia="Times New Roman" w:hint="default"/>
        </w:rPr>
        <w:t>56.46%</w:t>
      </w:r>
      <w:r>
        <w:rPr/>
        <w:t>、</w:t>
      </w:r>
      <w:r>
        <w:rPr>
          <w:rFonts w:ascii="Times New Roman" w:hAnsi="Times New Roman" w:cs="Times New Roman" w:eastAsia="Times New Roman" w:hint="default"/>
        </w:rPr>
        <w:t>ATM</w:t>
      </w:r>
      <w:r>
        <w:rPr/>
        <w:t>融资租赁业务收入较上年同期增长</w:t>
      </w:r>
      <w:r>
        <w:rPr>
          <w:rFonts w:ascii="Times New Roman" w:hAnsi="Times New Roman" w:cs="Times New Roman" w:eastAsia="Times New Roman" w:hint="default"/>
        </w:rPr>
        <w:t>152.67%</w:t>
      </w:r>
      <w:r>
        <w:rPr/>
        <w:t>，主</w:t>
      </w:r>
      <w:r>
        <w:rPr>
          <w:spacing w:val="-60"/>
        </w:rPr>
        <w:t> </w:t>
      </w:r>
      <w:r>
        <w:rPr>
          <w:spacing w:val="-1"/>
        </w:rPr>
        <w:t>要原因是公司在本年度依靠自身的品牌优势，加大了对</w:t>
      </w:r>
      <w:r>
        <w:rPr>
          <w:rFonts w:ascii="Times New Roman" w:hAnsi="Times New Roman" w:cs="Times New Roman" w:eastAsia="Times New Roman" w:hint="default"/>
          <w:spacing w:val="-1"/>
        </w:rPr>
        <w:t>ATM</w:t>
      </w:r>
      <w:r>
        <w:rPr>
          <w:spacing w:val="-1"/>
        </w:rPr>
        <w:t>产品销售、运营服务业 </w:t>
      </w:r>
      <w:r>
        <w:rPr>
          <w:spacing w:val="13"/>
        </w:rPr>
        <w:t>务的市场开发力度，并取得了显著增长。</w:t>
      </w:r>
      <w:r>
        <w:rPr>
          <w:rFonts w:ascii="Times New Roman" w:hAnsi="Times New Roman" w:cs="Times New Roman" w:eastAsia="Times New Roman" w:hint="default"/>
          <w:spacing w:val="13"/>
        </w:rPr>
        <w:t>ATM</w:t>
      </w:r>
      <w:r>
        <w:rPr>
          <w:spacing w:val="13"/>
        </w:rPr>
        <w:t>技术、金融服务较上年同期增长</w:t>
      </w:r>
      <w:r>
        <w:rPr>
          <w:spacing w:val="-116"/>
        </w:rPr>
        <w:t> </w:t>
      </w:r>
      <w:r>
        <w:rPr>
          <w:spacing w:val="-116"/>
        </w:rPr>
      </w:r>
      <w:r>
        <w:rPr>
          <w:rFonts w:ascii="Times New Roman" w:hAnsi="Times New Roman" w:cs="Times New Roman" w:eastAsia="Times New Roman" w:hint="default"/>
        </w:rPr>
        <w:t>82.64%</w:t>
      </w:r>
      <w:r>
        <w:rPr/>
        <w:t>，主要是有偿维护的</w:t>
      </w:r>
      <w:r>
        <w:rPr>
          <w:rFonts w:ascii="Times New Roman" w:hAnsi="Times New Roman" w:cs="Times New Roman" w:eastAsia="Times New Roman" w:hint="default"/>
        </w:rPr>
        <w:t>ATM</w:t>
      </w:r>
      <w:r>
        <w:rPr/>
        <w:t>设备大幅增长所致。</w:t>
      </w:r>
    </w:p>
    <w:p>
      <w:pPr>
        <w:pStyle w:val="BodyText"/>
        <w:spacing w:line="240" w:lineRule="auto" w:before="27"/>
        <w:ind w:left="757" w:right="2306"/>
        <w:jc w:val="left"/>
      </w:pPr>
      <w:r>
        <w:rPr>
          <w:rFonts w:ascii="Times New Roman" w:hAnsi="Times New Roman" w:cs="Times New Roman" w:eastAsia="Times New Roman" w:hint="default"/>
        </w:rPr>
        <w:t>2</w:t>
      </w:r>
      <w:r>
        <w:rPr/>
        <w:t>、主营业务分地区情况表</w:t>
      </w:r>
    </w:p>
    <w:p>
      <w:pPr>
        <w:spacing w:before="184"/>
        <w:ind w:left="0" w:right="473" w:firstLine="0"/>
        <w:jc w:val="right"/>
        <w:rPr>
          <w:rFonts w:ascii="宋体" w:hAnsi="宋体" w:cs="宋体" w:eastAsia="宋体" w:hint="default"/>
          <w:sz w:val="18"/>
          <w:szCs w:val="18"/>
        </w:rPr>
      </w:pPr>
      <w:r>
        <w:rPr>
          <w:rFonts w:ascii="宋体" w:hAnsi="宋体" w:cs="宋体" w:eastAsia="宋体" w:hint="default"/>
          <w:sz w:val="18"/>
          <w:szCs w:val="18"/>
        </w:rPr>
        <w:t>单位：（人民币）万元</w:t>
      </w:r>
    </w:p>
    <w:p>
      <w:pPr>
        <w:spacing w:line="240" w:lineRule="auto" w:before="13"/>
        <w:rPr>
          <w:rFonts w:ascii="宋体" w:hAnsi="宋体" w:cs="宋体" w:eastAsia="宋体" w:hint="default"/>
          <w:sz w:val="10"/>
          <w:szCs w:val="10"/>
        </w:rPr>
      </w:pPr>
    </w:p>
    <w:tbl>
      <w:tblPr>
        <w:tblW w:w="0" w:type="auto"/>
        <w:jc w:val="left"/>
        <w:tblInd w:w="187" w:type="dxa"/>
        <w:tblLayout w:type="fixed"/>
        <w:tblCellMar>
          <w:top w:w="0" w:type="dxa"/>
          <w:left w:w="0" w:type="dxa"/>
          <w:bottom w:w="0" w:type="dxa"/>
          <w:right w:w="0" w:type="dxa"/>
        </w:tblCellMar>
        <w:tblLook w:val="01E0"/>
      </w:tblPr>
      <w:tblGrid>
        <w:gridCol w:w="3480"/>
        <w:gridCol w:w="2668"/>
        <w:gridCol w:w="2808"/>
      </w:tblGrid>
      <w:tr>
        <w:trPr>
          <w:trHeight w:val="330" w:hRule="exact"/>
        </w:trPr>
        <w:tc>
          <w:tcPr>
            <w:tcW w:w="34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地区</w:t>
            </w:r>
          </w:p>
        </w:tc>
        <w:tc>
          <w:tcPr>
            <w:tcW w:w="266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280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333" w:right="0"/>
              <w:jc w:val="left"/>
              <w:rPr>
                <w:rFonts w:ascii="宋体" w:hAnsi="宋体" w:cs="宋体" w:eastAsia="宋体" w:hint="default"/>
                <w:sz w:val="18"/>
                <w:szCs w:val="18"/>
              </w:rPr>
            </w:pPr>
            <w:r>
              <w:rPr>
                <w:rFonts w:ascii="宋体" w:hAnsi="宋体" w:cs="宋体" w:eastAsia="宋体" w:hint="default"/>
                <w:sz w:val="18"/>
                <w:szCs w:val="18"/>
              </w:rPr>
              <w:t>营业收入比上年增减（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30" w:hRule="exact"/>
        </w:trPr>
        <w:tc>
          <w:tcPr>
            <w:tcW w:w="3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广州地区</w:t>
            </w:r>
          </w:p>
        </w:tc>
        <w:tc>
          <w:tcPr>
            <w:tcW w:w="2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9"/>
              <w:jc w:val="right"/>
              <w:rPr>
                <w:rFonts w:ascii="Times New Roman" w:hAnsi="Times New Roman" w:cs="Times New Roman" w:eastAsia="Times New Roman" w:hint="default"/>
                <w:sz w:val="18"/>
                <w:szCs w:val="18"/>
              </w:rPr>
            </w:pPr>
            <w:r>
              <w:rPr>
                <w:rFonts w:ascii="Times New Roman"/>
                <w:sz w:val="18"/>
              </w:rPr>
              <w:t>9,459.69</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w w:val="95"/>
                <w:sz w:val="18"/>
              </w:rPr>
              <w:t>48.49%</w:t>
            </w:r>
            <w:r>
              <w:rPr>
                <w:rFonts w:ascii="Times New Roman"/>
                <w:sz w:val="18"/>
              </w:rPr>
            </w:r>
          </w:p>
        </w:tc>
      </w:tr>
      <w:tr>
        <w:trPr>
          <w:trHeight w:val="330" w:hRule="exact"/>
        </w:trPr>
        <w:tc>
          <w:tcPr>
            <w:tcW w:w="3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广东省（除广州）地区</w:t>
            </w:r>
          </w:p>
        </w:tc>
        <w:tc>
          <w:tcPr>
            <w:tcW w:w="2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9"/>
              <w:jc w:val="right"/>
              <w:rPr>
                <w:rFonts w:ascii="Times New Roman" w:hAnsi="Times New Roman" w:cs="Times New Roman" w:eastAsia="Times New Roman" w:hint="default"/>
                <w:sz w:val="18"/>
                <w:szCs w:val="18"/>
              </w:rPr>
            </w:pPr>
            <w:r>
              <w:rPr>
                <w:rFonts w:ascii="Times New Roman"/>
                <w:sz w:val="18"/>
              </w:rPr>
              <w:t>22,670.00</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0"/>
              <w:jc w:val="right"/>
              <w:rPr>
                <w:rFonts w:ascii="Times New Roman" w:hAnsi="Times New Roman" w:cs="Times New Roman" w:eastAsia="Times New Roman" w:hint="default"/>
                <w:sz w:val="18"/>
                <w:szCs w:val="18"/>
              </w:rPr>
            </w:pPr>
            <w:r>
              <w:rPr>
                <w:rFonts w:ascii="Times New Roman"/>
                <w:w w:val="95"/>
                <w:sz w:val="18"/>
              </w:rPr>
              <w:t>59.78%</w:t>
            </w:r>
            <w:r>
              <w:rPr>
                <w:rFonts w:ascii="Times New Roman"/>
                <w:sz w:val="18"/>
              </w:rPr>
            </w:r>
          </w:p>
        </w:tc>
      </w:tr>
      <w:tr>
        <w:trPr>
          <w:trHeight w:val="330" w:hRule="exact"/>
        </w:trPr>
        <w:tc>
          <w:tcPr>
            <w:tcW w:w="3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广东省外地区</w:t>
            </w:r>
          </w:p>
        </w:tc>
        <w:tc>
          <w:tcPr>
            <w:tcW w:w="2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9"/>
              <w:jc w:val="right"/>
              <w:rPr>
                <w:rFonts w:ascii="Times New Roman" w:hAnsi="Times New Roman" w:cs="Times New Roman" w:eastAsia="Times New Roman" w:hint="default"/>
                <w:sz w:val="18"/>
                <w:szCs w:val="18"/>
              </w:rPr>
            </w:pPr>
            <w:r>
              <w:rPr>
                <w:rFonts w:ascii="Times New Roman"/>
                <w:sz w:val="18"/>
              </w:rPr>
              <w:t>41,542.35</w:t>
            </w:r>
          </w:p>
        </w:tc>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0"/>
              <w:jc w:val="right"/>
              <w:rPr>
                <w:rFonts w:ascii="Times New Roman" w:hAnsi="Times New Roman" w:cs="Times New Roman" w:eastAsia="Times New Roman" w:hint="default"/>
                <w:sz w:val="18"/>
                <w:szCs w:val="18"/>
              </w:rPr>
            </w:pPr>
            <w:r>
              <w:rPr>
                <w:rFonts w:ascii="Times New Roman"/>
                <w:w w:val="95"/>
                <w:sz w:val="18"/>
              </w:rPr>
              <w:t>60.26%</w:t>
            </w:r>
            <w:r>
              <w:rPr>
                <w:rFonts w:ascii="Times New Roman"/>
                <w:sz w:val="18"/>
              </w:rPr>
            </w:r>
          </w:p>
        </w:tc>
      </w:tr>
    </w:tbl>
    <w:p>
      <w:pPr>
        <w:pStyle w:val="BodyText"/>
        <w:spacing w:line="357" w:lineRule="auto" w:before="40"/>
        <w:ind w:left="580" w:right="469" w:firstLine="120"/>
        <w:jc w:val="left"/>
      </w:pPr>
      <w:r>
        <w:rPr/>
        <w:t>注释： </w:t>
      </w:r>
      <w:r>
        <w:rPr>
          <w:spacing w:val="-3"/>
        </w:rPr>
        <w:t>报告期内，随着公司对全国各地市场的不断开拓，广东省外地区、广东省（除广</w:t>
      </w:r>
    </w:p>
    <w:p>
      <w:pPr>
        <w:pStyle w:val="BodyText"/>
        <w:spacing w:line="338" w:lineRule="auto" w:before="36"/>
        <w:ind w:left="219" w:right="470"/>
        <w:jc w:val="left"/>
      </w:pPr>
      <w:r>
        <w:rPr/>
        <w:t>州）地区、广州地区的营业收入分别较上年同期增长</w:t>
      </w:r>
      <w:r>
        <w:rPr>
          <w:spacing w:val="-79"/>
        </w:rPr>
        <w:t> </w:t>
      </w:r>
      <w:r>
        <w:rPr>
          <w:rFonts w:ascii="Times New Roman" w:hAnsi="Times New Roman" w:cs="Times New Roman" w:eastAsia="Times New Roman" w:hint="default"/>
          <w:spacing w:val="-3"/>
        </w:rPr>
        <w:t>60.26%</w:t>
      </w:r>
      <w:r>
        <w:rPr>
          <w:spacing w:val="-3"/>
        </w:rPr>
        <w:t>、</w:t>
      </w:r>
      <w:r>
        <w:rPr>
          <w:rFonts w:ascii="Times New Roman" w:hAnsi="Times New Roman" w:cs="Times New Roman" w:eastAsia="Times New Roman" w:hint="default"/>
          <w:spacing w:val="-3"/>
        </w:rPr>
        <w:t>59.78%</w:t>
      </w:r>
      <w:r>
        <w:rPr>
          <w:spacing w:val="-3"/>
        </w:rPr>
        <w:t>、</w:t>
      </w:r>
      <w:r>
        <w:rPr>
          <w:rFonts w:ascii="Times New Roman" w:hAnsi="Times New Roman" w:cs="Times New Roman" w:eastAsia="Times New Roman" w:hint="default"/>
          <w:spacing w:val="-3"/>
        </w:rPr>
        <w:t>48.49%</w:t>
      </w:r>
      <w:r>
        <w:rPr>
          <w:spacing w:val="-3"/>
        </w:rPr>
        <w:t>，主</w:t>
      </w:r>
      <w:r>
        <w:rPr>
          <w:spacing w:val="-15"/>
        </w:rPr>
        <w:t> </w:t>
      </w:r>
      <w:r>
        <w:rPr/>
        <w:t>要是</w:t>
      </w:r>
      <w:r>
        <w:rPr>
          <w:spacing w:val="-62"/>
        </w:rPr>
        <w:t> </w:t>
      </w:r>
      <w:r>
        <w:rPr>
          <w:rFonts w:ascii="Times New Roman" w:hAnsi="Times New Roman" w:cs="Times New Roman" w:eastAsia="Times New Roman" w:hint="default"/>
        </w:rPr>
        <w:t>ATM</w:t>
      </w:r>
      <w:r>
        <w:rPr>
          <w:rFonts w:ascii="Times New Roman" w:hAnsi="Times New Roman" w:cs="Times New Roman" w:eastAsia="Times New Roman" w:hint="default"/>
          <w:spacing w:val="-2"/>
        </w:rPr>
        <w:t> </w:t>
      </w:r>
      <w:r>
        <w:rPr/>
        <w:t>产品销售、</w:t>
      </w:r>
      <w:r>
        <w:rPr>
          <w:rFonts w:ascii="Times New Roman" w:hAnsi="Times New Roman" w:cs="Times New Roman" w:eastAsia="Times New Roman" w:hint="default"/>
        </w:rPr>
        <w:t>ATM</w:t>
      </w:r>
      <w:r>
        <w:rPr>
          <w:rFonts w:ascii="Times New Roman" w:hAnsi="Times New Roman" w:cs="Times New Roman" w:eastAsia="Times New Roman" w:hint="default"/>
          <w:spacing w:val="-2"/>
        </w:rPr>
        <w:t> </w:t>
      </w:r>
      <w:r>
        <w:rPr/>
        <w:t>运营服务收入大幅增长所致。</w:t>
      </w:r>
    </w:p>
    <w:p>
      <w:pPr>
        <w:pStyle w:val="BodyText"/>
        <w:spacing w:line="240" w:lineRule="auto" w:before="27"/>
        <w:ind w:left="757" w:right="2306"/>
        <w:jc w:val="left"/>
      </w:pPr>
      <w:r>
        <w:rPr>
          <w:rFonts w:ascii="Times New Roman" w:hAnsi="Times New Roman" w:cs="Times New Roman" w:eastAsia="Times New Roman" w:hint="default"/>
        </w:rPr>
        <w:t>3</w:t>
      </w:r>
      <w:r>
        <w:rPr/>
        <w:t>、占营业收入或营业利润总额</w:t>
      </w:r>
      <w:r>
        <w:rPr>
          <w:spacing w:val="-60"/>
        </w:rPr>
        <w:t> </w:t>
      </w:r>
      <w:r>
        <w:rPr>
          <w:rFonts w:ascii="Times New Roman" w:hAnsi="Times New Roman" w:cs="Times New Roman" w:eastAsia="Times New Roman" w:hint="default"/>
        </w:rPr>
        <w:t>10%</w:t>
      </w:r>
      <w:r>
        <w:rPr/>
        <w:t>以上的主要产品</w:t>
      </w:r>
    </w:p>
    <w:p>
      <w:pPr>
        <w:spacing w:before="184"/>
        <w:ind w:left="0" w:right="473" w:firstLine="0"/>
        <w:jc w:val="right"/>
        <w:rPr>
          <w:rFonts w:ascii="宋体" w:hAnsi="宋体" w:cs="宋体" w:eastAsia="宋体" w:hint="default"/>
          <w:sz w:val="18"/>
          <w:szCs w:val="18"/>
        </w:rPr>
      </w:pPr>
      <w:r>
        <w:rPr>
          <w:rFonts w:ascii="宋体" w:hAnsi="宋体" w:cs="宋体" w:eastAsia="宋体" w:hint="default"/>
          <w:sz w:val="18"/>
          <w:szCs w:val="18"/>
        </w:rPr>
        <w:t>单位：（人民币）万元</w:t>
      </w:r>
    </w:p>
    <w:p>
      <w:pPr>
        <w:spacing w:line="240" w:lineRule="auto" w:before="1"/>
        <w:rPr>
          <w:rFonts w:ascii="宋体" w:hAnsi="宋体" w:cs="宋体" w:eastAsia="宋体" w:hint="default"/>
          <w:sz w:val="11"/>
          <w:szCs w:val="11"/>
        </w:rPr>
      </w:pPr>
    </w:p>
    <w:tbl>
      <w:tblPr>
        <w:tblW w:w="0" w:type="auto"/>
        <w:jc w:val="left"/>
        <w:tblInd w:w="107" w:type="dxa"/>
        <w:tblLayout w:type="fixed"/>
        <w:tblCellMar>
          <w:top w:w="0" w:type="dxa"/>
          <w:left w:w="0" w:type="dxa"/>
          <w:bottom w:w="0" w:type="dxa"/>
          <w:right w:w="0" w:type="dxa"/>
        </w:tblCellMar>
        <w:tblLook w:val="01E0"/>
      </w:tblPr>
      <w:tblGrid>
        <w:gridCol w:w="1728"/>
        <w:gridCol w:w="1608"/>
        <w:gridCol w:w="2346"/>
        <w:gridCol w:w="1806"/>
        <w:gridCol w:w="1440"/>
      </w:tblGrid>
      <w:tr>
        <w:trPr>
          <w:trHeight w:val="346" w:hRule="exact"/>
        </w:trPr>
        <w:tc>
          <w:tcPr>
            <w:tcW w:w="172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64"/>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64"/>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234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64"/>
              <w:ind w:right="0"/>
              <w:jc w:val="center"/>
              <w:rPr>
                <w:rFonts w:ascii="宋体" w:hAnsi="宋体" w:cs="宋体" w:eastAsia="宋体" w:hint="default"/>
                <w:sz w:val="18"/>
                <w:szCs w:val="18"/>
              </w:rPr>
            </w:pPr>
            <w:r>
              <w:rPr>
                <w:rFonts w:ascii="宋体" w:hAnsi="宋体" w:cs="宋体" w:eastAsia="宋体" w:hint="default"/>
                <w:sz w:val="18"/>
                <w:szCs w:val="18"/>
              </w:rPr>
              <w:t>占主营业务收入比例（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80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64"/>
              <w:ind w:right="1"/>
              <w:jc w:val="center"/>
              <w:rPr>
                <w:rFonts w:ascii="宋体" w:hAnsi="宋体" w:cs="宋体" w:eastAsia="宋体" w:hint="default"/>
                <w:sz w:val="18"/>
                <w:szCs w:val="18"/>
              </w:rPr>
            </w:pPr>
            <w:r>
              <w:rPr>
                <w:rFonts w:ascii="宋体" w:hAnsi="宋体" w:cs="宋体" w:eastAsia="宋体" w:hint="default"/>
                <w:sz w:val="18"/>
                <w:szCs w:val="18"/>
              </w:rPr>
              <w:t>营业利润</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64"/>
              <w:ind w:right="1"/>
              <w:jc w:val="center"/>
              <w:rPr>
                <w:rFonts w:ascii="宋体" w:hAnsi="宋体" w:cs="宋体" w:eastAsia="宋体" w:hint="default"/>
                <w:sz w:val="18"/>
                <w:szCs w:val="18"/>
              </w:rPr>
            </w:pPr>
            <w:r>
              <w:rPr>
                <w:rFonts w:ascii="宋体" w:hAnsi="宋体" w:cs="宋体" w:eastAsia="宋体" w:hint="default"/>
                <w:sz w:val="18"/>
                <w:szCs w:val="18"/>
              </w:rPr>
              <w:t>毛利率（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30" w:hRule="exact"/>
        </w:trPr>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产品销售</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775" w:right="0"/>
              <w:jc w:val="left"/>
              <w:rPr>
                <w:rFonts w:ascii="Times New Roman" w:hAnsi="Times New Roman" w:cs="Times New Roman" w:eastAsia="Times New Roman" w:hint="default"/>
                <w:sz w:val="18"/>
                <w:szCs w:val="18"/>
              </w:rPr>
            </w:pPr>
            <w:r>
              <w:rPr>
                <w:rFonts w:ascii="Times New Roman"/>
                <w:sz w:val="18"/>
              </w:rPr>
              <w:t>35,420.60</w:t>
            </w:r>
          </w:p>
        </w:tc>
        <w:tc>
          <w:tcPr>
            <w:tcW w:w="2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48.08%</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18,749.21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Times New Roman" w:hAnsi="Times New Roman" w:cs="Times New Roman" w:eastAsia="Times New Roman" w:hint="default"/>
                <w:sz w:val="18"/>
                <w:szCs w:val="18"/>
              </w:rPr>
            </w:pPr>
            <w:r>
              <w:rPr>
                <w:rFonts w:ascii="Times New Roman"/>
                <w:sz w:val="18"/>
              </w:rPr>
              <w:t>52.93%</w:t>
            </w:r>
          </w:p>
        </w:tc>
      </w:tr>
    </w:tbl>
    <w:p>
      <w:pPr>
        <w:spacing w:after="0" w:line="240" w:lineRule="auto"/>
        <w:jc w:val="center"/>
        <w:rPr>
          <w:rFonts w:ascii="Times New Roman" w:hAnsi="Times New Roman" w:cs="Times New Roman" w:eastAsia="Times New Roman" w:hint="default"/>
          <w:sz w:val="18"/>
          <w:szCs w:val="18"/>
        </w:rPr>
        <w:sectPr>
          <w:pgSz w:w="11910" w:h="16840"/>
          <w:pgMar w:header="877" w:footer="1048" w:top="1100" w:bottom="1240" w:left="1580" w:right="940"/>
        </w:sectPr>
      </w:pPr>
    </w:p>
    <w:p>
      <w:pPr>
        <w:spacing w:line="240" w:lineRule="auto" w:before="6"/>
        <w:rPr>
          <w:rFonts w:ascii="宋体" w:hAnsi="宋体" w:cs="宋体" w:eastAsia="宋体" w:hint="default"/>
          <w:sz w:val="24"/>
          <w:szCs w:val="24"/>
        </w:rPr>
      </w:pPr>
    </w:p>
    <w:tbl>
      <w:tblPr>
        <w:tblW w:w="0" w:type="auto"/>
        <w:jc w:val="left"/>
        <w:tblInd w:w="107" w:type="dxa"/>
        <w:tblLayout w:type="fixed"/>
        <w:tblCellMar>
          <w:top w:w="0" w:type="dxa"/>
          <w:left w:w="0" w:type="dxa"/>
          <w:bottom w:w="0" w:type="dxa"/>
          <w:right w:w="0" w:type="dxa"/>
        </w:tblCellMar>
        <w:tblLook w:val="01E0"/>
      </w:tblPr>
      <w:tblGrid>
        <w:gridCol w:w="1728"/>
        <w:gridCol w:w="1608"/>
        <w:gridCol w:w="2346"/>
        <w:gridCol w:w="1806"/>
        <w:gridCol w:w="1440"/>
      </w:tblGrid>
      <w:tr>
        <w:trPr>
          <w:trHeight w:val="330" w:hRule="exact"/>
        </w:trPr>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合作运营服务</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16,737.09</w:t>
            </w:r>
          </w:p>
        </w:tc>
        <w:tc>
          <w:tcPr>
            <w:tcW w:w="2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22.72%</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580"/>
              <w:jc w:val="right"/>
              <w:rPr>
                <w:rFonts w:ascii="Times New Roman" w:hAnsi="Times New Roman" w:cs="Times New Roman" w:eastAsia="Times New Roman" w:hint="default"/>
                <w:sz w:val="18"/>
                <w:szCs w:val="18"/>
              </w:rPr>
            </w:pPr>
            <w:r>
              <w:rPr>
                <w:rFonts w:ascii="Times New Roman"/>
                <w:sz w:val="18"/>
              </w:rPr>
              <w:t>8,265.49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38" w:right="0"/>
              <w:jc w:val="left"/>
              <w:rPr>
                <w:rFonts w:ascii="Times New Roman" w:hAnsi="Times New Roman" w:cs="Times New Roman" w:eastAsia="Times New Roman" w:hint="default"/>
                <w:sz w:val="18"/>
                <w:szCs w:val="18"/>
              </w:rPr>
            </w:pPr>
            <w:r>
              <w:rPr>
                <w:rFonts w:ascii="Times New Roman"/>
                <w:sz w:val="18"/>
              </w:rPr>
              <w:t>49.38%</w:t>
            </w:r>
          </w:p>
        </w:tc>
      </w:tr>
      <w:tr>
        <w:trPr>
          <w:trHeight w:val="330" w:hRule="exact"/>
        </w:trPr>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融资租赁</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19,957.46</w:t>
            </w:r>
          </w:p>
        </w:tc>
        <w:tc>
          <w:tcPr>
            <w:tcW w:w="2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27.09%</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535"/>
              <w:jc w:val="right"/>
              <w:rPr>
                <w:rFonts w:ascii="Times New Roman" w:hAnsi="Times New Roman" w:cs="Times New Roman" w:eastAsia="Times New Roman" w:hint="default"/>
                <w:sz w:val="18"/>
                <w:szCs w:val="18"/>
              </w:rPr>
            </w:pPr>
            <w:r>
              <w:rPr>
                <w:rFonts w:ascii="Times New Roman"/>
                <w:sz w:val="18"/>
              </w:rPr>
              <w:t>10,427.88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37" w:right="0"/>
              <w:jc w:val="left"/>
              <w:rPr>
                <w:rFonts w:ascii="Times New Roman" w:hAnsi="Times New Roman" w:cs="Times New Roman" w:eastAsia="Times New Roman" w:hint="default"/>
                <w:sz w:val="18"/>
                <w:szCs w:val="18"/>
              </w:rPr>
            </w:pPr>
            <w:r>
              <w:rPr>
                <w:rFonts w:ascii="Times New Roman"/>
                <w:sz w:val="18"/>
              </w:rPr>
              <w:t>52.25%</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357" w:lineRule="auto" w:before="26"/>
        <w:ind w:left="700" w:right="418" w:firstLine="57"/>
        <w:jc w:val="left"/>
      </w:pPr>
      <w:r>
        <w:rPr/>
        <w:t>（五）报告期内公司主营业务或结构及盈利能力变化的说明 </w:t>
      </w:r>
      <w:r>
        <w:rPr>
          <w:spacing w:val="-3"/>
        </w:rPr>
        <w:t>报告期内，公司主营业务仍为</w:t>
      </w:r>
      <w:r>
        <w:rPr>
          <w:spacing w:val="-58"/>
        </w:rPr>
        <w:t> </w:t>
      </w:r>
      <w:r>
        <w:rPr>
          <w:rFonts w:ascii="Times New Roman" w:hAnsi="Times New Roman" w:cs="Times New Roman" w:eastAsia="Times New Roman" w:hint="default"/>
        </w:rPr>
        <w:t>ATM</w:t>
      </w:r>
      <w:r>
        <w:rPr>
          <w:rFonts w:ascii="Times New Roman" w:hAnsi="Times New Roman" w:cs="Times New Roman" w:eastAsia="Times New Roman" w:hint="default"/>
          <w:spacing w:val="2"/>
        </w:rPr>
        <w:t> </w:t>
      </w:r>
      <w:r>
        <w:rPr/>
        <w:t>产品销售以及</w:t>
      </w:r>
      <w:r>
        <w:rPr>
          <w:spacing w:val="-58"/>
        </w:rPr>
        <w:t> </w:t>
      </w:r>
      <w:r>
        <w:rPr>
          <w:rFonts w:ascii="Times New Roman" w:hAnsi="Times New Roman" w:cs="Times New Roman" w:eastAsia="Times New Roman" w:hint="default"/>
        </w:rPr>
        <w:t>ATM</w:t>
      </w:r>
      <w:r>
        <w:rPr>
          <w:rFonts w:ascii="Times New Roman" w:hAnsi="Times New Roman" w:cs="Times New Roman" w:eastAsia="Times New Roman" w:hint="default"/>
          <w:spacing w:val="2"/>
        </w:rPr>
        <w:t> </w:t>
      </w:r>
      <w:r>
        <w:rPr>
          <w:spacing w:val="-3"/>
        </w:rPr>
        <w:t>运营服务，其结构及盈</w:t>
      </w:r>
    </w:p>
    <w:p>
      <w:pPr>
        <w:pStyle w:val="BodyText"/>
        <w:spacing w:line="252" w:lineRule="exact" w:before="0"/>
        <w:ind w:left="220" w:right="418"/>
        <w:jc w:val="left"/>
        <w:rPr>
          <w:sz w:val="21"/>
          <w:szCs w:val="21"/>
        </w:rPr>
      </w:pPr>
      <w:r>
        <w:rPr/>
        <w:t>利能力未发生重大变化</w:t>
      </w:r>
      <w:r>
        <w:rPr>
          <w:sz w:val="21"/>
          <w:szCs w:val="21"/>
        </w:rPr>
        <w:t>。</w:t>
      </w:r>
    </w:p>
    <w:p>
      <w:pPr>
        <w:spacing w:line="240" w:lineRule="auto" w:before="0"/>
        <w:rPr>
          <w:rFonts w:ascii="宋体" w:hAnsi="宋体" w:cs="宋体" w:eastAsia="宋体" w:hint="default"/>
          <w:sz w:val="24"/>
          <w:szCs w:val="24"/>
        </w:rPr>
      </w:pPr>
    </w:p>
    <w:p>
      <w:pPr>
        <w:pStyle w:val="BodyText"/>
        <w:spacing w:line="357" w:lineRule="auto" w:before="171"/>
        <w:ind w:left="700" w:right="464" w:firstLine="57"/>
        <w:jc w:val="left"/>
      </w:pPr>
      <w:r>
        <w:rPr/>
        <w:t>（六）报告期内订单获取和执行情况 公司与客户签订框架式销售合同，并按照客户的订单指令安排生产计划。报告</w:t>
      </w:r>
    </w:p>
    <w:p>
      <w:pPr>
        <w:pStyle w:val="BodyText"/>
        <w:spacing w:line="357" w:lineRule="auto" w:before="36"/>
        <w:ind w:left="220" w:right="464"/>
        <w:jc w:val="left"/>
      </w:pPr>
      <w:r>
        <w:rPr/>
        <w:t>期内，公司订单增长的主要原因是加大新老客户的开发力度，为公司销售收入的持 续增长提供了保证。</w:t>
      </w:r>
    </w:p>
    <w:p>
      <w:pPr>
        <w:pStyle w:val="BodyText"/>
        <w:spacing w:line="350" w:lineRule="auto" w:before="36"/>
        <w:ind w:left="220" w:right="298" w:firstLine="420"/>
        <w:jc w:val="left"/>
      </w:pPr>
      <w:r>
        <w:rPr>
          <w:spacing w:val="2"/>
        </w:rPr>
        <w:t>由于公司获取订单的时间比较分散，而会计核算实现销售收入的原则是以公司</w:t>
      </w:r>
      <w:r>
        <w:rPr>
          <w:spacing w:val="3"/>
        </w:rPr>
        <w:t> </w:t>
      </w:r>
      <w:r>
        <w:rPr/>
        <w:t>确认</w:t>
      </w:r>
      <w:r>
        <w:rPr>
          <w:spacing w:val="-58"/>
        </w:rPr>
        <w:t> </w:t>
      </w:r>
      <w:r>
        <w:rPr>
          <w:rFonts w:ascii="Times New Roman" w:hAnsi="Times New Roman" w:cs="Times New Roman" w:eastAsia="Times New Roman" w:hint="default"/>
        </w:rPr>
        <w:t>ATM</w:t>
      </w:r>
      <w:r>
        <w:rPr>
          <w:rFonts w:ascii="Times New Roman" w:hAnsi="Times New Roman" w:cs="Times New Roman" w:eastAsia="Times New Roman" w:hint="default"/>
          <w:spacing w:val="2"/>
        </w:rPr>
        <w:t> </w:t>
      </w:r>
      <w:r>
        <w:rPr>
          <w:spacing w:val="-5"/>
        </w:rPr>
        <w:t>上线验收为准，因此公司订单存在跨期确认收入的情况。截至</w:t>
      </w:r>
      <w:r>
        <w:rPr>
          <w:spacing w:val="-58"/>
        </w:rPr>
        <w:t> </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年底， 结转到以后年度执行的包括中国建设银行股份有限公司、邮政总局等下达的订单金</w:t>
      </w:r>
      <w:r>
        <w:rPr>
          <w:spacing w:val="-84"/>
        </w:rPr>
        <w:t> </w:t>
      </w:r>
      <w:r>
        <w:rPr>
          <w:spacing w:val="-84"/>
        </w:rPr>
      </w:r>
      <w:r>
        <w:rPr/>
        <w:t>额约</w:t>
      </w:r>
      <w:r>
        <w:rPr>
          <w:spacing w:val="-60"/>
        </w:rPr>
        <w:t> </w:t>
      </w:r>
      <w:r>
        <w:rPr>
          <w:rFonts w:ascii="Times New Roman" w:hAnsi="Times New Roman" w:cs="Times New Roman" w:eastAsia="Times New Roman" w:hint="default"/>
        </w:rPr>
        <w:t>10,000 </w:t>
      </w:r>
      <w:r>
        <w:rPr/>
        <w:t>万元。</w:t>
      </w:r>
    </w:p>
    <w:p>
      <w:pPr>
        <w:spacing w:line="240" w:lineRule="auto" w:before="0"/>
        <w:rPr>
          <w:rFonts w:ascii="宋体" w:hAnsi="宋体" w:cs="宋体" w:eastAsia="宋体" w:hint="default"/>
          <w:sz w:val="24"/>
          <w:szCs w:val="24"/>
        </w:rPr>
      </w:pPr>
    </w:p>
    <w:p>
      <w:pPr>
        <w:pStyle w:val="BodyText"/>
        <w:spacing w:line="240" w:lineRule="auto" w:before="167"/>
        <w:ind w:left="757" w:right="418"/>
        <w:jc w:val="left"/>
      </w:pPr>
      <w:r>
        <w:rPr/>
        <w:t>（七）毛利率变动情况</w:t>
      </w:r>
    </w:p>
    <w:p>
      <w:pPr>
        <w:spacing w:line="240" w:lineRule="auto" w:before="10"/>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2448"/>
        <w:gridCol w:w="1620"/>
        <w:gridCol w:w="1620"/>
        <w:gridCol w:w="1800"/>
        <w:gridCol w:w="1620"/>
      </w:tblGrid>
      <w:tr>
        <w:trPr>
          <w:trHeight w:val="650" w:hRule="exact"/>
        </w:trPr>
        <w:tc>
          <w:tcPr>
            <w:tcW w:w="244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毛利率</w:t>
            </w:r>
          </w:p>
        </w:tc>
        <w:tc>
          <w:tcPr>
            <w:tcW w:w="16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5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0" w:lineRule="exact" w:before="11"/>
              <w:ind w:left="549" w:right="173" w:hanging="375"/>
              <w:jc w:val="left"/>
              <w:rPr>
                <w:rFonts w:ascii="宋体" w:hAnsi="宋体" w:cs="宋体" w:eastAsia="宋体" w:hint="default"/>
                <w:sz w:val="18"/>
                <w:szCs w:val="18"/>
              </w:rPr>
            </w:pPr>
            <w:r>
              <w:rPr>
                <w:rFonts w:ascii="宋体" w:hAnsi="宋体" w:cs="宋体" w:eastAsia="宋体" w:hint="default"/>
                <w:sz w:val="18"/>
                <w:szCs w:val="18"/>
              </w:rPr>
              <w:t>本年比上年增减幅 度（</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6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5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30" w:hRule="exact"/>
        </w:trPr>
        <w:tc>
          <w:tcPr>
            <w:tcW w:w="2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ATM</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产品销售</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528" w:right="0"/>
              <w:jc w:val="left"/>
              <w:rPr>
                <w:rFonts w:ascii="Times New Roman" w:hAnsi="Times New Roman" w:cs="Times New Roman" w:eastAsia="Times New Roman" w:hint="default"/>
                <w:sz w:val="18"/>
                <w:szCs w:val="18"/>
              </w:rPr>
            </w:pPr>
            <w:r>
              <w:rPr>
                <w:rFonts w:ascii="Times New Roman"/>
                <w:sz w:val="18"/>
              </w:rPr>
              <w:t>52.93%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 w:right="0"/>
              <w:jc w:val="center"/>
              <w:rPr>
                <w:rFonts w:ascii="Times New Roman" w:hAnsi="Times New Roman" w:cs="Times New Roman" w:eastAsia="Times New Roman" w:hint="default"/>
                <w:sz w:val="18"/>
                <w:szCs w:val="18"/>
              </w:rPr>
            </w:pPr>
            <w:r>
              <w:rPr>
                <w:rFonts w:ascii="Times New Roman"/>
                <w:sz w:val="18"/>
              </w:rPr>
              <w:t>54.36%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-1.43%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528" w:right="0"/>
              <w:jc w:val="left"/>
              <w:rPr>
                <w:rFonts w:ascii="Times New Roman" w:hAnsi="Times New Roman" w:cs="Times New Roman" w:eastAsia="Times New Roman" w:hint="default"/>
                <w:sz w:val="18"/>
                <w:szCs w:val="18"/>
              </w:rPr>
            </w:pPr>
            <w:r>
              <w:rPr>
                <w:rFonts w:ascii="Times New Roman"/>
                <w:sz w:val="18"/>
              </w:rPr>
              <w:t>49.85%</w:t>
            </w:r>
          </w:p>
        </w:tc>
      </w:tr>
      <w:tr>
        <w:trPr>
          <w:trHeight w:val="330" w:hRule="exact"/>
        </w:trPr>
        <w:tc>
          <w:tcPr>
            <w:tcW w:w="2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ATM</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合作运营服务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528" w:right="0"/>
              <w:jc w:val="left"/>
              <w:rPr>
                <w:rFonts w:ascii="Times New Roman" w:hAnsi="Times New Roman" w:cs="Times New Roman" w:eastAsia="Times New Roman" w:hint="default"/>
                <w:sz w:val="18"/>
                <w:szCs w:val="18"/>
              </w:rPr>
            </w:pPr>
            <w:r>
              <w:rPr>
                <w:rFonts w:ascii="Times New Roman"/>
                <w:sz w:val="18"/>
              </w:rPr>
              <w:t>49.38%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 w:right="0"/>
              <w:jc w:val="center"/>
              <w:rPr>
                <w:rFonts w:ascii="Times New Roman" w:hAnsi="Times New Roman" w:cs="Times New Roman" w:eastAsia="Times New Roman" w:hint="default"/>
                <w:sz w:val="18"/>
                <w:szCs w:val="18"/>
              </w:rPr>
            </w:pPr>
            <w:r>
              <w:rPr>
                <w:rFonts w:ascii="Times New Roman"/>
                <w:sz w:val="18"/>
              </w:rPr>
              <w:t>48.47%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0.91%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528" w:right="0"/>
              <w:jc w:val="left"/>
              <w:rPr>
                <w:rFonts w:ascii="Times New Roman" w:hAnsi="Times New Roman" w:cs="Times New Roman" w:eastAsia="Times New Roman" w:hint="default"/>
                <w:sz w:val="18"/>
                <w:szCs w:val="18"/>
              </w:rPr>
            </w:pPr>
            <w:r>
              <w:rPr>
                <w:rFonts w:ascii="Times New Roman"/>
                <w:sz w:val="18"/>
              </w:rPr>
              <w:t>54.45%</w:t>
            </w:r>
          </w:p>
        </w:tc>
      </w:tr>
      <w:tr>
        <w:trPr>
          <w:trHeight w:val="330" w:hRule="exact"/>
        </w:trPr>
        <w:tc>
          <w:tcPr>
            <w:tcW w:w="2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ATM</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融资租赁</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528" w:right="0"/>
              <w:jc w:val="left"/>
              <w:rPr>
                <w:rFonts w:ascii="Times New Roman" w:hAnsi="Times New Roman" w:cs="Times New Roman" w:eastAsia="Times New Roman" w:hint="default"/>
                <w:sz w:val="18"/>
                <w:szCs w:val="18"/>
              </w:rPr>
            </w:pPr>
            <w:r>
              <w:rPr>
                <w:rFonts w:ascii="Times New Roman"/>
                <w:sz w:val="18"/>
              </w:rPr>
              <w:t>52.25%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 w:right="0"/>
              <w:jc w:val="center"/>
              <w:rPr>
                <w:rFonts w:ascii="Times New Roman" w:hAnsi="Times New Roman" w:cs="Times New Roman" w:eastAsia="Times New Roman" w:hint="default"/>
                <w:sz w:val="18"/>
                <w:szCs w:val="18"/>
              </w:rPr>
            </w:pPr>
            <w:r>
              <w:rPr>
                <w:rFonts w:ascii="Times New Roman"/>
                <w:sz w:val="18"/>
              </w:rPr>
              <w:t>60.33%</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-8.08%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528" w:right="0"/>
              <w:jc w:val="left"/>
              <w:rPr>
                <w:rFonts w:ascii="Times New Roman" w:hAnsi="Times New Roman" w:cs="Times New Roman" w:eastAsia="Times New Roman" w:hint="default"/>
                <w:sz w:val="18"/>
                <w:szCs w:val="18"/>
              </w:rPr>
            </w:pPr>
            <w:r>
              <w:rPr>
                <w:rFonts w:ascii="Times New Roman"/>
                <w:sz w:val="18"/>
              </w:rPr>
              <w:t>65.20%</w:t>
            </w:r>
          </w:p>
        </w:tc>
      </w:tr>
      <w:tr>
        <w:trPr>
          <w:trHeight w:val="330" w:hRule="exact"/>
        </w:trPr>
        <w:tc>
          <w:tcPr>
            <w:tcW w:w="2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ATM</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技术、金融服务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528" w:right="0"/>
              <w:jc w:val="left"/>
              <w:rPr>
                <w:rFonts w:ascii="Times New Roman" w:hAnsi="Times New Roman" w:cs="Times New Roman" w:eastAsia="Times New Roman" w:hint="default"/>
                <w:sz w:val="18"/>
                <w:szCs w:val="18"/>
              </w:rPr>
            </w:pPr>
            <w:r>
              <w:rPr>
                <w:rFonts w:ascii="Times New Roman"/>
                <w:sz w:val="18"/>
              </w:rPr>
              <w:t>79.08%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 w:right="0"/>
              <w:jc w:val="center"/>
              <w:rPr>
                <w:rFonts w:ascii="Times New Roman" w:hAnsi="Times New Roman" w:cs="Times New Roman" w:eastAsia="Times New Roman" w:hint="default"/>
                <w:sz w:val="18"/>
                <w:szCs w:val="18"/>
              </w:rPr>
            </w:pPr>
            <w:r>
              <w:rPr>
                <w:rFonts w:ascii="Times New Roman"/>
                <w:sz w:val="18"/>
              </w:rPr>
              <w:t>89.32%</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1" w:right="0"/>
              <w:jc w:val="center"/>
              <w:rPr>
                <w:rFonts w:ascii="Times New Roman" w:hAnsi="Times New Roman" w:cs="Times New Roman" w:eastAsia="Times New Roman" w:hint="default"/>
                <w:sz w:val="18"/>
                <w:szCs w:val="18"/>
              </w:rPr>
            </w:pPr>
            <w:r>
              <w:rPr>
                <w:rFonts w:ascii="Times New Roman"/>
                <w:sz w:val="18"/>
              </w:rPr>
              <w:t>-10.24%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528" w:right="0"/>
              <w:jc w:val="left"/>
              <w:rPr>
                <w:rFonts w:ascii="Times New Roman" w:hAnsi="Times New Roman" w:cs="Times New Roman" w:eastAsia="Times New Roman" w:hint="default"/>
                <w:sz w:val="18"/>
                <w:szCs w:val="18"/>
              </w:rPr>
            </w:pPr>
            <w:r>
              <w:rPr>
                <w:rFonts w:ascii="Times New Roman"/>
                <w:sz w:val="18"/>
              </w:rPr>
              <w:t>88.19%</w:t>
            </w:r>
          </w:p>
        </w:tc>
      </w:tr>
      <w:tr>
        <w:trPr>
          <w:trHeight w:val="330" w:hRule="exact"/>
        </w:trPr>
        <w:tc>
          <w:tcPr>
            <w:tcW w:w="244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Times New Roman" w:hAnsi="Times New Roman" w:cs="Times New Roman" w:eastAsia="Times New Roman" w:hint="default"/>
                <w:sz w:val="18"/>
                <w:szCs w:val="18"/>
              </w:rPr>
              <w:t>/</w:t>
            </w:r>
            <w:r>
              <w:rPr>
                <w:rFonts w:ascii="宋体" w:hAnsi="宋体" w:cs="宋体" w:eastAsia="宋体" w:hint="default"/>
                <w:sz w:val="18"/>
                <w:szCs w:val="18"/>
              </w:rPr>
              <w:t>平均</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527" w:right="0"/>
              <w:jc w:val="left"/>
              <w:rPr>
                <w:rFonts w:ascii="Times New Roman" w:hAnsi="Times New Roman" w:cs="Times New Roman" w:eastAsia="Times New Roman" w:hint="default"/>
                <w:sz w:val="18"/>
                <w:szCs w:val="18"/>
              </w:rPr>
            </w:pPr>
            <w:r>
              <w:rPr>
                <w:rFonts w:ascii="Times New Roman"/>
                <w:sz w:val="18"/>
              </w:rPr>
              <w:t>52.49%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 w:right="0"/>
              <w:jc w:val="center"/>
              <w:rPr>
                <w:rFonts w:ascii="Times New Roman" w:hAnsi="Times New Roman" w:cs="Times New Roman" w:eastAsia="Times New Roman" w:hint="default"/>
                <w:sz w:val="18"/>
                <w:szCs w:val="18"/>
              </w:rPr>
            </w:pPr>
            <w:r>
              <w:rPr>
                <w:rFonts w:ascii="Times New Roman"/>
                <w:sz w:val="18"/>
              </w:rPr>
              <w:t>54.10%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-1.61%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527" w:right="0"/>
              <w:jc w:val="left"/>
              <w:rPr>
                <w:rFonts w:ascii="Times New Roman" w:hAnsi="Times New Roman" w:cs="Times New Roman" w:eastAsia="Times New Roman" w:hint="default"/>
                <w:sz w:val="18"/>
                <w:szCs w:val="18"/>
              </w:rPr>
            </w:pPr>
            <w:r>
              <w:rPr>
                <w:rFonts w:ascii="Times New Roman"/>
                <w:sz w:val="18"/>
              </w:rPr>
              <w:t>54.01%</w:t>
            </w:r>
          </w:p>
        </w:tc>
      </w:tr>
    </w:tbl>
    <w:p>
      <w:pPr>
        <w:pStyle w:val="BodyText"/>
        <w:spacing w:line="338" w:lineRule="auto" w:before="40"/>
        <w:ind w:left="220" w:right="418" w:firstLine="420"/>
        <w:jc w:val="left"/>
      </w:pPr>
      <w:r>
        <w:rPr>
          <w:spacing w:val="-3"/>
        </w:rPr>
        <w:t>报告期内，随着有偿维保规模的扩大，公司</w:t>
      </w:r>
      <w:r>
        <w:rPr>
          <w:spacing w:val="-65"/>
        </w:rPr>
        <w:t> </w:t>
      </w:r>
      <w:r>
        <w:rPr>
          <w:rFonts w:ascii="Times New Roman" w:hAnsi="Times New Roman" w:cs="Times New Roman" w:eastAsia="Times New Roman" w:hint="default"/>
        </w:rPr>
        <w:t>ATM</w:t>
      </w:r>
      <w:r>
        <w:rPr>
          <w:rFonts w:ascii="Times New Roman" w:hAnsi="Times New Roman" w:cs="Times New Roman" w:eastAsia="Times New Roman" w:hint="default"/>
          <w:spacing w:val="-5"/>
        </w:rPr>
        <w:t> </w:t>
      </w:r>
      <w:r>
        <w:rPr/>
        <w:t>技术、金融服务业务毛利率较 上年同期减少</w:t>
      </w:r>
      <w:r>
        <w:rPr>
          <w:spacing w:val="-60"/>
        </w:rPr>
        <w:t> </w:t>
      </w:r>
      <w:r>
        <w:rPr>
          <w:rFonts w:ascii="Times New Roman" w:hAnsi="Times New Roman" w:cs="Times New Roman" w:eastAsia="Times New Roman" w:hint="default"/>
        </w:rPr>
        <w:t>10.24%</w:t>
      </w:r>
      <w:r>
        <w:rPr/>
        <w:t>，但仍然处于行业较高水平。</w:t>
      </w:r>
    </w:p>
    <w:p>
      <w:pPr>
        <w:spacing w:line="240" w:lineRule="auto" w:before="0"/>
        <w:rPr>
          <w:rFonts w:ascii="宋体" w:hAnsi="宋体" w:cs="宋体" w:eastAsia="宋体" w:hint="default"/>
          <w:sz w:val="24"/>
          <w:szCs w:val="24"/>
        </w:rPr>
      </w:pPr>
    </w:p>
    <w:p>
      <w:pPr>
        <w:pStyle w:val="BodyText"/>
        <w:spacing w:line="240" w:lineRule="auto" w:before="180"/>
        <w:ind w:left="757" w:right="418"/>
        <w:jc w:val="left"/>
      </w:pPr>
      <w:r>
        <w:rPr/>
        <w:t>（八）主要供应商、客户情况</w:t>
      </w:r>
    </w:p>
    <w:p>
      <w:pPr>
        <w:spacing w:before="202"/>
        <w:ind w:left="0" w:right="913"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1"/>
        <w:rPr>
          <w:rFonts w:ascii="宋体" w:hAnsi="宋体" w:cs="宋体" w:eastAsia="宋体" w:hint="default"/>
          <w:sz w:val="11"/>
          <w:szCs w:val="11"/>
        </w:rPr>
      </w:pPr>
    </w:p>
    <w:tbl>
      <w:tblPr>
        <w:tblW w:w="0" w:type="auto"/>
        <w:jc w:val="left"/>
        <w:tblInd w:w="107" w:type="dxa"/>
        <w:tblLayout w:type="fixed"/>
        <w:tblCellMar>
          <w:top w:w="0" w:type="dxa"/>
          <w:left w:w="0" w:type="dxa"/>
          <w:bottom w:w="0" w:type="dxa"/>
          <w:right w:w="0" w:type="dxa"/>
        </w:tblCellMar>
        <w:tblLook w:val="01E0"/>
      </w:tblPr>
      <w:tblGrid>
        <w:gridCol w:w="3348"/>
        <w:gridCol w:w="1440"/>
        <w:gridCol w:w="1440"/>
        <w:gridCol w:w="1440"/>
        <w:gridCol w:w="1440"/>
      </w:tblGrid>
      <w:tr>
        <w:trPr>
          <w:trHeight w:val="650" w:hRule="exact"/>
        </w:trPr>
        <w:tc>
          <w:tcPr>
            <w:tcW w:w="334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名供应商</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4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4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0" w:lineRule="exact" w:before="11"/>
              <w:ind w:left="189" w:right="173" w:hanging="15"/>
              <w:jc w:val="left"/>
              <w:rPr>
                <w:rFonts w:ascii="宋体" w:hAnsi="宋体" w:cs="宋体" w:eastAsia="宋体" w:hint="default"/>
                <w:sz w:val="18"/>
                <w:szCs w:val="18"/>
              </w:rPr>
            </w:pPr>
            <w:r>
              <w:rPr>
                <w:rFonts w:ascii="宋体" w:hAnsi="宋体" w:cs="宋体" w:eastAsia="宋体" w:hint="default"/>
                <w:sz w:val="18"/>
                <w:szCs w:val="18"/>
              </w:rPr>
              <w:t>本年比上年增 减幅度（</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4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65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320" w:lineRule="exact" w:before="10"/>
              <w:ind w:left="103" w:right="96"/>
              <w:jc w:val="left"/>
              <w:rPr>
                <w:rFonts w:ascii="宋体" w:hAnsi="宋体" w:cs="宋体" w:eastAsia="宋体" w:hint="default"/>
                <w:sz w:val="18"/>
                <w:szCs w:val="18"/>
              </w:rPr>
            </w:pPr>
            <w:r>
              <w:rPr>
                <w:rFonts w:ascii="宋体" w:hAnsi="宋体" w:cs="宋体" w:eastAsia="宋体" w:hint="default"/>
                <w:spacing w:val="3"/>
                <w:sz w:val="18"/>
                <w:szCs w:val="18"/>
              </w:rPr>
              <w:t>第一名供应商采购占公司年度采购总金</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额的比例（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37" w:right="0"/>
              <w:jc w:val="left"/>
              <w:rPr>
                <w:rFonts w:ascii="Times New Roman" w:hAnsi="Times New Roman" w:cs="Times New Roman" w:eastAsia="Times New Roman" w:hint="default"/>
                <w:sz w:val="18"/>
                <w:szCs w:val="18"/>
              </w:rPr>
            </w:pPr>
            <w:r>
              <w:rPr>
                <w:rFonts w:ascii="Times New Roman"/>
                <w:sz w:val="18"/>
              </w:rPr>
              <w:t>16.88%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37" w:right="0"/>
              <w:jc w:val="left"/>
              <w:rPr>
                <w:rFonts w:ascii="Times New Roman" w:hAnsi="Times New Roman" w:cs="Times New Roman" w:eastAsia="Times New Roman" w:hint="default"/>
                <w:sz w:val="18"/>
                <w:szCs w:val="18"/>
              </w:rPr>
            </w:pPr>
            <w:r>
              <w:rPr>
                <w:rFonts w:ascii="Times New Roman"/>
                <w:sz w:val="18"/>
              </w:rPr>
              <w:t>25.43%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-8.55%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37" w:right="0"/>
              <w:jc w:val="left"/>
              <w:rPr>
                <w:rFonts w:ascii="Times New Roman" w:hAnsi="Times New Roman" w:cs="Times New Roman" w:eastAsia="Times New Roman" w:hint="default"/>
                <w:sz w:val="18"/>
                <w:szCs w:val="18"/>
              </w:rPr>
            </w:pPr>
            <w:r>
              <w:rPr>
                <w:rFonts w:ascii="Times New Roman"/>
                <w:sz w:val="18"/>
              </w:rPr>
              <w:t>23.31%</w:t>
            </w:r>
          </w:p>
        </w:tc>
      </w:tr>
      <w:tr>
        <w:trPr>
          <w:trHeight w:val="33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4" w:right="0"/>
              <w:jc w:val="center"/>
              <w:rPr>
                <w:rFonts w:ascii="宋体" w:hAnsi="宋体" w:cs="宋体" w:eastAsia="宋体" w:hint="default"/>
                <w:sz w:val="18"/>
                <w:szCs w:val="18"/>
              </w:rPr>
            </w:pPr>
            <w:r>
              <w:rPr>
                <w:rFonts w:ascii="宋体" w:hAnsi="宋体" w:cs="宋体" w:eastAsia="宋体" w:hint="default"/>
                <w:spacing w:val="3"/>
                <w:sz w:val="18"/>
                <w:szCs w:val="18"/>
              </w:rPr>
              <w:t>第二名供应商采购占公司年度采购总金</w:t>
            </w:r>
            <w:r>
              <w:rPr>
                <w:rFonts w:ascii="宋体" w:hAnsi="宋体" w:cs="宋体" w:eastAsia="宋体" w:hint="default"/>
                <w:sz w:val="18"/>
                <w:szCs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37" w:right="0"/>
              <w:jc w:val="left"/>
              <w:rPr>
                <w:rFonts w:ascii="Times New Roman" w:hAnsi="Times New Roman" w:cs="Times New Roman" w:eastAsia="Times New Roman" w:hint="default"/>
                <w:sz w:val="18"/>
                <w:szCs w:val="18"/>
              </w:rPr>
            </w:pPr>
            <w:r>
              <w:rPr>
                <w:rFonts w:ascii="Times New Roman"/>
                <w:sz w:val="18"/>
              </w:rPr>
              <w:t>16.75%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37" w:right="0"/>
              <w:jc w:val="left"/>
              <w:rPr>
                <w:rFonts w:ascii="Times New Roman" w:hAnsi="Times New Roman" w:cs="Times New Roman" w:eastAsia="Times New Roman" w:hint="default"/>
                <w:sz w:val="18"/>
                <w:szCs w:val="18"/>
              </w:rPr>
            </w:pPr>
            <w:r>
              <w:rPr>
                <w:rFonts w:ascii="Times New Roman"/>
                <w:sz w:val="18"/>
              </w:rPr>
              <w:t>16.03%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0.72%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37" w:right="0"/>
              <w:jc w:val="left"/>
              <w:rPr>
                <w:rFonts w:ascii="Times New Roman" w:hAnsi="Times New Roman" w:cs="Times New Roman" w:eastAsia="Times New Roman" w:hint="default"/>
                <w:sz w:val="18"/>
                <w:szCs w:val="18"/>
              </w:rPr>
            </w:pPr>
            <w:r>
              <w:rPr>
                <w:rFonts w:ascii="Times New Roman"/>
                <w:sz w:val="18"/>
              </w:rPr>
              <w:t>19.79%</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1048" w:top="1100" w:bottom="1240" w:left="1580" w:right="980"/>
        </w:sectPr>
      </w:pPr>
    </w:p>
    <w:p>
      <w:pPr>
        <w:spacing w:line="240" w:lineRule="auto" w:before="6"/>
        <w:rPr>
          <w:rFonts w:ascii="宋体" w:hAnsi="宋体" w:cs="宋体" w:eastAsia="宋体" w:hint="default"/>
          <w:sz w:val="24"/>
          <w:szCs w:val="24"/>
        </w:rPr>
      </w:pPr>
    </w:p>
    <w:tbl>
      <w:tblPr>
        <w:tblW w:w="0" w:type="auto"/>
        <w:jc w:val="left"/>
        <w:tblInd w:w="107" w:type="dxa"/>
        <w:tblLayout w:type="fixed"/>
        <w:tblCellMar>
          <w:top w:w="0" w:type="dxa"/>
          <w:left w:w="0" w:type="dxa"/>
          <w:bottom w:w="0" w:type="dxa"/>
          <w:right w:w="0" w:type="dxa"/>
        </w:tblCellMar>
        <w:tblLook w:val="01E0"/>
      </w:tblPr>
      <w:tblGrid>
        <w:gridCol w:w="3348"/>
        <w:gridCol w:w="1440"/>
        <w:gridCol w:w="1440"/>
        <w:gridCol w:w="1440"/>
        <w:gridCol w:w="1440"/>
      </w:tblGrid>
      <w:tr>
        <w:trPr>
          <w:trHeight w:val="33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额的比例（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4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r>
      <w:tr>
        <w:trPr>
          <w:trHeight w:val="65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320" w:lineRule="exact" w:before="10"/>
              <w:ind w:left="103" w:right="96"/>
              <w:jc w:val="left"/>
              <w:rPr>
                <w:rFonts w:ascii="宋体" w:hAnsi="宋体" w:cs="宋体" w:eastAsia="宋体" w:hint="default"/>
                <w:sz w:val="18"/>
                <w:szCs w:val="18"/>
              </w:rPr>
            </w:pPr>
            <w:r>
              <w:rPr>
                <w:rFonts w:ascii="宋体" w:hAnsi="宋体" w:cs="宋体" w:eastAsia="宋体" w:hint="default"/>
                <w:spacing w:val="3"/>
                <w:sz w:val="18"/>
                <w:szCs w:val="18"/>
              </w:rPr>
              <w:t>第三名供应商采购占公司年度采购总金</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额的比例（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9.43%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37" w:right="0"/>
              <w:jc w:val="left"/>
              <w:rPr>
                <w:rFonts w:ascii="Times New Roman" w:hAnsi="Times New Roman" w:cs="Times New Roman" w:eastAsia="Times New Roman" w:hint="default"/>
                <w:sz w:val="18"/>
                <w:szCs w:val="18"/>
              </w:rPr>
            </w:pPr>
            <w:r>
              <w:rPr>
                <w:rFonts w:ascii="Times New Roman"/>
                <w:sz w:val="18"/>
              </w:rPr>
              <w:t>15.27%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52" w:right="0"/>
              <w:jc w:val="left"/>
              <w:rPr>
                <w:rFonts w:ascii="Times New Roman" w:hAnsi="Times New Roman" w:cs="Times New Roman" w:eastAsia="Times New Roman" w:hint="default"/>
                <w:sz w:val="18"/>
                <w:szCs w:val="18"/>
              </w:rPr>
            </w:pPr>
            <w:r>
              <w:rPr>
                <w:rFonts w:ascii="Times New Roman"/>
                <w:sz w:val="18"/>
              </w:rPr>
              <w:t>-5.83%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37" w:right="0"/>
              <w:jc w:val="left"/>
              <w:rPr>
                <w:rFonts w:ascii="Times New Roman" w:hAnsi="Times New Roman" w:cs="Times New Roman" w:eastAsia="Times New Roman" w:hint="default"/>
                <w:sz w:val="18"/>
                <w:szCs w:val="18"/>
              </w:rPr>
            </w:pPr>
            <w:r>
              <w:rPr>
                <w:rFonts w:ascii="Times New Roman"/>
                <w:sz w:val="18"/>
              </w:rPr>
              <w:t>15.85%</w:t>
            </w:r>
          </w:p>
        </w:tc>
      </w:tr>
      <w:tr>
        <w:trPr>
          <w:trHeight w:val="649"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320" w:lineRule="exact" w:before="10"/>
              <w:ind w:left="103" w:right="96"/>
              <w:jc w:val="left"/>
              <w:rPr>
                <w:rFonts w:ascii="宋体" w:hAnsi="宋体" w:cs="宋体" w:eastAsia="宋体" w:hint="default"/>
                <w:sz w:val="18"/>
                <w:szCs w:val="18"/>
              </w:rPr>
            </w:pPr>
            <w:r>
              <w:rPr>
                <w:rFonts w:ascii="宋体" w:hAnsi="宋体" w:cs="宋体" w:eastAsia="宋体" w:hint="default"/>
                <w:spacing w:val="3"/>
                <w:sz w:val="18"/>
                <w:szCs w:val="18"/>
              </w:rPr>
              <w:t>第四名供应商采购占公司年度采购总金</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额的比例（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6.50%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6.33%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0.17%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5.75%</w:t>
            </w:r>
          </w:p>
        </w:tc>
      </w:tr>
      <w:tr>
        <w:trPr>
          <w:trHeight w:val="65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320" w:lineRule="exact" w:before="11"/>
              <w:ind w:left="103" w:right="96"/>
              <w:jc w:val="left"/>
              <w:rPr>
                <w:rFonts w:ascii="宋体" w:hAnsi="宋体" w:cs="宋体" w:eastAsia="宋体" w:hint="default"/>
                <w:sz w:val="18"/>
                <w:szCs w:val="18"/>
              </w:rPr>
            </w:pPr>
            <w:r>
              <w:rPr>
                <w:rFonts w:ascii="宋体" w:hAnsi="宋体" w:cs="宋体" w:eastAsia="宋体" w:hint="default"/>
                <w:spacing w:val="3"/>
                <w:sz w:val="18"/>
                <w:szCs w:val="18"/>
              </w:rPr>
              <w:t>第五名供应商采购占公司年度采购总金</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额的比例（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5.86%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5.29%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0.56%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5.70%</w:t>
            </w:r>
          </w:p>
        </w:tc>
      </w:tr>
      <w:tr>
        <w:trPr>
          <w:trHeight w:val="33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37" w:right="0"/>
              <w:jc w:val="left"/>
              <w:rPr>
                <w:rFonts w:ascii="Times New Roman" w:hAnsi="Times New Roman" w:cs="Times New Roman" w:eastAsia="Times New Roman" w:hint="default"/>
                <w:sz w:val="18"/>
                <w:szCs w:val="18"/>
              </w:rPr>
            </w:pPr>
            <w:r>
              <w:rPr>
                <w:rFonts w:ascii="Times New Roman"/>
                <w:sz w:val="18"/>
              </w:rPr>
              <w:t>55.42%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37" w:right="0"/>
              <w:jc w:val="left"/>
              <w:rPr>
                <w:rFonts w:ascii="Times New Roman" w:hAnsi="Times New Roman" w:cs="Times New Roman" w:eastAsia="Times New Roman" w:hint="default"/>
                <w:sz w:val="18"/>
                <w:szCs w:val="18"/>
              </w:rPr>
            </w:pPr>
            <w:r>
              <w:rPr>
                <w:rFonts w:ascii="Times New Roman"/>
                <w:sz w:val="18"/>
              </w:rPr>
              <w:t>68.35%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07" w:right="0"/>
              <w:jc w:val="left"/>
              <w:rPr>
                <w:rFonts w:ascii="Times New Roman" w:hAnsi="Times New Roman" w:cs="Times New Roman" w:eastAsia="Times New Roman" w:hint="default"/>
                <w:sz w:val="18"/>
                <w:szCs w:val="18"/>
              </w:rPr>
            </w:pPr>
            <w:r>
              <w:rPr>
                <w:rFonts w:ascii="Times New Roman"/>
                <w:sz w:val="18"/>
              </w:rPr>
              <w:t>-12.93%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37" w:right="0"/>
              <w:jc w:val="left"/>
              <w:rPr>
                <w:rFonts w:ascii="Times New Roman" w:hAnsi="Times New Roman" w:cs="Times New Roman" w:eastAsia="Times New Roman" w:hint="default"/>
                <w:sz w:val="18"/>
                <w:szCs w:val="18"/>
              </w:rPr>
            </w:pPr>
            <w:r>
              <w:rPr>
                <w:rFonts w:ascii="Times New Roman"/>
                <w:sz w:val="18"/>
              </w:rPr>
              <w:t>70.40%</w:t>
            </w:r>
          </w:p>
        </w:tc>
      </w:tr>
      <w:tr>
        <w:trPr>
          <w:trHeight w:val="33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前五名供应商预付账款余额</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91" w:right="0"/>
              <w:jc w:val="left"/>
              <w:rPr>
                <w:rFonts w:ascii="Times New Roman" w:hAnsi="Times New Roman" w:cs="Times New Roman" w:eastAsia="Times New Roman" w:hint="default"/>
                <w:sz w:val="18"/>
                <w:szCs w:val="18"/>
              </w:rPr>
            </w:pPr>
            <w:r>
              <w:rPr>
                <w:rFonts w:ascii="Times New Roman"/>
                <w:sz w:val="18"/>
              </w:rPr>
              <w:t>15,439,509.76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292" w:right="0"/>
              <w:jc w:val="left"/>
              <w:rPr>
                <w:rFonts w:ascii="Times New Roman" w:hAnsi="Times New Roman" w:cs="Times New Roman" w:eastAsia="Times New Roman" w:hint="default"/>
                <w:sz w:val="18"/>
                <w:szCs w:val="18"/>
              </w:rPr>
            </w:pPr>
            <w:r>
              <w:rPr>
                <w:rFonts w:ascii="Times New Roman"/>
                <w:sz w:val="18"/>
              </w:rPr>
              <w:t>29,286,857.72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37" w:right="0"/>
              <w:jc w:val="left"/>
              <w:rPr>
                <w:rFonts w:ascii="Times New Roman" w:hAnsi="Times New Roman" w:cs="Times New Roman" w:eastAsia="Times New Roman" w:hint="default"/>
                <w:sz w:val="18"/>
                <w:szCs w:val="18"/>
              </w:rPr>
            </w:pPr>
            <w:r>
              <w:rPr>
                <w:rFonts w:ascii="Times New Roman"/>
                <w:sz w:val="18"/>
              </w:rPr>
              <w:t>47.28%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6,084,974.85</w:t>
            </w:r>
          </w:p>
        </w:tc>
      </w:tr>
      <w:tr>
        <w:trPr>
          <w:trHeight w:val="65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320" w:lineRule="exact" w:before="10"/>
              <w:ind w:left="103" w:right="96"/>
              <w:jc w:val="left"/>
              <w:rPr>
                <w:rFonts w:ascii="宋体" w:hAnsi="宋体" w:cs="宋体" w:eastAsia="宋体" w:hint="default"/>
                <w:sz w:val="18"/>
                <w:szCs w:val="18"/>
              </w:rPr>
            </w:pPr>
            <w:r>
              <w:rPr>
                <w:rFonts w:ascii="宋体" w:hAnsi="宋体" w:cs="宋体" w:eastAsia="宋体" w:hint="default"/>
                <w:spacing w:val="3"/>
                <w:sz w:val="18"/>
                <w:szCs w:val="18"/>
              </w:rPr>
              <w:t>前五名供应商预付账款余额占公司预付</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账款余额的比例（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37" w:right="0"/>
              <w:jc w:val="left"/>
              <w:rPr>
                <w:rFonts w:ascii="Times New Roman" w:hAnsi="Times New Roman" w:cs="Times New Roman" w:eastAsia="Times New Roman" w:hint="default"/>
                <w:sz w:val="18"/>
                <w:szCs w:val="18"/>
              </w:rPr>
            </w:pPr>
            <w:r>
              <w:rPr>
                <w:rFonts w:ascii="Times New Roman"/>
                <w:sz w:val="18"/>
              </w:rPr>
              <w:t>26.01%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37" w:right="0"/>
              <w:jc w:val="left"/>
              <w:rPr>
                <w:rFonts w:ascii="Times New Roman" w:hAnsi="Times New Roman" w:cs="Times New Roman" w:eastAsia="Times New Roman" w:hint="default"/>
                <w:sz w:val="18"/>
                <w:szCs w:val="18"/>
              </w:rPr>
            </w:pPr>
            <w:r>
              <w:rPr>
                <w:rFonts w:ascii="Times New Roman"/>
                <w:sz w:val="18"/>
              </w:rPr>
              <w:t>51.67%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07" w:right="0"/>
              <w:jc w:val="left"/>
              <w:rPr>
                <w:rFonts w:ascii="Times New Roman" w:hAnsi="Times New Roman" w:cs="Times New Roman" w:eastAsia="Times New Roman" w:hint="default"/>
                <w:sz w:val="18"/>
                <w:szCs w:val="18"/>
              </w:rPr>
            </w:pPr>
            <w:r>
              <w:rPr>
                <w:rFonts w:ascii="Times New Roman"/>
                <w:sz w:val="18"/>
              </w:rPr>
              <w:t>-25.66%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37" w:right="0"/>
              <w:jc w:val="left"/>
              <w:rPr>
                <w:rFonts w:ascii="Times New Roman" w:hAnsi="Times New Roman" w:cs="Times New Roman" w:eastAsia="Times New Roman" w:hint="default"/>
                <w:sz w:val="18"/>
                <w:szCs w:val="18"/>
              </w:rPr>
            </w:pPr>
            <w:r>
              <w:rPr>
                <w:rFonts w:ascii="Times New Roman"/>
                <w:sz w:val="18"/>
              </w:rPr>
              <w:t>35.64%</w:t>
            </w:r>
          </w:p>
        </w:tc>
      </w:tr>
      <w:tr>
        <w:trPr>
          <w:trHeight w:val="649" w:hRule="exact"/>
        </w:trPr>
        <w:tc>
          <w:tcPr>
            <w:tcW w:w="334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名客户</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4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4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0" w:lineRule="exact" w:before="10"/>
              <w:ind w:left="189" w:right="173" w:hanging="15"/>
              <w:jc w:val="left"/>
              <w:rPr>
                <w:rFonts w:ascii="宋体" w:hAnsi="宋体" w:cs="宋体" w:eastAsia="宋体" w:hint="default"/>
                <w:sz w:val="18"/>
                <w:szCs w:val="18"/>
              </w:rPr>
            </w:pPr>
            <w:r>
              <w:rPr>
                <w:rFonts w:ascii="宋体" w:hAnsi="宋体" w:cs="宋体" w:eastAsia="宋体" w:hint="default"/>
                <w:sz w:val="18"/>
                <w:szCs w:val="18"/>
              </w:rPr>
              <w:t>本年比上年增 减幅度（</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4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65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320" w:lineRule="exact" w:before="11"/>
              <w:ind w:left="103" w:right="96"/>
              <w:jc w:val="left"/>
              <w:rPr>
                <w:rFonts w:ascii="宋体" w:hAnsi="宋体" w:cs="宋体" w:eastAsia="宋体" w:hint="default"/>
                <w:sz w:val="18"/>
                <w:szCs w:val="18"/>
              </w:rPr>
            </w:pPr>
            <w:r>
              <w:rPr>
                <w:rFonts w:ascii="宋体" w:hAnsi="宋体" w:cs="宋体" w:eastAsia="宋体" w:hint="default"/>
                <w:spacing w:val="3"/>
                <w:sz w:val="18"/>
                <w:szCs w:val="18"/>
              </w:rPr>
              <w:t>第一名客户销售占公司年度销售总额的</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40" w:right="0"/>
              <w:jc w:val="left"/>
              <w:rPr>
                <w:rFonts w:ascii="Times New Roman" w:hAnsi="Times New Roman" w:cs="Times New Roman" w:eastAsia="Times New Roman" w:hint="default"/>
                <w:sz w:val="18"/>
                <w:szCs w:val="18"/>
              </w:rPr>
            </w:pPr>
            <w:r>
              <w:rPr>
                <w:rFonts w:ascii="Times New Roman"/>
                <w:sz w:val="18"/>
              </w:rPr>
              <w:t>10.11%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9.35%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0.76%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40" w:right="0"/>
              <w:jc w:val="left"/>
              <w:rPr>
                <w:rFonts w:ascii="Times New Roman" w:hAnsi="Times New Roman" w:cs="Times New Roman" w:eastAsia="Times New Roman" w:hint="default"/>
                <w:sz w:val="18"/>
                <w:szCs w:val="18"/>
              </w:rPr>
            </w:pPr>
            <w:r>
              <w:rPr>
                <w:rFonts w:ascii="Times New Roman"/>
                <w:sz w:val="18"/>
              </w:rPr>
              <w:t>11.35%</w:t>
            </w:r>
          </w:p>
        </w:tc>
      </w:tr>
      <w:tr>
        <w:trPr>
          <w:trHeight w:val="65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320" w:lineRule="exact" w:before="10"/>
              <w:ind w:left="103" w:right="96"/>
              <w:jc w:val="left"/>
              <w:rPr>
                <w:rFonts w:ascii="宋体" w:hAnsi="宋体" w:cs="宋体" w:eastAsia="宋体" w:hint="default"/>
                <w:sz w:val="18"/>
                <w:szCs w:val="18"/>
              </w:rPr>
            </w:pPr>
            <w:r>
              <w:rPr>
                <w:rFonts w:ascii="宋体" w:hAnsi="宋体" w:cs="宋体" w:eastAsia="宋体" w:hint="default"/>
                <w:spacing w:val="3"/>
                <w:sz w:val="18"/>
                <w:szCs w:val="18"/>
              </w:rPr>
              <w:t>第二名客户销售占公司年度销售总额的</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8.76%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8.89%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52" w:right="0"/>
              <w:jc w:val="left"/>
              <w:rPr>
                <w:rFonts w:ascii="Times New Roman" w:hAnsi="Times New Roman" w:cs="Times New Roman" w:eastAsia="Times New Roman" w:hint="default"/>
                <w:sz w:val="18"/>
                <w:szCs w:val="18"/>
              </w:rPr>
            </w:pPr>
            <w:r>
              <w:rPr>
                <w:rFonts w:ascii="Times New Roman"/>
                <w:sz w:val="18"/>
              </w:rPr>
              <w:t>-0.13%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9.63%</w:t>
            </w:r>
          </w:p>
        </w:tc>
      </w:tr>
      <w:tr>
        <w:trPr>
          <w:trHeight w:val="649"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320" w:lineRule="exact" w:before="10"/>
              <w:ind w:left="103" w:right="96"/>
              <w:jc w:val="left"/>
              <w:rPr>
                <w:rFonts w:ascii="宋体" w:hAnsi="宋体" w:cs="宋体" w:eastAsia="宋体" w:hint="default"/>
                <w:sz w:val="18"/>
                <w:szCs w:val="18"/>
              </w:rPr>
            </w:pPr>
            <w:r>
              <w:rPr>
                <w:rFonts w:ascii="宋体" w:hAnsi="宋体" w:cs="宋体" w:eastAsia="宋体" w:hint="default"/>
                <w:spacing w:val="3"/>
                <w:sz w:val="18"/>
                <w:szCs w:val="18"/>
              </w:rPr>
              <w:t>第三名客户销售占公司年度销售总额的</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7.05%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7.24%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52" w:right="0"/>
              <w:jc w:val="left"/>
              <w:rPr>
                <w:rFonts w:ascii="Times New Roman" w:hAnsi="Times New Roman" w:cs="Times New Roman" w:eastAsia="Times New Roman" w:hint="default"/>
                <w:sz w:val="18"/>
                <w:szCs w:val="18"/>
              </w:rPr>
            </w:pPr>
            <w:r>
              <w:rPr>
                <w:rFonts w:ascii="Times New Roman"/>
                <w:sz w:val="18"/>
              </w:rPr>
              <w:t>-0.19%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9.21%</w:t>
            </w:r>
          </w:p>
        </w:tc>
      </w:tr>
      <w:tr>
        <w:trPr>
          <w:trHeight w:val="65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320" w:lineRule="exact" w:before="11"/>
              <w:ind w:left="103" w:right="96"/>
              <w:jc w:val="left"/>
              <w:rPr>
                <w:rFonts w:ascii="宋体" w:hAnsi="宋体" w:cs="宋体" w:eastAsia="宋体" w:hint="default"/>
                <w:sz w:val="18"/>
                <w:szCs w:val="18"/>
              </w:rPr>
            </w:pPr>
            <w:r>
              <w:rPr>
                <w:rFonts w:ascii="宋体" w:hAnsi="宋体" w:cs="宋体" w:eastAsia="宋体" w:hint="default"/>
                <w:spacing w:val="3"/>
                <w:sz w:val="18"/>
                <w:szCs w:val="18"/>
              </w:rPr>
              <w:t>第四名客户销售占公司年度销售总额的</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6.79%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6.53%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0.26%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8.13%</w:t>
            </w:r>
          </w:p>
        </w:tc>
      </w:tr>
      <w:tr>
        <w:trPr>
          <w:trHeight w:val="65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320" w:lineRule="exact" w:before="10"/>
              <w:ind w:left="103" w:right="96"/>
              <w:jc w:val="left"/>
              <w:rPr>
                <w:rFonts w:ascii="宋体" w:hAnsi="宋体" w:cs="宋体" w:eastAsia="宋体" w:hint="default"/>
                <w:sz w:val="18"/>
                <w:szCs w:val="18"/>
              </w:rPr>
            </w:pPr>
            <w:r>
              <w:rPr>
                <w:rFonts w:ascii="宋体" w:hAnsi="宋体" w:cs="宋体" w:eastAsia="宋体" w:hint="default"/>
                <w:spacing w:val="3"/>
                <w:sz w:val="18"/>
                <w:szCs w:val="18"/>
              </w:rPr>
              <w:t>第五名客户销售占公司年度销售总额的</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4.90%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5.56%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52" w:right="0"/>
              <w:jc w:val="left"/>
              <w:rPr>
                <w:rFonts w:ascii="Times New Roman" w:hAnsi="Times New Roman" w:cs="Times New Roman" w:eastAsia="Times New Roman" w:hint="default"/>
                <w:sz w:val="18"/>
                <w:szCs w:val="18"/>
              </w:rPr>
            </w:pPr>
            <w:r>
              <w:rPr>
                <w:rFonts w:ascii="Times New Roman"/>
                <w:sz w:val="18"/>
              </w:rPr>
              <w:t>-0.66%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7.65%</w:t>
            </w:r>
          </w:p>
        </w:tc>
      </w:tr>
      <w:tr>
        <w:trPr>
          <w:trHeight w:val="33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37" w:right="0"/>
              <w:jc w:val="left"/>
              <w:rPr>
                <w:rFonts w:ascii="Times New Roman" w:hAnsi="Times New Roman" w:cs="Times New Roman" w:eastAsia="Times New Roman" w:hint="default"/>
                <w:sz w:val="18"/>
                <w:szCs w:val="18"/>
              </w:rPr>
            </w:pPr>
            <w:r>
              <w:rPr>
                <w:rFonts w:ascii="Times New Roman"/>
                <w:sz w:val="18"/>
              </w:rPr>
              <w:t>37.61%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37" w:right="0"/>
              <w:jc w:val="left"/>
              <w:rPr>
                <w:rFonts w:ascii="Times New Roman" w:hAnsi="Times New Roman" w:cs="Times New Roman" w:eastAsia="Times New Roman" w:hint="default"/>
                <w:sz w:val="18"/>
                <w:szCs w:val="18"/>
              </w:rPr>
            </w:pPr>
            <w:r>
              <w:rPr>
                <w:rFonts w:ascii="Times New Roman"/>
                <w:sz w:val="18"/>
              </w:rPr>
              <w:t>37.57%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52" w:right="0"/>
              <w:jc w:val="left"/>
              <w:rPr>
                <w:rFonts w:ascii="Times New Roman" w:hAnsi="Times New Roman" w:cs="Times New Roman" w:eastAsia="Times New Roman" w:hint="default"/>
                <w:sz w:val="18"/>
                <w:szCs w:val="18"/>
              </w:rPr>
            </w:pPr>
            <w:r>
              <w:rPr>
                <w:rFonts w:ascii="Times New Roman"/>
                <w:sz w:val="18"/>
              </w:rPr>
              <w:t>-0.04%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37" w:right="0"/>
              <w:jc w:val="left"/>
              <w:rPr>
                <w:rFonts w:ascii="Times New Roman" w:hAnsi="Times New Roman" w:cs="Times New Roman" w:eastAsia="Times New Roman" w:hint="default"/>
                <w:sz w:val="18"/>
                <w:szCs w:val="18"/>
              </w:rPr>
            </w:pPr>
            <w:r>
              <w:rPr>
                <w:rFonts w:ascii="Times New Roman"/>
                <w:sz w:val="18"/>
              </w:rPr>
              <w:t>45.97%</w:t>
            </w:r>
          </w:p>
        </w:tc>
      </w:tr>
      <w:tr>
        <w:trPr>
          <w:trHeight w:val="33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前五名客户应收账款余额</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98" w:right="0"/>
              <w:jc w:val="left"/>
              <w:rPr>
                <w:rFonts w:ascii="Times New Roman" w:hAnsi="Times New Roman" w:cs="Times New Roman" w:eastAsia="Times New Roman" w:hint="default"/>
                <w:sz w:val="18"/>
                <w:szCs w:val="18"/>
              </w:rPr>
            </w:pPr>
            <w:r>
              <w:rPr>
                <w:rFonts w:ascii="Times New Roman"/>
                <w:sz w:val="18"/>
              </w:rPr>
              <w:t>50,216,597.63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42" w:right="0"/>
              <w:jc w:val="left"/>
              <w:rPr>
                <w:rFonts w:ascii="Times New Roman" w:hAnsi="Times New Roman" w:cs="Times New Roman" w:eastAsia="Times New Roman" w:hint="default"/>
                <w:sz w:val="18"/>
                <w:szCs w:val="18"/>
              </w:rPr>
            </w:pPr>
            <w:r>
              <w:rPr>
                <w:rFonts w:ascii="Times New Roman"/>
                <w:sz w:val="18"/>
              </w:rPr>
              <w:t>9,870,943.41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82" w:right="0"/>
              <w:jc w:val="left"/>
              <w:rPr>
                <w:rFonts w:ascii="Times New Roman" w:hAnsi="Times New Roman" w:cs="Times New Roman" w:eastAsia="Times New Roman" w:hint="default"/>
                <w:sz w:val="18"/>
                <w:szCs w:val="18"/>
              </w:rPr>
            </w:pPr>
            <w:r>
              <w:rPr>
                <w:rFonts w:ascii="Times New Roman"/>
                <w:sz w:val="18"/>
              </w:rPr>
              <w:t>408.73%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17,958,929.51</w:t>
            </w:r>
          </w:p>
        </w:tc>
      </w:tr>
      <w:tr>
        <w:trPr>
          <w:trHeight w:val="650" w:hRule="exact"/>
        </w:trPr>
        <w:tc>
          <w:tcPr>
            <w:tcW w:w="3348" w:type="dxa"/>
            <w:tcBorders>
              <w:top w:val="single" w:sz="4" w:space="0" w:color="000000"/>
              <w:left w:val="single" w:sz="4" w:space="0" w:color="000000"/>
              <w:bottom w:val="single" w:sz="4" w:space="0" w:color="000000"/>
              <w:right w:val="single" w:sz="4" w:space="0" w:color="000000"/>
            </w:tcBorders>
          </w:tcPr>
          <w:p>
            <w:pPr>
              <w:pStyle w:val="TableParagraph"/>
              <w:spacing w:line="320" w:lineRule="exact" w:before="10"/>
              <w:ind w:left="103" w:right="96"/>
              <w:jc w:val="left"/>
              <w:rPr>
                <w:rFonts w:ascii="宋体" w:hAnsi="宋体" w:cs="宋体" w:eastAsia="宋体" w:hint="default"/>
                <w:sz w:val="18"/>
                <w:szCs w:val="18"/>
              </w:rPr>
            </w:pPr>
            <w:r>
              <w:rPr>
                <w:rFonts w:ascii="宋体" w:hAnsi="宋体" w:cs="宋体" w:eastAsia="宋体" w:hint="default"/>
                <w:spacing w:val="3"/>
                <w:sz w:val="18"/>
                <w:szCs w:val="18"/>
              </w:rPr>
              <w:t>前五名客户应收账款余额占公司应收账</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款余额的比例（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37" w:right="0"/>
              <w:jc w:val="left"/>
              <w:rPr>
                <w:rFonts w:ascii="Times New Roman" w:hAnsi="Times New Roman" w:cs="Times New Roman" w:eastAsia="Times New Roman" w:hint="default"/>
                <w:sz w:val="18"/>
                <w:szCs w:val="18"/>
              </w:rPr>
            </w:pPr>
            <w:r>
              <w:rPr>
                <w:rFonts w:ascii="Times New Roman"/>
                <w:sz w:val="18"/>
              </w:rPr>
              <w:t>32.45%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40" w:right="0"/>
              <w:jc w:val="left"/>
              <w:rPr>
                <w:rFonts w:ascii="Times New Roman" w:hAnsi="Times New Roman" w:cs="Times New Roman" w:eastAsia="Times New Roman" w:hint="default"/>
                <w:sz w:val="18"/>
                <w:szCs w:val="18"/>
              </w:rPr>
            </w:pPr>
            <w:r>
              <w:rPr>
                <w:rFonts w:ascii="Times New Roman"/>
                <w:sz w:val="18"/>
              </w:rPr>
              <w:t>11.04%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37" w:right="0"/>
              <w:jc w:val="left"/>
              <w:rPr>
                <w:rFonts w:ascii="Times New Roman" w:hAnsi="Times New Roman" w:cs="Times New Roman" w:eastAsia="Times New Roman" w:hint="default"/>
                <w:sz w:val="18"/>
                <w:szCs w:val="18"/>
              </w:rPr>
            </w:pPr>
            <w:r>
              <w:rPr>
                <w:rFonts w:ascii="Times New Roman"/>
                <w:sz w:val="18"/>
              </w:rPr>
              <w:t>21.41%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37" w:right="0"/>
              <w:jc w:val="left"/>
              <w:rPr>
                <w:rFonts w:ascii="Times New Roman" w:hAnsi="Times New Roman" w:cs="Times New Roman" w:eastAsia="Times New Roman" w:hint="default"/>
                <w:sz w:val="18"/>
                <w:szCs w:val="18"/>
              </w:rPr>
            </w:pPr>
            <w:r>
              <w:rPr>
                <w:rFonts w:ascii="Times New Roman"/>
                <w:sz w:val="18"/>
              </w:rPr>
              <w:t>26.84%</w:t>
            </w:r>
          </w:p>
        </w:tc>
      </w:tr>
    </w:tbl>
    <w:p>
      <w:pPr>
        <w:pStyle w:val="BodyText"/>
        <w:spacing w:line="348" w:lineRule="auto" w:before="40"/>
        <w:ind w:left="220" w:right="427" w:firstLine="420"/>
        <w:jc w:val="both"/>
      </w:pPr>
      <w:r>
        <w:rPr>
          <w:spacing w:val="2"/>
        </w:rPr>
        <w:t>公司前五名供应商未发生重大变化，也不存在单个供应商采购额超过采购总额</w:t>
      </w:r>
      <w:r>
        <w:rPr>
          <w:spacing w:val="3"/>
        </w:rPr>
        <w:t> </w:t>
      </w:r>
      <w:r>
        <w:rPr/>
        <w:t>达</w:t>
      </w:r>
      <w:r>
        <w:rPr>
          <w:spacing w:val="-30"/>
        </w:rPr>
        <w:t> </w:t>
      </w:r>
      <w:r>
        <w:rPr>
          <w:rFonts w:ascii="Times New Roman" w:hAnsi="Times New Roman" w:cs="Times New Roman" w:eastAsia="Times New Roman" w:hint="default"/>
        </w:rPr>
        <w:t>30%</w:t>
      </w:r>
      <w:r>
        <w:rPr/>
        <w:t>的情形。公司前五名客户未发生重大变化，也不存在单个客户销售收入超过 销售收入总额达</w:t>
      </w:r>
      <w:r>
        <w:rPr>
          <w:spacing w:val="-60"/>
        </w:rPr>
        <w:t> </w:t>
      </w:r>
      <w:r>
        <w:rPr>
          <w:rFonts w:ascii="Times New Roman" w:hAnsi="Times New Roman" w:cs="Times New Roman" w:eastAsia="Times New Roman" w:hint="default"/>
        </w:rPr>
        <w:t>30%</w:t>
      </w:r>
      <w:r>
        <w:rPr/>
        <w:t>的情形，不存在过度依赖单一客户或供应商的情形。</w:t>
      </w:r>
    </w:p>
    <w:p>
      <w:pPr>
        <w:pStyle w:val="BodyText"/>
        <w:spacing w:line="350" w:lineRule="auto" w:before="16"/>
        <w:ind w:left="219" w:right="430" w:firstLine="480"/>
        <w:jc w:val="both"/>
      </w:pPr>
      <w:r>
        <w:rPr/>
        <w:t>公司前五名供应商中广州基准机械电子科技有限公司属于公司关联方（详见第 九节第五点报告期内重大关联交易事项），其他供应商、客户与公司不存在关联关 </w:t>
      </w:r>
      <w:r>
        <w:rPr>
          <w:spacing w:val="-1"/>
        </w:rPr>
        <w:t>系。公司董事、监事、高级管理人员、核心技术人员、持股</w:t>
      </w:r>
      <w:r>
        <w:rPr>
          <w:rFonts w:ascii="Times New Roman" w:hAnsi="Times New Roman" w:cs="Times New Roman" w:eastAsia="Times New Roman" w:hint="default"/>
          <w:spacing w:val="-1"/>
        </w:rPr>
        <w:t>5%</w:t>
      </w:r>
      <w:r>
        <w:rPr>
          <w:spacing w:val="-1"/>
        </w:rPr>
        <w:t>以上股东、实际控制</w:t>
      </w:r>
      <w:r>
        <w:rPr>
          <w:spacing w:val="-113"/>
        </w:rPr>
        <w:t> </w:t>
      </w:r>
      <w:r>
        <w:rPr>
          <w:spacing w:val="-113"/>
        </w:rPr>
      </w:r>
      <w:r>
        <w:rPr/>
        <w:t>人和其他关联方在主要供应商、客户中不拥有直接和间接权益。</w:t>
      </w:r>
    </w:p>
    <w:p>
      <w:pPr>
        <w:spacing w:line="240" w:lineRule="auto" w:before="0"/>
        <w:rPr>
          <w:rFonts w:ascii="宋体" w:hAnsi="宋体" w:cs="宋体" w:eastAsia="宋体" w:hint="default"/>
          <w:sz w:val="24"/>
          <w:szCs w:val="24"/>
        </w:rPr>
      </w:pPr>
    </w:p>
    <w:p>
      <w:pPr>
        <w:pStyle w:val="BodyText"/>
        <w:spacing w:line="240" w:lineRule="auto" w:before="197"/>
        <w:ind w:left="757" w:right="418"/>
        <w:jc w:val="left"/>
      </w:pPr>
      <w:r>
        <w:rPr/>
        <w:t>（九）非经常性损益情况</w:t>
      </w:r>
    </w:p>
    <w:p>
      <w:pPr>
        <w:spacing w:before="202"/>
        <w:ind w:left="0" w:right="433"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13"/>
        <w:rPr>
          <w:rFonts w:ascii="宋体" w:hAnsi="宋体" w:cs="宋体" w:eastAsia="宋体" w:hint="default"/>
          <w:sz w:val="10"/>
          <w:szCs w:val="10"/>
        </w:rPr>
      </w:pPr>
    </w:p>
    <w:tbl>
      <w:tblPr>
        <w:tblW w:w="0" w:type="auto"/>
        <w:jc w:val="left"/>
        <w:tblInd w:w="107" w:type="dxa"/>
        <w:tblLayout w:type="fixed"/>
        <w:tblCellMar>
          <w:top w:w="0" w:type="dxa"/>
          <w:left w:w="0" w:type="dxa"/>
          <w:bottom w:w="0" w:type="dxa"/>
          <w:right w:w="0" w:type="dxa"/>
        </w:tblCellMar>
        <w:tblLook w:val="01E0"/>
      </w:tblPr>
      <w:tblGrid>
        <w:gridCol w:w="3888"/>
        <w:gridCol w:w="1260"/>
        <w:gridCol w:w="1260"/>
        <w:gridCol w:w="1260"/>
        <w:gridCol w:w="1260"/>
      </w:tblGrid>
      <w:tr>
        <w:trPr>
          <w:trHeight w:val="330" w:hRule="exact"/>
        </w:trPr>
        <w:tc>
          <w:tcPr>
            <w:tcW w:w="388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1219" w:right="0"/>
              <w:jc w:val="left"/>
              <w:rPr>
                <w:rFonts w:ascii="宋体" w:hAnsi="宋体" w:cs="宋体" w:eastAsia="宋体" w:hint="default"/>
                <w:sz w:val="18"/>
                <w:szCs w:val="18"/>
              </w:rPr>
            </w:pPr>
            <w:r>
              <w:rPr>
                <w:rFonts w:ascii="宋体" w:hAnsi="宋体" w:cs="宋体" w:eastAsia="宋体" w:hint="default"/>
                <w:sz w:val="18"/>
                <w:szCs w:val="18"/>
              </w:rPr>
              <w:t>非经常性损益项目</w:t>
            </w: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3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3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175" w:right="0"/>
              <w:jc w:val="left"/>
              <w:rPr>
                <w:rFonts w:ascii="宋体" w:hAnsi="宋体" w:cs="宋体" w:eastAsia="宋体" w:hint="default"/>
                <w:sz w:val="18"/>
                <w:szCs w:val="18"/>
              </w:rPr>
            </w:pPr>
            <w:r>
              <w:rPr>
                <w:rFonts w:ascii="宋体" w:hAnsi="宋体" w:cs="宋体" w:eastAsia="宋体" w:hint="default"/>
                <w:sz w:val="18"/>
                <w:szCs w:val="18"/>
              </w:rPr>
              <w:t>本年比上年</w:t>
            </w: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3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bl>
    <w:p>
      <w:pPr>
        <w:spacing w:after="0" w:line="240" w:lineRule="auto"/>
        <w:jc w:val="left"/>
        <w:rPr>
          <w:rFonts w:ascii="宋体" w:hAnsi="宋体" w:cs="宋体" w:eastAsia="宋体" w:hint="default"/>
          <w:sz w:val="18"/>
          <w:szCs w:val="18"/>
        </w:rPr>
        <w:sectPr>
          <w:pgSz w:w="11910" w:h="16840"/>
          <w:pgMar w:header="877" w:footer="1048" w:top="1100" w:bottom="1240" w:left="1580" w:right="980"/>
        </w:sectPr>
      </w:pPr>
    </w:p>
    <w:p>
      <w:pPr>
        <w:spacing w:line="240" w:lineRule="auto" w:before="6"/>
        <w:rPr>
          <w:rFonts w:ascii="宋体" w:hAnsi="宋体" w:cs="宋体" w:eastAsia="宋体" w:hint="default"/>
          <w:sz w:val="24"/>
          <w:szCs w:val="24"/>
        </w:rPr>
      </w:pPr>
    </w:p>
    <w:tbl>
      <w:tblPr>
        <w:tblW w:w="0" w:type="auto"/>
        <w:jc w:val="left"/>
        <w:tblInd w:w="107" w:type="dxa"/>
        <w:tblLayout w:type="fixed"/>
        <w:tblCellMar>
          <w:top w:w="0" w:type="dxa"/>
          <w:left w:w="0" w:type="dxa"/>
          <w:bottom w:w="0" w:type="dxa"/>
          <w:right w:w="0" w:type="dxa"/>
        </w:tblCellMar>
        <w:tblLook w:val="01E0"/>
      </w:tblPr>
      <w:tblGrid>
        <w:gridCol w:w="3888"/>
        <w:gridCol w:w="1260"/>
        <w:gridCol w:w="1260"/>
        <w:gridCol w:w="1260"/>
        <w:gridCol w:w="1260"/>
      </w:tblGrid>
      <w:tr>
        <w:trPr>
          <w:trHeight w:val="650" w:hRule="exact"/>
        </w:trPr>
        <w:tc>
          <w:tcPr>
            <w:tcW w:w="3888" w:type="dxa"/>
            <w:tcBorders>
              <w:top w:val="single" w:sz="4" w:space="0" w:color="000000"/>
              <w:left w:val="single" w:sz="4" w:space="0" w:color="000000"/>
              <w:bottom w:val="single" w:sz="4" w:space="0" w:color="000000"/>
              <w:right w:val="single" w:sz="4" w:space="0" w:color="000000"/>
            </w:tcBorders>
            <w:shd w:val="clear" w:color="auto" w:fill="C0C0C0"/>
          </w:tcPr>
          <w:p>
            <w:pP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pP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pP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增减幅度</w:t>
            </w:r>
          </w:p>
          <w:p>
            <w:pPr>
              <w:pStyle w:val="TableParagraph"/>
              <w:spacing w:line="240" w:lineRule="auto" w:before="85"/>
              <w:ind w:right="1"/>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pPr/>
          </w:p>
        </w:tc>
      </w:tr>
      <w:tr>
        <w:trPr>
          <w:trHeight w:val="367" w:hRule="exact"/>
        </w:trPr>
        <w:tc>
          <w:tcPr>
            <w:tcW w:w="38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pacing w:val="3"/>
                <w:sz w:val="18"/>
                <w:szCs w:val="18"/>
              </w:rPr>
              <w:t>计入当期损益的政府补助，但与公司正常经营</w:t>
            </w:r>
            <w:r>
              <w:rPr>
                <w:rFonts w:ascii="宋体" w:hAnsi="宋体" w:cs="宋体" w:eastAsia="宋体" w:hint="default"/>
                <w:sz w:val="18"/>
                <w:szCs w:val="18"/>
              </w:rPr>
            </w:r>
          </w:p>
        </w:tc>
        <w:tc>
          <w:tcPr>
            <w:tcW w:w="126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r>
      <w:tr>
        <w:trPr>
          <w:trHeight w:val="330" w:hRule="exact"/>
        </w:trPr>
        <w:tc>
          <w:tcPr>
            <w:tcW w:w="3888"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103" w:right="0"/>
              <w:jc w:val="left"/>
              <w:rPr>
                <w:rFonts w:ascii="宋体" w:hAnsi="宋体" w:cs="宋体" w:eastAsia="宋体" w:hint="default"/>
                <w:sz w:val="18"/>
                <w:szCs w:val="18"/>
              </w:rPr>
            </w:pPr>
            <w:r>
              <w:rPr>
                <w:rFonts w:ascii="宋体" w:hAnsi="宋体" w:cs="宋体" w:eastAsia="宋体" w:hint="default"/>
                <w:spacing w:val="3"/>
                <w:sz w:val="18"/>
                <w:szCs w:val="18"/>
              </w:rPr>
              <w:t>业务密切相关，符合国家政策规定、按照一定</w:t>
            </w:r>
            <w:r>
              <w:rPr>
                <w:rFonts w:ascii="宋体" w:hAnsi="宋体" w:cs="宋体" w:eastAsia="宋体" w:hint="default"/>
                <w:sz w:val="18"/>
                <w:szCs w:val="18"/>
              </w:rPr>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0"/>
              <w:jc w:val="right"/>
              <w:rPr>
                <w:rFonts w:ascii="Times New Roman" w:hAnsi="Times New Roman" w:cs="Times New Roman" w:eastAsia="Times New Roman" w:hint="default"/>
                <w:sz w:val="18"/>
                <w:szCs w:val="18"/>
              </w:rPr>
            </w:pPr>
            <w:r>
              <w:rPr>
                <w:rFonts w:ascii="Times New Roman"/>
                <w:spacing w:val="-1"/>
                <w:sz w:val="18"/>
              </w:rPr>
              <w:t>2,484,000.00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0"/>
              <w:jc w:val="right"/>
              <w:rPr>
                <w:rFonts w:ascii="Times New Roman" w:hAnsi="Times New Roman" w:cs="Times New Roman" w:eastAsia="Times New Roman" w:hint="default"/>
                <w:sz w:val="18"/>
                <w:szCs w:val="18"/>
              </w:rPr>
            </w:pPr>
            <w:r>
              <w:rPr>
                <w:rFonts w:ascii="Times New Roman"/>
                <w:spacing w:val="-1"/>
                <w:sz w:val="18"/>
              </w:rPr>
              <w:t>2,154,921.00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0"/>
              <w:jc w:val="center"/>
              <w:rPr>
                <w:rFonts w:ascii="Times New Roman" w:hAnsi="Times New Roman" w:cs="Times New Roman" w:eastAsia="Times New Roman" w:hint="default"/>
                <w:sz w:val="18"/>
                <w:szCs w:val="18"/>
              </w:rPr>
            </w:pPr>
            <w:r>
              <w:rPr>
                <w:rFonts w:ascii="Times New Roman"/>
                <w:sz w:val="18"/>
              </w:rPr>
              <w:t>15.27%</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0"/>
              <w:jc w:val="right"/>
              <w:rPr>
                <w:rFonts w:ascii="Times New Roman" w:hAnsi="Times New Roman" w:cs="Times New Roman" w:eastAsia="Times New Roman" w:hint="default"/>
                <w:sz w:val="18"/>
                <w:szCs w:val="18"/>
              </w:rPr>
            </w:pPr>
            <w:r>
              <w:rPr>
                <w:rFonts w:ascii="Times New Roman"/>
                <w:sz w:val="18"/>
              </w:rPr>
              <w:t>420,000.00</w:t>
            </w:r>
          </w:p>
        </w:tc>
      </w:tr>
      <w:tr>
        <w:trPr>
          <w:trHeight w:val="273" w:hRule="exact"/>
        </w:trPr>
        <w:tc>
          <w:tcPr>
            <w:tcW w:w="388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标准定额或定量持续享受的政府补助除外</w:t>
            </w:r>
          </w:p>
        </w:tc>
        <w:tc>
          <w:tcPr>
            <w:tcW w:w="126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r>
      <w:tr>
        <w:trPr>
          <w:trHeight w:val="367" w:hRule="exact"/>
        </w:trPr>
        <w:tc>
          <w:tcPr>
            <w:tcW w:w="38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pacing w:val="3"/>
                <w:sz w:val="18"/>
                <w:szCs w:val="18"/>
              </w:rPr>
              <w:t>除同公司正常经营业务相关的有效套期保值业</w:t>
            </w:r>
            <w:r>
              <w:rPr>
                <w:rFonts w:ascii="宋体" w:hAnsi="宋体" w:cs="宋体" w:eastAsia="宋体" w:hint="default"/>
                <w:sz w:val="18"/>
                <w:szCs w:val="18"/>
              </w:rPr>
            </w:r>
          </w:p>
        </w:tc>
        <w:tc>
          <w:tcPr>
            <w:tcW w:w="126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r>
      <w:tr>
        <w:trPr>
          <w:trHeight w:val="320" w:hRule="exact"/>
        </w:trPr>
        <w:tc>
          <w:tcPr>
            <w:tcW w:w="3888"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103" w:right="0"/>
              <w:jc w:val="left"/>
              <w:rPr>
                <w:rFonts w:ascii="宋体" w:hAnsi="宋体" w:cs="宋体" w:eastAsia="宋体" w:hint="default"/>
                <w:sz w:val="18"/>
                <w:szCs w:val="18"/>
              </w:rPr>
            </w:pPr>
            <w:r>
              <w:rPr>
                <w:rFonts w:ascii="宋体" w:hAnsi="宋体" w:cs="宋体" w:eastAsia="宋体" w:hint="default"/>
                <w:spacing w:val="3"/>
                <w:sz w:val="18"/>
                <w:szCs w:val="18"/>
              </w:rPr>
              <w:t>务外，持有交易性金融资产、交易性金融负债</w:t>
            </w:r>
            <w:r>
              <w:rPr>
                <w:rFonts w:ascii="宋体" w:hAnsi="宋体" w:cs="宋体" w:eastAsia="宋体" w:hint="default"/>
                <w:sz w:val="18"/>
                <w:szCs w:val="18"/>
              </w:rPr>
            </w:r>
          </w:p>
        </w:tc>
        <w:tc>
          <w:tcPr>
            <w:tcW w:w="126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r>
      <w:tr>
        <w:trPr>
          <w:trHeight w:val="330" w:hRule="exact"/>
        </w:trPr>
        <w:tc>
          <w:tcPr>
            <w:tcW w:w="3888"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103" w:right="0"/>
              <w:jc w:val="left"/>
              <w:rPr>
                <w:rFonts w:ascii="宋体" w:hAnsi="宋体" w:cs="宋体" w:eastAsia="宋体" w:hint="default"/>
                <w:sz w:val="18"/>
                <w:szCs w:val="18"/>
              </w:rPr>
            </w:pPr>
            <w:r>
              <w:rPr>
                <w:rFonts w:ascii="宋体" w:hAnsi="宋体" w:cs="宋体" w:eastAsia="宋体" w:hint="default"/>
                <w:spacing w:val="3"/>
                <w:sz w:val="18"/>
                <w:szCs w:val="18"/>
              </w:rPr>
              <w:t>产生的公允价值变动损益，以及处置交易性金</w:t>
            </w:r>
            <w:r>
              <w:rPr>
                <w:rFonts w:ascii="宋体" w:hAnsi="宋体" w:cs="宋体" w:eastAsia="宋体" w:hint="default"/>
                <w:sz w:val="18"/>
                <w:szCs w:val="18"/>
              </w:rPr>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0"/>
              <w:jc w:val="right"/>
              <w:rPr>
                <w:rFonts w:ascii="Times New Roman" w:hAnsi="Times New Roman" w:cs="Times New Roman" w:eastAsia="Times New Roman" w:hint="default"/>
                <w:sz w:val="18"/>
                <w:szCs w:val="18"/>
              </w:rPr>
            </w:pPr>
            <w:r>
              <w:rPr>
                <w:rFonts w:ascii="Times New Roman"/>
                <w:spacing w:val="-1"/>
                <w:sz w:val="18"/>
              </w:rPr>
              <w:t>4,057,376.71</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0"/>
              <w:jc w:val="center"/>
              <w:rPr>
                <w:rFonts w:ascii="Times New Roman" w:hAnsi="Times New Roman" w:cs="Times New Roman" w:eastAsia="Times New Roman" w:hint="default"/>
                <w:sz w:val="18"/>
                <w:szCs w:val="18"/>
              </w:rPr>
            </w:pPr>
            <w:r>
              <w:rPr>
                <w:rFonts w:ascii="Times New Roman"/>
                <w:sz w:val="18"/>
              </w:rPr>
              <w:t>100.00%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0" w:hRule="exact"/>
        </w:trPr>
        <w:tc>
          <w:tcPr>
            <w:tcW w:w="388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pacing w:val="3"/>
                <w:sz w:val="18"/>
                <w:szCs w:val="18"/>
              </w:rPr>
              <w:t>融资产、交易性金融负债和可供出售金融资产</w:t>
            </w:r>
            <w:r>
              <w:rPr>
                <w:rFonts w:ascii="宋体" w:hAnsi="宋体" w:cs="宋体" w:eastAsia="宋体" w:hint="default"/>
                <w:sz w:val="18"/>
                <w:szCs w:val="18"/>
              </w:rPr>
            </w:r>
          </w:p>
        </w:tc>
        <w:tc>
          <w:tcPr>
            <w:tcW w:w="126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r>
      <w:tr>
        <w:trPr>
          <w:trHeight w:val="284" w:hRule="exact"/>
        </w:trPr>
        <w:tc>
          <w:tcPr>
            <w:tcW w:w="388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宋体" w:hAnsi="宋体" w:cs="宋体" w:eastAsia="宋体" w:hint="default"/>
                <w:sz w:val="18"/>
                <w:szCs w:val="18"/>
              </w:rPr>
            </w:pPr>
            <w:r>
              <w:rPr>
                <w:rFonts w:ascii="宋体" w:hAnsi="宋体" w:cs="宋体" w:eastAsia="宋体" w:hint="default"/>
                <w:sz w:val="18"/>
                <w:szCs w:val="18"/>
              </w:rPr>
              <w:t>取得的投资收益</w:t>
            </w:r>
          </w:p>
        </w:tc>
        <w:tc>
          <w:tcPr>
            <w:tcW w:w="126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r>
      <w:tr>
        <w:trPr>
          <w:trHeight w:val="330" w:hRule="exact"/>
        </w:trPr>
        <w:tc>
          <w:tcPr>
            <w:tcW w:w="3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19"/>
              <w:jc w:val="right"/>
              <w:rPr>
                <w:rFonts w:ascii="Calibri" w:hAnsi="Calibri" w:cs="Calibri" w:eastAsia="Calibri" w:hint="default"/>
                <w:sz w:val="18"/>
                <w:szCs w:val="18"/>
              </w:rPr>
            </w:pPr>
            <w:r>
              <w:rPr>
                <w:rFonts w:ascii="Calibri" w:hAnsi="Calibri" w:cs="Calibri" w:eastAsia="Calibri" w:hint="default"/>
                <w:spacing w:val="-2"/>
                <w:sz w:val="18"/>
                <w:szCs w:val="18"/>
              </w:rPr>
              <w:t>‐</w:t>
            </w:r>
            <w:r>
              <w:rPr>
                <w:rFonts w:ascii="Calibri" w:hAnsi="Calibri" w:cs="Calibri" w:eastAsia="Calibri" w:hint="default"/>
                <w:spacing w:val="-2"/>
                <w:sz w:val="18"/>
                <w:szCs w:val="18"/>
              </w:rPr>
              <w:t>2,297,013.86</w:t>
            </w:r>
            <w:r>
              <w:rPr>
                <w:rFonts w:ascii="Calibri" w:hAnsi="Calibri" w:cs="Calibri" w:eastAsia="Calibri" w:hint="default"/>
                <w:sz w:val="18"/>
                <w:szCs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2,174.88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Times New Roman" w:hAnsi="Times New Roman" w:cs="Times New Roman" w:eastAsia="Times New Roman" w:hint="default"/>
                <w:sz w:val="18"/>
                <w:szCs w:val="18"/>
              </w:rPr>
            </w:pPr>
            <w:r>
              <w:rPr>
                <w:rFonts w:ascii="Times New Roman"/>
                <w:sz w:val="18"/>
              </w:rPr>
              <w:t>-105715.66%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0" w:hRule="exact"/>
        </w:trPr>
        <w:tc>
          <w:tcPr>
            <w:tcW w:w="3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20"/>
              <w:jc w:val="right"/>
              <w:rPr>
                <w:rFonts w:ascii="Times New Roman" w:hAnsi="Times New Roman" w:cs="Times New Roman" w:eastAsia="Times New Roman" w:hint="default"/>
                <w:sz w:val="18"/>
                <w:szCs w:val="18"/>
              </w:rPr>
            </w:pPr>
            <w:r>
              <w:rPr>
                <w:rFonts w:ascii="Times New Roman"/>
                <w:spacing w:val="-1"/>
                <w:sz w:val="18"/>
              </w:rPr>
              <w:t>-2,578,116.82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-3,387,104.71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Times New Roman" w:hAnsi="Times New Roman" w:cs="Times New Roman" w:eastAsia="Times New Roman" w:hint="default"/>
                <w:sz w:val="18"/>
                <w:szCs w:val="18"/>
              </w:rPr>
            </w:pPr>
            <w:r>
              <w:rPr>
                <w:rFonts w:ascii="Times New Roman"/>
                <w:sz w:val="18"/>
              </w:rPr>
              <w:t>23.88%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spacing w:val="-1"/>
                <w:sz w:val="18"/>
              </w:rPr>
              <w:t>-1,200,875.95</w:t>
            </w:r>
          </w:p>
        </w:tc>
      </w:tr>
      <w:tr>
        <w:trPr>
          <w:trHeight w:val="330" w:hRule="exact"/>
        </w:trPr>
        <w:tc>
          <w:tcPr>
            <w:tcW w:w="3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89" w:right="0"/>
              <w:jc w:val="left"/>
              <w:rPr>
                <w:rFonts w:ascii="Times New Roman" w:hAnsi="Times New Roman" w:cs="Times New Roman" w:eastAsia="Times New Roman" w:hint="default"/>
                <w:sz w:val="18"/>
                <w:szCs w:val="18"/>
              </w:rPr>
            </w:pPr>
            <w:r>
              <w:rPr>
                <w:rFonts w:ascii="Times New Roman"/>
                <w:sz w:val="18"/>
              </w:rPr>
              <w:t>-298,128.49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112,511.02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-364.98%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89,284.09</w:t>
            </w:r>
          </w:p>
        </w:tc>
      </w:tr>
      <w:tr>
        <w:trPr>
          <w:trHeight w:val="330" w:hRule="exact"/>
        </w:trPr>
        <w:tc>
          <w:tcPr>
            <w:tcW w:w="388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52"/>
              <w:jc w:val="right"/>
              <w:rPr>
                <w:rFonts w:ascii="Times New Roman" w:hAnsi="Times New Roman" w:cs="Times New Roman" w:eastAsia="Times New Roman" w:hint="default"/>
                <w:sz w:val="18"/>
                <w:szCs w:val="18"/>
              </w:rPr>
            </w:pPr>
            <w:r>
              <w:rPr>
                <w:rFonts w:ascii="Times New Roman"/>
                <w:spacing w:val="-1"/>
                <w:sz w:val="18"/>
              </w:rPr>
              <w:t>1,368,117.54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spacing w:val="-1"/>
                <w:sz w:val="18"/>
              </w:rPr>
              <w:t>-1,117,497.81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222.43%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w w:val="95"/>
                <w:sz w:val="18"/>
              </w:rPr>
              <w:t>-691,591.86</w:t>
            </w:r>
            <w:r>
              <w:rPr>
                <w:rFonts w:ascii="Times New Roman"/>
                <w:sz w:val="18"/>
              </w:rPr>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757" w:right="234"/>
        <w:jc w:val="left"/>
      </w:pPr>
      <w:r>
        <w:rPr/>
        <w:t>（十）经营环境分析</w:t>
      </w:r>
    </w:p>
    <w:p>
      <w:pPr>
        <w:spacing w:line="240" w:lineRule="auto" w:before="9"/>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1908"/>
        <w:gridCol w:w="2446"/>
        <w:gridCol w:w="2447"/>
        <w:gridCol w:w="2128"/>
      </w:tblGrid>
      <w:tr>
        <w:trPr>
          <w:trHeight w:val="650" w:hRule="exact"/>
        </w:trPr>
        <w:tc>
          <w:tcPr>
            <w:tcW w:w="190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环境因素</w:t>
            </w:r>
          </w:p>
        </w:tc>
        <w:tc>
          <w:tcPr>
            <w:tcW w:w="244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09" w:lineRule="auto" w:before="56"/>
              <w:ind w:left="857" w:right="101" w:hanging="755"/>
              <w:jc w:val="left"/>
              <w:rPr>
                <w:rFonts w:ascii="宋体" w:hAnsi="宋体" w:cs="宋体" w:eastAsia="宋体" w:hint="default"/>
                <w:sz w:val="18"/>
                <w:szCs w:val="18"/>
              </w:rPr>
            </w:pPr>
            <w:r>
              <w:rPr>
                <w:rFonts w:ascii="宋体" w:hAnsi="宋体" w:cs="宋体" w:eastAsia="宋体" w:hint="default"/>
                <w:sz w:val="18"/>
                <w:szCs w:val="18"/>
              </w:rPr>
              <w:t>对</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年度业绩及财务状况 影响情况</w:t>
            </w:r>
          </w:p>
        </w:tc>
        <w:tc>
          <w:tcPr>
            <w:tcW w:w="244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1037" w:right="137" w:hanging="900"/>
              <w:jc w:val="left"/>
              <w:rPr>
                <w:rFonts w:ascii="宋体" w:hAnsi="宋体" w:cs="宋体" w:eastAsia="宋体" w:hint="default"/>
                <w:sz w:val="18"/>
                <w:szCs w:val="18"/>
              </w:rPr>
            </w:pPr>
            <w:r>
              <w:rPr>
                <w:rFonts w:ascii="宋体" w:hAnsi="宋体" w:cs="宋体" w:eastAsia="宋体" w:hint="default"/>
                <w:sz w:val="18"/>
                <w:szCs w:val="18"/>
              </w:rPr>
              <w:t>对未来业绩及财务状况影响 情况</w:t>
            </w:r>
          </w:p>
        </w:tc>
        <w:tc>
          <w:tcPr>
            <w:tcW w:w="212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878" w:right="157" w:hanging="720"/>
              <w:jc w:val="left"/>
              <w:rPr>
                <w:rFonts w:ascii="宋体" w:hAnsi="宋体" w:cs="宋体" w:eastAsia="宋体" w:hint="default"/>
                <w:sz w:val="18"/>
                <w:szCs w:val="18"/>
              </w:rPr>
            </w:pPr>
            <w:r>
              <w:rPr>
                <w:rFonts w:ascii="宋体" w:hAnsi="宋体" w:cs="宋体" w:eastAsia="宋体" w:hint="default"/>
                <w:sz w:val="18"/>
                <w:szCs w:val="18"/>
              </w:rPr>
              <w:t>对公司承诺事项的影响 情况</w:t>
            </w:r>
          </w:p>
        </w:tc>
      </w:tr>
      <w:tr>
        <w:trPr>
          <w:trHeight w:val="97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国内市场变化</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326" w:lineRule="auto"/>
              <w:ind w:left="857" w:right="136" w:hanging="720"/>
              <w:jc w:val="left"/>
              <w:rPr>
                <w:rFonts w:ascii="宋体" w:hAnsi="宋体" w:cs="宋体" w:eastAsia="宋体" w:hint="default"/>
                <w:sz w:val="18"/>
                <w:szCs w:val="18"/>
              </w:rPr>
            </w:pPr>
            <w:r>
              <w:rPr>
                <w:rFonts w:ascii="宋体" w:hAnsi="宋体" w:cs="宋体" w:eastAsia="宋体" w:hint="default"/>
                <w:sz w:val="18"/>
                <w:szCs w:val="18"/>
              </w:rPr>
              <w:t>行业的持续发展使公司业绩 稳步增长</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326" w:lineRule="auto"/>
              <w:ind w:left="497" w:right="137" w:hanging="360"/>
              <w:jc w:val="left"/>
              <w:rPr>
                <w:rFonts w:ascii="宋体" w:hAnsi="宋体" w:cs="宋体" w:eastAsia="宋体" w:hint="default"/>
                <w:sz w:val="18"/>
                <w:szCs w:val="18"/>
              </w:rPr>
            </w:pPr>
            <w:r>
              <w:rPr>
                <w:rFonts w:ascii="宋体" w:hAnsi="宋体" w:cs="宋体" w:eastAsia="宋体" w:hint="default"/>
                <w:sz w:val="18"/>
                <w:szCs w:val="18"/>
              </w:rPr>
              <w:t>行业的持续发展、内需扩大 将提升公司的业绩</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103" w:right="101"/>
              <w:jc w:val="center"/>
              <w:rPr>
                <w:rFonts w:ascii="宋体" w:hAnsi="宋体" w:cs="宋体" w:eastAsia="宋体" w:hint="default"/>
                <w:sz w:val="18"/>
                <w:szCs w:val="18"/>
              </w:rPr>
            </w:pPr>
            <w:r>
              <w:rPr>
                <w:rFonts w:ascii="宋体" w:hAnsi="宋体" w:cs="宋体" w:eastAsia="宋体" w:hint="default"/>
                <w:spacing w:val="-7"/>
                <w:sz w:val="18"/>
                <w:szCs w:val="18"/>
              </w:rPr>
              <w:t>行业的持续发展、内需扩</w:t>
            </w:r>
            <w:r>
              <w:rPr>
                <w:rFonts w:ascii="宋体" w:hAnsi="宋体" w:cs="宋体" w:eastAsia="宋体" w:hint="default"/>
                <w:sz w:val="18"/>
                <w:szCs w:val="18"/>
              </w:rPr>
              <w:t> 大将对项目承诺效益产 生一定影响</w:t>
            </w:r>
          </w:p>
        </w:tc>
      </w:tr>
      <w:tr>
        <w:trPr>
          <w:trHeight w:val="97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国外市场变化</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326" w:lineRule="auto"/>
              <w:ind w:left="947" w:right="136" w:hanging="810"/>
              <w:jc w:val="left"/>
              <w:rPr>
                <w:rFonts w:ascii="宋体" w:hAnsi="宋体" w:cs="宋体" w:eastAsia="宋体" w:hint="default"/>
                <w:sz w:val="18"/>
                <w:szCs w:val="18"/>
              </w:rPr>
            </w:pPr>
            <w:r>
              <w:rPr>
                <w:rFonts w:ascii="宋体" w:hAnsi="宋体" w:cs="宋体" w:eastAsia="宋体" w:hint="default"/>
                <w:sz w:val="18"/>
                <w:szCs w:val="18"/>
              </w:rPr>
              <w:t>公司海外市场业务呈良好发 展势头</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137" w:right="137"/>
              <w:jc w:val="center"/>
              <w:rPr>
                <w:rFonts w:ascii="宋体" w:hAnsi="宋体" w:cs="宋体" w:eastAsia="宋体" w:hint="default"/>
                <w:sz w:val="18"/>
                <w:szCs w:val="18"/>
              </w:rPr>
            </w:pPr>
            <w:r>
              <w:rPr>
                <w:rFonts w:ascii="宋体" w:hAnsi="宋体" w:cs="宋体" w:eastAsia="宋体" w:hint="default"/>
                <w:sz w:val="18"/>
                <w:szCs w:val="18"/>
              </w:rPr>
              <w:t>随着公司产品推广力度的加 大，订单数量的增加将使海 外业务加速增长</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67" w:hRule="exact"/>
        </w:trPr>
        <w:tc>
          <w:tcPr>
            <w:tcW w:w="1908" w:type="dxa"/>
            <w:tcBorders>
              <w:top w:val="single" w:sz="4" w:space="0" w:color="000000"/>
              <w:left w:val="single" w:sz="4" w:space="0" w:color="000000"/>
              <w:bottom w:val="nil" w:sz="6" w:space="0" w:color="auto"/>
              <w:right w:val="single" w:sz="4" w:space="0" w:color="000000"/>
            </w:tcBorders>
          </w:tcPr>
          <w:p>
            <w:pPr/>
          </w:p>
        </w:tc>
        <w:tc>
          <w:tcPr>
            <w:tcW w:w="24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目前公司银行信用良好，且</w:t>
            </w:r>
          </w:p>
        </w:tc>
        <w:tc>
          <w:tcPr>
            <w:tcW w:w="2447" w:type="dxa"/>
            <w:tcBorders>
              <w:top w:val="single" w:sz="4" w:space="0" w:color="000000"/>
              <w:left w:val="single" w:sz="4" w:space="0" w:color="000000"/>
              <w:bottom w:val="nil" w:sz="6" w:space="0" w:color="auto"/>
              <w:right w:val="single" w:sz="4" w:space="0" w:color="000000"/>
            </w:tcBorders>
          </w:tcPr>
          <w:p>
            <w:pPr/>
          </w:p>
        </w:tc>
        <w:tc>
          <w:tcPr>
            <w:tcW w:w="2128" w:type="dxa"/>
            <w:tcBorders>
              <w:top w:val="single" w:sz="4" w:space="0" w:color="000000"/>
              <w:left w:val="single" w:sz="4" w:space="0" w:color="000000"/>
              <w:bottom w:val="nil" w:sz="6" w:space="0" w:color="auto"/>
              <w:right w:val="single" w:sz="4" w:space="0" w:color="000000"/>
            </w:tcBorders>
          </w:tcPr>
          <w:p>
            <w:pPr/>
          </w:p>
        </w:tc>
      </w:tr>
      <w:tr>
        <w:trPr>
          <w:trHeight w:val="320" w:hRule="exact"/>
        </w:trPr>
        <w:tc>
          <w:tcPr>
            <w:tcW w:w="1908"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信贷政策调整</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公司以信用及抵押贷款为</w:t>
            </w:r>
          </w:p>
        </w:tc>
        <w:tc>
          <w:tcPr>
            <w:tcW w:w="2447"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1"/>
              <w:jc w:val="center"/>
              <w:rPr>
                <w:rFonts w:ascii="宋体" w:hAnsi="宋体" w:cs="宋体" w:eastAsia="宋体" w:hint="default"/>
                <w:sz w:val="18"/>
                <w:szCs w:val="18"/>
              </w:rPr>
            </w:pPr>
            <w:r>
              <w:rPr>
                <w:rFonts w:ascii="宋体" w:hAnsi="宋体" w:cs="宋体" w:eastAsia="宋体" w:hint="default"/>
                <w:sz w:val="18"/>
                <w:szCs w:val="18"/>
              </w:rPr>
              <w:t>影响较小</w:t>
            </w:r>
          </w:p>
        </w:tc>
        <w:tc>
          <w:tcPr>
            <w:tcW w:w="2128"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84" w:hRule="exact"/>
        </w:trPr>
        <w:tc>
          <w:tcPr>
            <w:tcW w:w="1908" w:type="dxa"/>
            <w:tcBorders>
              <w:top w:val="nil" w:sz="6" w:space="0" w:color="auto"/>
              <w:left w:val="single" w:sz="4" w:space="0" w:color="000000"/>
              <w:bottom w:val="single" w:sz="4" w:space="0" w:color="000000"/>
              <w:right w:val="single" w:sz="4" w:space="0" w:color="000000"/>
            </w:tcBorders>
          </w:tcPr>
          <w:p>
            <w:pPr/>
          </w:p>
        </w:tc>
        <w:tc>
          <w:tcPr>
            <w:tcW w:w="24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主，暂未受到大的影响</w:t>
            </w:r>
          </w:p>
        </w:tc>
        <w:tc>
          <w:tcPr>
            <w:tcW w:w="2447" w:type="dxa"/>
            <w:tcBorders>
              <w:top w:val="nil" w:sz="6" w:space="0" w:color="auto"/>
              <w:left w:val="single" w:sz="4" w:space="0" w:color="000000"/>
              <w:bottom w:val="single" w:sz="4" w:space="0" w:color="000000"/>
              <w:right w:val="single" w:sz="4" w:space="0" w:color="000000"/>
            </w:tcBorders>
          </w:tcPr>
          <w:p>
            <w:pPr/>
          </w:p>
        </w:tc>
        <w:tc>
          <w:tcPr>
            <w:tcW w:w="2128" w:type="dxa"/>
            <w:tcBorders>
              <w:top w:val="nil" w:sz="6" w:space="0" w:color="auto"/>
              <w:left w:val="single" w:sz="4" w:space="0" w:color="000000"/>
              <w:bottom w:val="single" w:sz="4" w:space="0" w:color="000000"/>
              <w:right w:val="single" w:sz="4" w:space="0" w:color="000000"/>
            </w:tcBorders>
          </w:tcPr>
          <w:p>
            <w:pPr/>
          </w:p>
        </w:tc>
      </w:tr>
      <w:tr>
        <w:trPr>
          <w:trHeight w:val="97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汇率变动</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326" w:lineRule="auto"/>
              <w:ind w:left="137" w:right="136"/>
              <w:jc w:val="left"/>
              <w:rPr>
                <w:rFonts w:ascii="宋体" w:hAnsi="宋体" w:cs="宋体" w:eastAsia="宋体" w:hint="default"/>
                <w:sz w:val="18"/>
                <w:szCs w:val="18"/>
              </w:rPr>
            </w:pPr>
            <w:r>
              <w:rPr>
                <w:rFonts w:ascii="宋体" w:hAnsi="宋体" w:cs="宋体" w:eastAsia="宋体" w:hint="default"/>
                <w:sz w:val="18"/>
                <w:szCs w:val="18"/>
              </w:rPr>
              <w:t>对公司进口原材料的采购及 海外销售业务产生一定影响</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137" w:right="137"/>
              <w:jc w:val="center"/>
              <w:rPr>
                <w:rFonts w:ascii="宋体" w:hAnsi="宋体" w:cs="宋体" w:eastAsia="宋体" w:hint="default"/>
                <w:sz w:val="18"/>
                <w:szCs w:val="18"/>
              </w:rPr>
            </w:pPr>
            <w:r>
              <w:rPr>
                <w:rFonts w:ascii="宋体" w:hAnsi="宋体" w:cs="宋体" w:eastAsia="宋体" w:hint="default"/>
                <w:sz w:val="18"/>
                <w:szCs w:val="18"/>
              </w:rPr>
              <w:t>随着公司市场规模的扩大， 对生产成本和海外销售收入 将产生一定影响</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3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利率变动</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对公司信贷影响较小</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影响较小</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65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成本要素的价格变化</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677" w:right="136" w:hanging="540"/>
              <w:jc w:val="left"/>
              <w:rPr>
                <w:rFonts w:ascii="宋体" w:hAnsi="宋体" w:cs="宋体" w:eastAsia="宋体" w:hint="default"/>
                <w:sz w:val="18"/>
                <w:szCs w:val="18"/>
              </w:rPr>
            </w:pPr>
            <w:r>
              <w:rPr>
                <w:rFonts w:ascii="宋体" w:hAnsi="宋体" w:cs="宋体" w:eastAsia="宋体" w:hint="default"/>
                <w:sz w:val="18"/>
                <w:szCs w:val="18"/>
              </w:rPr>
              <w:t>原材料价格下降有助于公司 降低生产成本</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677" w:right="137" w:hanging="540"/>
              <w:jc w:val="left"/>
              <w:rPr>
                <w:rFonts w:ascii="宋体" w:hAnsi="宋体" w:cs="宋体" w:eastAsia="宋体" w:hint="default"/>
                <w:sz w:val="18"/>
                <w:szCs w:val="18"/>
              </w:rPr>
            </w:pPr>
            <w:r>
              <w:rPr>
                <w:rFonts w:ascii="宋体" w:hAnsi="宋体" w:cs="宋体" w:eastAsia="宋体" w:hint="default"/>
                <w:sz w:val="18"/>
                <w:szCs w:val="18"/>
              </w:rPr>
              <w:t>原材料价格的稳定有助于公 司业绩的增长</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878" w:right="157" w:hanging="720"/>
              <w:jc w:val="left"/>
              <w:rPr>
                <w:rFonts w:ascii="宋体" w:hAnsi="宋体" w:cs="宋体" w:eastAsia="宋体" w:hint="default"/>
                <w:sz w:val="18"/>
                <w:szCs w:val="18"/>
              </w:rPr>
            </w:pPr>
            <w:r>
              <w:rPr>
                <w:rFonts w:ascii="宋体" w:hAnsi="宋体" w:cs="宋体" w:eastAsia="宋体" w:hint="default"/>
                <w:sz w:val="18"/>
                <w:szCs w:val="18"/>
              </w:rPr>
              <w:t>对项目承诺效益有一定 影响</w:t>
            </w:r>
          </w:p>
        </w:tc>
      </w:tr>
      <w:tr>
        <w:trPr>
          <w:trHeight w:val="33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自然灾害</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无</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30"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通货膨胀或通货紧缩</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影响较小</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影响较小</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757" w:right="234"/>
        <w:jc w:val="left"/>
      </w:pPr>
      <w:r>
        <w:rPr/>
        <w:t>（十一）报告期内主要费用情况</w:t>
      </w:r>
    </w:p>
    <w:p>
      <w:pPr>
        <w:spacing w:line="240" w:lineRule="auto" w:before="1"/>
        <w:rPr>
          <w:rFonts w:ascii="宋体" w:hAnsi="宋体" w:cs="宋体" w:eastAsia="宋体" w:hint="default"/>
          <w:sz w:val="12"/>
          <w:szCs w:val="12"/>
        </w:rPr>
      </w:pPr>
    </w:p>
    <w:p>
      <w:pPr>
        <w:spacing w:before="44"/>
        <w:ind w:left="0" w:right="253"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13"/>
        <w:rPr>
          <w:rFonts w:ascii="宋体" w:hAnsi="宋体" w:cs="宋体" w:eastAsia="宋体" w:hint="default"/>
          <w:sz w:val="10"/>
          <w:szCs w:val="10"/>
        </w:rPr>
      </w:pPr>
    </w:p>
    <w:tbl>
      <w:tblPr>
        <w:tblW w:w="0" w:type="auto"/>
        <w:jc w:val="left"/>
        <w:tblInd w:w="107" w:type="dxa"/>
        <w:tblLayout w:type="fixed"/>
        <w:tblCellMar>
          <w:top w:w="0" w:type="dxa"/>
          <w:left w:w="0" w:type="dxa"/>
          <w:bottom w:w="0" w:type="dxa"/>
          <w:right w:w="0" w:type="dxa"/>
        </w:tblCellMar>
        <w:tblLook w:val="01E0"/>
      </w:tblPr>
      <w:tblGrid>
        <w:gridCol w:w="1476"/>
        <w:gridCol w:w="1476"/>
        <w:gridCol w:w="1476"/>
        <w:gridCol w:w="1476"/>
        <w:gridCol w:w="1476"/>
        <w:gridCol w:w="1548"/>
      </w:tblGrid>
      <w:tr>
        <w:trPr>
          <w:trHeight w:val="650" w:hRule="exact"/>
        </w:trPr>
        <w:tc>
          <w:tcPr>
            <w:tcW w:w="14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73" w:right="0"/>
              <w:jc w:val="left"/>
              <w:rPr>
                <w:rFonts w:ascii="宋体" w:hAnsi="宋体" w:cs="宋体" w:eastAsia="宋体" w:hint="default"/>
                <w:sz w:val="18"/>
                <w:szCs w:val="18"/>
              </w:rPr>
            </w:pPr>
            <w:r>
              <w:rPr>
                <w:rFonts w:ascii="宋体" w:hAnsi="宋体" w:cs="宋体" w:eastAsia="宋体" w:hint="default"/>
                <w:sz w:val="18"/>
                <w:szCs w:val="18"/>
              </w:rPr>
              <w:t>费用项目</w:t>
            </w:r>
          </w:p>
        </w:tc>
        <w:tc>
          <w:tcPr>
            <w:tcW w:w="14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0" w:lineRule="exact" w:before="10"/>
              <w:ind w:left="297" w:right="101" w:hanging="195"/>
              <w:jc w:val="left"/>
              <w:rPr>
                <w:rFonts w:ascii="宋体" w:hAnsi="宋体" w:cs="宋体" w:eastAsia="宋体" w:hint="default"/>
                <w:sz w:val="18"/>
                <w:szCs w:val="18"/>
              </w:rPr>
            </w:pPr>
            <w:r>
              <w:rPr>
                <w:rFonts w:ascii="宋体" w:hAnsi="宋体" w:cs="宋体" w:eastAsia="宋体" w:hint="default"/>
                <w:sz w:val="18"/>
                <w:szCs w:val="18"/>
              </w:rPr>
              <w:t>本年比上年增减 幅度（</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54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09" w:lineRule="auto" w:before="56"/>
              <w:ind w:left="153" w:right="101" w:hanging="51"/>
              <w:jc w:val="left"/>
              <w:rPr>
                <w:rFonts w:ascii="宋体" w:hAnsi="宋体" w:cs="宋体" w:eastAsia="宋体" w:hint="default"/>
                <w:sz w:val="18"/>
                <w:szCs w:val="18"/>
              </w:rPr>
            </w:pPr>
            <w:r>
              <w:rPr>
                <w:rFonts w:ascii="宋体" w:hAnsi="宋体" w:cs="宋体" w:eastAsia="宋体" w:hint="default"/>
                <w:sz w:val="18"/>
                <w:szCs w:val="18"/>
              </w:rPr>
              <w:t>占</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年营业收 入的比例（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bl>
    <w:p>
      <w:pPr>
        <w:spacing w:after="0" w:line="309" w:lineRule="auto"/>
        <w:jc w:val="left"/>
        <w:rPr>
          <w:rFonts w:ascii="宋体" w:hAnsi="宋体" w:cs="宋体" w:eastAsia="宋体" w:hint="default"/>
          <w:sz w:val="18"/>
          <w:szCs w:val="18"/>
        </w:rPr>
        <w:sectPr>
          <w:pgSz w:w="11910" w:h="16840"/>
          <w:pgMar w:header="877" w:footer="1048" w:top="1100" w:bottom="1240" w:left="1580" w:right="1160"/>
        </w:sectPr>
      </w:pPr>
    </w:p>
    <w:p>
      <w:pPr>
        <w:spacing w:line="240" w:lineRule="auto" w:before="6"/>
        <w:rPr>
          <w:rFonts w:ascii="宋体" w:hAnsi="宋体" w:cs="宋体" w:eastAsia="宋体" w:hint="default"/>
          <w:sz w:val="24"/>
          <w:szCs w:val="24"/>
        </w:rPr>
      </w:pPr>
    </w:p>
    <w:tbl>
      <w:tblPr>
        <w:tblW w:w="0" w:type="auto"/>
        <w:jc w:val="left"/>
        <w:tblInd w:w="147" w:type="dxa"/>
        <w:tblLayout w:type="fixed"/>
        <w:tblCellMar>
          <w:top w:w="0" w:type="dxa"/>
          <w:left w:w="0" w:type="dxa"/>
          <w:bottom w:w="0" w:type="dxa"/>
          <w:right w:w="0" w:type="dxa"/>
        </w:tblCellMar>
        <w:tblLook w:val="01E0"/>
      </w:tblPr>
      <w:tblGrid>
        <w:gridCol w:w="1476"/>
        <w:gridCol w:w="1476"/>
        <w:gridCol w:w="1476"/>
        <w:gridCol w:w="1476"/>
        <w:gridCol w:w="1476"/>
        <w:gridCol w:w="1548"/>
      </w:tblGrid>
      <w:tr>
        <w:trPr>
          <w:trHeight w:val="330"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销售费用</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81,494,548.73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66,035,167.84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59,419,576.11</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1" w:right="0"/>
              <w:jc w:val="center"/>
              <w:rPr>
                <w:rFonts w:ascii="Times New Roman" w:hAnsi="Times New Roman" w:cs="Times New Roman" w:eastAsia="Times New Roman" w:hint="default"/>
                <w:sz w:val="18"/>
                <w:szCs w:val="18"/>
              </w:rPr>
            </w:pPr>
            <w:r>
              <w:rPr>
                <w:rFonts w:ascii="Times New Roman"/>
                <w:sz w:val="18"/>
              </w:rPr>
              <w:t>23.41%</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92" w:right="0"/>
              <w:jc w:val="left"/>
              <w:rPr>
                <w:rFonts w:ascii="Times New Roman" w:hAnsi="Times New Roman" w:cs="Times New Roman" w:eastAsia="Times New Roman" w:hint="default"/>
                <w:sz w:val="18"/>
                <w:szCs w:val="18"/>
              </w:rPr>
            </w:pPr>
            <w:r>
              <w:rPr>
                <w:rFonts w:ascii="Times New Roman"/>
                <w:sz w:val="18"/>
              </w:rPr>
              <w:t>10.99%</w:t>
            </w:r>
          </w:p>
        </w:tc>
      </w:tr>
      <w:tr>
        <w:trPr>
          <w:trHeight w:val="330"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管理费用</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91,570,668.91</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73,477,987.06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64,763,262.02</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24.62%</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92" w:right="0"/>
              <w:jc w:val="left"/>
              <w:rPr>
                <w:rFonts w:ascii="Times New Roman" w:hAnsi="Times New Roman" w:cs="Times New Roman" w:eastAsia="Times New Roman" w:hint="default"/>
                <w:sz w:val="18"/>
                <w:szCs w:val="18"/>
              </w:rPr>
            </w:pPr>
            <w:r>
              <w:rPr>
                <w:rFonts w:ascii="Times New Roman"/>
                <w:sz w:val="18"/>
              </w:rPr>
              <w:t>12.35%</w:t>
            </w:r>
          </w:p>
        </w:tc>
      </w:tr>
      <w:tr>
        <w:trPr>
          <w:trHeight w:val="330"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财务费用</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7,164,382.12</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w w:val="95"/>
                <w:sz w:val="18"/>
              </w:rPr>
              <w:t>-732,643.77</w:t>
            </w:r>
            <w:r>
              <w:rPr>
                <w:rFonts w:ascii="Times New Roman"/>
                <w:sz w:val="18"/>
              </w:rPr>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10,647,741.93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1,077.88%</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536" w:right="0"/>
              <w:jc w:val="left"/>
              <w:rPr>
                <w:rFonts w:ascii="Times New Roman" w:hAnsi="Times New Roman" w:cs="Times New Roman" w:eastAsia="Times New Roman" w:hint="default"/>
                <w:sz w:val="18"/>
                <w:szCs w:val="18"/>
              </w:rPr>
            </w:pPr>
            <w:r>
              <w:rPr>
                <w:rFonts w:ascii="Times New Roman"/>
                <w:sz w:val="18"/>
              </w:rPr>
              <w:t>0.97%</w:t>
            </w:r>
          </w:p>
        </w:tc>
      </w:tr>
      <w:tr>
        <w:trPr>
          <w:trHeight w:val="330"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所得税费用</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20,800,927.30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13,797,651.52</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16,645,021.90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50.76%</w:t>
            </w:r>
          </w:p>
        </w:tc>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536" w:right="0"/>
              <w:jc w:val="left"/>
              <w:rPr>
                <w:rFonts w:ascii="Times New Roman" w:hAnsi="Times New Roman" w:cs="Times New Roman" w:eastAsia="Times New Roman" w:hint="default"/>
                <w:sz w:val="18"/>
                <w:szCs w:val="18"/>
              </w:rPr>
            </w:pPr>
            <w:r>
              <w:rPr>
                <w:rFonts w:ascii="Times New Roman"/>
                <w:sz w:val="18"/>
              </w:rPr>
              <w:t>2.81%</w:t>
            </w:r>
          </w:p>
        </w:tc>
      </w:tr>
    </w:tbl>
    <w:p>
      <w:pPr>
        <w:pStyle w:val="BodyText"/>
        <w:spacing w:line="338" w:lineRule="auto" w:before="40"/>
        <w:ind w:left="117" w:right="235" w:firstLine="480"/>
        <w:jc w:val="left"/>
      </w:pPr>
      <w:r>
        <w:rPr/>
        <w:t>报告期内，财务费用较上年增长</w:t>
      </w:r>
      <w:r>
        <w:rPr>
          <w:spacing w:val="-8"/>
        </w:rPr>
        <w:t> </w:t>
      </w:r>
      <w:r>
        <w:rPr>
          <w:rFonts w:ascii="Times New Roman" w:hAnsi="Times New Roman" w:cs="Times New Roman" w:eastAsia="Times New Roman" w:hint="default"/>
        </w:rPr>
        <w:t>1,077.88%</w:t>
      </w:r>
      <w:r>
        <w:rPr/>
        <w:t>，主要原因是公司银行短期借款利息 增加所致。</w:t>
      </w:r>
    </w:p>
    <w:p>
      <w:pPr>
        <w:pStyle w:val="BodyText"/>
        <w:spacing w:line="338" w:lineRule="auto" w:before="55"/>
        <w:ind w:left="117" w:right="241" w:firstLine="480"/>
        <w:jc w:val="left"/>
      </w:pPr>
      <w:r>
        <w:rPr/>
        <w:t>所得税费用较上年增长</w:t>
      </w:r>
      <w:r>
        <w:rPr>
          <w:spacing w:val="-59"/>
        </w:rPr>
        <w:t> </w:t>
      </w:r>
      <w:r>
        <w:rPr>
          <w:rFonts w:ascii="Times New Roman" w:hAnsi="Times New Roman" w:cs="Times New Roman" w:eastAsia="Times New Roman" w:hint="default"/>
          <w:spacing w:val="-5"/>
        </w:rPr>
        <w:t>50.76%</w:t>
      </w:r>
      <w:r>
        <w:rPr>
          <w:spacing w:val="-5"/>
        </w:rPr>
        <w:t>，主要原因是公司</w:t>
      </w:r>
      <w:r>
        <w:rPr>
          <w:spacing w:val="-59"/>
        </w:rPr>
        <w:t> </w:t>
      </w:r>
      <w:r>
        <w:rPr>
          <w:rFonts w:ascii="Times New Roman" w:hAnsi="Times New Roman" w:cs="Times New Roman" w:eastAsia="Times New Roman" w:hint="default"/>
        </w:rPr>
        <w:t>ATM</w:t>
      </w:r>
      <w:r>
        <w:rPr>
          <w:rFonts w:ascii="Times New Roman" w:hAnsi="Times New Roman" w:cs="Times New Roman" w:eastAsia="Times New Roman" w:hint="default"/>
          <w:spacing w:val="1"/>
        </w:rPr>
        <w:t> </w:t>
      </w:r>
      <w:r>
        <w:rPr/>
        <w:t>销售和运营服务业务的增 长使得利润总额增加，所得税费用相应增加所致。</w:t>
      </w:r>
    </w:p>
    <w:p>
      <w:pPr>
        <w:spacing w:line="240" w:lineRule="auto" w:before="0"/>
        <w:rPr>
          <w:rFonts w:ascii="宋体" w:hAnsi="宋体" w:cs="宋体" w:eastAsia="宋体" w:hint="default"/>
          <w:sz w:val="24"/>
          <w:szCs w:val="24"/>
        </w:rPr>
      </w:pPr>
    </w:p>
    <w:p>
      <w:pPr>
        <w:pStyle w:val="BodyText"/>
        <w:spacing w:line="240" w:lineRule="auto" w:before="209"/>
        <w:ind w:left="739" w:right="235"/>
        <w:jc w:val="left"/>
      </w:pPr>
      <w:r>
        <w:rPr/>
        <w:t>（十二）报告期内现金流状况分析</w:t>
      </w:r>
    </w:p>
    <w:p>
      <w:pPr>
        <w:spacing w:before="202"/>
        <w:ind w:left="0" w:right="253"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13"/>
        <w:rPr>
          <w:rFonts w:ascii="宋体" w:hAnsi="宋体" w:cs="宋体" w:eastAsia="宋体" w:hint="default"/>
          <w:sz w:val="10"/>
          <w:szCs w:val="10"/>
        </w:rPr>
      </w:pPr>
    </w:p>
    <w:tbl>
      <w:tblPr>
        <w:tblW w:w="0" w:type="auto"/>
        <w:jc w:val="left"/>
        <w:tblInd w:w="242" w:type="dxa"/>
        <w:tblLayout w:type="fixed"/>
        <w:tblCellMar>
          <w:top w:w="0" w:type="dxa"/>
          <w:left w:w="0" w:type="dxa"/>
          <w:bottom w:w="0" w:type="dxa"/>
          <w:right w:w="0" w:type="dxa"/>
        </w:tblCellMar>
        <w:tblLook w:val="01E0"/>
      </w:tblPr>
      <w:tblGrid>
        <w:gridCol w:w="2993"/>
        <w:gridCol w:w="1946"/>
        <w:gridCol w:w="1949"/>
        <w:gridCol w:w="1948"/>
      </w:tblGrid>
      <w:tr>
        <w:trPr>
          <w:trHeight w:val="325" w:hRule="exact"/>
        </w:trPr>
        <w:tc>
          <w:tcPr>
            <w:tcW w:w="2993" w:type="dxa"/>
            <w:tcBorders>
              <w:top w:val="single" w:sz="2" w:space="0" w:color="000000"/>
              <w:left w:val="single" w:sz="2" w:space="0" w:color="000000"/>
              <w:bottom w:val="single" w:sz="2" w:space="0" w:color="000000"/>
              <w:right w:val="single" w:sz="2"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946" w:type="dxa"/>
            <w:tcBorders>
              <w:top w:val="single" w:sz="2" w:space="0" w:color="000000"/>
              <w:left w:val="single" w:sz="2" w:space="0" w:color="000000"/>
              <w:bottom w:val="single" w:sz="2" w:space="0" w:color="000000"/>
              <w:right w:val="single" w:sz="2" w:space="0" w:color="000000"/>
            </w:tcBorders>
            <w:shd w:val="clear" w:color="auto" w:fill="C0C0C0"/>
          </w:tcPr>
          <w:p>
            <w:pPr>
              <w:pStyle w:val="TableParagraph"/>
              <w:spacing w:line="240" w:lineRule="auto" w:before="56"/>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49" w:type="dxa"/>
            <w:tcBorders>
              <w:top w:val="single" w:sz="2" w:space="0" w:color="000000"/>
              <w:left w:val="single" w:sz="2" w:space="0" w:color="000000"/>
              <w:bottom w:val="single" w:sz="2" w:space="0" w:color="000000"/>
              <w:right w:val="single" w:sz="2"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48" w:type="dxa"/>
            <w:tcBorders>
              <w:top w:val="single" w:sz="2" w:space="0" w:color="000000"/>
              <w:left w:val="single" w:sz="2" w:space="0" w:color="000000"/>
              <w:bottom w:val="single" w:sz="2" w:space="0" w:color="000000"/>
              <w:right w:val="single" w:sz="2"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同比增减（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5" w:hRule="exact"/>
        </w:trPr>
        <w:tc>
          <w:tcPr>
            <w:tcW w:w="2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6"/>
              <w:ind w:left="106"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一、经营活动产生的现金流量净额</w:t>
            </w:r>
          </w:p>
        </w:tc>
        <w:tc>
          <w:tcPr>
            <w:tcW w:w="1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z w:val="18"/>
              </w:rPr>
              <w:t>50,486,330.80</w:t>
            </w:r>
          </w:p>
        </w:tc>
        <w:tc>
          <w:tcPr>
            <w:tcW w:w="194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z w:val="18"/>
              </w:rPr>
              <w:t>36,947,898.55</w:t>
            </w:r>
          </w:p>
        </w:tc>
        <w:tc>
          <w:tcPr>
            <w:tcW w:w="19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36.64%</w:t>
            </w:r>
          </w:p>
        </w:tc>
      </w:tr>
      <w:tr>
        <w:trPr>
          <w:trHeight w:val="325" w:hRule="exact"/>
        </w:trPr>
        <w:tc>
          <w:tcPr>
            <w:tcW w:w="2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6"/>
              <w:ind w:left="466" w:right="0"/>
              <w:jc w:val="left"/>
              <w:rPr>
                <w:rFonts w:ascii="宋体" w:hAnsi="宋体" w:cs="宋体" w:eastAsia="宋体" w:hint="default"/>
                <w:sz w:val="18"/>
                <w:szCs w:val="18"/>
              </w:rPr>
            </w:pPr>
            <w:r>
              <w:rPr>
                <w:rFonts w:ascii="宋体" w:hAnsi="宋体" w:cs="宋体" w:eastAsia="宋体" w:hint="default"/>
                <w:sz w:val="18"/>
                <w:szCs w:val="18"/>
              </w:rPr>
              <w:t>经营活动现金流入量</w:t>
            </w:r>
          </w:p>
        </w:tc>
        <w:tc>
          <w:tcPr>
            <w:tcW w:w="1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spacing w:val="-1"/>
                <w:sz w:val="18"/>
              </w:rPr>
              <w:t>722,524,545.98</w:t>
            </w:r>
          </w:p>
        </w:tc>
        <w:tc>
          <w:tcPr>
            <w:tcW w:w="194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515,304,695.35</w:t>
            </w:r>
          </w:p>
        </w:tc>
        <w:tc>
          <w:tcPr>
            <w:tcW w:w="19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40.21%</w:t>
            </w:r>
          </w:p>
        </w:tc>
      </w:tr>
      <w:tr>
        <w:trPr>
          <w:trHeight w:val="325" w:hRule="exact"/>
        </w:trPr>
        <w:tc>
          <w:tcPr>
            <w:tcW w:w="2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6"/>
              <w:ind w:left="466" w:right="0"/>
              <w:jc w:val="left"/>
              <w:rPr>
                <w:rFonts w:ascii="宋体" w:hAnsi="宋体" w:cs="宋体" w:eastAsia="宋体" w:hint="default"/>
                <w:sz w:val="18"/>
                <w:szCs w:val="18"/>
              </w:rPr>
            </w:pPr>
            <w:r>
              <w:rPr>
                <w:rFonts w:ascii="宋体" w:hAnsi="宋体" w:cs="宋体" w:eastAsia="宋体" w:hint="default"/>
                <w:sz w:val="18"/>
                <w:szCs w:val="18"/>
              </w:rPr>
              <w:t>经营活动现金流出量</w:t>
            </w:r>
          </w:p>
        </w:tc>
        <w:tc>
          <w:tcPr>
            <w:tcW w:w="1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spacing w:val="-1"/>
                <w:sz w:val="18"/>
              </w:rPr>
              <w:t>672,038,215.18</w:t>
            </w:r>
          </w:p>
        </w:tc>
        <w:tc>
          <w:tcPr>
            <w:tcW w:w="194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478,356,796.80</w:t>
            </w:r>
          </w:p>
        </w:tc>
        <w:tc>
          <w:tcPr>
            <w:tcW w:w="19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40.49%</w:t>
            </w:r>
          </w:p>
        </w:tc>
      </w:tr>
      <w:tr>
        <w:trPr>
          <w:trHeight w:val="324" w:hRule="exact"/>
        </w:trPr>
        <w:tc>
          <w:tcPr>
            <w:tcW w:w="2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6"/>
              <w:ind w:left="106"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二、投资活动产生的现金流量净额</w:t>
            </w:r>
          </w:p>
        </w:tc>
        <w:tc>
          <w:tcPr>
            <w:tcW w:w="1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spacing w:val="-1"/>
                <w:sz w:val="18"/>
              </w:rPr>
              <w:t>-221,360,495.42</w:t>
            </w:r>
          </w:p>
        </w:tc>
        <w:tc>
          <w:tcPr>
            <w:tcW w:w="194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-141,824,635.45</w:t>
            </w:r>
          </w:p>
        </w:tc>
        <w:tc>
          <w:tcPr>
            <w:tcW w:w="19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-56.08%</w:t>
            </w:r>
          </w:p>
        </w:tc>
      </w:tr>
      <w:tr>
        <w:trPr>
          <w:trHeight w:val="325" w:hRule="exact"/>
        </w:trPr>
        <w:tc>
          <w:tcPr>
            <w:tcW w:w="2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7"/>
              <w:ind w:left="466" w:right="0"/>
              <w:jc w:val="left"/>
              <w:rPr>
                <w:rFonts w:ascii="宋体" w:hAnsi="宋体" w:cs="宋体" w:eastAsia="宋体" w:hint="default"/>
                <w:sz w:val="18"/>
                <w:szCs w:val="18"/>
              </w:rPr>
            </w:pPr>
            <w:r>
              <w:rPr>
                <w:rFonts w:ascii="宋体" w:hAnsi="宋体" w:cs="宋体" w:eastAsia="宋体" w:hint="default"/>
                <w:sz w:val="18"/>
                <w:szCs w:val="18"/>
              </w:rPr>
              <w:t>投资活动现金流入量</w:t>
            </w:r>
          </w:p>
        </w:tc>
        <w:tc>
          <w:tcPr>
            <w:tcW w:w="1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z w:val="18"/>
              </w:rPr>
              <w:t>154,308.00</w:t>
            </w:r>
          </w:p>
        </w:tc>
        <w:tc>
          <w:tcPr>
            <w:tcW w:w="194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9"/>
              <w:ind w:right="103"/>
              <w:jc w:val="right"/>
              <w:rPr>
                <w:rFonts w:ascii="Times New Roman" w:hAnsi="Times New Roman" w:cs="Times New Roman" w:eastAsia="Times New Roman" w:hint="default"/>
                <w:sz w:val="18"/>
                <w:szCs w:val="18"/>
              </w:rPr>
            </w:pPr>
            <w:r>
              <w:rPr>
                <w:rFonts w:ascii="Times New Roman"/>
                <w:sz w:val="18"/>
              </w:rPr>
              <w:t>6,072.00</w:t>
            </w:r>
          </w:p>
        </w:tc>
        <w:tc>
          <w:tcPr>
            <w:tcW w:w="19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2,441.30%</w:t>
            </w:r>
          </w:p>
        </w:tc>
      </w:tr>
      <w:tr>
        <w:trPr>
          <w:trHeight w:val="325" w:hRule="exact"/>
        </w:trPr>
        <w:tc>
          <w:tcPr>
            <w:tcW w:w="2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6"/>
              <w:ind w:left="466" w:right="0"/>
              <w:jc w:val="left"/>
              <w:rPr>
                <w:rFonts w:ascii="宋体" w:hAnsi="宋体" w:cs="宋体" w:eastAsia="宋体" w:hint="default"/>
                <w:sz w:val="18"/>
                <w:szCs w:val="18"/>
              </w:rPr>
            </w:pPr>
            <w:r>
              <w:rPr>
                <w:rFonts w:ascii="宋体" w:hAnsi="宋体" w:cs="宋体" w:eastAsia="宋体" w:hint="default"/>
                <w:sz w:val="18"/>
                <w:szCs w:val="18"/>
              </w:rPr>
              <w:t>投资活动现金流出量</w:t>
            </w:r>
          </w:p>
        </w:tc>
        <w:tc>
          <w:tcPr>
            <w:tcW w:w="1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pacing w:val="-1"/>
                <w:sz w:val="18"/>
              </w:rPr>
              <w:t>221,514,803.42</w:t>
            </w:r>
          </w:p>
        </w:tc>
        <w:tc>
          <w:tcPr>
            <w:tcW w:w="194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141,830,707.45</w:t>
            </w:r>
          </w:p>
        </w:tc>
        <w:tc>
          <w:tcPr>
            <w:tcW w:w="19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56.18%</w:t>
            </w:r>
          </w:p>
        </w:tc>
      </w:tr>
      <w:tr>
        <w:trPr>
          <w:trHeight w:val="325" w:hRule="exact"/>
        </w:trPr>
        <w:tc>
          <w:tcPr>
            <w:tcW w:w="2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6"/>
              <w:ind w:left="106"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三、筹资活动产生的现金流量净额</w:t>
            </w:r>
          </w:p>
        </w:tc>
        <w:tc>
          <w:tcPr>
            <w:tcW w:w="1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pacing w:val="-1"/>
                <w:sz w:val="18"/>
              </w:rPr>
              <w:t>116,828,724.83</w:t>
            </w:r>
          </w:p>
        </w:tc>
        <w:tc>
          <w:tcPr>
            <w:tcW w:w="194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w w:val="95"/>
                <w:sz w:val="18"/>
              </w:rPr>
              <w:t>-33,240,228.67</w:t>
            </w:r>
            <w:r>
              <w:rPr>
                <w:rFonts w:ascii="Times New Roman"/>
                <w:sz w:val="18"/>
              </w:rPr>
            </w:r>
          </w:p>
        </w:tc>
        <w:tc>
          <w:tcPr>
            <w:tcW w:w="19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5"/>
              <w:ind w:left="1" w:right="0"/>
              <w:jc w:val="center"/>
              <w:rPr>
                <w:rFonts w:ascii="Times New Roman" w:hAnsi="Times New Roman" w:cs="Times New Roman" w:eastAsia="Times New Roman" w:hint="default"/>
                <w:sz w:val="18"/>
                <w:szCs w:val="18"/>
              </w:rPr>
            </w:pPr>
            <w:r>
              <w:rPr>
                <w:rFonts w:ascii="Times New Roman"/>
                <w:sz w:val="18"/>
              </w:rPr>
              <w:t>451.47%</w:t>
            </w:r>
          </w:p>
        </w:tc>
      </w:tr>
      <w:tr>
        <w:trPr>
          <w:trHeight w:val="325" w:hRule="exact"/>
        </w:trPr>
        <w:tc>
          <w:tcPr>
            <w:tcW w:w="2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6"/>
              <w:ind w:left="466" w:right="0"/>
              <w:jc w:val="left"/>
              <w:rPr>
                <w:rFonts w:ascii="宋体" w:hAnsi="宋体" w:cs="宋体" w:eastAsia="宋体" w:hint="default"/>
                <w:sz w:val="18"/>
                <w:szCs w:val="18"/>
              </w:rPr>
            </w:pPr>
            <w:r>
              <w:rPr>
                <w:rFonts w:ascii="宋体" w:hAnsi="宋体" w:cs="宋体" w:eastAsia="宋体" w:hint="default"/>
                <w:sz w:val="18"/>
                <w:szCs w:val="18"/>
              </w:rPr>
              <w:t>筹资活动现金流入量</w:t>
            </w:r>
          </w:p>
        </w:tc>
        <w:tc>
          <w:tcPr>
            <w:tcW w:w="1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spacing w:val="-1"/>
                <w:sz w:val="18"/>
              </w:rPr>
              <w:t>473,691,340.00</w:t>
            </w:r>
          </w:p>
        </w:tc>
        <w:tc>
          <w:tcPr>
            <w:tcW w:w="194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507,988,041.00</w:t>
            </w:r>
          </w:p>
        </w:tc>
        <w:tc>
          <w:tcPr>
            <w:tcW w:w="19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left="1" w:right="0"/>
              <w:jc w:val="center"/>
              <w:rPr>
                <w:rFonts w:ascii="Times New Roman" w:hAnsi="Times New Roman" w:cs="Times New Roman" w:eastAsia="Times New Roman" w:hint="default"/>
                <w:sz w:val="18"/>
                <w:szCs w:val="18"/>
              </w:rPr>
            </w:pPr>
            <w:r>
              <w:rPr>
                <w:rFonts w:ascii="Times New Roman"/>
                <w:sz w:val="18"/>
              </w:rPr>
              <w:t>-6.75%</w:t>
            </w:r>
          </w:p>
        </w:tc>
      </w:tr>
      <w:tr>
        <w:trPr>
          <w:trHeight w:val="325" w:hRule="exact"/>
        </w:trPr>
        <w:tc>
          <w:tcPr>
            <w:tcW w:w="2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6"/>
              <w:ind w:left="466" w:right="0"/>
              <w:jc w:val="left"/>
              <w:rPr>
                <w:rFonts w:ascii="宋体" w:hAnsi="宋体" w:cs="宋体" w:eastAsia="宋体" w:hint="default"/>
                <w:sz w:val="18"/>
                <w:szCs w:val="18"/>
              </w:rPr>
            </w:pPr>
            <w:r>
              <w:rPr>
                <w:rFonts w:ascii="宋体" w:hAnsi="宋体" w:cs="宋体" w:eastAsia="宋体" w:hint="default"/>
                <w:sz w:val="18"/>
                <w:szCs w:val="18"/>
              </w:rPr>
              <w:t>筹资活动现金流出量</w:t>
            </w:r>
          </w:p>
        </w:tc>
        <w:tc>
          <w:tcPr>
            <w:tcW w:w="1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spacing w:val="-1"/>
                <w:sz w:val="18"/>
              </w:rPr>
              <w:t>356,862,615.17</w:t>
            </w:r>
          </w:p>
        </w:tc>
        <w:tc>
          <w:tcPr>
            <w:tcW w:w="194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541,228,269.67</w:t>
            </w:r>
          </w:p>
        </w:tc>
        <w:tc>
          <w:tcPr>
            <w:tcW w:w="19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-34.06%</w:t>
            </w:r>
          </w:p>
        </w:tc>
      </w:tr>
      <w:tr>
        <w:trPr>
          <w:trHeight w:val="324" w:hRule="exact"/>
        </w:trPr>
        <w:tc>
          <w:tcPr>
            <w:tcW w:w="2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6"/>
              <w:ind w:left="106" w:right="0"/>
              <w:jc w:val="left"/>
              <w:rPr>
                <w:rFonts w:ascii="宋体" w:hAnsi="宋体" w:cs="宋体" w:eastAsia="宋体" w:hint="default"/>
                <w:sz w:val="18"/>
                <w:szCs w:val="18"/>
              </w:rPr>
            </w:pPr>
            <w:r>
              <w:rPr>
                <w:rFonts w:ascii="宋体" w:hAnsi="宋体" w:cs="宋体" w:eastAsia="宋体" w:hint="default"/>
                <w:sz w:val="18"/>
                <w:szCs w:val="18"/>
              </w:rPr>
              <w:t>四、现金及现金等价物净增加额</w:t>
            </w:r>
          </w:p>
        </w:tc>
        <w:tc>
          <w:tcPr>
            <w:tcW w:w="1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w w:val="95"/>
                <w:sz w:val="18"/>
              </w:rPr>
              <w:t>-54,045,439.79</w:t>
            </w:r>
            <w:r>
              <w:rPr>
                <w:rFonts w:ascii="Times New Roman"/>
                <w:sz w:val="18"/>
              </w:rPr>
            </w:r>
          </w:p>
        </w:tc>
        <w:tc>
          <w:tcPr>
            <w:tcW w:w="194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8"/>
              <w:ind w:right="105"/>
              <w:jc w:val="right"/>
              <w:rPr>
                <w:rFonts w:ascii="Times New Roman" w:hAnsi="Times New Roman" w:cs="Times New Roman" w:eastAsia="Times New Roman" w:hint="default"/>
                <w:sz w:val="18"/>
                <w:szCs w:val="18"/>
              </w:rPr>
            </w:pPr>
            <w:r>
              <w:rPr>
                <w:rFonts w:ascii="Times New Roman"/>
                <w:spacing w:val="-1"/>
                <w:sz w:val="18"/>
              </w:rPr>
              <w:t>-138,116,965.57</w:t>
            </w:r>
          </w:p>
        </w:tc>
        <w:tc>
          <w:tcPr>
            <w:tcW w:w="19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sz w:val="18"/>
              </w:rPr>
              <w:t>60.87%</w:t>
            </w:r>
          </w:p>
        </w:tc>
      </w:tr>
      <w:tr>
        <w:trPr>
          <w:trHeight w:val="325" w:hRule="exact"/>
        </w:trPr>
        <w:tc>
          <w:tcPr>
            <w:tcW w:w="2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7"/>
              <w:ind w:left="466" w:right="0"/>
              <w:jc w:val="left"/>
              <w:rPr>
                <w:rFonts w:ascii="宋体" w:hAnsi="宋体" w:cs="宋体" w:eastAsia="宋体" w:hint="default"/>
                <w:sz w:val="18"/>
                <w:szCs w:val="18"/>
              </w:rPr>
            </w:pPr>
            <w:r>
              <w:rPr>
                <w:rFonts w:ascii="宋体" w:hAnsi="宋体" w:cs="宋体" w:eastAsia="宋体" w:hint="default"/>
                <w:sz w:val="18"/>
                <w:szCs w:val="18"/>
              </w:rPr>
              <w:t>现金流入总计</w:t>
            </w:r>
          </w:p>
        </w:tc>
        <w:tc>
          <w:tcPr>
            <w:tcW w:w="1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pacing w:val="-1"/>
                <w:sz w:val="18"/>
              </w:rPr>
              <w:t>1,196,370,193.98</w:t>
            </w:r>
          </w:p>
        </w:tc>
        <w:tc>
          <w:tcPr>
            <w:tcW w:w="194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9"/>
              <w:ind w:right="105"/>
              <w:jc w:val="right"/>
              <w:rPr>
                <w:rFonts w:ascii="Times New Roman" w:hAnsi="Times New Roman" w:cs="Times New Roman" w:eastAsia="Times New Roman" w:hint="default"/>
                <w:sz w:val="18"/>
                <w:szCs w:val="18"/>
              </w:rPr>
            </w:pPr>
            <w:r>
              <w:rPr>
                <w:rFonts w:ascii="Times New Roman"/>
                <w:spacing w:val="-1"/>
                <w:sz w:val="18"/>
              </w:rPr>
              <w:t>1,023,298,808.35</w:t>
            </w:r>
          </w:p>
        </w:tc>
        <w:tc>
          <w:tcPr>
            <w:tcW w:w="19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16.91%</w:t>
            </w:r>
          </w:p>
        </w:tc>
      </w:tr>
      <w:tr>
        <w:trPr>
          <w:trHeight w:val="325" w:hRule="exact"/>
        </w:trPr>
        <w:tc>
          <w:tcPr>
            <w:tcW w:w="299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6"/>
              <w:ind w:left="466" w:right="0"/>
              <w:jc w:val="left"/>
              <w:rPr>
                <w:rFonts w:ascii="宋体" w:hAnsi="宋体" w:cs="宋体" w:eastAsia="宋体" w:hint="default"/>
                <w:sz w:val="18"/>
                <w:szCs w:val="18"/>
              </w:rPr>
            </w:pPr>
            <w:r>
              <w:rPr>
                <w:rFonts w:ascii="宋体" w:hAnsi="宋体" w:cs="宋体" w:eastAsia="宋体" w:hint="default"/>
                <w:sz w:val="18"/>
                <w:szCs w:val="18"/>
              </w:rPr>
              <w:t>现金流出总计</w:t>
            </w:r>
          </w:p>
        </w:tc>
        <w:tc>
          <w:tcPr>
            <w:tcW w:w="194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pacing w:val="-1"/>
                <w:sz w:val="18"/>
              </w:rPr>
              <w:t>1,250,415,633.77</w:t>
            </w:r>
          </w:p>
        </w:tc>
        <w:tc>
          <w:tcPr>
            <w:tcW w:w="194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108"/>
              <w:ind w:right="105"/>
              <w:jc w:val="right"/>
              <w:rPr>
                <w:rFonts w:ascii="Times New Roman" w:hAnsi="Times New Roman" w:cs="Times New Roman" w:eastAsia="Times New Roman" w:hint="default"/>
                <w:sz w:val="18"/>
                <w:szCs w:val="18"/>
              </w:rPr>
            </w:pPr>
            <w:r>
              <w:rPr>
                <w:rFonts w:ascii="Times New Roman"/>
                <w:spacing w:val="-1"/>
                <w:sz w:val="18"/>
              </w:rPr>
              <w:t>1,161,415,773.92</w:t>
            </w:r>
          </w:p>
        </w:tc>
        <w:tc>
          <w:tcPr>
            <w:tcW w:w="1948"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55"/>
              <w:ind w:left="1" w:right="0"/>
              <w:jc w:val="center"/>
              <w:rPr>
                <w:rFonts w:ascii="Times New Roman" w:hAnsi="Times New Roman" w:cs="Times New Roman" w:eastAsia="Times New Roman" w:hint="default"/>
                <w:sz w:val="18"/>
                <w:szCs w:val="18"/>
              </w:rPr>
            </w:pPr>
            <w:r>
              <w:rPr>
                <w:rFonts w:ascii="Times New Roman"/>
                <w:sz w:val="18"/>
              </w:rPr>
              <w:t>7.66%</w:t>
            </w:r>
          </w:p>
        </w:tc>
      </w:tr>
    </w:tbl>
    <w:p>
      <w:pPr>
        <w:pStyle w:val="BodyText"/>
        <w:spacing w:line="240" w:lineRule="auto" w:before="40"/>
        <w:ind w:left="740" w:right="235"/>
        <w:jc w:val="left"/>
      </w:pPr>
      <w:r>
        <w:rPr/>
        <w:t>注释：</w:t>
      </w:r>
    </w:p>
    <w:p>
      <w:pPr>
        <w:pStyle w:val="BodyText"/>
        <w:spacing w:line="338" w:lineRule="auto" w:before="154"/>
        <w:ind w:left="259" w:right="249" w:firstLine="480"/>
        <w:jc w:val="both"/>
      </w:pPr>
      <w:r>
        <w:rPr>
          <w:rFonts w:ascii="Times New Roman" w:hAnsi="Times New Roman" w:cs="Times New Roman" w:eastAsia="Times New Roman" w:hint="default"/>
        </w:rPr>
        <w:t>1</w:t>
      </w:r>
      <w:r>
        <w:rPr/>
        <w:t>、经营活动产生的现金流量净额较上年同期增长</w:t>
      </w:r>
      <w:r>
        <w:rPr>
          <w:spacing w:val="9"/>
        </w:rPr>
        <w:t> </w:t>
      </w:r>
      <w:r>
        <w:rPr>
          <w:rFonts w:ascii="Times New Roman" w:hAnsi="Times New Roman" w:cs="Times New Roman" w:eastAsia="Times New Roman" w:hint="default"/>
        </w:rPr>
        <w:t>36.64%</w:t>
      </w:r>
      <w:r>
        <w:rPr/>
        <w:t>，其中经营活动现金</w:t>
      </w:r>
      <w:r>
        <w:rPr>
          <w:spacing w:val="1"/>
        </w:rPr>
        <w:t> </w:t>
      </w:r>
      <w:r>
        <w:rPr/>
        <w:t>流入量较上年同期增加</w:t>
      </w:r>
      <w:r>
        <w:rPr>
          <w:spacing w:val="-93"/>
        </w:rPr>
        <w:t> </w:t>
      </w:r>
      <w:r>
        <w:rPr>
          <w:rFonts w:ascii="Times New Roman" w:hAnsi="Times New Roman" w:cs="Times New Roman" w:eastAsia="Times New Roman" w:hint="default"/>
        </w:rPr>
        <w:t>40.21%</w:t>
      </w:r>
      <w:r>
        <w:rPr/>
        <w:t>，主要原因是公司加大货款回收所致；经营活动现金</w:t>
      </w:r>
      <w:r>
        <w:rPr>
          <w:spacing w:val="-1"/>
        </w:rPr>
        <w:t> </w:t>
      </w:r>
      <w:r>
        <w:rPr/>
        <w:t>流出量较上年同期增加</w:t>
      </w:r>
      <w:r>
        <w:rPr>
          <w:spacing w:val="-60"/>
        </w:rPr>
        <w:t> </w:t>
      </w:r>
      <w:r>
        <w:rPr>
          <w:rFonts w:ascii="Times New Roman" w:hAnsi="Times New Roman" w:cs="Times New Roman" w:eastAsia="Times New Roman" w:hint="default"/>
        </w:rPr>
        <w:t>40.49%</w:t>
      </w:r>
      <w:r>
        <w:rPr/>
        <w:t>，主要原因是公司加大生产经营投入所致。</w:t>
      </w:r>
    </w:p>
    <w:p>
      <w:pPr>
        <w:pStyle w:val="BodyText"/>
        <w:spacing w:line="338" w:lineRule="auto" w:before="27"/>
        <w:ind w:left="259" w:right="249" w:firstLine="480"/>
        <w:jc w:val="both"/>
      </w:pPr>
      <w:r>
        <w:rPr>
          <w:rFonts w:ascii="Times New Roman" w:hAnsi="Times New Roman" w:cs="Times New Roman" w:eastAsia="Times New Roman" w:hint="default"/>
        </w:rPr>
        <w:t>2</w:t>
      </w:r>
      <w:r>
        <w:rPr/>
        <w:t>、投资活动产生的现金流量净额较上年同期减少</w:t>
      </w:r>
      <w:r>
        <w:rPr>
          <w:spacing w:val="9"/>
        </w:rPr>
        <w:t> </w:t>
      </w:r>
      <w:r>
        <w:rPr>
          <w:rFonts w:ascii="Times New Roman" w:hAnsi="Times New Roman" w:cs="Times New Roman" w:eastAsia="Times New Roman" w:hint="default"/>
        </w:rPr>
        <w:t>56.08%</w:t>
      </w:r>
      <w:r>
        <w:rPr/>
        <w:t>，其中投资活动的现</w:t>
      </w:r>
      <w:r>
        <w:rPr>
          <w:spacing w:val="1"/>
        </w:rPr>
        <w:t> </w:t>
      </w:r>
      <w:r>
        <w:rPr/>
        <w:t>金流入量较上年同期增加</w:t>
      </w:r>
      <w:r>
        <w:rPr>
          <w:spacing w:val="-53"/>
        </w:rPr>
        <w:t> </w:t>
      </w:r>
      <w:r>
        <w:rPr>
          <w:rFonts w:ascii="Times New Roman" w:hAnsi="Times New Roman" w:cs="Times New Roman" w:eastAsia="Times New Roman" w:hint="default"/>
          <w:spacing w:val="-4"/>
        </w:rPr>
        <w:t>2,441.30%</w:t>
      </w:r>
      <w:r>
        <w:rPr>
          <w:spacing w:val="-4"/>
        </w:rPr>
        <w:t>，主要是处理固定资产收回现金所致；投资活动</w:t>
      </w:r>
      <w:r>
        <w:rPr>
          <w:spacing w:val="-117"/>
        </w:rPr>
        <w:t> </w:t>
      </w:r>
      <w:r>
        <w:rPr>
          <w:spacing w:val="-117"/>
        </w:rPr>
      </w:r>
      <w:r>
        <w:rPr/>
        <w:t>的现金流出量较上年同期增长</w:t>
      </w:r>
      <w:r>
        <w:rPr>
          <w:spacing w:val="-85"/>
        </w:rPr>
        <w:t> </w:t>
      </w:r>
      <w:r>
        <w:rPr>
          <w:rFonts w:ascii="Times New Roman" w:hAnsi="Times New Roman" w:cs="Times New Roman" w:eastAsia="Times New Roman" w:hint="default"/>
        </w:rPr>
        <w:t>56.18%</w:t>
      </w:r>
      <w:r>
        <w:rPr/>
        <w:t>，主要原因是公司购买办公楼和厂房的土地使 用权及投资广州花都稠州村镇银行所致。</w:t>
      </w:r>
    </w:p>
    <w:p>
      <w:pPr>
        <w:pStyle w:val="BodyText"/>
        <w:spacing w:line="338" w:lineRule="auto" w:before="55"/>
        <w:ind w:left="259" w:right="250" w:firstLine="480"/>
        <w:jc w:val="both"/>
      </w:pPr>
      <w:r>
        <w:rPr>
          <w:rFonts w:ascii="Times New Roman" w:hAnsi="Times New Roman" w:cs="Times New Roman" w:eastAsia="Times New Roman" w:hint="default"/>
          <w:spacing w:val="2"/>
        </w:rPr>
        <w:t>3</w:t>
      </w:r>
      <w:r>
        <w:rPr>
          <w:spacing w:val="2"/>
        </w:rPr>
        <w:t>、筹资活动产生的现金流量净额较上年同期增加</w:t>
      </w:r>
      <w:r>
        <w:rPr>
          <w:rFonts w:ascii="Times New Roman" w:hAnsi="Times New Roman" w:cs="Times New Roman" w:eastAsia="Times New Roman" w:hint="default"/>
          <w:spacing w:val="2"/>
        </w:rPr>
        <w:t>150,068,953.50</w:t>
      </w:r>
      <w:r>
        <w:rPr>
          <w:spacing w:val="2"/>
        </w:rPr>
        <w:t>元，其中筹资</w:t>
      </w:r>
      <w:r>
        <w:rPr>
          <w:spacing w:val="3"/>
        </w:rPr>
        <w:t> </w:t>
      </w:r>
      <w:r>
        <w:rPr>
          <w:spacing w:val="-3"/>
        </w:rPr>
        <w:t>活动现金流入量较上年同期减少</w:t>
      </w:r>
      <w:r>
        <w:rPr>
          <w:rFonts w:ascii="Times New Roman" w:hAnsi="Times New Roman" w:cs="Times New Roman" w:eastAsia="Times New Roman" w:hint="default"/>
          <w:spacing w:val="-3"/>
        </w:rPr>
        <w:t>6.75%</w:t>
      </w:r>
      <w:r>
        <w:rPr>
          <w:spacing w:val="-3"/>
        </w:rPr>
        <w:t>，主要原因是报告期公司银行借款较上年减少</w:t>
      </w:r>
      <w:r>
        <w:rPr>
          <w:spacing w:val="-93"/>
        </w:rPr>
        <w:t> </w:t>
      </w:r>
      <w:r>
        <w:rPr>
          <w:spacing w:val="-93"/>
        </w:rPr>
      </w:r>
      <w:r>
        <w:rPr/>
        <w:t>所致；筹资活动现金流出量较上年同期减少</w:t>
      </w:r>
      <w:r>
        <w:rPr>
          <w:rFonts w:ascii="Times New Roman" w:hAnsi="Times New Roman" w:cs="Times New Roman" w:eastAsia="Times New Roman" w:hint="default"/>
        </w:rPr>
        <w:t>34.06%</w:t>
      </w:r>
      <w:r>
        <w:rPr/>
        <w:t>，主要原因是报告期公司偿还银</w:t>
      </w:r>
    </w:p>
    <w:p>
      <w:pPr>
        <w:spacing w:after="0" w:line="338" w:lineRule="auto"/>
        <w:jc w:val="both"/>
        <w:sectPr>
          <w:pgSz w:w="11910" w:h="16840"/>
          <w:pgMar w:header="877" w:footer="1048" w:top="1100" w:bottom="1240" w:left="1540" w:right="1160"/>
        </w:sectPr>
      </w:pPr>
    </w:p>
    <w:p>
      <w:pPr>
        <w:spacing w:line="240" w:lineRule="auto" w:before="7"/>
        <w:rPr>
          <w:rFonts w:ascii="宋体" w:hAnsi="宋体" w:cs="宋体" w:eastAsia="宋体" w:hint="default"/>
          <w:sz w:val="25"/>
          <w:szCs w:val="25"/>
        </w:rPr>
      </w:pPr>
    </w:p>
    <w:p>
      <w:pPr>
        <w:pStyle w:val="BodyText"/>
        <w:spacing w:line="240" w:lineRule="auto" w:before="26"/>
        <w:ind w:left="300" w:right="115"/>
        <w:jc w:val="left"/>
      </w:pPr>
      <w:r>
        <w:rPr/>
        <w:t>行借款较上年减少所致。</w:t>
      </w:r>
    </w:p>
    <w:p>
      <w:pPr>
        <w:pStyle w:val="BodyText"/>
        <w:spacing w:line="338" w:lineRule="auto" w:before="154"/>
        <w:ind w:left="299" w:right="115" w:firstLine="480"/>
        <w:jc w:val="left"/>
      </w:pPr>
      <w:r>
        <w:rPr>
          <w:rFonts w:ascii="Times New Roman" w:hAnsi="Times New Roman" w:cs="Times New Roman" w:eastAsia="Times New Roman" w:hint="default"/>
        </w:rPr>
        <w:t>4</w:t>
      </w:r>
      <w:r>
        <w:rPr/>
        <w:t>、现金及现金等价物净增加额较上年同期增加</w:t>
      </w:r>
      <w:r>
        <w:rPr>
          <w:spacing w:val="9"/>
        </w:rPr>
        <w:t> </w:t>
      </w:r>
      <w:r>
        <w:rPr>
          <w:rFonts w:ascii="Times New Roman" w:hAnsi="Times New Roman" w:cs="Times New Roman" w:eastAsia="Times New Roman" w:hint="default"/>
        </w:rPr>
        <w:t>60.87%</w:t>
      </w:r>
      <w:r>
        <w:rPr/>
        <w:t>，主要原因是由上述经</w:t>
      </w:r>
      <w:r>
        <w:rPr>
          <w:spacing w:val="1"/>
        </w:rPr>
        <w:t> </w:t>
      </w:r>
      <w:r>
        <w:rPr/>
        <w:t>营活动、投资活动和筹资活动产生的现金流量净额影响的结果所致。</w:t>
      </w:r>
    </w:p>
    <w:p>
      <w:pPr>
        <w:spacing w:line="240" w:lineRule="auto" w:before="0"/>
        <w:rPr>
          <w:rFonts w:ascii="宋体" w:hAnsi="宋体" w:cs="宋体" w:eastAsia="宋体" w:hint="default"/>
          <w:sz w:val="24"/>
          <w:szCs w:val="24"/>
        </w:rPr>
      </w:pPr>
    </w:p>
    <w:p>
      <w:pPr>
        <w:pStyle w:val="BodyText"/>
        <w:spacing w:line="357" w:lineRule="auto" w:before="209"/>
        <w:ind w:left="779" w:right="115"/>
        <w:jc w:val="left"/>
      </w:pPr>
      <w:r>
        <w:rPr/>
        <w:t>（十三）公司重要资产情况 </w:t>
      </w:r>
      <w:r>
        <w:rPr>
          <w:spacing w:val="-2"/>
        </w:rPr>
        <w:t>公司的房屋建筑物主要为新塘分公司的厂房和办公楼，建在公司自有的土地上，</w:t>
      </w:r>
    </w:p>
    <w:p>
      <w:pPr>
        <w:pStyle w:val="BodyText"/>
        <w:spacing w:line="240" w:lineRule="auto" w:before="36"/>
        <w:ind w:left="299" w:right="115"/>
        <w:jc w:val="left"/>
      </w:pPr>
      <w:r>
        <w:rPr/>
        <w:t>拥有完整合法的土地使用权证和房屋所有权证。其他重要资产情况如下表：</w:t>
      </w:r>
    </w:p>
    <w:p>
      <w:pPr>
        <w:spacing w:line="240" w:lineRule="auto" w:before="9"/>
        <w:rPr>
          <w:rFonts w:ascii="宋体" w:hAnsi="宋体" w:cs="宋体" w:eastAsia="宋体" w:hint="default"/>
          <w:sz w:val="8"/>
          <w:szCs w:val="8"/>
        </w:rPr>
      </w:pPr>
    </w:p>
    <w:tbl>
      <w:tblPr>
        <w:tblW w:w="0" w:type="auto"/>
        <w:jc w:val="left"/>
        <w:tblInd w:w="187" w:type="dxa"/>
        <w:tblLayout w:type="fixed"/>
        <w:tblCellMar>
          <w:top w:w="0" w:type="dxa"/>
          <w:left w:w="0" w:type="dxa"/>
          <w:bottom w:w="0" w:type="dxa"/>
          <w:right w:w="0" w:type="dxa"/>
        </w:tblCellMar>
        <w:tblLook w:val="01E0"/>
      </w:tblPr>
      <w:tblGrid>
        <w:gridCol w:w="1908"/>
        <w:gridCol w:w="1440"/>
        <w:gridCol w:w="818"/>
        <w:gridCol w:w="982"/>
        <w:gridCol w:w="900"/>
        <w:gridCol w:w="720"/>
        <w:gridCol w:w="1980"/>
      </w:tblGrid>
      <w:tr>
        <w:trPr>
          <w:trHeight w:val="634" w:hRule="exact"/>
        </w:trPr>
        <w:tc>
          <w:tcPr>
            <w:tcW w:w="190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资产类别</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存放状态</w:t>
            </w:r>
          </w:p>
        </w:tc>
        <w:tc>
          <w:tcPr>
            <w:tcW w:w="81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性质</w:t>
            </w:r>
          </w:p>
        </w:tc>
        <w:tc>
          <w:tcPr>
            <w:tcW w:w="98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使用情况</w:t>
            </w:r>
          </w:p>
        </w:tc>
        <w:tc>
          <w:tcPr>
            <w:tcW w:w="9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0"/>
              <w:ind w:left="175" w:right="173"/>
              <w:jc w:val="left"/>
              <w:rPr>
                <w:rFonts w:ascii="宋体" w:hAnsi="宋体" w:cs="宋体" w:eastAsia="宋体" w:hint="default"/>
                <w:sz w:val="18"/>
                <w:szCs w:val="18"/>
              </w:rPr>
            </w:pPr>
            <w:r>
              <w:rPr>
                <w:rFonts w:ascii="宋体" w:hAnsi="宋体" w:cs="宋体" w:eastAsia="宋体" w:hint="default"/>
                <w:sz w:val="18"/>
                <w:szCs w:val="18"/>
              </w:rPr>
              <w:t>盈利能 力情况</w:t>
            </w:r>
          </w:p>
        </w:tc>
        <w:tc>
          <w:tcPr>
            <w:tcW w:w="7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0"/>
              <w:ind w:left="175" w:right="173"/>
              <w:jc w:val="left"/>
              <w:rPr>
                <w:rFonts w:ascii="宋体" w:hAnsi="宋体" w:cs="宋体" w:eastAsia="宋体" w:hint="default"/>
                <w:sz w:val="18"/>
                <w:szCs w:val="18"/>
              </w:rPr>
            </w:pPr>
            <w:r>
              <w:rPr>
                <w:rFonts w:ascii="宋体" w:hAnsi="宋体" w:cs="宋体" w:eastAsia="宋体" w:hint="default"/>
                <w:sz w:val="18"/>
                <w:szCs w:val="18"/>
              </w:rPr>
              <w:t>减值 情况</w:t>
            </w:r>
          </w:p>
        </w:tc>
        <w:tc>
          <w:tcPr>
            <w:tcW w:w="19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0"/>
              <w:ind w:left="895" w:right="173" w:hanging="720"/>
              <w:jc w:val="left"/>
              <w:rPr>
                <w:rFonts w:ascii="宋体" w:hAnsi="宋体" w:cs="宋体" w:eastAsia="宋体" w:hint="default"/>
                <w:sz w:val="18"/>
                <w:szCs w:val="18"/>
              </w:rPr>
            </w:pPr>
            <w:r>
              <w:rPr>
                <w:rFonts w:ascii="宋体" w:hAnsi="宋体" w:cs="宋体" w:eastAsia="宋体" w:hint="default"/>
                <w:sz w:val="18"/>
                <w:szCs w:val="18"/>
              </w:rPr>
              <w:t>相关担保诉讼仲裁情 况</w:t>
            </w:r>
          </w:p>
        </w:tc>
      </w:tr>
      <w:tr>
        <w:trPr>
          <w:trHeight w:val="635"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土地、厂房、办公楼</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355" w:right="173" w:hanging="180"/>
              <w:jc w:val="left"/>
              <w:rPr>
                <w:rFonts w:ascii="宋体" w:hAnsi="宋体" w:cs="宋体" w:eastAsia="宋体" w:hint="default"/>
                <w:sz w:val="18"/>
                <w:szCs w:val="18"/>
              </w:rPr>
            </w:pPr>
            <w:r>
              <w:rPr>
                <w:rFonts w:ascii="宋体" w:hAnsi="宋体" w:cs="宋体" w:eastAsia="宋体" w:hint="default"/>
                <w:sz w:val="18"/>
                <w:szCs w:val="18"/>
              </w:rPr>
              <w:t>建在公司自有 生产场所</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正常</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5" w:right="0"/>
              <w:jc w:val="left"/>
              <w:rPr>
                <w:rFonts w:ascii="宋体" w:hAnsi="宋体" w:cs="宋体" w:eastAsia="宋体" w:hint="default"/>
                <w:sz w:val="18"/>
                <w:szCs w:val="18"/>
              </w:rPr>
            </w:pPr>
            <w:r>
              <w:rPr>
                <w:rFonts w:ascii="宋体" w:hAnsi="宋体" w:cs="宋体" w:eastAsia="宋体" w:hint="default"/>
                <w:sz w:val="18"/>
                <w:szCs w:val="18"/>
              </w:rPr>
              <w:t>良好</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5"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625" w:right="173" w:hanging="450"/>
              <w:jc w:val="left"/>
              <w:rPr>
                <w:rFonts w:ascii="宋体" w:hAnsi="宋体" w:cs="宋体" w:eastAsia="宋体" w:hint="default"/>
                <w:sz w:val="18"/>
                <w:szCs w:val="18"/>
              </w:rPr>
            </w:pPr>
            <w:r>
              <w:rPr>
                <w:rFonts w:ascii="宋体" w:hAnsi="宋体" w:cs="宋体" w:eastAsia="宋体" w:hint="default"/>
                <w:sz w:val="18"/>
                <w:szCs w:val="18"/>
              </w:rPr>
              <w:t>为公司经营借款提供 抵押担保</w:t>
            </w:r>
          </w:p>
        </w:tc>
      </w:tr>
      <w:tr>
        <w:trPr>
          <w:trHeight w:val="634"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重要设备</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535" w:right="173" w:hanging="360"/>
              <w:jc w:val="left"/>
              <w:rPr>
                <w:rFonts w:ascii="宋体" w:hAnsi="宋体" w:cs="宋体" w:eastAsia="宋体" w:hint="default"/>
                <w:sz w:val="18"/>
                <w:szCs w:val="18"/>
              </w:rPr>
            </w:pPr>
            <w:r>
              <w:rPr>
                <w:rFonts w:ascii="宋体" w:hAnsi="宋体" w:cs="宋体" w:eastAsia="宋体" w:hint="default"/>
                <w:sz w:val="18"/>
                <w:szCs w:val="18"/>
              </w:rPr>
              <w:t>公司自有生产 场所</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正常</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65" w:right="0"/>
              <w:jc w:val="left"/>
              <w:rPr>
                <w:rFonts w:ascii="宋体" w:hAnsi="宋体" w:cs="宋体" w:eastAsia="宋体" w:hint="default"/>
                <w:sz w:val="18"/>
                <w:szCs w:val="18"/>
              </w:rPr>
            </w:pPr>
            <w:r>
              <w:rPr>
                <w:rFonts w:ascii="宋体" w:hAnsi="宋体" w:cs="宋体" w:eastAsia="宋体" w:hint="default"/>
                <w:sz w:val="18"/>
                <w:szCs w:val="18"/>
              </w:rPr>
              <w:t>良好</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65"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635"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合作运营</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ATM</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设备</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各运营网点</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在用</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正常</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65" w:right="0"/>
              <w:jc w:val="left"/>
              <w:rPr>
                <w:rFonts w:ascii="宋体" w:hAnsi="宋体" w:cs="宋体" w:eastAsia="宋体" w:hint="default"/>
                <w:sz w:val="18"/>
                <w:szCs w:val="18"/>
              </w:rPr>
            </w:pPr>
            <w:r>
              <w:rPr>
                <w:rFonts w:ascii="宋体" w:hAnsi="宋体" w:cs="宋体" w:eastAsia="宋体" w:hint="default"/>
                <w:sz w:val="18"/>
                <w:szCs w:val="18"/>
              </w:rPr>
              <w:t>良好</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65"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65" w:right="173" w:hanging="90"/>
              <w:jc w:val="left"/>
              <w:rPr>
                <w:rFonts w:ascii="宋体" w:hAnsi="宋体" w:cs="宋体" w:eastAsia="宋体" w:hint="default"/>
                <w:sz w:val="18"/>
                <w:szCs w:val="18"/>
              </w:rPr>
            </w:pPr>
            <w:r>
              <w:rPr>
                <w:rFonts w:ascii="宋体" w:hAnsi="宋体" w:cs="宋体" w:eastAsia="宋体" w:hint="default"/>
                <w:sz w:val="18"/>
                <w:szCs w:val="18"/>
              </w:rPr>
              <w:t>部分设备为公司经营 借款提供抵押担保</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780" w:right="115"/>
        <w:jc w:val="left"/>
      </w:pPr>
      <w:r>
        <w:rPr/>
        <w:t>（十四）资产构成变动情况</w:t>
      </w:r>
    </w:p>
    <w:p>
      <w:pPr>
        <w:pStyle w:val="BodyText"/>
        <w:spacing w:line="240" w:lineRule="auto" w:before="154"/>
        <w:ind w:left="780" w:right="115"/>
        <w:jc w:val="left"/>
      </w:pPr>
      <w:r>
        <w:rPr>
          <w:rFonts w:ascii="Times New Roman" w:hAnsi="Times New Roman" w:cs="Times New Roman" w:eastAsia="Times New Roman" w:hint="default"/>
        </w:rPr>
        <w:t>1</w:t>
      </w:r>
      <w:r>
        <w:rPr/>
        <w:t>、资产构成变动情况表</w:t>
      </w:r>
    </w:p>
    <w:p>
      <w:pPr>
        <w:spacing w:line="240" w:lineRule="auto" w:before="9"/>
        <w:rPr>
          <w:rFonts w:ascii="宋体" w:hAnsi="宋体" w:cs="宋体" w:eastAsia="宋体" w:hint="default"/>
          <w:sz w:val="10"/>
          <w:szCs w:val="10"/>
        </w:rPr>
      </w:pPr>
    </w:p>
    <w:p>
      <w:pPr>
        <w:spacing w:before="44"/>
        <w:ind w:left="0" w:right="343"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13"/>
        <w:rPr>
          <w:rFonts w:ascii="宋体" w:hAnsi="宋体" w:cs="宋体" w:eastAsia="宋体" w:hint="default"/>
          <w:sz w:val="10"/>
          <w:szCs w:val="10"/>
        </w:rPr>
      </w:pPr>
    </w:p>
    <w:tbl>
      <w:tblPr>
        <w:tblW w:w="0" w:type="auto"/>
        <w:jc w:val="left"/>
        <w:tblInd w:w="110" w:type="dxa"/>
        <w:tblLayout w:type="fixed"/>
        <w:tblCellMar>
          <w:top w:w="0" w:type="dxa"/>
          <w:left w:w="0" w:type="dxa"/>
          <w:bottom w:w="0" w:type="dxa"/>
          <w:right w:w="0" w:type="dxa"/>
        </w:tblCellMar>
        <w:tblLook w:val="01E0"/>
      </w:tblPr>
      <w:tblGrid>
        <w:gridCol w:w="1800"/>
        <w:gridCol w:w="1476"/>
        <w:gridCol w:w="944"/>
        <w:gridCol w:w="1476"/>
        <w:gridCol w:w="964"/>
        <w:gridCol w:w="1180"/>
        <w:gridCol w:w="1160"/>
      </w:tblGrid>
      <w:tr>
        <w:trPr>
          <w:trHeight w:val="326" w:hRule="exact"/>
        </w:trPr>
        <w:tc>
          <w:tcPr>
            <w:tcW w:w="1800" w:type="dxa"/>
            <w:vMerge w:val="restart"/>
            <w:tcBorders>
              <w:top w:val="single" w:sz="8" w:space="0" w:color="000000"/>
              <w:left w:val="single" w:sz="4" w:space="0" w:color="000000"/>
              <w:right w:val="single" w:sz="8"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20" w:type="dxa"/>
            <w:gridSpan w:val="2"/>
            <w:tcBorders>
              <w:top w:val="single" w:sz="8" w:space="0" w:color="000000"/>
              <w:left w:val="single" w:sz="8" w:space="0" w:color="000000"/>
              <w:bottom w:val="single" w:sz="4" w:space="0" w:color="000000"/>
              <w:right w:val="single" w:sz="8" w:space="0" w:color="000000"/>
            </w:tcBorders>
            <w:shd w:val="clear" w:color="auto" w:fill="C0C0C0"/>
          </w:tcPr>
          <w:p>
            <w:pPr>
              <w:pStyle w:val="TableParagraph"/>
              <w:spacing w:line="240" w:lineRule="auto" w:before="10"/>
              <w:ind w:left="4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40" w:type="dxa"/>
            <w:gridSpan w:val="2"/>
            <w:tcBorders>
              <w:top w:val="single" w:sz="8" w:space="0" w:color="000000"/>
              <w:left w:val="single" w:sz="8" w:space="0" w:color="000000"/>
              <w:bottom w:val="single" w:sz="4" w:space="0" w:color="000000"/>
              <w:right w:val="single" w:sz="8" w:space="0" w:color="000000"/>
            </w:tcBorders>
            <w:shd w:val="clear" w:color="auto" w:fill="C0C0C0"/>
          </w:tcPr>
          <w:p>
            <w:pPr>
              <w:pStyle w:val="TableParagraph"/>
              <w:spacing w:line="240" w:lineRule="auto" w:before="10"/>
              <w:ind w:left="46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80" w:type="dxa"/>
            <w:vMerge w:val="restart"/>
            <w:tcBorders>
              <w:top w:val="single" w:sz="4" w:space="0" w:color="000000"/>
              <w:left w:val="single" w:sz="8" w:space="0" w:color="000000"/>
              <w:right w:val="single" w:sz="8" w:space="0" w:color="000000"/>
            </w:tcBorders>
            <w:shd w:val="clear" w:color="auto" w:fill="C0C0C0"/>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同比增减</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60" w:type="dxa"/>
            <w:vMerge w:val="restart"/>
            <w:tcBorders>
              <w:top w:val="single" w:sz="4" w:space="0" w:color="000000"/>
              <w:left w:val="single" w:sz="8" w:space="0" w:color="000000"/>
              <w:right w:val="single" w:sz="4" w:space="0" w:color="000000"/>
            </w:tcBorders>
            <w:shd w:val="clear" w:color="auto" w:fill="C0C0C0"/>
          </w:tcPr>
          <w:p>
            <w:pPr>
              <w:pStyle w:val="TableParagraph"/>
              <w:spacing w:line="240" w:lineRule="auto" w:before="58"/>
              <w:ind w:left="210" w:right="0"/>
              <w:jc w:val="left"/>
              <w:rPr>
                <w:rFonts w:ascii="宋体" w:hAnsi="宋体" w:cs="宋体" w:eastAsia="宋体" w:hint="default"/>
                <w:sz w:val="18"/>
                <w:szCs w:val="18"/>
              </w:rPr>
            </w:pPr>
            <w:r>
              <w:rPr>
                <w:rFonts w:ascii="宋体" w:hAnsi="宋体" w:cs="宋体" w:eastAsia="宋体" w:hint="default"/>
                <w:sz w:val="18"/>
                <w:szCs w:val="18"/>
              </w:rPr>
              <w:t>同比增减</w:t>
            </w:r>
          </w:p>
          <w:p>
            <w:pPr>
              <w:pStyle w:val="TableParagraph"/>
              <w:spacing w:line="240" w:lineRule="auto" w:before="76"/>
              <w:ind w:left="1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）达到</w:t>
            </w:r>
          </w:p>
          <w:p>
            <w:pPr>
              <w:pStyle w:val="TableParagraph"/>
              <w:spacing w:line="240" w:lineRule="auto" w:before="63"/>
              <w:ind w:left="1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宋体" w:hAnsi="宋体" w:cs="宋体" w:eastAsia="宋体" w:hint="default"/>
                <w:sz w:val="18"/>
                <w:szCs w:val="18"/>
              </w:rPr>
              <w:t>的说明</w:t>
            </w:r>
          </w:p>
        </w:tc>
      </w:tr>
      <w:tr>
        <w:trPr>
          <w:trHeight w:val="715" w:hRule="exact"/>
        </w:trPr>
        <w:tc>
          <w:tcPr>
            <w:tcW w:w="1800" w:type="dxa"/>
            <w:vMerge/>
            <w:tcBorders>
              <w:left w:val="single" w:sz="4" w:space="0" w:color="000000"/>
              <w:bottom w:val="single" w:sz="8" w:space="0" w:color="000000"/>
              <w:right w:val="single" w:sz="8" w:space="0" w:color="000000"/>
            </w:tcBorders>
            <w:shd w:val="clear" w:color="auto" w:fill="C0C0C0"/>
          </w:tcPr>
          <w:p>
            <w:pPr/>
          </w:p>
        </w:tc>
        <w:tc>
          <w:tcPr>
            <w:tcW w:w="1476" w:type="dxa"/>
            <w:tcBorders>
              <w:top w:val="single" w:sz="4" w:space="0" w:color="000000"/>
              <w:left w:val="single" w:sz="8" w:space="0" w:color="000000"/>
              <w:bottom w:val="single" w:sz="8" w:space="0" w:color="000000"/>
              <w:right w:val="single" w:sz="8" w:space="0" w:color="000000"/>
            </w:tcBorders>
            <w:shd w:val="clear" w:color="auto" w:fill="C0C0C0"/>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余额</w:t>
            </w:r>
          </w:p>
        </w:tc>
        <w:tc>
          <w:tcPr>
            <w:tcW w:w="944" w:type="dxa"/>
            <w:tcBorders>
              <w:top w:val="single" w:sz="4" w:space="0" w:color="000000"/>
              <w:left w:val="single" w:sz="8" w:space="0" w:color="000000"/>
              <w:bottom w:val="single" w:sz="8" w:space="0" w:color="000000"/>
              <w:right w:val="single" w:sz="8" w:space="0" w:color="000000"/>
            </w:tcBorders>
            <w:shd w:val="clear" w:color="auto" w:fill="C0C0C0"/>
          </w:tcPr>
          <w:p>
            <w:pPr>
              <w:pStyle w:val="TableParagraph"/>
              <w:spacing w:line="316" w:lineRule="auto" w:before="53"/>
              <w:ind w:left="117" w:right="101" w:hanging="16"/>
              <w:jc w:val="left"/>
              <w:rPr>
                <w:rFonts w:ascii="Times New Roman" w:hAnsi="Times New Roman" w:cs="Times New Roman" w:eastAsia="Times New Roman" w:hint="default"/>
                <w:sz w:val="18"/>
                <w:szCs w:val="18"/>
              </w:rPr>
            </w:pPr>
            <w:r>
              <w:rPr>
                <w:rFonts w:ascii="宋体" w:hAnsi="宋体" w:cs="宋体" w:eastAsia="宋体" w:hint="default"/>
                <w:sz w:val="18"/>
                <w:szCs w:val="18"/>
              </w:rPr>
              <w:t>占总资产 或负债</w:t>
            </w:r>
            <w:r>
              <w:rPr>
                <w:rFonts w:ascii="Times New Roman" w:hAnsi="Times New Roman" w:cs="Times New Roman" w:eastAsia="Times New Roman" w:hint="default"/>
                <w:sz w:val="18"/>
                <w:szCs w:val="18"/>
              </w:rPr>
              <w:t>%</w:t>
            </w:r>
          </w:p>
        </w:tc>
        <w:tc>
          <w:tcPr>
            <w:tcW w:w="1476" w:type="dxa"/>
            <w:tcBorders>
              <w:top w:val="single" w:sz="4" w:space="0" w:color="000000"/>
              <w:left w:val="single" w:sz="8" w:space="0" w:color="000000"/>
              <w:bottom w:val="single" w:sz="8" w:space="0" w:color="000000"/>
              <w:right w:val="single" w:sz="8" w:space="0" w:color="000000"/>
            </w:tcBorders>
            <w:shd w:val="clear" w:color="auto" w:fill="C0C0C0"/>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余额</w:t>
            </w:r>
          </w:p>
        </w:tc>
        <w:tc>
          <w:tcPr>
            <w:tcW w:w="964" w:type="dxa"/>
            <w:tcBorders>
              <w:top w:val="single" w:sz="4" w:space="0" w:color="000000"/>
              <w:left w:val="single" w:sz="8" w:space="0" w:color="000000"/>
              <w:bottom w:val="single" w:sz="8" w:space="0" w:color="000000"/>
              <w:right w:val="single" w:sz="8" w:space="0" w:color="000000"/>
            </w:tcBorders>
            <w:shd w:val="clear" w:color="auto" w:fill="C0C0C0"/>
          </w:tcPr>
          <w:p>
            <w:pPr>
              <w:pStyle w:val="TableParagraph"/>
              <w:spacing w:line="316" w:lineRule="auto" w:before="53"/>
              <w:ind w:left="127" w:right="110" w:hanging="16"/>
              <w:jc w:val="left"/>
              <w:rPr>
                <w:rFonts w:ascii="Times New Roman" w:hAnsi="Times New Roman" w:cs="Times New Roman" w:eastAsia="Times New Roman" w:hint="default"/>
                <w:sz w:val="18"/>
                <w:szCs w:val="18"/>
              </w:rPr>
            </w:pPr>
            <w:r>
              <w:rPr>
                <w:rFonts w:ascii="宋体" w:hAnsi="宋体" w:cs="宋体" w:eastAsia="宋体" w:hint="default"/>
                <w:sz w:val="18"/>
                <w:szCs w:val="18"/>
              </w:rPr>
              <w:t>占总资产 或负债</w:t>
            </w:r>
            <w:r>
              <w:rPr>
                <w:rFonts w:ascii="Times New Roman" w:hAnsi="Times New Roman" w:cs="Times New Roman" w:eastAsia="Times New Roman" w:hint="default"/>
                <w:sz w:val="18"/>
                <w:szCs w:val="18"/>
              </w:rPr>
              <w:t>%</w:t>
            </w:r>
          </w:p>
        </w:tc>
        <w:tc>
          <w:tcPr>
            <w:tcW w:w="1180" w:type="dxa"/>
            <w:vMerge/>
            <w:tcBorders>
              <w:left w:val="single" w:sz="8" w:space="0" w:color="000000"/>
              <w:bottom w:val="single" w:sz="8" w:space="0" w:color="000000"/>
              <w:right w:val="single" w:sz="8" w:space="0" w:color="000000"/>
            </w:tcBorders>
            <w:shd w:val="clear" w:color="auto" w:fill="C0C0C0"/>
          </w:tcPr>
          <w:p>
            <w:pPr/>
          </w:p>
        </w:tc>
        <w:tc>
          <w:tcPr>
            <w:tcW w:w="1160" w:type="dxa"/>
            <w:vMerge/>
            <w:tcBorders>
              <w:left w:val="single" w:sz="8" w:space="0" w:color="000000"/>
              <w:bottom w:val="single" w:sz="8" w:space="0" w:color="000000"/>
              <w:right w:val="single" w:sz="4" w:space="0" w:color="000000"/>
            </w:tcBorders>
            <w:shd w:val="clear" w:color="auto" w:fill="C0C0C0"/>
          </w:tcPr>
          <w:p>
            <w:pPr/>
          </w:p>
        </w:tc>
      </w:tr>
      <w:tr>
        <w:trPr>
          <w:trHeight w:val="332"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总资产</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1,707,401,634.51</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100.00%</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1,491,325,077.70</w:t>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left="149" w:right="0"/>
              <w:jc w:val="left"/>
              <w:rPr>
                <w:rFonts w:ascii="Times New Roman" w:hAnsi="Times New Roman" w:cs="Times New Roman" w:eastAsia="Times New Roman" w:hint="default"/>
                <w:sz w:val="18"/>
                <w:szCs w:val="18"/>
              </w:rPr>
            </w:pPr>
            <w:r>
              <w:rPr>
                <w:rFonts w:ascii="Times New Roman"/>
                <w:sz w:val="18"/>
              </w:rPr>
              <w:t>100.00%</w:t>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14.49%</w:t>
            </w:r>
          </w:p>
        </w:tc>
        <w:tc>
          <w:tcPr>
            <w:tcW w:w="1160" w:type="dxa"/>
            <w:tcBorders>
              <w:top w:val="single" w:sz="8" w:space="0" w:color="000000"/>
              <w:left w:val="single" w:sz="8" w:space="0" w:color="000000"/>
              <w:bottom w:val="single" w:sz="8" w:space="0" w:color="000000"/>
              <w:right w:val="single" w:sz="8" w:space="0" w:color="000000"/>
            </w:tcBorders>
          </w:tcPr>
          <w:p>
            <w:pPr/>
          </w:p>
        </w:tc>
      </w:tr>
      <w:tr>
        <w:trPr>
          <w:trHeight w:val="331"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负债总额</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392,997,370.16</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100.00%</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250,549,204.79</w:t>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left="149" w:right="0"/>
              <w:jc w:val="left"/>
              <w:rPr>
                <w:rFonts w:ascii="Times New Roman" w:hAnsi="Times New Roman" w:cs="Times New Roman" w:eastAsia="Times New Roman" w:hint="default"/>
                <w:sz w:val="18"/>
                <w:szCs w:val="18"/>
              </w:rPr>
            </w:pPr>
            <w:r>
              <w:rPr>
                <w:rFonts w:ascii="Times New Roman"/>
                <w:sz w:val="18"/>
              </w:rPr>
              <w:t>100.00%</w:t>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56.85%</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r>
      <w:tr>
        <w:trPr>
          <w:trHeight w:val="332"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应收票据</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40,404,000.00</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2.37%</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100.00%</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r>
      <w:tr>
        <w:trPr>
          <w:trHeight w:val="335"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142,321,492.81</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8.34%</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83,218,645.95</w:t>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left="239" w:right="0"/>
              <w:jc w:val="left"/>
              <w:rPr>
                <w:rFonts w:ascii="Times New Roman" w:hAnsi="Times New Roman" w:cs="Times New Roman" w:eastAsia="Times New Roman" w:hint="default"/>
                <w:sz w:val="18"/>
                <w:szCs w:val="18"/>
              </w:rPr>
            </w:pPr>
            <w:r>
              <w:rPr>
                <w:rFonts w:ascii="Times New Roman"/>
                <w:sz w:val="18"/>
              </w:rPr>
              <w:t>5.58%</w:t>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71.02%</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r>
      <w:tr>
        <w:trPr>
          <w:trHeight w:val="335"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其他应收款</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left="1" w:right="0"/>
              <w:jc w:val="center"/>
              <w:rPr>
                <w:rFonts w:ascii="Times New Roman" w:hAnsi="Times New Roman" w:cs="Times New Roman" w:eastAsia="Times New Roman" w:hint="default"/>
                <w:sz w:val="18"/>
                <w:szCs w:val="18"/>
              </w:rPr>
            </w:pPr>
            <w:r>
              <w:rPr>
                <w:rFonts w:ascii="Times New Roman"/>
                <w:sz w:val="18"/>
              </w:rPr>
              <w:t>24,973,952.76</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1.46%</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51,277,306.16</w:t>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left="239" w:right="0"/>
              <w:jc w:val="left"/>
              <w:rPr>
                <w:rFonts w:ascii="Times New Roman" w:hAnsi="Times New Roman" w:cs="Times New Roman" w:eastAsia="Times New Roman" w:hint="default"/>
                <w:sz w:val="18"/>
                <w:szCs w:val="18"/>
              </w:rPr>
            </w:pPr>
            <w:r>
              <w:rPr>
                <w:rFonts w:ascii="Times New Roman"/>
                <w:sz w:val="18"/>
              </w:rPr>
              <w:t>3.44%</w:t>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-51.30%</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p>
        </w:tc>
      </w:tr>
      <w:tr>
        <w:trPr>
          <w:trHeight w:val="335"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存货</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240,321,261.00</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14.08%</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129,702,307.11</w:t>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left="239" w:right="0"/>
              <w:jc w:val="left"/>
              <w:rPr>
                <w:rFonts w:ascii="Times New Roman" w:hAnsi="Times New Roman" w:cs="Times New Roman" w:eastAsia="Times New Roman" w:hint="default"/>
                <w:sz w:val="18"/>
                <w:szCs w:val="18"/>
              </w:rPr>
            </w:pPr>
            <w:r>
              <w:rPr>
                <w:rFonts w:ascii="Times New Roman"/>
                <w:sz w:val="18"/>
              </w:rPr>
              <w:t>8.70%</w:t>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85.29%</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p>
        </w:tc>
      </w:tr>
      <w:tr>
        <w:trPr>
          <w:trHeight w:val="644"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1"/>
              <w:ind w:left="620" w:right="168" w:hanging="450"/>
              <w:jc w:val="left"/>
              <w:rPr>
                <w:rFonts w:ascii="宋体" w:hAnsi="宋体" w:cs="宋体" w:eastAsia="宋体" w:hint="default"/>
                <w:sz w:val="18"/>
                <w:szCs w:val="18"/>
              </w:rPr>
            </w:pPr>
            <w:r>
              <w:rPr>
                <w:rFonts w:ascii="宋体" w:hAnsi="宋体" w:cs="宋体" w:eastAsia="宋体" w:hint="default"/>
                <w:sz w:val="18"/>
                <w:szCs w:val="18"/>
              </w:rPr>
              <w:t>一年内到期的非流 动资产</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76,064,857.02</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4.46%</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52,683,352.91</w:t>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9" w:right="0"/>
              <w:jc w:val="left"/>
              <w:rPr>
                <w:rFonts w:ascii="Times New Roman" w:hAnsi="Times New Roman" w:cs="Times New Roman" w:eastAsia="Times New Roman" w:hint="default"/>
                <w:sz w:val="18"/>
                <w:szCs w:val="18"/>
              </w:rPr>
            </w:pPr>
            <w:r>
              <w:rPr>
                <w:rFonts w:ascii="Times New Roman"/>
                <w:sz w:val="18"/>
              </w:rPr>
              <w:t>3.53%</w:t>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44.38%</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p>
        </w:tc>
      </w:tr>
      <w:tr>
        <w:trPr>
          <w:trHeight w:val="335"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134,577,416.07</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7.88%</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281,200,000.00</w:t>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left="193" w:right="0"/>
              <w:jc w:val="left"/>
              <w:rPr>
                <w:rFonts w:ascii="Times New Roman" w:hAnsi="Times New Roman" w:cs="Times New Roman" w:eastAsia="Times New Roman" w:hint="default"/>
                <w:sz w:val="18"/>
                <w:szCs w:val="18"/>
              </w:rPr>
            </w:pPr>
            <w:r>
              <w:rPr>
                <w:rFonts w:ascii="Times New Roman"/>
                <w:sz w:val="18"/>
              </w:rPr>
              <w:t>18.86%</w:t>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-52.14%</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p>
        </w:tc>
      </w:tr>
      <w:tr>
        <w:trPr>
          <w:trHeight w:val="335"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长期应收款</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168,940,661.41</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9.89%</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97,108,595.78</w:t>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left="239" w:right="0"/>
              <w:jc w:val="left"/>
              <w:rPr>
                <w:rFonts w:ascii="Times New Roman" w:hAnsi="Times New Roman" w:cs="Times New Roman" w:eastAsia="Times New Roman" w:hint="default"/>
                <w:sz w:val="18"/>
                <w:szCs w:val="18"/>
              </w:rPr>
            </w:pPr>
            <w:r>
              <w:rPr>
                <w:rFonts w:ascii="Times New Roman"/>
                <w:sz w:val="18"/>
              </w:rPr>
              <w:t>6.51%</w:t>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73.97%</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p>
        </w:tc>
      </w:tr>
      <w:tr>
        <w:trPr>
          <w:trHeight w:val="336"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长期股权投资</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left="1" w:right="0"/>
              <w:jc w:val="center"/>
              <w:rPr>
                <w:rFonts w:ascii="Times New Roman" w:hAnsi="Times New Roman" w:cs="Times New Roman" w:eastAsia="Times New Roman" w:hint="default"/>
                <w:sz w:val="18"/>
                <w:szCs w:val="18"/>
              </w:rPr>
            </w:pPr>
            <w:r>
              <w:rPr>
                <w:rFonts w:ascii="Times New Roman"/>
                <w:sz w:val="18"/>
              </w:rPr>
              <w:t>46,803,039.86</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2.74%</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21,860,000.00</w:t>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left="239" w:right="0"/>
              <w:jc w:val="left"/>
              <w:rPr>
                <w:rFonts w:ascii="Times New Roman" w:hAnsi="Times New Roman" w:cs="Times New Roman" w:eastAsia="Times New Roman" w:hint="default"/>
                <w:sz w:val="18"/>
                <w:szCs w:val="18"/>
              </w:rPr>
            </w:pPr>
            <w:r>
              <w:rPr>
                <w:rFonts w:ascii="Times New Roman"/>
                <w:sz w:val="18"/>
              </w:rPr>
              <w:t>1.47%</w:t>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114.10%</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p>
        </w:tc>
      </w:tr>
      <w:tr>
        <w:trPr>
          <w:trHeight w:val="331"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无形资产</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47,711,408.56</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2.79%</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265,524.73</w:t>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left="239" w:right="0"/>
              <w:jc w:val="left"/>
              <w:rPr>
                <w:rFonts w:ascii="Times New Roman" w:hAnsi="Times New Roman" w:cs="Times New Roman" w:eastAsia="Times New Roman" w:hint="default"/>
                <w:sz w:val="18"/>
                <w:szCs w:val="18"/>
              </w:rPr>
            </w:pPr>
            <w:r>
              <w:rPr>
                <w:rFonts w:ascii="Times New Roman"/>
                <w:sz w:val="18"/>
              </w:rPr>
              <w:t>0.02%</w:t>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17868.73%</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p>
        </w:tc>
      </w:tr>
      <w:tr>
        <w:trPr>
          <w:trHeight w:val="332"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开发支出</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7,728,500.00</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0.45%</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4,265,781.37</w:t>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left="239" w:right="0"/>
              <w:jc w:val="left"/>
              <w:rPr>
                <w:rFonts w:ascii="Times New Roman" w:hAnsi="Times New Roman" w:cs="Times New Roman" w:eastAsia="Times New Roman" w:hint="default"/>
                <w:sz w:val="18"/>
                <w:szCs w:val="18"/>
              </w:rPr>
            </w:pPr>
            <w:r>
              <w:rPr>
                <w:rFonts w:ascii="Times New Roman"/>
                <w:sz w:val="18"/>
              </w:rPr>
              <w:t>0.29%</w:t>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81.17%</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5"/>
                <w:sz w:val="18"/>
                <w:szCs w:val="18"/>
              </w:rPr>
              <w:t> </w:t>
            </w:r>
            <w:r>
              <w:rPr>
                <w:rFonts w:ascii="Times New Roman" w:hAnsi="Times New Roman" w:cs="Times New Roman" w:eastAsia="Times New Roman" w:hint="default"/>
                <w:spacing w:val="-3"/>
                <w:sz w:val="18"/>
                <w:szCs w:val="18"/>
              </w:rPr>
              <w:t>11.</w:t>
            </w:r>
          </w:p>
        </w:tc>
      </w:tr>
      <w:tr>
        <w:trPr>
          <w:trHeight w:val="332"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递延所得税资产</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10,251,754.61</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0.60%</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6,693,302.03</w:t>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left="239" w:right="0"/>
              <w:jc w:val="left"/>
              <w:rPr>
                <w:rFonts w:ascii="Times New Roman" w:hAnsi="Times New Roman" w:cs="Times New Roman" w:eastAsia="Times New Roman" w:hint="default"/>
                <w:sz w:val="18"/>
                <w:szCs w:val="18"/>
              </w:rPr>
            </w:pPr>
            <w:r>
              <w:rPr>
                <w:rFonts w:ascii="Times New Roman"/>
                <w:sz w:val="18"/>
              </w:rPr>
              <w:t>0.45%</w:t>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53.16%</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p>
        </w:tc>
      </w:tr>
      <w:tr>
        <w:trPr>
          <w:trHeight w:val="331"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短期借款</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121,789,540.00</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30.99%</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100.00%</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p>
        </w:tc>
      </w:tr>
    </w:tbl>
    <w:p>
      <w:pPr>
        <w:spacing w:after="0" w:line="240" w:lineRule="auto"/>
        <w:jc w:val="center"/>
        <w:rPr>
          <w:rFonts w:ascii="Times New Roman" w:hAnsi="Times New Roman" w:cs="Times New Roman" w:eastAsia="Times New Roman" w:hint="default"/>
          <w:sz w:val="18"/>
          <w:szCs w:val="18"/>
        </w:rPr>
        <w:sectPr>
          <w:pgSz w:w="11910" w:h="16840"/>
          <w:pgMar w:header="877" w:footer="1048" w:top="1100" w:bottom="1240" w:left="1500" w:right="1160"/>
        </w:sectPr>
      </w:pPr>
    </w:p>
    <w:p>
      <w:pPr>
        <w:spacing w:line="240" w:lineRule="auto" w:before="6"/>
        <w:rPr>
          <w:rFonts w:ascii="宋体" w:hAnsi="宋体" w:cs="宋体" w:eastAsia="宋体" w:hint="default"/>
          <w:sz w:val="24"/>
          <w:szCs w:val="24"/>
        </w:rPr>
      </w:pPr>
    </w:p>
    <w:tbl>
      <w:tblPr>
        <w:tblW w:w="0" w:type="auto"/>
        <w:jc w:val="left"/>
        <w:tblInd w:w="110" w:type="dxa"/>
        <w:tblLayout w:type="fixed"/>
        <w:tblCellMar>
          <w:top w:w="0" w:type="dxa"/>
          <w:left w:w="0" w:type="dxa"/>
          <w:bottom w:w="0" w:type="dxa"/>
          <w:right w:w="0" w:type="dxa"/>
        </w:tblCellMar>
        <w:tblLook w:val="01E0"/>
      </w:tblPr>
      <w:tblGrid>
        <w:gridCol w:w="1800"/>
        <w:gridCol w:w="1476"/>
        <w:gridCol w:w="944"/>
        <w:gridCol w:w="1476"/>
        <w:gridCol w:w="964"/>
        <w:gridCol w:w="1180"/>
        <w:gridCol w:w="1160"/>
      </w:tblGrid>
      <w:tr>
        <w:trPr>
          <w:trHeight w:val="332"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应付账款</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90,699,141.17</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23.08%</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208"/>
              <w:jc w:val="right"/>
              <w:rPr>
                <w:rFonts w:ascii="Times New Roman" w:hAnsi="Times New Roman" w:cs="Times New Roman" w:eastAsia="Times New Roman" w:hint="default"/>
                <w:sz w:val="18"/>
                <w:szCs w:val="18"/>
              </w:rPr>
            </w:pPr>
            <w:r>
              <w:rPr>
                <w:rFonts w:ascii="Times New Roman"/>
                <w:spacing w:val="-1"/>
                <w:sz w:val="18"/>
              </w:rPr>
              <w:t>32,588,239.25</w:t>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92"/>
              <w:jc w:val="right"/>
              <w:rPr>
                <w:rFonts w:ascii="Times New Roman" w:hAnsi="Times New Roman" w:cs="Times New Roman" w:eastAsia="Times New Roman" w:hint="default"/>
                <w:sz w:val="18"/>
                <w:szCs w:val="18"/>
              </w:rPr>
            </w:pPr>
            <w:r>
              <w:rPr>
                <w:rFonts w:ascii="Times New Roman"/>
                <w:sz w:val="18"/>
              </w:rPr>
              <w:t>13.01%</w:t>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178.32%</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p>
        </w:tc>
      </w:tr>
      <w:tr>
        <w:trPr>
          <w:trHeight w:val="331"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应交税费</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36,112,112.62</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9.19%</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208"/>
              <w:jc w:val="right"/>
              <w:rPr>
                <w:rFonts w:ascii="Times New Roman" w:hAnsi="Times New Roman" w:cs="Times New Roman" w:eastAsia="Times New Roman" w:hint="default"/>
                <w:sz w:val="18"/>
                <w:szCs w:val="18"/>
              </w:rPr>
            </w:pPr>
            <w:r>
              <w:rPr>
                <w:rFonts w:ascii="Times New Roman"/>
                <w:spacing w:val="-1"/>
                <w:sz w:val="18"/>
              </w:rPr>
              <w:t>26,150,772.39</w:t>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192"/>
              <w:jc w:val="right"/>
              <w:rPr>
                <w:rFonts w:ascii="Times New Roman" w:hAnsi="Times New Roman" w:cs="Times New Roman" w:eastAsia="Times New Roman" w:hint="default"/>
                <w:sz w:val="18"/>
                <w:szCs w:val="18"/>
              </w:rPr>
            </w:pPr>
            <w:r>
              <w:rPr>
                <w:rFonts w:ascii="Times New Roman"/>
                <w:sz w:val="18"/>
              </w:rPr>
              <w:t>10.44%</w:t>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38.09%</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p>
        </w:tc>
      </w:tr>
      <w:tr>
        <w:trPr>
          <w:trHeight w:val="332"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其他应付款</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14,621,793.13</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3.72%</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208"/>
              <w:jc w:val="right"/>
              <w:rPr>
                <w:rFonts w:ascii="Times New Roman" w:hAnsi="Times New Roman" w:cs="Times New Roman" w:eastAsia="Times New Roman" w:hint="default"/>
                <w:sz w:val="18"/>
                <w:szCs w:val="18"/>
              </w:rPr>
            </w:pPr>
            <w:r>
              <w:rPr>
                <w:rFonts w:ascii="Times New Roman"/>
                <w:spacing w:val="-1"/>
                <w:sz w:val="18"/>
              </w:rPr>
              <w:t>77,622,389.17</w:t>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92"/>
              <w:jc w:val="right"/>
              <w:rPr>
                <w:rFonts w:ascii="Times New Roman" w:hAnsi="Times New Roman" w:cs="Times New Roman" w:eastAsia="Times New Roman" w:hint="default"/>
                <w:sz w:val="18"/>
                <w:szCs w:val="18"/>
              </w:rPr>
            </w:pPr>
            <w:r>
              <w:rPr>
                <w:rFonts w:ascii="Times New Roman"/>
                <w:sz w:val="18"/>
              </w:rPr>
              <w:t>30.98%</w:t>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-81.16%</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p>
        </w:tc>
      </w:tr>
      <w:tr>
        <w:trPr>
          <w:trHeight w:val="331" w:hRule="exact"/>
        </w:trPr>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预计负债</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38,949,600.00</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9.91%</w:t>
            </w:r>
          </w:p>
        </w:tc>
        <w:tc>
          <w:tcPr>
            <w:tcW w:w="1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208"/>
              <w:jc w:val="right"/>
              <w:rPr>
                <w:rFonts w:ascii="Times New Roman" w:hAnsi="Times New Roman" w:cs="Times New Roman" w:eastAsia="Times New Roman" w:hint="default"/>
                <w:sz w:val="18"/>
                <w:szCs w:val="18"/>
              </w:rPr>
            </w:pPr>
            <w:r>
              <w:rPr>
                <w:rFonts w:ascii="Times New Roman"/>
                <w:spacing w:val="-1"/>
                <w:sz w:val="18"/>
              </w:rPr>
              <w:t>27,538,800.00</w:t>
            </w:r>
          </w:p>
        </w:tc>
        <w:tc>
          <w:tcPr>
            <w:tcW w:w="9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92"/>
              <w:jc w:val="right"/>
              <w:rPr>
                <w:rFonts w:ascii="Times New Roman" w:hAnsi="Times New Roman" w:cs="Times New Roman" w:eastAsia="Times New Roman" w:hint="default"/>
                <w:sz w:val="18"/>
                <w:szCs w:val="18"/>
              </w:rPr>
            </w:pPr>
            <w:r>
              <w:rPr>
                <w:rFonts w:ascii="Times New Roman"/>
                <w:sz w:val="18"/>
              </w:rPr>
              <w:t>10.99%</w:t>
            </w:r>
          </w:p>
        </w:tc>
        <w:tc>
          <w:tcPr>
            <w:tcW w:w="11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41.44%</w:t>
            </w:r>
          </w:p>
        </w:tc>
        <w:tc>
          <w:tcPr>
            <w:tcW w:w="1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p>
        </w:tc>
      </w:tr>
    </w:tbl>
    <w:p>
      <w:pPr>
        <w:pStyle w:val="BodyText"/>
        <w:spacing w:line="240" w:lineRule="auto" w:before="41"/>
        <w:ind w:left="780" w:right="115"/>
        <w:jc w:val="left"/>
      </w:pPr>
      <w:r>
        <w:rPr/>
        <w:t>注释：</w:t>
      </w:r>
    </w:p>
    <w:p>
      <w:pPr>
        <w:pStyle w:val="BodyText"/>
        <w:spacing w:line="240" w:lineRule="auto" w:before="154"/>
        <w:ind w:left="780" w:right="115"/>
        <w:jc w:val="left"/>
        <w:rPr>
          <w:rFonts w:ascii="Times New Roman" w:hAnsi="Times New Roman" w:cs="Times New Roman" w:eastAsia="Times New Roman" w:hint="default"/>
        </w:rPr>
      </w:pPr>
      <w:r>
        <w:rPr/>
        <w:t>注</w:t>
      </w:r>
      <w:r>
        <w:rPr>
          <w:spacing w:val="-58"/>
        </w:rPr>
        <w:t> </w:t>
      </w:r>
      <w:r>
        <w:rPr>
          <w:rFonts w:ascii="Times New Roman" w:hAnsi="Times New Roman" w:cs="Times New Roman" w:eastAsia="Times New Roman" w:hint="default"/>
          <w:spacing w:val="-7"/>
        </w:rPr>
        <w:t>1</w:t>
      </w:r>
      <w:r>
        <w:rPr>
          <w:spacing w:val="-7"/>
        </w:rPr>
        <w:t>．报告期内，公司的负债总额较</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年末增长了</w:t>
      </w:r>
      <w:r>
        <w:rPr>
          <w:spacing w:val="-58"/>
        </w:rPr>
        <w:t> </w:t>
      </w:r>
      <w:r>
        <w:rPr>
          <w:rFonts w:ascii="Times New Roman" w:hAnsi="Times New Roman" w:cs="Times New Roman" w:eastAsia="Times New Roman" w:hint="default"/>
          <w:spacing w:val="-5"/>
        </w:rPr>
        <w:t>56.85%</w:t>
      </w:r>
      <w:r>
        <w:rPr>
          <w:spacing w:val="-5"/>
        </w:rPr>
        <w:t>，主要原因是</w:t>
      </w:r>
      <w:r>
        <w:rPr>
          <w:spacing w:val="-58"/>
        </w:rPr>
        <w:t> </w:t>
      </w:r>
      <w:r>
        <w:rPr>
          <w:rFonts w:ascii="Times New Roman" w:hAnsi="Times New Roman" w:cs="Times New Roman" w:eastAsia="Times New Roman" w:hint="default"/>
        </w:rPr>
        <w:t>2011</w:t>
      </w:r>
    </w:p>
    <w:p>
      <w:pPr>
        <w:pStyle w:val="BodyText"/>
        <w:spacing w:line="240" w:lineRule="auto"/>
        <w:ind w:left="300" w:right="115"/>
        <w:jc w:val="left"/>
      </w:pPr>
      <w:r>
        <w:rPr/>
        <w:t>年公司加大了生产经营投入，银行短期借款和应付款项增加所致。</w:t>
      </w:r>
    </w:p>
    <w:p>
      <w:pPr>
        <w:pStyle w:val="BodyText"/>
        <w:spacing w:line="338" w:lineRule="auto" w:before="154"/>
        <w:ind w:left="300" w:right="118" w:firstLine="480"/>
        <w:jc w:val="left"/>
      </w:pPr>
      <w:r>
        <w:rPr/>
        <w:t>注</w:t>
      </w:r>
      <w:r>
        <w:rPr>
          <w:spacing w:val="-51"/>
        </w:rPr>
        <w:t> </w:t>
      </w:r>
      <w:r>
        <w:rPr>
          <w:rFonts w:ascii="Times New Roman" w:hAnsi="Times New Roman" w:cs="Times New Roman" w:eastAsia="Times New Roman" w:hint="default"/>
        </w:rPr>
        <w:t>2</w:t>
      </w:r>
      <w:r>
        <w:rPr/>
        <w:t>．报告期内，公司的应收票据较上年增加</w:t>
      </w:r>
      <w:r>
        <w:rPr>
          <w:spacing w:val="-51"/>
        </w:rPr>
        <w:t> </w:t>
      </w:r>
      <w:r>
        <w:rPr>
          <w:rFonts w:ascii="Times New Roman" w:hAnsi="Times New Roman" w:cs="Times New Roman" w:eastAsia="Times New Roman" w:hint="default"/>
        </w:rPr>
        <w:t>4,040</w:t>
      </w:r>
      <w:r>
        <w:rPr>
          <w:rFonts w:ascii="Times New Roman" w:hAnsi="Times New Roman" w:cs="Times New Roman" w:eastAsia="Times New Roman" w:hint="default"/>
          <w:spacing w:val="9"/>
        </w:rPr>
        <w:t> </w:t>
      </w:r>
      <w:r>
        <w:rPr/>
        <w:t>万元，主要原因是</w:t>
      </w:r>
      <w:r>
        <w:rPr>
          <w:spacing w:val="-5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0"/>
        </w:rPr>
        <w:t> </w:t>
      </w:r>
      <w:r>
        <w:rPr/>
        <w:t>年 </w:t>
      </w:r>
      <w:r>
        <w:rPr>
          <w:spacing w:val="-2"/>
        </w:rPr>
        <w:t>公司业务大幅增长，为保证货款的及时回收，要求客户采用银行承兑汇票支付所致。</w:t>
      </w:r>
    </w:p>
    <w:p>
      <w:pPr>
        <w:pStyle w:val="BodyText"/>
        <w:spacing w:line="240" w:lineRule="auto" w:before="55"/>
        <w:ind w:left="780" w:right="115"/>
        <w:jc w:val="left"/>
        <w:rPr>
          <w:rFonts w:ascii="Times New Roman" w:hAnsi="Times New Roman" w:cs="Times New Roman" w:eastAsia="Times New Roman" w:hint="default"/>
        </w:rPr>
      </w:pPr>
      <w:r>
        <w:rPr/>
        <w:t>注</w:t>
      </w:r>
      <w:r>
        <w:rPr>
          <w:spacing w:val="-72"/>
        </w:rPr>
        <w:t> </w:t>
      </w:r>
      <w:r>
        <w:rPr>
          <w:rFonts w:ascii="Times New Roman" w:hAnsi="Times New Roman" w:cs="Times New Roman" w:eastAsia="Times New Roman" w:hint="default"/>
        </w:rPr>
        <w:t>3</w:t>
      </w:r>
      <w:r>
        <w:rPr/>
        <w:t>．报告期内，公司的应收账款较上年同期增长了</w:t>
      </w:r>
      <w:r>
        <w:rPr>
          <w:spacing w:val="-72"/>
        </w:rPr>
        <w:t> </w:t>
      </w:r>
      <w:r>
        <w:rPr>
          <w:rFonts w:ascii="Times New Roman" w:hAnsi="Times New Roman" w:cs="Times New Roman" w:eastAsia="Times New Roman" w:hint="default"/>
        </w:rPr>
        <w:t>71.02%</w:t>
      </w:r>
      <w:r>
        <w:rPr/>
        <w:t>，主要原因是</w:t>
      </w:r>
      <w:r>
        <w:rPr>
          <w:spacing w:val="-72"/>
        </w:rPr>
        <w:t> </w:t>
      </w:r>
      <w:r>
        <w:rPr>
          <w:rFonts w:ascii="Times New Roman" w:hAnsi="Times New Roman" w:cs="Times New Roman" w:eastAsia="Times New Roman" w:hint="default"/>
        </w:rPr>
        <w:t>2011</w:t>
      </w:r>
    </w:p>
    <w:p>
      <w:pPr>
        <w:pStyle w:val="BodyText"/>
        <w:spacing w:line="240" w:lineRule="auto"/>
        <w:ind w:left="300" w:right="115"/>
        <w:jc w:val="left"/>
      </w:pPr>
      <w:r>
        <w:rPr/>
        <w:t>年公司业务大幅增长，第四季度的</w:t>
      </w:r>
      <w:r>
        <w:rPr>
          <w:spacing w:val="-62"/>
        </w:rPr>
        <w:t> </w:t>
      </w:r>
      <w:r>
        <w:rPr>
          <w:rFonts w:ascii="Times New Roman" w:hAnsi="Times New Roman" w:cs="Times New Roman" w:eastAsia="Times New Roman" w:hint="default"/>
        </w:rPr>
        <w:t>ATM</w:t>
      </w:r>
      <w:r>
        <w:rPr>
          <w:rFonts w:ascii="Times New Roman" w:hAnsi="Times New Roman" w:cs="Times New Roman" w:eastAsia="Times New Roman" w:hint="default"/>
          <w:spacing w:val="-2"/>
        </w:rPr>
        <w:t> </w:t>
      </w:r>
      <w:r>
        <w:rPr/>
        <w:t>产品销售款项尚未全部收回所致。</w:t>
      </w:r>
    </w:p>
    <w:p>
      <w:pPr>
        <w:pStyle w:val="BodyText"/>
        <w:spacing w:line="240" w:lineRule="auto"/>
        <w:ind w:left="780" w:right="115"/>
        <w:jc w:val="left"/>
        <w:rPr>
          <w:rFonts w:ascii="Times New Roman" w:hAnsi="Times New Roman" w:cs="Times New Roman" w:eastAsia="Times New Roman" w:hint="default"/>
        </w:rPr>
      </w:pPr>
      <w:r>
        <w:rPr/>
        <w:t>注</w:t>
      </w:r>
      <w:r>
        <w:rPr>
          <w:spacing w:val="-72"/>
        </w:rPr>
        <w:t> </w:t>
      </w:r>
      <w:r>
        <w:rPr>
          <w:rFonts w:ascii="Times New Roman" w:hAnsi="Times New Roman" w:cs="Times New Roman" w:eastAsia="Times New Roman" w:hint="default"/>
        </w:rPr>
        <w:t>4</w:t>
      </w:r>
      <w:r>
        <w:rPr/>
        <w:t>．报告期内，公司的其他应收款较上年同期减少</w:t>
      </w:r>
      <w:r>
        <w:rPr>
          <w:spacing w:val="-72"/>
        </w:rPr>
        <w:t> </w:t>
      </w:r>
      <w:r>
        <w:rPr>
          <w:rFonts w:ascii="Times New Roman" w:hAnsi="Times New Roman" w:cs="Times New Roman" w:eastAsia="Times New Roman" w:hint="default"/>
        </w:rPr>
        <w:t>51.30%</w:t>
      </w:r>
      <w:r>
        <w:rPr/>
        <w:t>，主要原因是</w:t>
      </w:r>
      <w:r>
        <w:rPr>
          <w:spacing w:val="-72"/>
        </w:rPr>
        <w:t> </w:t>
      </w:r>
      <w:r>
        <w:rPr>
          <w:rFonts w:ascii="Times New Roman" w:hAnsi="Times New Roman" w:cs="Times New Roman" w:eastAsia="Times New Roman" w:hint="default"/>
        </w:rPr>
        <w:t>2011</w:t>
      </w:r>
    </w:p>
    <w:p>
      <w:pPr>
        <w:pStyle w:val="BodyText"/>
        <w:spacing w:line="240" w:lineRule="auto"/>
        <w:ind w:left="300" w:right="115"/>
        <w:jc w:val="left"/>
      </w:pPr>
      <w:r>
        <w:rPr/>
        <w:t>年公司收回投资保证金所致。</w:t>
      </w:r>
    </w:p>
    <w:p>
      <w:pPr>
        <w:pStyle w:val="BodyText"/>
        <w:spacing w:line="348" w:lineRule="auto" w:before="154"/>
        <w:ind w:left="300" w:right="250" w:firstLine="480"/>
        <w:jc w:val="both"/>
      </w:pPr>
      <w:r>
        <w:rPr/>
        <w:t>注</w:t>
      </w:r>
      <w:r>
        <w:rPr>
          <w:spacing w:val="-53"/>
        </w:rPr>
        <w:t> </w:t>
      </w:r>
      <w:r>
        <w:rPr>
          <w:rFonts w:ascii="Times New Roman" w:hAnsi="Times New Roman" w:cs="Times New Roman" w:eastAsia="Times New Roman" w:hint="default"/>
        </w:rPr>
        <w:t>5</w:t>
      </w:r>
      <w:r>
        <w:rPr/>
        <w:t>．报告期内，公司的存货较上年同期增长</w:t>
      </w:r>
      <w:r>
        <w:rPr>
          <w:spacing w:val="-53"/>
        </w:rPr>
        <w:t> </w:t>
      </w:r>
      <w:r>
        <w:rPr>
          <w:rFonts w:ascii="Times New Roman" w:hAnsi="Times New Roman" w:cs="Times New Roman" w:eastAsia="Times New Roman" w:hint="default"/>
        </w:rPr>
        <w:t>85.29%</w:t>
      </w:r>
      <w:r>
        <w:rPr/>
        <w:t>，主要原因是公司按下一 年度的经营计划加大对原材料及产成品库存和按合同要求已发出但尚未验收完毕的</w:t>
      </w:r>
      <w:r>
        <w:rPr>
          <w:spacing w:val="-84"/>
        </w:rPr>
        <w:t> </w:t>
      </w:r>
      <w:r>
        <w:rPr>
          <w:spacing w:val="-84"/>
        </w:rPr>
      </w:r>
      <w:r>
        <w:rPr/>
        <w:t>发出商品增加所致。</w:t>
      </w:r>
    </w:p>
    <w:p>
      <w:pPr>
        <w:pStyle w:val="BodyText"/>
        <w:spacing w:line="338" w:lineRule="auto" w:before="46"/>
        <w:ind w:left="300" w:right="115" w:firstLine="480"/>
        <w:jc w:val="left"/>
      </w:pPr>
      <w:r>
        <w:rPr/>
        <w:t>注</w:t>
      </w:r>
      <w:r>
        <w:rPr>
          <w:spacing w:val="-58"/>
        </w:rPr>
        <w:t> </w:t>
      </w:r>
      <w:r>
        <w:rPr>
          <w:rFonts w:ascii="Times New Roman" w:hAnsi="Times New Roman" w:cs="Times New Roman" w:eastAsia="Times New Roman" w:hint="default"/>
        </w:rPr>
        <w:t>6</w:t>
      </w:r>
      <w:r>
        <w:rPr/>
        <w:t>．报告期内，公司的一年内到期的非流动资产较上年同期增长</w:t>
      </w:r>
      <w:r>
        <w:rPr>
          <w:spacing w:val="-58"/>
        </w:rPr>
        <w:t> </w:t>
      </w:r>
      <w:r>
        <w:rPr>
          <w:rFonts w:ascii="Times New Roman" w:hAnsi="Times New Roman" w:cs="Times New Roman" w:eastAsia="Times New Roman" w:hint="default"/>
        </w:rPr>
        <w:t>44.38%</w:t>
      </w:r>
      <w:r>
        <w:rPr/>
        <w:t>，主 要原因是公司下一年度内到期的长期应收款增加所致。</w:t>
      </w:r>
    </w:p>
    <w:p>
      <w:pPr>
        <w:pStyle w:val="BodyText"/>
        <w:spacing w:line="338" w:lineRule="auto" w:before="55"/>
        <w:ind w:left="300" w:right="115" w:firstLine="480"/>
        <w:jc w:val="left"/>
      </w:pPr>
      <w:r>
        <w:rPr/>
        <w:t>注</w:t>
      </w:r>
      <w:r>
        <w:rPr>
          <w:spacing w:val="-55"/>
        </w:rPr>
        <w:t> </w:t>
      </w:r>
      <w:r>
        <w:rPr>
          <w:rFonts w:ascii="Times New Roman" w:hAnsi="Times New Roman" w:cs="Times New Roman" w:eastAsia="Times New Roman" w:hint="default"/>
        </w:rPr>
        <w:t>7</w:t>
      </w:r>
      <w:r>
        <w:rPr/>
        <w:t>．报告期内，公司的可供出售金融资产较上年同期减少</w:t>
      </w:r>
      <w:r>
        <w:rPr>
          <w:spacing w:val="-55"/>
        </w:rPr>
        <w:t> </w:t>
      </w:r>
      <w:r>
        <w:rPr>
          <w:rFonts w:ascii="Times New Roman" w:hAnsi="Times New Roman" w:cs="Times New Roman" w:eastAsia="Times New Roman" w:hint="default"/>
        </w:rPr>
        <w:t>52.14%</w:t>
      </w:r>
      <w:r>
        <w:rPr/>
        <w:t>，主要原因 是</w:t>
      </w:r>
      <w:r>
        <w:rPr>
          <w:spacing w:val="-60"/>
        </w:rPr>
        <w:t> </w:t>
      </w:r>
      <w:r>
        <w:rPr>
          <w:rFonts w:ascii="Times New Roman" w:hAnsi="Times New Roman" w:cs="Times New Roman" w:eastAsia="Times New Roman" w:hint="default"/>
        </w:rPr>
        <w:t>2011 </w:t>
      </w:r>
      <w:r>
        <w:rPr/>
        <w:t>年末公司所持有的星河生物股价下跌所致。</w:t>
      </w:r>
    </w:p>
    <w:p>
      <w:pPr>
        <w:pStyle w:val="BodyText"/>
        <w:spacing w:line="240" w:lineRule="auto" w:before="27"/>
        <w:ind w:left="780" w:right="115"/>
        <w:jc w:val="left"/>
        <w:rPr>
          <w:rFonts w:ascii="Times New Roman" w:hAnsi="Times New Roman" w:cs="Times New Roman" w:eastAsia="Times New Roman" w:hint="default"/>
        </w:rPr>
      </w:pPr>
      <w:r>
        <w:rPr/>
        <w:t>注</w:t>
      </w:r>
      <w:r>
        <w:rPr>
          <w:spacing w:val="-51"/>
        </w:rPr>
        <w:t> </w:t>
      </w:r>
      <w:r>
        <w:rPr>
          <w:rFonts w:ascii="Times New Roman" w:hAnsi="Times New Roman" w:cs="Times New Roman" w:eastAsia="Times New Roman" w:hint="default"/>
        </w:rPr>
        <w:t>8.  </w:t>
      </w:r>
      <w:r>
        <w:rPr/>
        <w:t>报告期内，公司的长期应收款较上年同期增长</w:t>
      </w:r>
      <w:r>
        <w:rPr>
          <w:spacing w:val="-51"/>
        </w:rPr>
        <w:t> </w:t>
      </w:r>
      <w:r>
        <w:rPr>
          <w:rFonts w:ascii="Times New Roman" w:hAnsi="Times New Roman" w:cs="Times New Roman" w:eastAsia="Times New Roman" w:hint="default"/>
        </w:rPr>
        <w:t>73.97%</w:t>
      </w:r>
      <w:r>
        <w:rPr/>
        <w:t>，主要原因是</w:t>
      </w:r>
      <w:r>
        <w:rPr>
          <w:spacing w:val="-51"/>
        </w:rPr>
        <w:t> </w:t>
      </w:r>
      <w:r>
        <w:rPr>
          <w:rFonts w:ascii="Times New Roman" w:hAnsi="Times New Roman" w:cs="Times New Roman" w:eastAsia="Times New Roman" w:hint="default"/>
        </w:rPr>
        <w:t>2011</w:t>
      </w:r>
    </w:p>
    <w:p>
      <w:pPr>
        <w:pStyle w:val="BodyText"/>
        <w:spacing w:line="240" w:lineRule="auto"/>
        <w:ind w:left="300" w:right="115"/>
        <w:jc w:val="left"/>
      </w:pPr>
      <w:r>
        <w:rPr/>
        <w:t>年度公司</w:t>
      </w:r>
      <w:r>
        <w:rPr>
          <w:spacing w:val="-62"/>
        </w:rPr>
        <w:t> </w:t>
      </w:r>
      <w:r>
        <w:rPr>
          <w:rFonts w:ascii="Times New Roman" w:hAnsi="Times New Roman" w:cs="Times New Roman" w:eastAsia="Times New Roman" w:hint="default"/>
        </w:rPr>
        <w:t>ATM</w:t>
      </w:r>
      <w:r>
        <w:rPr>
          <w:rFonts w:ascii="Times New Roman" w:hAnsi="Times New Roman" w:cs="Times New Roman" w:eastAsia="Times New Roman" w:hint="default"/>
          <w:spacing w:val="-2"/>
        </w:rPr>
        <w:t> </w:t>
      </w:r>
      <w:r>
        <w:rPr/>
        <w:t>融资租赁收入大幅增长所致。</w:t>
      </w:r>
    </w:p>
    <w:p>
      <w:pPr>
        <w:pStyle w:val="BodyText"/>
        <w:spacing w:line="338" w:lineRule="auto"/>
        <w:ind w:left="299" w:right="253" w:firstLine="480"/>
        <w:jc w:val="both"/>
      </w:pPr>
      <w:r>
        <w:rPr/>
        <w:t>注</w:t>
      </w:r>
      <w:r>
        <w:rPr>
          <w:spacing w:val="-51"/>
        </w:rPr>
        <w:t> </w:t>
      </w:r>
      <w:r>
        <w:rPr>
          <w:rFonts w:ascii="Times New Roman" w:hAnsi="Times New Roman" w:cs="Times New Roman" w:eastAsia="Times New Roman" w:hint="default"/>
          <w:spacing w:val="-3"/>
        </w:rPr>
        <w:t>9</w:t>
      </w:r>
      <w:r>
        <w:rPr>
          <w:spacing w:val="-3"/>
        </w:rPr>
        <w:t>．报告期内，公司的长期股权投资较上年同期增长</w:t>
      </w:r>
      <w:r>
        <w:rPr>
          <w:spacing w:val="-51"/>
        </w:rPr>
        <w:t> </w:t>
      </w:r>
      <w:r>
        <w:rPr>
          <w:rFonts w:ascii="Times New Roman" w:hAnsi="Times New Roman" w:cs="Times New Roman" w:eastAsia="Times New Roman" w:hint="default"/>
          <w:spacing w:val="-3"/>
        </w:rPr>
        <w:t>114.10%</w:t>
      </w:r>
      <w:r>
        <w:rPr>
          <w:spacing w:val="-3"/>
        </w:rPr>
        <w:t>，主要原因是为</w:t>
      </w:r>
      <w:r>
        <w:rPr/>
        <w:t> 了提升公司综合竞争力和延伸 </w:t>
      </w:r>
      <w:r>
        <w:rPr>
          <w:rFonts w:ascii="Times New Roman" w:hAnsi="Times New Roman" w:cs="Times New Roman" w:eastAsia="Times New Roman" w:hint="default"/>
        </w:rPr>
        <w:t>ATM</w:t>
      </w:r>
      <w:r>
        <w:rPr>
          <w:rFonts w:ascii="Times New Roman" w:hAnsi="Times New Roman" w:cs="Times New Roman" w:eastAsia="Times New Roman" w:hint="default"/>
          <w:spacing w:val="54"/>
        </w:rPr>
        <w:t> </w:t>
      </w:r>
      <w:r>
        <w:rPr/>
        <w:t>业务产业链，公司投资入股广州花都稠州村镇 银行所致。</w:t>
      </w:r>
    </w:p>
    <w:p>
      <w:pPr>
        <w:pStyle w:val="BodyText"/>
        <w:spacing w:line="338" w:lineRule="auto" w:before="55"/>
        <w:ind w:left="299" w:right="235" w:firstLine="480"/>
        <w:jc w:val="left"/>
      </w:pPr>
      <w:r>
        <w:rPr/>
        <w:t>注</w:t>
      </w:r>
      <w:r>
        <w:rPr>
          <w:spacing w:val="-75"/>
        </w:rPr>
        <w:t> </w:t>
      </w:r>
      <w:r>
        <w:rPr>
          <w:rFonts w:ascii="Times New Roman" w:hAnsi="Times New Roman" w:cs="Times New Roman" w:eastAsia="Times New Roman" w:hint="default"/>
        </w:rPr>
        <w:t>10</w:t>
      </w:r>
      <w:r>
        <w:rPr/>
        <w:t>．报告期内，公司的无形资产较上年同期增长</w:t>
      </w:r>
      <w:r>
        <w:rPr>
          <w:spacing w:val="-75"/>
        </w:rPr>
        <w:t> </w:t>
      </w:r>
      <w:r>
        <w:rPr>
          <w:rFonts w:ascii="Times New Roman" w:hAnsi="Times New Roman" w:cs="Times New Roman" w:eastAsia="Times New Roman" w:hint="default"/>
        </w:rPr>
        <w:t>17,868.73%</w:t>
      </w:r>
      <w:r>
        <w:rPr/>
        <w:t>，主要原因是为 了公司的长远战略规划，公司购买办公楼和厂房的土地使用权所致。</w:t>
      </w:r>
    </w:p>
    <w:p>
      <w:pPr>
        <w:pStyle w:val="BodyText"/>
        <w:spacing w:line="240" w:lineRule="auto" w:before="55"/>
        <w:ind w:left="779" w:right="115"/>
        <w:jc w:val="left"/>
        <w:rPr>
          <w:rFonts w:ascii="Times New Roman" w:hAnsi="Times New Roman" w:cs="Times New Roman" w:eastAsia="Times New Roman" w:hint="default"/>
        </w:rPr>
      </w:pPr>
      <w:r>
        <w:rPr/>
        <w:t>注 </w:t>
      </w:r>
      <w:r>
        <w:rPr>
          <w:rFonts w:ascii="Times New Roman" w:hAnsi="Times New Roman" w:cs="Times New Roman" w:eastAsia="Times New Roman" w:hint="default"/>
        </w:rPr>
        <w:t>11.  </w:t>
      </w:r>
      <w:r>
        <w:rPr/>
        <w:t>报告期内，公司的开发支出较上年同期增长 </w:t>
      </w:r>
      <w:r>
        <w:rPr>
          <w:rFonts w:ascii="Times New Roman" w:hAnsi="Times New Roman" w:cs="Times New Roman" w:eastAsia="Times New Roman" w:hint="default"/>
        </w:rPr>
        <w:t>81.17%</w:t>
      </w:r>
      <w:r>
        <w:rPr/>
        <w:t>，主要原因是</w:t>
      </w:r>
      <w:r>
        <w:rPr>
          <w:spacing w:val="-30"/>
        </w:rPr>
        <w:t> </w:t>
      </w:r>
      <w:r>
        <w:rPr>
          <w:rFonts w:ascii="Times New Roman" w:hAnsi="Times New Roman" w:cs="Times New Roman" w:eastAsia="Times New Roman" w:hint="default"/>
        </w:rPr>
        <w:t>2011</w:t>
      </w:r>
    </w:p>
    <w:p>
      <w:pPr>
        <w:pStyle w:val="BodyText"/>
        <w:spacing w:line="240" w:lineRule="auto"/>
        <w:ind w:left="299" w:right="115"/>
        <w:jc w:val="left"/>
      </w:pPr>
      <w:r>
        <w:rPr/>
        <w:t>年公司加大科研项目的投入所致。</w:t>
      </w:r>
    </w:p>
    <w:p>
      <w:pPr>
        <w:pStyle w:val="BodyText"/>
        <w:spacing w:line="338" w:lineRule="auto" w:before="154"/>
        <w:ind w:left="300" w:right="237" w:firstLine="480"/>
        <w:jc w:val="left"/>
      </w:pPr>
      <w:r>
        <w:rPr/>
        <w:t>注</w:t>
      </w:r>
      <w:r>
        <w:rPr>
          <w:spacing w:val="-51"/>
        </w:rPr>
        <w:t> </w:t>
      </w:r>
      <w:r>
        <w:rPr>
          <w:rFonts w:ascii="Times New Roman" w:hAnsi="Times New Roman" w:cs="Times New Roman" w:eastAsia="Times New Roman" w:hint="default"/>
          <w:spacing w:val="-3"/>
        </w:rPr>
        <w:t>12</w:t>
      </w:r>
      <w:r>
        <w:rPr>
          <w:spacing w:val="-3"/>
        </w:rPr>
        <w:t>．报告期内，公司的递延所得税资产较上年同期增长</w:t>
      </w:r>
      <w:r>
        <w:rPr>
          <w:spacing w:val="-51"/>
        </w:rPr>
        <w:t> </w:t>
      </w:r>
      <w:r>
        <w:rPr>
          <w:rFonts w:ascii="Times New Roman" w:hAnsi="Times New Roman" w:cs="Times New Roman" w:eastAsia="Times New Roman" w:hint="default"/>
          <w:spacing w:val="-3"/>
        </w:rPr>
        <w:t>53.16%</w:t>
      </w:r>
      <w:r>
        <w:rPr>
          <w:spacing w:val="-3"/>
        </w:rPr>
        <w:t>，主要原因是</w:t>
      </w:r>
      <w:r>
        <w:rPr/>
        <w:t> </w:t>
      </w:r>
      <w:r>
        <w:rPr>
          <w:rFonts w:ascii="Times New Roman" w:hAnsi="Times New Roman" w:cs="Times New Roman" w:eastAsia="Times New Roman" w:hint="default"/>
        </w:rPr>
        <w:t>2011 </w:t>
      </w:r>
      <w:r>
        <w:rPr/>
        <w:t>年公司应收款项和计提的维护费增加所致。</w:t>
      </w:r>
    </w:p>
    <w:p>
      <w:pPr>
        <w:spacing w:after="0" w:line="338" w:lineRule="auto"/>
        <w:jc w:val="left"/>
        <w:sectPr>
          <w:pgSz w:w="11910" w:h="16840"/>
          <w:pgMar w:header="877" w:footer="1048" w:top="1100" w:bottom="1240" w:left="1500" w:right="1160"/>
        </w:sectPr>
      </w:pPr>
    </w:p>
    <w:p>
      <w:pPr>
        <w:spacing w:line="240" w:lineRule="auto" w:before="7"/>
        <w:rPr>
          <w:rFonts w:ascii="宋体" w:hAnsi="宋体" w:cs="宋体" w:eastAsia="宋体" w:hint="default"/>
          <w:sz w:val="25"/>
          <w:szCs w:val="25"/>
        </w:rPr>
      </w:pPr>
    </w:p>
    <w:p>
      <w:pPr>
        <w:pStyle w:val="BodyText"/>
        <w:spacing w:line="338" w:lineRule="auto" w:before="26"/>
        <w:ind w:left="220" w:right="213" w:firstLine="480"/>
        <w:jc w:val="left"/>
      </w:pPr>
      <w:r>
        <w:rPr/>
        <w:t>注 </w:t>
      </w:r>
      <w:r>
        <w:rPr>
          <w:rFonts w:ascii="Times New Roman" w:hAnsi="Times New Roman" w:cs="Times New Roman" w:eastAsia="Times New Roman" w:hint="default"/>
        </w:rPr>
        <w:t>13</w:t>
      </w:r>
      <w:r>
        <w:rPr/>
        <w:t>．报告期内，公司的短期借款较上年同期增加 </w:t>
      </w:r>
      <w:r>
        <w:rPr>
          <w:rFonts w:ascii="Times New Roman" w:hAnsi="Times New Roman" w:cs="Times New Roman" w:eastAsia="Times New Roman" w:hint="default"/>
        </w:rPr>
        <w:t>12,178.95</w:t>
      </w:r>
      <w:r>
        <w:rPr>
          <w:rFonts w:ascii="Times New Roman" w:hAnsi="Times New Roman" w:cs="Times New Roman" w:eastAsia="Times New Roman" w:hint="default"/>
          <w:spacing w:val="-9"/>
        </w:rPr>
        <w:t> </w:t>
      </w:r>
      <w:r>
        <w:rPr/>
        <w:t>万元，主要原因 是</w:t>
      </w:r>
      <w:r>
        <w:rPr>
          <w:spacing w:val="-60"/>
        </w:rPr>
        <w:t> </w:t>
      </w:r>
      <w:r>
        <w:rPr>
          <w:rFonts w:ascii="Times New Roman" w:hAnsi="Times New Roman" w:cs="Times New Roman" w:eastAsia="Times New Roman" w:hint="default"/>
        </w:rPr>
        <w:t>2011 </w:t>
      </w:r>
      <w:r>
        <w:rPr/>
        <w:t>年公司增加银行短期借款所致。</w:t>
      </w:r>
    </w:p>
    <w:p>
      <w:pPr>
        <w:pStyle w:val="BodyText"/>
        <w:spacing w:line="240" w:lineRule="auto" w:before="27"/>
        <w:ind w:left="700" w:right="104"/>
        <w:jc w:val="left"/>
        <w:rPr>
          <w:rFonts w:ascii="Times New Roman" w:hAnsi="Times New Roman" w:cs="Times New Roman" w:eastAsia="Times New Roman" w:hint="default"/>
        </w:rPr>
      </w:pPr>
      <w:r>
        <w:rPr/>
        <w:t>注</w:t>
      </w:r>
      <w:r>
        <w:rPr>
          <w:spacing w:val="-72"/>
        </w:rPr>
        <w:t> </w:t>
      </w:r>
      <w:r>
        <w:rPr>
          <w:rFonts w:ascii="Times New Roman" w:hAnsi="Times New Roman" w:cs="Times New Roman" w:eastAsia="Times New Roman" w:hint="default"/>
        </w:rPr>
        <w:t>14</w:t>
      </w:r>
      <w:r>
        <w:rPr/>
        <w:t>．报告期内，公司的应付账款较上年同期增长</w:t>
      </w:r>
      <w:r>
        <w:rPr>
          <w:spacing w:val="-72"/>
        </w:rPr>
        <w:t> </w:t>
      </w:r>
      <w:r>
        <w:rPr>
          <w:rFonts w:ascii="Times New Roman" w:hAnsi="Times New Roman" w:cs="Times New Roman" w:eastAsia="Times New Roman" w:hint="default"/>
        </w:rPr>
        <w:t>178.32%</w:t>
      </w:r>
      <w:r>
        <w:rPr/>
        <w:t>，主要原因是</w:t>
      </w:r>
      <w:r>
        <w:rPr>
          <w:spacing w:val="-72"/>
        </w:rPr>
        <w:t> </w:t>
      </w:r>
      <w:r>
        <w:rPr>
          <w:rFonts w:ascii="Times New Roman" w:hAnsi="Times New Roman" w:cs="Times New Roman" w:eastAsia="Times New Roman" w:hint="default"/>
        </w:rPr>
        <w:t>2011</w:t>
      </w:r>
    </w:p>
    <w:p>
      <w:pPr>
        <w:pStyle w:val="BodyText"/>
        <w:spacing w:line="240" w:lineRule="auto"/>
        <w:ind w:left="220" w:right="104"/>
        <w:jc w:val="left"/>
      </w:pPr>
      <w:r>
        <w:rPr/>
        <w:t>年公司加大原材料采购，尚未支付的货款增加所致。</w:t>
      </w:r>
    </w:p>
    <w:p>
      <w:pPr>
        <w:pStyle w:val="BodyText"/>
        <w:spacing w:line="338" w:lineRule="auto" w:before="154"/>
        <w:ind w:left="220" w:right="214" w:firstLine="480"/>
        <w:jc w:val="left"/>
      </w:pPr>
      <w:r>
        <w:rPr/>
        <w:t>注</w:t>
      </w:r>
      <w:r>
        <w:rPr>
          <w:spacing w:val="-72"/>
        </w:rPr>
        <w:t> </w:t>
      </w:r>
      <w:r>
        <w:rPr>
          <w:rFonts w:ascii="Times New Roman" w:hAnsi="Times New Roman" w:cs="Times New Roman" w:eastAsia="Times New Roman" w:hint="default"/>
          <w:spacing w:val="-3"/>
        </w:rPr>
        <w:t>15</w:t>
      </w:r>
      <w:r>
        <w:rPr>
          <w:spacing w:val="-3"/>
        </w:rPr>
        <w:t>．报告期内，公司的应交税费较上年同期增长</w:t>
      </w:r>
      <w:r>
        <w:rPr>
          <w:spacing w:val="-72"/>
        </w:rPr>
        <w:t> </w:t>
      </w:r>
      <w:r>
        <w:rPr>
          <w:rFonts w:ascii="Times New Roman" w:hAnsi="Times New Roman" w:cs="Times New Roman" w:eastAsia="Times New Roman" w:hint="default"/>
        </w:rPr>
        <w:t>38.09%</w:t>
      </w:r>
      <w:r>
        <w:rPr/>
        <w:t>，主要原因是公司尚 未支付的增值税、营业税增加所致。</w:t>
      </w:r>
    </w:p>
    <w:p>
      <w:pPr>
        <w:pStyle w:val="BodyText"/>
        <w:spacing w:line="338" w:lineRule="auto" w:before="55"/>
        <w:ind w:left="220" w:right="217" w:firstLine="480"/>
        <w:jc w:val="left"/>
      </w:pPr>
      <w:r>
        <w:rPr/>
        <w:t>注</w:t>
      </w:r>
      <w:r>
        <w:rPr>
          <w:spacing w:val="-51"/>
        </w:rPr>
        <w:t> </w:t>
      </w:r>
      <w:r>
        <w:rPr>
          <w:rFonts w:ascii="Times New Roman" w:hAnsi="Times New Roman" w:cs="Times New Roman" w:eastAsia="Times New Roman" w:hint="default"/>
          <w:spacing w:val="-3"/>
        </w:rPr>
        <w:t>16</w:t>
      </w:r>
      <w:r>
        <w:rPr>
          <w:spacing w:val="-3"/>
        </w:rPr>
        <w:t>．报告期内，公司的其他应付款较上年同期减少</w:t>
      </w:r>
      <w:r>
        <w:rPr>
          <w:spacing w:val="-51"/>
        </w:rPr>
        <w:t> </w:t>
      </w:r>
      <w:r>
        <w:rPr>
          <w:rFonts w:ascii="Times New Roman" w:hAnsi="Times New Roman" w:cs="Times New Roman" w:eastAsia="Times New Roman" w:hint="default"/>
          <w:spacing w:val="-3"/>
        </w:rPr>
        <w:t>81.16%</w:t>
      </w:r>
      <w:r>
        <w:rPr>
          <w:spacing w:val="-3"/>
        </w:rPr>
        <w:t>，主要原因是公司</w:t>
      </w:r>
      <w:r>
        <w:rPr/>
        <w:t> 支付投资经纪费所致。</w:t>
      </w:r>
    </w:p>
    <w:p>
      <w:pPr>
        <w:pStyle w:val="BodyText"/>
        <w:spacing w:line="240" w:lineRule="auto" w:before="55"/>
        <w:ind w:left="700" w:right="104"/>
        <w:jc w:val="left"/>
        <w:rPr>
          <w:rFonts w:ascii="Times New Roman" w:hAnsi="Times New Roman" w:cs="Times New Roman" w:eastAsia="Times New Roman" w:hint="default"/>
        </w:rPr>
      </w:pPr>
      <w:r>
        <w:rPr/>
        <w:t>注</w:t>
      </w:r>
      <w:r>
        <w:rPr>
          <w:spacing w:val="-30"/>
        </w:rPr>
        <w:t> </w:t>
      </w:r>
      <w:r>
        <w:rPr>
          <w:rFonts w:ascii="Times New Roman" w:hAnsi="Times New Roman" w:cs="Times New Roman" w:eastAsia="Times New Roman" w:hint="default"/>
        </w:rPr>
        <w:t>17</w:t>
      </w:r>
      <w:r>
        <w:rPr/>
        <w:t>．报告期内，公司的预计负债较上年同期增长</w:t>
      </w:r>
      <w:r>
        <w:rPr>
          <w:spacing w:val="-30"/>
        </w:rPr>
        <w:t> </w:t>
      </w:r>
      <w:r>
        <w:rPr>
          <w:rFonts w:ascii="Times New Roman" w:hAnsi="Times New Roman" w:cs="Times New Roman" w:eastAsia="Times New Roman" w:hint="default"/>
        </w:rPr>
        <w:t>41.44%</w:t>
      </w:r>
      <w:r>
        <w:rPr/>
        <w:t>，主要原因是</w:t>
      </w:r>
      <w:r>
        <w:rPr>
          <w:spacing w:val="-30"/>
        </w:rPr>
        <w:t> </w:t>
      </w:r>
      <w:r>
        <w:rPr>
          <w:rFonts w:ascii="Times New Roman" w:hAnsi="Times New Roman" w:cs="Times New Roman" w:eastAsia="Times New Roman" w:hint="default"/>
        </w:rPr>
        <w:t>2011</w:t>
      </w:r>
    </w:p>
    <w:p>
      <w:pPr>
        <w:pStyle w:val="BodyText"/>
        <w:spacing w:line="240" w:lineRule="auto"/>
        <w:ind w:left="220" w:right="104"/>
        <w:jc w:val="left"/>
      </w:pPr>
      <w:r>
        <w:rPr/>
        <w:t>年公司销售和运营服务设备增加，相应计提的维护费增加所致。</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spacing w:line="240" w:lineRule="auto" w:before="0"/>
        <w:ind w:left="700" w:right="104"/>
        <w:jc w:val="left"/>
      </w:pPr>
      <w:r>
        <w:rPr>
          <w:rFonts w:ascii="Times New Roman" w:hAnsi="Times New Roman" w:cs="Times New Roman" w:eastAsia="Times New Roman" w:hint="default"/>
        </w:rPr>
        <w:t>2</w:t>
      </w:r>
      <w:r>
        <w:rPr/>
        <w:t>、核心资产使用及减值情况</w:t>
      </w:r>
    </w:p>
    <w:p>
      <w:pPr>
        <w:pStyle w:val="BodyText"/>
        <w:spacing w:line="338" w:lineRule="auto"/>
        <w:ind w:left="220" w:right="121" w:firstLine="480"/>
        <w:jc w:val="left"/>
      </w:pPr>
      <w:r>
        <w:rPr/>
        <w:t>公司的核心资产为投入合作运营业务的</w:t>
      </w:r>
      <w:r>
        <w:rPr>
          <w:spacing w:val="-60"/>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rPr>
        <w:t> </w:t>
      </w:r>
      <w:r>
        <w:rPr/>
        <w:t>设备。该部分资产处于在用状态， 资产成新率高，产能利用率高，不存在减值迹象，无需计提资产减值准备。</w:t>
      </w:r>
    </w:p>
    <w:p>
      <w:pPr>
        <w:spacing w:line="240" w:lineRule="auto" w:before="0"/>
        <w:rPr>
          <w:rFonts w:ascii="宋体" w:hAnsi="宋体" w:cs="宋体" w:eastAsia="宋体" w:hint="default"/>
          <w:sz w:val="24"/>
          <w:szCs w:val="24"/>
        </w:rPr>
      </w:pPr>
    </w:p>
    <w:p>
      <w:pPr>
        <w:pStyle w:val="BodyText"/>
        <w:spacing w:line="240" w:lineRule="auto" w:before="209"/>
        <w:ind w:left="700" w:right="104"/>
        <w:jc w:val="left"/>
      </w:pPr>
      <w:r>
        <w:rPr>
          <w:rFonts w:ascii="Times New Roman" w:hAnsi="Times New Roman" w:cs="Times New Roman" w:eastAsia="Times New Roman" w:hint="default"/>
        </w:rPr>
        <w:t>3</w:t>
      </w:r>
      <w:r>
        <w:rPr/>
        <w:t>、核心资产盈利情况</w:t>
      </w:r>
    </w:p>
    <w:p>
      <w:pPr>
        <w:pStyle w:val="BodyText"/>
        <w:spacing w:line="338" w:lineRule="auto"/>
        <w:ind w:left="220" w:right="95" w:firstLine="48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年度公司共实现合作运营收入</w:t>
      </w:r>
      <w:r>
        <w:rPr>
          <w:spacing w:val="-58"/>
        </w:rPr>
        <w:t> </w:t>
      </w:r>
      <w:r>
        <w:rPr>
          <w:rFonts w:ascii="Times New Roman" w:hAnsi="Times New Roman" w:cs="Times New Roman" w:eastAsia="Times New Roman" w:hint="default"/>
        </w:rPr>
        <w:t>16,737.09</w:t>
      </w:r>
      <w:r>
        <w:rPr>
          <w:rFonts w:ascii="Times New Roman" w:hAnsi="Times New Roman" w:cs="Times New Roman" w:eastAsia="Times New Roman" w:hint="default"/>
          <w:spacing w:val="2"/>
        </w:rPr>
        <w:t> </w:t>
      </w:r>
      <w:r>
        <w:rPr>
          <w:spacing w:val="-9"/>
        </w:rPr>
        <w:t>万元，较上年同期增长了</w:t>
      </w:r>
      <w:r>
        <w:rPr>
          <w:spacing w:val="-58"/>
        </w:rPr>
        <w:t> </w:t>
      </w:r>
      <w:r>
        <w:rPr>
          <w:rFonts w:ascii="Times New Roman" w:hAnsi="Times New Roman" w:cs="Times New Roman" w:eastAsia="Times New Roman" w:hint="default"/>
        </w:rPr>
        <w:t>10.91%</w:t>
      </w:r>
      <w:r>
        <w:rPr/>
        <w:t>， </w:t>
      </w:r>
      <w:r>
        <w:rPr>
          <w:rFonts w:ascii="Times New Roman" w:hAnsi="Times New Roman" w:cs="Times New Roman" w:eastAsia="Times New Roman" w:hint="default"/>
        </w:rPr>
        <w:t>ATM</w:t>
      </w:r>
      <w:r>
        <w:rPr>
          <w:rFonts w:ascii="Times New Roman" w:hAnsi="Times New Roman" w:cs="Times New Roman" w:eastAsia="Times New Roman" w:hint="default"/>
          <w:spacing w:val="-21"/>
        </w:rPr>
        <w:t> </w:t>
      </w:r>
      <w:r>
        <w:rPr/>
        <w:t>设备主要分布在珠江三角洲、长江三角洲、环渤海地区以及山西、江西、黑龙 江等省。</w:t>
      </w:r>
    </w:p>
    <w:p>
      <w:pPr>
        <w:spacing w:line="240" w:lineRule="auto" w:before="0"/>
        <w:rPr>
          <w:rFonts w:ascii="宋体" w:hAnsi="宋体" w:cs="宋体" w:eastAsia="宋体" w:hint="default"/>
          <w:sz w:val="24"/>
          <w:szCs w:val="24"/>
        </w:rPr>
      </w:pPr>
    </w:p>
    <w:p>
      <w:pPr>
        <w:pStyle w:val="BodyText"/>
        <w:spacing w:line="240" w:lineRule="auto" w:before="209"/>
        <w:ind w:left="700" w:right="104"/>
        <w:jc w:val="left"/>
      </w:pPr>
      <w:r>
        <w:rPr/>
        <w:t>（十五）存货变动情况</w:t>
      </w:r>
    </w:p>
    <w:p>
      <w:pPr>
        <w:spacing w:before="202"/>
        <w:ind w:left="0" w:right="593"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13"/>
        <w:rPr>
          <w:rFonts w:ascii="宋体" w:hAnsi="宋体" w:cs="宋体" w:eastAsia="宋体" w:hint="default"/>
          <w:sz w:val="10"/>
          <w:szCs w:val="10"/>
        </w:rPr>
      </w:pPr>
    </w:p>
    <w:tbl>
      <w:tblPr>
        <w:tblW w:w="0" w:type="auto"/>
        <w:jc w:val="left"/>
        <w:tblInd w:w="107" w:type="dxa"/>
        <w:tblLayout w:type="fixed"/>
        <w:tblCellMar>
          <w:top w:w="0" w:type="dxa"/>
          <w:left w:w="0" w:type="dxa"/>
          <w:bottom w:w="0" w:type="dxa"/>
          <w:right w:w="0" w:type="dxa"/>
        </w:tblCellMar>
        <w:tblLook w:val="01E0"/>
      </w:tblPr>
      <w:tblGrid>
        <w:gridCol w:w="1368"/>
        <w:gridCol w:w="1440"/>
        <w:gridCol w:w="1440"/>
        <w:gridCol w:w="890"/>
        <w:gridCol w:w="1265"/>
        <w:gridCol w:w="1260"/>
        <w:gridCol w:w="1080"/>
      </w:tblGrid>
      <w:tr>
        <w:trPr>
          <w:trHeight w:val="634" w:hRule="exact"/>
        </w:trPr>
        <w:tc>
          <w:tcPr>
            <w:tcW w:w="136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51"/>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年末余额</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00" w:lineRule="auto" w:before="10"/>
              <w:ind w:left="110" w:right="109" w:firstLine="19"/>
              <w:jc w:val="left"/>
              <w:rPr>
                <w:rFonts w:ascii="宋体" w:hAnsi="宋体" w:cs="宋体" w:eastAsia="宋体" w:hint="default"/>
                <w:sz w:val="18"/>
                <w:szCs w:val="18"/>
              </w:rPr>
            </w:pPr>
            <w:r>
              <w:rPr>
                <w:rFonts w:ascii="宋体" w:hAnsi="宋体" w:cs="宋体" w:eastAsia="宋体" w:hint="default"/>
                <w:sz w:val="18"/>
                <w:szCs w:val="18"/>
              </w:rPr>
              <w:t>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年末总 资产比例（</w:t>
            </w:r>
            <w:r>
              <w:rPr>
                <w:rFonts w:ascii="Calibri" w:hAnsi="Calibri" w:cs="Calibri" w:eastAsia="Calibri" w:hint="default"/>
                <w:sz w:val="18"/>
                <w:szCs w:val="18"/>
              </w:rPr>
              <w:t>%</w:t>
            </w:r>
            <w:r>
              <w:rPr>
                <w:rFonts w:ascii="宋体" w:hAnsi="宋体" w:cs="宋体" w:eastAsia="宋体" w:hint="default"/>
                <w:sz w:val="18"/>
                <w:szCs w:val="18"/>
              </w:rPr>
              <w:t>）</w:t>
            </w:r>
          </w:p>
        </w:tc>
        <w:tc>
          <w:tcPr>
            <w:tcW w:w="89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0"/>
              <w:ind w:left="170" w:right="168"/>
              <w:jc w:val="left"/>
              <w:rPr>
                <w:rFonts w:ascii="宋体" w:hAnsi="宋体" w:cs="宋体" w:eastAsia="宋体" w:hint="default"/>
                <w:sz w:val="18"/>
                <w:szCs w:val="18"/>
              </w:rPr>
            </w:pPr>
            <w:r>
              <w:rPr>
                <w:rFonts w:ascii="宋体" w:hAnsi="宋体" w:cs="宋体" w:eastAsia="宋体" w:hint="default"/>
                <w:sz w:val="18"/>
                <w:szCs w:val="18"/>
              </w:rPr>
              <w:t>市场供 求情况</w:t>
            </w:r>
          </w:p>
        </w:tc>
        <w:tc>
          <w:tcPr>
            <w:tcW w:w="1265"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0"/>
              <w:ind w:left="177" w:right="175"/>
              <w:jc w:val="left"/>
              <w:rPr>
                <w:rFonts w:ascii="宋体" w:hAnsi="宋体" w:cs="宋体" w:eastAsia="宋体" w:hint="default"/>
                <w:sz w:val="18"/>
                <w:szCs w:val="18"/>
              </w:rPr>
            </w:pPr>
            <w:r>
              <w:rPr>
                <w:rFonts w:ascii="宋体" w:hAnsi="宋体" w:cs="宋体" w:eastAsia="宋体" w:hint="default"/>
                <w:sz w:val="18"/>
                <w:szCs w:val="18"/>
              </w:rPr>
              <w:t>产品销售价 格变动情况</w:t>
            </w: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0"/>
              <w:ind w:left="265" w:right="173" w:hanging="90"/>
              <w:jc w:val="left"/>
              <w:rPr>
                <w:rFonts w:ascii="宋体" w:hAnsi="宋体" w:cs="宋体" w:eastAsia="宋体" w:hint="default"/>
                <w:sz w:val="18"/>
                <w:szCs w:val="18"/>
              </w:rPr>
            </w:pPr>
            <w:r>
              <w:rPr>
                <w:rFonts w:ascii="宋体" w:hAnsi="宋体" w:cs="宋体" w:eastAsia="宋体" w:hint="default"/>
                <w:sz w:val="18"/>
                <w:szCs w:val="18"/>
              </w:rPr>
              <w:t>原材料价格 变动情况</w:t>
            </w:r>
          </w:p>
        </w:tc>
        <w:tc>
          <w:tcPr>
            <w:tcW w:w="10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0"/>
              <w:ind w:left="175" w:right="173"/>
              <w:jc w:val="left"/>
              <w:rPr>
                <w:rFonts w:ascii="宋体" w:hAnsi="宋体" w:cs="宋体" w:eastAsia="宋体" w:hint="default"/>
                <w:sz w:val="18"/>
                <w:szCs w:val="18"/>
              </w:rPr>
            </w:pPr>
            <w:r>
              <w:rPr>
                <w:rFonts w:ascii="宋体" w:hAnsi="宋体" w:cs="宋体" w:eastAsia="宋体" w:hint="default"/>
                <w:sz w:val="18"/>
                <w:szCs w:val="18"/>
              </w:rPr>
              <w:t>存货跌价 准备情况</w:t>
            </w:r>
          </w:p>
        </w:tc>
      </w:tr>
      <w:tr>
        <w:trPr>
          <w:trHeight w:val="32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原材料</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79,478,184.19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4.65%</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良好</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略有降低</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5" w:right="0"/>
              <w:jc w:val="center"/>
              <w:rPr>
                <w:rFonts w:ascii="Times New Roman" w:hAnsi="Times New Roman" w:cs="Times New Roman" w:eastAsia="Times New Roman" w:hint="default"/>
                <w:sz w:val="18"/>
                <w:szCs w:val="18"/>
              </w:rPr>
            </w:pPr>
            <w:r>
              <w:rPr>
                <w:rFonts w:ascii="Times New Roman"/>
                <w:sz w:val="18"/>
              </w:rPr>
              <w:t>535,138.05</w:t>
            </w:r>
          </w:p>
        </w:tc>
      </w:tr>
      <w:tr>
        <w:trPr>
          <w:trHeight w:val="32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产成品</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库存商品</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20,906,202.05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1.22%</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良好</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略有降低</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发出商品</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119,752,759.21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7.01%</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良好</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略有降低</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辅助材料</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87,505.83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0.01%</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良好</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基本稳定</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在产品</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16,704,413.17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0.98%</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良好</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基本稳定</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低值易耗品</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基本稳定</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半成品</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3,927,334.60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0.23%</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良好</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基本稳定</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3" w:hRule="exact"/>
        </w:trPr>
        <w:tc>
          <w:tcPr>
            <w:tcW w:w="136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240,856,399.05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14.11%</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5" w:right="0"/>
              <w:jc w:val="center"/>
              <w:rPr>
                <w:rFonts w:ascii="Times New Roman" w:hAnsi="Times New Roman" w:cs="Times New Roman" w:eastAsia="Times New Roman" w:hint="default"/>
                <w:sz w:val="18"/>
                <w:szCs w:val="18"/>
              </w:rPr>
            </w:pPr>
            <w:r>
              <w:rPr>
                <w:rFonts w:ascii="Times New Roman"/>
                <w:sz w:val="18"/>
              </w:rPr>
              <w:t>535,138.05</w:t>
            </w:r>
          </w:p>
        </w:tc>
      </w:tr>
    </w:tbl>
    <w:p>
      <w:pPr>
        <w:spacing w:after="0" w:line="240" w:lineRule="auto"/>
        <w:jc w:val="center"/>
        <w:rPr>
          <w:rFonts w:ascii="Times New Roman" w:hAnsi="Times New Roman" w:cs="Times New Roman" w:eastAsia="Times New Roman" w:hint="default"/>
          <w:sz w:val="18"/>
          <w:szCs w:val="18"/>
        </w:rPr>
        <w:sectPr>
          <w:pgSz w:w="11910" w:h="16840"/>
          <w:pgMar w:header="877" w:footer="1048" w:top="1100" w:bottom="1240" w:left="1580" w:right="1180"/>
        </w:sectPr>
      </w:pPr>
    </w:p>
    <w:p>
      <w:pPr>
        <w:spacing w:line="240" w:lineRule="auto" w:before="7"/>
        <w:rPr>
          <w:rFonts w:ascii="宋体" w:hAnsi="宋体" w:cs="宋体" w:eastAsia="宋体" w:hint="default"/>
          <w:sz w:val="25"/>
          <w:szCs w:val="25"/>
        </w:rPr>
      </w:pPr>
    </w:p>
    <w:p>
      <w:pPr>
        <w:pStyle w:val="BodyText"/>
        <w:spacing w:line="240" w:lineRule="auto" w:before="26"/>
        <w:ind w:left="0" w:right="173"/>
        <w:jc w:val="right"/>
      </w:pPr>
      <w:r>
        <w:rPr/>
        <w:t>报告期末，公司没有用于债务担保或抵押的存货；对周转超过 </w:t>
      </w:r>
      <w:r>
        <w:rPr>
          <w:rFonts w:ascii="Times New Roman" w:hAnsi="Times New Roman" w:cs="Times New Roman" w:eastAsia="Times New Roman" w:hint="default"/>
        </w:rPr>
        <w:t>1</w:t>
      </w:r>
      <w:r>
        <w:rPr>
          <w:rFonts w:ascii="Times New Roman" w:hAnsi="Times New Roman" w:cs="Times New Roman" w:eastAsia="Times New Roman" w:hint="default"/>
          <w:spacing w:val="-10"/>
        </w:rPr>
        <w:t> </w:t>
      </w:r>
      <w:r>
        <w:rPr/>
        <w:t>年的原材料按</w:t>
      </w:r>
    </w:p>
    <w:p>
      <w:pPr>
        <w:pStyle w:val="BodyText"/>
        <w:spacing w:line="240" w:lineRule="auto"/>
        <w:ind w:left="220" w:right="156"/>
        <w:jc w:val="left"/>
      </w:pPr>
      <w:r>
        <w:rPr/>
        <w:t>其账面价值与市场公允价值孰低的原则计提存货跌价准备</w:t>
      </w:r>
      <w:r>
        <w:rPr>
          <w:spacing w:val="-60"/>
        </w:rPr>
        <w:t> </w:t>
      </w:r>
      <w:r>
        <w:rPr>
          <w:rFonts w:ascii="Times New Roman" w:hAnsi="Times New Roman" w:cs="Times New Roman" w:eastAsia="Times New Roman" w:hint="default"/>
        </w:rPr>
        <w:t>535,138.05 </w:t>
      </w:r>
      <w:r>
        <w:rPr/>
        <w:t>元。</w:t>
      </w: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2"/>
          <w:szCs w:val="22"/>
        </w:rPr>
      </w:pPr>
    </w:p>
    <w:p>
      <w:pPr>
        <w:pStyle w:val="BodyText"/>
        <w:spacing w:line="240" w:lineRule="auto" w:before="0"/>
        <w:ind w:left="700" w:right="156"/>
        <w:jc w:val="left"/>
      </w:pPr>
      <w:r>
        <w:rPr/>
        <w:t>（十六）报告期内可供出售金融资产情况</w:t>
      </w:r>
    </w:p>
    <w:p>
      <w:pPr>
        <w:spacing w:before="202"/>
        <w:ind w:left="0" w:right="173"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13"/>
        <w:rPr>
          <w:rFonts w:ascii="宋体" w:hAnsi="宋体" w:cs="宋体" w:eastAsia="宋体" w:hint="default"/>
          <w:sz w:val="10"/>
          <w:szCs w:val="10"/>
        </w:rPr>
      </w:pPr>
    </w:p>
    <w:tbl>
      <w:tblPr>
        <w:tblW w:w="0" w:type="auto"/>
        <w:jc w:val="left"/>
        <w:tblInd w:w="107" w:type="dxa"/>
        <w:tblLayout w:type="fixed"/>
        <w:tblCellMar>
          <w:top w:w="0" w:type="dxa"/>
          <w:left w:w="0" w:type="dxa"/>
          <w:bottom w:w="0" w:type="dxa"/>
          <w:right w:w="0" w:type="dxa"/>
        </w:tblCellMar>
        <w:tblLook w:val="01E0"/>
      </w:tblPr>
      <w:tblGrid>
        <w:gridCol w:w="4068"/>
        <w:gridCol w:w="2376"/>
        <w:gridCol w:w="2340"/>
      </w:tblGrid>
      <w:tr>
        <w:trPr>
          <w:trHeight w:val="330" w:hRule="exact"/>
        </w:trPr>
        <w:tc>
          <w:tcPr>
            <w:tcW w:w="406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643" w:right="0"/>
              <w:jc w:val="left"/>
              <w:rPr>
                <w:rFonts w:ascii="宋体" w:hAnsi="宋体" w:cs="宋体" w:eastAsia="宋体" w:hint="default"/>
                <w:sz w:val="18"/>
                <w:szCs w:val="18"/>
              </w:rPr>
            </w:pPr>
            <w:r>
              <w:rPr>
                <w:rFonts w:ascii="宋体" w:hAnsi="宋体" w:cs="宋体" w:eastAsia="宋体" w:hint="default"/>
                <w:sz w:val="18"/>
                <w:szCs w:val="18"/>
              </w:rPr>
              <w:t>期末公允价值</w:t>
            </w:r>
          </w:p>
        </w:tc>
        <w:tc>
          <w:tcPr>
            <w:tcW w:w="23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625" w:right="0"/>
              <w:jc w:val="left"/>
              <w:rPr>
                <w:rFonts w:ascii="宋体" w:hAnsi="宋体" w:cs="宋体" w:eastAsia="宋体" w:hint="default"/>
                <w:sz w:val="18"/>
                <w:szCs w:val="18"/>
              </w:rPr>
            </w:pPr>
            <w:r>
              <w:rPr>
                <w:rFonts w:ascii="宋体" w:hAnsi="宋体" w:cs="宋体" w:eastAsia="宋体" w:hint="default"/>
                <w:sz w:val="18"/>
                <w:szCs w:val="18"/>
              </w:rPr>
              <w:t>期初公允价值</w:t>
            </w:r>
          </w:p>
        </w:tc>
      </w:tr>
      <w:tr>
        <w:trPr>
          <w:trHeight w:val="330" w:hRule="exact"/>
        </w:trPr>
        <w:tc>
          <w:tcPr>
            <w:tcW w:w="4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、可供出售债券</w:t>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0" w:hRule="exact"/>
        </w:trPr>
        <w:tc>
          <w:tcPr>
            <w:tcW w:w="4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、可供出售权益工具</w:t>
            </w:r>
            <w:r>
              <w:rPr>
                <w:rFonts w:ascii="Times New Roman" w:hAnsi="Times New Roman" w:cs="Times New Roman" w:eastAsia="Times New Roman" w:hint="default"/>
                <w:sz w:val="18"/>
                <w:szCs w:val="18"/>
              </w:rPr>
              <w:t>-</w:t>
            </w:r>
            <w:r>
              <w:rPr>
                <w:rFonts w:ascii="宋体" w:hAnsi="宋体" w:cs="宋体" w:eastAsia="宋体" w:hint="default"/>
                <w:sz w:val="18"/>
                <w:szCs w:val="18"/>
              </w:rPr>
              <w:t>星河生物股票</w:t>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spacing w:val="-1"/>
                <w:sz w:val="18"/>
              </w:rPr>
              <w:t>134,577,416.07</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281,200,000.00</w:t>
            </w:r>
          </w:p>
        </w:tc>
      </w:tr>
      <w:tr>
        <w:trPr>
          <w:trHeight w:val="330" w:hRule="exact"/>
        </w:trPr>
        <w:tc>
          <w:tcPr>
            <w:tcW w:w="4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0" w:hRule="exact"/>
        </w:trPr>
        <w:tc>
          <w:tcPr>
            <w:tcW w:w="4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spacing w:val="-1"/>
                <w:sz w:val="18"/>
              </w:rPr>
              <w:t>134,577,416.07</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281,200,000.00</w:t>
            </w:r>
          </w:p>
        </w:tc>
      </w:tr>
    </w:tbl>
    <w:p>
      <w:pPr>
        <w:spacing w:line="240" w:lineRule="auto" w:before="0"/>
        <w:rPr>
          <w:rFonts w:ascii="宋体" w:hAnsi="宋体" w:cs="宋体" w:eastAsia="宋体" w:hint="default"/>
          <w:sz w:val="13"/>
          <w:szCs w:val="13"/>
        </w:rPr>
      </w:pPr>
    </w:p>
    <w:p>
      <w:pPr>
        <w:pStyle w:val="BodyText"/>
        <w:spacing w:line="348" w:lineRule="auto" w:before="26"/>
        <w:ind w:left="220" w:right="170" w:firstLine="480"/>
        <w:jc w:val="both"/>
      </w:pPr>
      <w:r>
        <w:rPr/>
        <w:t>控股子公司广州御新投资的星河生物于</w:t>
      </w:r>
      <w:r>
        <w:rPr>
          <w:spacing w:val="-52"/>
        </w:rPr>
        <w:t> </w:t>
      </w:r>
      <w:r>
        <w:rPr>
          <w:rFonts w:ascii="Times New Roman" w:hAnsi="Times New Roman" w:cs="Times New Roman" w:eastAsia="Times New Roman" w:hint="default"/>
        </w:rPr>
        <w:t>2010</w:t>
      </w:r>
      <w:r>
        <w:rPr>
          <w:rFonts w:ascii="Times New Roman" w:hAnsi="Times New Roman" w:cs="Times New Roman" w:eastAsia="Times New Roman" w:hint="default"/>
          <w:spacing w:val="8"/>
        </w:rPr>
        <w:t> </w:t>
      </w:r>
      <w:r>
        <w:rPr/>
        <w:t>年</w:t>
      </w:r>
      <w:r>
        <w:rPr>
          <w:spacing w:val="-52"/>
        </w:rPr>
        <w:t> </w:t>
      </w:r>
      <w:r>
        <w:rPr>
          <w:rFonts w:ascii="Times New Roman" w:hAnsi="Times New Roman" w:cs="Times New Roman" w:eastAsia="Times New Roman" w:hint="default"/>
        </w:rPr>
        <w:t>12</w:t>
      </w:r>
      <w:r>
        <w:rPr>
          <w:rFonts w:ascii="Times New Roman" w:hAnsi="Times New Roman" w:cs="Times New Roman" w:eastAsia="Times New Roman" w:hint="default"/>
          <w:spacing w:val="8"/>
        </w:rPr>
        <w:t> </w:t>
      </w:r>
      <w:r>
        <w:rPr/>
        <w:t>月</w:t>
      </w:r>
      <w:r>
        <w:rPr>
          <w:spacing w:val="-52"/>
        </w:rPr>
        <w:t> </w:t>
      </w:r>
      <w:r>
        <w:rPr>
          <w:rFonts w:ascii="Times New Roman" w:hAnsi="Times New Roman" w:cs="Times New Roman" w:eastAsia="Times New Roman" w:hint="default"/>
        </w:rPr>
        <w:t>9</w:t>
      </w:r>
      <w:r>
        <w:rPr>
          <w:rFonts w:ascii="Times New Roman" w:hAnsi="Times New Roman" w:cs="Times New Roman" w:eastAsia="Times New Roman" w:hint="default"/>
          <w:spacing w:val="8"/>
        </w:rPr>
        <w:t> </w:t>
      </w:r>
      <w:r>
        <w:rPr/>
        <w:t>日在深圳证券交易所创 业板挂牌上市，公司将持有其股份调整为“可供出售金融资产”科目核算，报告期</w:t>
      </w:r>
      <w:r>
        <w:rPr>
          <w:spacing w:val="-84"/>
        </w:rPr>
        <w:t> </w:t>
      </w:r>
      <w:r>
        <w:rPr>
          <w:spacing w:val="-84"/>
        </w:rPr>
      </w:r>
      <w:r>
        <w:rPr/>
        <w:t>末，公司持有星河生物股票</w:t>
      </w:r>
      <w:r>
        <w:rPr>
          <w:spacing w:val="-60"/>
        </w:rPr>
        <w:t> </w:t>
      </w:r>
      <w:r>
        <w:rPr>
          <w:rFonts w:ascii="Times New Roman" w:hAnsi="Times New Roman" w:cs="Times New Roman" w:eastAsia="Times New Roman" w:hint="default"/>
        </w:rPr>
        <w:t>10,424,277.00 </w:t>
      </w:r>
      <w:r>
        <w:rPr/>
        <w:t>股。</w:t>
      </w:r>
    </w:p>
    <w:p>
      <w:pPr>
        <w:spacing w:line="240" w:lineRule="auto" w:before="0"/>
        <w:rPr>
          <w:rFonts w:ascii="宋体" w:hAnsi="宋体" w:cs="宋体" w:eastAsia="宋体" w:hint="default"/>
          <w:sz w:val="24"/>
          <w:szCs w:val="24"/>
        </w:rPr>
      </w:pPr>
    </w:p>
    <w:p>
      <w:pPr>
        <w:pStyle w:val="BodyText"/>
        <w:spacing w:line="240" w:lineRule="auto" w:before="170"/>
        <w:ind w:left="640" w:right="156"/>
        <w:jc w:val="left"/>
      </w:pPr>
      <w:r>
        <w:rPr/>
        <w:t>（十七）公司债权债务变动情况</w:t>
      </w:r>
    </w:p>
    <w:p>
      <w:pPr>
        <w:spacing w:before="202"/>
        <w:ind w:left="0" w:right="533"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1"/>
        <w:rPr>
          <w:rFonts w:ascii="宋体" w:hAnsi="宋体" w:cs="宋体" w:eastAsia="宋体" w:hint="default"/>
          <w:sz w:val="11"/>
          <w:szCs w:val="11"/>
        </w:rPr>
      </w:pPr>
    </w:p>
    <w:tbl>
      <w:tblPr>
        <w:tblW w:w="0" w:type="auto"/>
        <w:jc w:val="left"/>
        <w:tblInd w:w="107" w:type="dxa"/>
        <w:tblLayout w:type="fixed"/>
        <w:tblCellMar>
          <w:top w:w="0" w:type="dxa"/>
          <w:left w:w="0" w:type="dxa"/>
          <w:bottom w:w="0" w:type="dxa"/>
          <w:right w:w="0" w:type="dxa"/>
        </w:tblCellMar>
        <w:tblLook w:val="01E0"/>
      </w:tblPr>
      <w:tblGrid>
        <w:gridCol w:w="1476"/>
        <w:gridCol w:w="1476"/>
        <w:gridCol w:w="1476"/>
        <w:gridCol w:w="1476"/>
        <w:gridCol w:w="1476"/>
        <w:gridCol w:w="1476"/>
      </w:tblGrid>
      <w:tr>
        <w:trPr>
          <w:trHeight w:val="634" w:hRule="exact"/>
        </w:trPr>
        <w:tc>
          <w:tcPr>
            <w:tcW w:w="14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4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4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同比增减（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00" w:lineRule="auto" w:before="11"/>
              <w:ind w:left="103" w:right="101" w:firstLine="14"/>
              <w:jc w:val="left"/>
              <w:rPr>
                <w:rFonts w:ascii="宋体" w:hAnsi="宋体" w:cs="宋体" w:eastAsia="宋体" w:hint="default"/>
                <w:sz w:val="18"/>
                <w:szCs w:val="18"/>
              </w:rPr>
            </w:pPr>
            <w:r>
              <w:rPr>
                <w:rFonts w:ascii="宋体" w:hAnsi="宋体" w:cs="宋体" w:eastAsia="宋体" w:hint="default"/>
                <w:sz w:val="18"/>
                <w:szCs w:val="18"/>
              </w:rPr>
              <w:t>同比增减（</w:t>
            </w:r>
            <w:r>
              <w:rPr>
                <w:rFonts w:ascii="Times New Roman" w:hAnsi="Times New Roman" w:cs="Times New Roman" w:eastAsia="Times New Roman" w:hint="default"/>
                <w:sz w:val="18"/>
                <w:szCs w:val="18"/>
              </w:rPr>
              <w:t>%</w:t>
            </w:r>
            <w:r>
              <w:rPr>
                <w:rFonts w:ascii="宋体" w:hAnsi="宋体" w:cs="宋体" w:eastAsia="宋体" w:hint="default"/>
                <w:sz w:val="18"/>
                <w:szCs w:val="18"/>
              </w:rPr>
              <w:t>） 达到</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的说明</w:t>
            </w:r>
          </w:p>
        </w:tc>
        <w:tc>
          <w:tcPr>
            <w:tcW w:w="14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4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2"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应收票据</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40,404,000.00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100.00%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十四</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142,321,492.81</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83,218,645.95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71.02%</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十四</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63,375,294.35</w:t>
            </w:r>
          </w:p>
        </w:tc>
      </w:tr>
      <w:tr>
        <w:trPr>
          <w:trHeight w:val="323"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预付账款</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59,348,739.58</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56,682,470.53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4.70%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17,074,804.17</w:t>
            </w:r>
          </w:p>
        </w:tc>
      </w:tr>
      <w:tr>
        <w:trPr>
          <w:trHeight w:val="322"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短期借款</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121,789,540.00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100.00%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十四</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31,000,000.00</w:t>
            </w:r>
          </w:p>
        </w:tc>
      </w:tr>
      <w:tr>
        <w:trPr>
          <w:trHeight w:val="322"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应付票据</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7,390,574.67</w:t>
            </w:r>
          </w:p>
        </w:tc>
      </w:tr>
      <w:tr>
        <w:trPr>
          <w:trHeight w:val="323"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应付账款</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90,699,141.17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32,588,239.25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178.32%</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十四</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14,540,551.25</w:t>
            </w:r>
          </w:p>
        </w:tc>
      </w:tr>
      <w:tr>
        <w:trPr>
          <w:trHeight w:val="322" w:hRule="exact"/>
        </w:trPr>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预收账款</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59,640,951.25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46,983,591.08</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26.94%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30,978,554.01</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700" w:right="156"/>
        <w:jc w:val="left"/>
      </w:pPr>
      <w:r>
        <w:rPr/>
        <w:t>（十八）公司偿债能力分析</w:t>
      </w:r>
    </w:p>
    <w:p>
      <w:pPr>
        <w:spacing w:line="240" w:lineRule="auto" w:before="10"/>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1771"/>
        <w:gridCol w:w="1771"/>
        <w:gridCol w:w="1771"/>
        <w:gridCol w:w="1770"/>
        <w:gridCol w:w="1772"/>
      </w:tblGrid>
      <w:tr>
        <w:trPr>
          <w:trHeight w:val="322" w:hRule="exact"/>
        </w:trPr>
        <w:tc>
          <w:tcPr>
            <w:tcW w:w="177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7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7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58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7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同比增减（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7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2" w:hRule="exact"/>
        </w:trPr>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流动比率</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2.35</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3.26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-27.91%</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5.40</w:t>
            </w:r>
          </w:p>
        </w:tc>
      </w:tr>
      <w:tr>
        <w:trPr>
          <w:trHeight w:val="322" w:hRule="exact"/>
        </w:trPr>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速动比率</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1.20</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1.97</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-39.09%</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3.98</w:t>
            </w:r>
          </w:p>
        </w:tc>
      </w:tr>
      <w:tr>
        <w:trPr>
          <w:trHeight w:val="323" w:hRule="exact"/>
        </w:trPr>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资产负债率</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23.02%</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600"/>
              <w:jc w:val="right"/>
              <w:rPr>
                <w:rFonts w:ascii="Times New Roman" w:hAnsi="Times New Roman" w:cs="Times New Roman" w:eastAsia="Times New Roman" w:hint="default"/>
                <w:sz w:val="18"/>
                <w:szCs w:val="18"/>
              </w:rPr>
            </w:pPr>
            <w:r>
              <w:rPr>
                <w:rFonts w:ascii="Times New Roman"/>
                <w:sz w:val="18"/>
              </w:rPr>
              <w:t>16.80%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6.22%</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12.74%</w:t>
            </w:r>
          </w:p>
        </w:tc>
      </w:tr>
      <w:tr>
        <w:trPr>
          <w:trHeight w:val="322" w:hRule="exact"/>
        </w:trPr>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利息保障倍数</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28.37</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631"/>
              <w:jc w:val="right"/>
              <w:rPr>
                <w:rFonts w:ascii="Times New Roman" w:hAnsi="Times New Roman" w:cs="Times New Roman" w:eastAsia="Times New Roman" w:hint="default"/>
                <w:sz w:val="18"/>
                <w:szCs w:val="18"/>
              </w:rPr>
            </w:pPr>
            <w:r>
              <w:rPr>
                <w:rFonts w:ascii="Times New Roman"/>
                <w:sz w:val="18"/>
              </w:rPr>
              <w:t>49.14</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-42.27%</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11.17</w:t>
            </w:r>
          </w:p>
        </w:tc>
      </w:tr>
    </w:tbl>
    <w:p>
      <w:pPr>
        <w:pStyle w:val="BodyText"/>
        <w:spacing w:line="348" w:lineRule="auto" w:before="40"/>
        <w:ind w:left="219" w:right="170" w:firstLine="480"/>
        <w:jc w:val="both"/>
      </w:pPr>
      <w:r>
        <w:rPr/>
        <w:t>报告期内，公司的资产负债率较上年增长</w:t>
      </w:r>
      <w:r>
        <w:rPr>
          <w:spacing w:val="-72"/>
        </w:rPr>
        <w:t> </w:t>
      </w:r>
      <w:r>
        <w:rPr>
          <w:rFonts w:ascii="Times New Roman" w:hAnsi="Times New Roman" w:cs="Times New Roman" w:eastAsia="Times New Roman" w:hint="default"/>
        </w:rPr>
        <w:t>6.22%</w:t>
      </w:r>
      <w:r>
        <w:rPr/>
        <w:t>，主要原因是公司于</w:t>
      </w:r>
      <w:r>
        <w:rPr>
          <w:spacing w:val="-73"/>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年加 大了生产经营投入，银行短期借款、应付和预收款项相应增加；同时公司销售和运</w:t>
      </w:r>
      <w:r>
        <w:rPr>
          <w:spacing w:val="-84"/>
        </w:rPr>
        <w:t> </w:t>
      </w:r>
      <w:r>
        <w:rPr>
          <w:spacing w:val="-84"/>
        </w:rPr>
      </w:r>
      <w:r>
        <w:rPr>
          <w:spacing w:val="-3"/>
        </w:rPr>
        <w:t>营服务设备数量增加，相应计提的维护费增加所致。公司的负债总额较 </w:t>
      </w:r>
      <w:r>
        <w:rPr>
          <w:rFonts w:ascii="Times New Roman" w:hAnsi="Times New Roman" w:cs="Times New Roman" w:eastAsia="Times New Roman" w:hint="default"/>
        </w:rPr>
        <w:t>2010</w:t>
      </w:r>
      <w:r>
        <w:rPr>
          <w:rFonts w:ascii="Times New Roman" w:hAnsi="Times New Roman" w:cs="Times New Roman" w:eastAsia="Times New Roman" w:hint="default"/>
          <w:spacing w:val="-34"/>
        </w:rPr>
        <w:t> </w:t>
      </w:r>
      <w:r>
        <w:rPr/>
        <w:t>年末增</w:t>
      </w:r>
    </w:p>
    <w:p>
      <w:pPr>
        <w:spacing w:after="0" w:line="348" w:lineRule="auto"/>
        <w:jc w:val="both"/>
        <w:sectPr>
          <w:pgSz w:w="11910" w:h="16840"/>
          <w:pgMar w:header="877" w:footer="1048" w:top="1100" w:bottom="1240" w:left="1580" w:right="1240"/>
        </w:sectPr>
      </w:pPr>
    </w:p>
    <w:p>
      <w:pPr>
        <w:spacing w:line="240" w:lineRule="auto" w:before="7"/>
        <w:rPr>
          <w:rFonts w:ascii="宋体" w:hAnsi="宋体" w:cs="宋体" w:eastAsia="宋体" w:hint="default"/>
          <w:sz w:val="25"/>
          <w:szCs w:val="25"/>
        </w:rPr>
      </w:pPr>
    </w:p>
    <w:p>
      <w:pPr>
        <w:pStyle w:val="BodyText"/>
        <w:spacing w:line="348" w:lineRule="auto" w:before="26"/>
        <w:ind w:left="0" w:right="223"/>
        <w:jc w:val="right"/>
      </w:pPr>
      <w:r>
        <w:rPr/>
        <w:t>长了</w:t>
      </w:r>
      <w:r>
        <w:rPr>
          <w:spacing w:val="-60"/>
        </w:rPr>
        <w:t> </w:t>
      </w:r>
      <w:r>
        <w:rPr>
          <w:rFonts w:ascii="Times New Roman" w:hAnsi="Times New Roman" w:cs="Times New Roman" w:eastAsia="Times New Roman" w:hint="default"/>
        </w:rPr>
        <w:t>56.85%</w:t>
      </w:r>
      <w:r>
        <w:rPr/>
        <w:t>，从而使公司的资产负债率增长，但公司资产负债率仍处于较低水平。 流动比率与速动比率较上年有所降低，主要原因是公司生产经营的扩大使短期</w:t>
      </w:r>
      <w:r>
        <w:rPr>
          <w:spacing w:val="1"/>
        </w:rPr>
        <w:t> </w:t>
      </w:r>
      <w:r>
        <w:rPr/>
        <w:t>借款、应付和预收款项等流动负债增加。但公司的流动比率和速动比率仍然处于良</w:t>
      </w:r>
    </w:p>
    <w:p>
      <w:pPr>
        <w:pStyle w:val="BodyText"/>
        <w:spacing w:line="240" w:lineRule="auto" w:before="46"/>
        <w:ind w:left="220" w:right="234"/>
        <w:jc w:val="left"/>
      </w:pPr>
      <w:r>
        <w:rPr/>
        <w:t>好水平，公司具有较强的短期偿债能力。</w:t>
      </w:r>
    </w:p>
    <w:p>
      <w:pPr>
        <w:pStyle w:val="BodyText"/>
        <w:spacing w:line="348" w:lineRule="auto" w:before="154"/>
        <w:ind w:left="220" w:right="250" w:firstLine="480"/>
        <w:jc w:val="both"/>
      </w:pPr>
      <w:r>
        <w:rPr/>
        <w:t>利息保障倍数较上年减少</w:t>
      </w:r>
      <w:r>
        <w:rPr>
          <w:spacing w:val="-30"/>
        </w:rPr>
        <w:t> </w:t>
      </w:r>
      <w:r>
        <w:rPr>
          <w:rFonts w:ascii="Times New Roman" w:hAnsi="Times New Roman" w:cs="Times New Roman" w:eastAsia="Times New Roman" w:hint="default"/>
        </w:rPr>
        <w:t>42.27%</w:t>
      </w:r>
      <w:r>
        <w:rPr/>
        <w:t>，主要原因是</w:t>
      </w:r>
      <w:r>
        <w:rPr>
          <w:spacing w:val="-3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30"/>
        </w:rPr>
        <w:t> </w:t>
      </w:r>
      <w:r>
        <w:rPr/>
        <w:t>年公司利息支出大幅增加 所致。但利息保障倍数仍然处于较高水平，公司具有较强的长期偿债能力和利息支</w:t>
      </w:r>
      <w:r>
        <w:rPr>
          <w:spacing w:val="-84"/>
        </w:rPr>
        <w:t> </w:t>
      </w:r>
      <w:r>
        <w:rPr>
          <w:spacing w:val="-84"/>
        </w:rPr>
      </w:r>
      <w:r>
        <w:rPr/>
        <w:t>付能力。</w:t>
      </w:r>
    </w:p>
    <w:p>
      <w:pPr>
        <w:pStyle w:val="BodyText"/>
        <w:spacing w:line="357" w:lineRule="auto" w:before="46"/>
        <w:ind w:left="220" w:right="252" w:firstLine="480"/>
        <w:jc w:val="both"/>
      </w:pPr>
      <w:r>
        <w:rPr/>
        <w:t>公司一直与银行保持着良好的合作关系，现金流动性强，具有较强的举债与偿</w:t>
      </w:r>
      <w:r>
        <w:rPr>
          <w:spacing w:val="1"/>
        </w:rPr>
        <w:t> </w:t>
      </w:r>
      <w:r>
        <w:rPr/>
        <w:t>还能力。</w:t>
      </w:r>
    </w:p>
    <w:p>
      <w:pPr>
        <w:spacing w:line="240" w:lineRule="auto" w:before="0"/>
        <w:rPr>
          <w:rFonts w:ascii="宋体" w:hAnsi="宋体" w:cs="宋体" w:eastAsia="宋体" w:hint="default"/>
          <w:sz w:val="24"/>
          <w:szCs w:val="24"/>
        </w:rPr>
      </w:pPr>
    </w:p>
    <w:p>
      <w:pPr>
        <w:pStyle w:val="BodyText"/>
        <w:spacing w:line="240" w:lineRule="auto" w:before="190"/>
        <w:ind w:left="700" w:right="234"/>
        <w:jc w:val="left"/>
      </w:pPr>
      <w:r>
        <w:rPr/>
        <w:t>（十九）资产营运能力分析</w:t>
      </w:r>
    </w:p>
    <w:p>
      <w:pPr>
        <w:spacing w:line="240" w:lineRule="auto" w:before="9"/>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2088"/>
        <w:gridCol w:w="1771"/>
        <w:gridCol w:w="1771"/>
        <w:gridCol w:w="1454"/>
        <w:gridCol w:w="1772"/>
      </w:tblGrid>
      <w:tr>
        <w:trPr>
          <w:trHeight w:val="322" w:hRule="exact"/>
        </w:trPr>
        <w:tc>
          <w:tcPr>
            <w:tcW w:w="208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7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7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5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同比增减（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7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3"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应收账款周转率（次）</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6.57</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9" w:right="0"/>
              <w:jc w:val="center"/>
              <w:rPr>
                <w:rFonts w:ascii="Times New Roman" w:hAnsi="Times New Roman" w:cs="Times New Roman" w:eastAsia="Times New Roman" w:hint="default"/>
                <w:sz w:val="18"/>
                <w:szCs w:val="18"/>
              </w:rPr>
            </w:pPr>
            <w:r>
              <w:rPr>
                <w:rFonts w:ascii="Times New Roman"/>
                <w:sz w:val="18"/>
              </w:rPr>
              <w:t>6.39</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2.82%</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8" w:right="0"/>
              <w:jc w:val="center"/>
              <w:rPr>
                <w:rFonts w:ascii="Times New Roman" w:hAnsi="Times New Roman" w:cs="Times New Roman" w:eastAsia="Times New Roman" w:hint="default"/>
                <w:sz w:val="18"/>
                <w:szCs w:val="18"/>
              </w:rPr>
            </w:pPr>
            <w:r>
              <w:rPr>
                <w:rFonts w:ascii="Times New Roman"/>
                <w:sz w:val="18"/>
              </w:rPr>
              <w:t>7.90</w:t>
            </w:r>
          </w:p>
        </w:tc>
      </w:tr>
      <w:tr>
        <w:trPr>
          <w:trHeight w:val="322"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存货周转率（次）</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1.91</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89" w:right="0"/>
              <w:jc w:val="center"/>
              <w:rPr>
                <w:rFonts w:ascii="Times New Roman" w:hAnsi="Times New Roman" w:cs="Times New Roman" w:eastAsia="Times New Roman" w:hint="default"/>
                <w:sz w:val="18"/>
                <w:szCs w:val="18"/>
              </w:rPr>
            </w:pPr>
            <w:r>
              <w:rPr>
                <w:rFonts w:ascii="Times New Roman"/>
                <w:sz w:val="18"/>
              </w:rPr>
              <w:t>1.89</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1.06%</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88" w:right="0"/>
              <w:jc w:val="center"/>
              <w:rPr>
                <w:rFonts w:ascii="Times New Roman" w:hAnsi="Times New Roman" w:cs="Times New Roman" w:eastAsia="Times New Roman" w:hint="default"/>
                <w:sz w:val="18"/>
                <w:szCs w:val="18"/>
              </w:rPr>
            </w:pPr>
            <w:r>
              <w:rPr>
                <w:rFonts w:ascii="Times New Roman"/>
                <w:sz w:val="18"/>
              </w:rPr>
              <w:t>2.23</w:t>
            </w:r>
          </w:p>
        </w:tc>
      </w:tr>
      <w:tr>
        <w:trPr>
          <w:trHeight w:val="323"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流动资产周转率（次）</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1.08</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89" w:right="0"/>
              <w:jc w:val="center"/>
              <w:rPr>
                <w:rFonts w:ascii="Times New Roman" w:hAnsi="Times New Roman" w:cs="Times New Roman" w:eastAsia="Times New Roman" w:hint="default"/>
                <w:sz w:val="18"/>
                <w:szCs w:val="18"/>
              </w:rPr>
            </w:pPr>
            <w:r>
              <w:rPr>
                <w:rFonts w:ascii="Times New Roman"/>
                <w:sz w:val="18"/>
              </w:rPr>
              <w:t>0.78</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38.46%</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88" w:right="0"/>
              <w:jc w:val="center"/>
              <w:rPr>
                <w:rFonts w:ascii="Times New Roman" w:hAnsi="Times New Roman" w:cs="Times New Roman" w:eastAsia="Times New Roman" w:hint="default"/>
                <w:sz w:val="18"/>
                <w:szCs w:val="18"/>
              </w:rPr>
            </w:pPr>
            <w:r>
              <w:rPr>
                <w:rFonts w:ascii="Times New Roman"/>
                <w:sz w:val="18"/>
              </w:rPr>
              <w:t>1.03</w:t>
            </w:r>
          </w:p>
        </w:tc>
      </w:tr>
    </w:tbl>
    <w:p>
      <w:pPr>
        <w:pStyle w:val="BodyText"/>
        <w:spacing w:line="338" w:lineRule="auto" w:before="40"/>
        <w:ind w:left="220" w:right="234" w:firstLine="480"/>
        <w:jc w:val="left"/>
      </w:pPr>
      <w:r>
        <w:rPr/>
        <w:t>流动资产周转率较上年增长</w:t>
      </w:r>
      <w:r>
        <w:rPr>
          <w:spacing w:val="-30"/>
        </w:rPr>
        <w:t> </w:t>
      </w:r>
      <w:r>
        <w:rPr>
          <w:rFonts w:ascii="Times New Roman" w:hAnsi="Times New Roman" w:cs="Times New Roman" w:eastAsia="Times New Roman" w:hint="default"/>
        </w:rPr>
        <w:t>38.46%</w:t>
      </w:r>
      <w:r>
        <w:rPr/>
        <w:t>，主要原因是</w:t>
      </w:r>
      <w:r>
        <w:rPr>
          <w:spacing w:val="-3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30"/>
        </w:rPr>
        <w:t> </w:t>
      </w:r>
      <w:r>
        <w:rPr/>
        <w:t>年公司加大市场开拓， 促进主营业务收入的增长，有效地提高了流动资产的综合利用。</w:t>
      </w:r>
    </w:p>
    <w:p>
      <w:pPr>
        <w:spacing w:line="240" w:lineRule="auto" w:before="0"/>
        <w:rPr>
          <w:rFonts w:ascii="宋体" w:hAnsi="宋体" w:cs="宋体" w:eastAsia="宋体" w:hint="default"/>
          <w:sz w:val="24"/>
          <w:szCs w:val="24"/>
        </w:rPr>
      </w:pPr>
    </w:p>
    <w:p>
      <w:pPr>
        <w:pStyle w:val="BodyText"/>
        <w:spacing w:line="240" w:lineRule="auto" w:before="209"/>
        <w:ind w:left="700" w:right="234"/>
        <w:jc w:val="left"/>
      </w:pPr>
      <w:r>
        <w:rPr/>
        <w:t>（二十）研发情况</w:t>
      </w:r>
    </w:p>
    <w:p>
      <w:pPr>
        <w:spacing w:before="202"/>
        <w:ind w:left="0" w:right="613"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13"/>
        <w:rPr>
          <w:rFonts w:ascii="宋体" w:hAnsi="宋体" w:cs="宋体" w:eastAsia="宋体" w:hint="default"/>
          <w:sz w:val="10"/>
          <w:szCs w:val="10"/>
        </w:rPr>
      </w:pPr>
    </w:p>
    <w:tbl>
      <w:tblPr>
        <w:tblW w:w="0" w:type="auto"/>
        <w:jc w:val="left"/>
        <w:tblInd w:w="107" w:type="dxa"/>
        <w:tblLayout w:type="fixed"/>
        <w:tblCellMar>
          <w:top w:w="0" w:type="dxa"/>
          <w:left w:w="0" w:type="dxa"/>
          <w:bottom w:w="0" w:type="dxa"/>
          <w:right w:w="0" w:type="dxa"/>
        </w:tblCellMar>
        <w:tblLook w:val="01E0"/>
      </w:tblPr>
      <w:tblGrid>
        <w:gridCol w:w="2808"/>
        <w:gridCol w:w="2040"/>
        <w:gridCol w:w="2040"/>
        <w:gridCol w:w="2040"/>
      </w:tblGrid>
      <w:tr>
        <w:trPr>
          <w:trHeight w:val="322" w:hRule="exact"/>
        </w:trPr>
        <w:tc>
          <w:tcPr>
            <w:tcW w:w="280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0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0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0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2"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研发支出总额</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30,254,320.40</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25,125,677.02</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21,132,839.71</w:t>
            </w:r>
          </w:p>
        </w:tc>
      </w:tr>
      <w:tr>
        <w:trPr>
          <w:trHeight w:val="323"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56" w:right="0"/>
              <w:jc w:val="center"/>
              <w:rPr>
                <w:rFonts w:ascii="宋体" w:hAnsi="宋体" w:cs="宋体" w:eastAsia="宋体" w:hint="default"/>
                <w:sz w:val="18"/>
                <w:szCs w:val="18"/>
              </w:rPr>
            </w:pPr>
            <w:r>
              <w:rPr>
                <w:rFonts w:ascii="宋体" w:hAnsi="宋体" w:cs="宋体" w:eastAsia="宋体" w:hint="default"/>
                <w:sz w:val="18"/>
                <w:szCs w:val="18"/>
              </w:rPr>
              <w:t>研发支出占营业收入的比重（</w:t>
            </w:r>
            <w:r>
              <w:rPr>
                <w:rFonts w:ascii="Calibri" w:hAnsi="Calibri" w:cs="Calibri" w:eastAsia="Calibri" w:hint="default"/>
                <w:sz w:val="18"/>
                <w:szCs w:val="18"/>
              </w:rPr>
              <w:t>%</w:t>
            </w:r>
            <w:r>
              <w:rPr>
                <w:rFonts w:ascii="宋体" w:hAnsi="宋体" w:cs="宋体" w:eastAsia="宋体" w:hint="default"/>
                <w:sz w:val="18"/>
                <w:szCs w:val="18"/>
              </w:rPr>
              <w:t>）</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4.08%</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5.37%</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4.67%</w:t>
            </w:r>
          </w:p>
        </w:tc>
      </w:tr>
    </w:tbl>
    <w:p>
      <w:pPr>
        <w:spacing w:line="240" w:lineRule="auto" w:before="0"/>
        <w:rPr>
          <w:rFonts w:ascii="宋体" w:hAnsi="宋体" w:cs="宋体" w:eastAsia="宋体" w:hint="default"/>
          <w:sz w:val="13"/>
          <w:szCs w:val="13"/>
        </w:rPr>
      </w:pPr>
    </w:p>
    <w:p>
      <w:pPr>
        <w:pStyle w:val="BodyText"/>
        <w:spacing w:line="338" w:lineRule="auto" w:before="26"/>
        <w:ind w:left="220" w:right="234" w:firstLine="540"/>
        <w:jc w:val="left"/>
      </w:pPr>
      <w:r>
        <w:rPr/>
        <w:t>公司一直坚持自主创新，在报告期内继续加大研发投入，公司 </w:t>
      </w:r>
      <w:r>
        <w:rPr>
          <w:rFonts w:ascii="Times New Roman" w:hAnsi="Times New Roman" w:cs="Times New Roman" w:eastAsia="Times New Roman" w:hint="default"/>
        </w:rPr>
        <w:t>2011</w:t>
      </w:r>
      <w:r>
        <w:rPr>
          <w:rFonts w:ascii="Times New Roman" w:hAnsi="Times New Roman" w:cs="Times New Roman" w:eastAsia="Times New Roman" w:hint="default"/>
          <w:spacing w:val="50"/>
        </w:rPr>
        <w:t> </w:t>
      </w:r>
      <w:r>
        <w:rPr/>
        <w:t>年新增的 专利、软件产品及软件著作权情况具体如下：</w:t>
      </w:r>
    </w:p>
    <w:p>
      <w:pPr>
        <w:pStyle w:val="BodyText"/>
        <w:spacing w:line="240" w:lineRule="auto" w:before="211"/>
        <w:ind w:left="640" w:right="234"/>
        <w:jc w:val="left"/>
      </w:pPr>
      <w:r>
        <w:rPr>
          <w:rFonts w:ascii="Times New Roman" w:hAnsi="Times New Roman" w:cs="Times New Roman" w:eastAsia="Times New Roman" w:hint="default"/>
        </w:rPr>
        <w:t>1</w:t>
      </w:r>
      <w:r>
        <w:rPr/>
        <w:t>、专利权情况表</w:t>
      </w:r>
    </w:p>
    <w:p>
      <w:pPr>
        <w:spacing w:line="240" w:lineRule="auto" w:before="4"/>
        <w:rPr>
          <w:rFonts w:ascii="宋体" w:hAnsi="宋体" w:cs="宋体" w:eastAsia="宋体" w:hint="default"/>
          <w:sz w:val="7"/>
          <w:szCs w:val="7"/>
        </w:rPr>
      </w:pPr>
    </w:p>
    <w:tbl>
      <w:tblPr>
        <w:tblW w:w="0" w:type="auto"/>
        <w:jc w:val="left"/>
        <w:tblInd w:w="107" w:type="dxa"/>
        <w:tblLayout w:type="fixed"/>
        <w:tblCellMar>
          <w:top w:w="0" w:type="dxa"/>
          <w:left w:w="0" w:type="dxa"/>
          <w:bottom w:w="0" w:type="dxa"/>
          <w:right w:w="0" w:type="dxa"/>
        </w:tblCellMar>
        <w:tblLook w:val="01E0"/>
      </w:tblPr>
      <w:tblGrid>
        <w:gridCol w:w="646"/>
        <w:gridCol w:w="2522"/>
        <w:gridCol w:w="1428"/>
        <w:gridCol w:w="1691"/>
        <w:gridCol w:w="1220"/>
        <w:gridCol w:w="1428"/>
      </w:tblGrid>
      <w:tr>
        <w:trPr>
          <w:trHeight w:val="322" w:hRule="exact"/>
        </w:trPr>
        <w:tc>
          <w:tcPr>
            <w:tcW w:w="64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252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专利名称</w:t>
            </w:r>
          </w:p>
        </w:tc>
        <w:tc>
          <w:tcPr>
            <w:tcW w:w="142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left="349" w:right="0"/>
              <w:jc w:val="left"/>
              <w:rPr>
                <w:rFonts w:ascii="宋体" w:hAnsi="宋体" w:cs="宋体" w:eastAsia="宋体" w:hint="default"/>
                <w:sz w:val="18"/>
                <w:szCs w:val="18"/>
              </w:rPr>
            </w:pPr>
            <w:r>
              <w:rPr>
                <w:rFonts w:ascii="宋体" w:hAnsi="宋体" w:cs="宋体" w:eastAsia="宋体" w:hint="default"/>
                <w:sz w:val="18"/>
                <w:szCs w:val="18"/>
              </w:rPr>
              <w:t>专利类型</w:t>
            </w:r>
          </w:p>
        </w:tc>
        <w:tc>
          <w:tcPr>
            <w:tcW w:w="169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专利号</w:t>
            </w:r>
          </w:p>
        </w:tc>
        <w:tc>
          <w:tcPr>
            <w:tcW w:w="12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获取日期</w:t>
            </w:r>
          </w:p>
        </w:tc>
        <w:tc>
          <w:tcPr>
            <w:tcW w:w="142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权利状况</w:t>
            </w:r>
          </w:p>
        </w:tc>
      </w:tr>
      <w:tr>
        <w:trPr>
          <w:trHeight w:val="635" w:hRule="exact"/>
        </w:trPr>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89"/>
              <w:jc w:val="left"/>
              <w:rPr>
                <w:rFonts w:ascii="宋体" w:hAnsi="宋体" w:cs="宋体" w:eastAsia="宋体" w:hint="default"/>
                <w:sz w:val="18"/>
                <w:szCs w:val="18"/>
              </w:rPr>
            </w:pPr>
            <w:r>
              <w:rPr>
                <w:rFonts w:ascii="宋体" w:hAnsi="宋体" w:cs="宋体" w:eastAsia="宋体" w:hint="default"/>
                <w:spacing w:val="13"/>
                <w:sz w:val="18"/>
                <w:szCs w:val="18"/>
              </w:rPr>
              <w:t>一种自动取款机的钞箱识别 </w:t>
            </w:r>
            <w:r>
              <w:rPr>
                <w:rFonts w:ascii="宋体" w:hAnsi="宋体" w:cs="宋体" w:eastAsia="宋体" w:hint="default"/>
                <w:sz w:val="18"/>
                <w:szCs w:val="18"/>
              </w:rPr>
              <w:t>报警装置</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49" w:right="0"/>
              <w:jc w:val="left"/>
              <w:rPr>
                <w:rFonts w:ascii="宋体" w:hAnsi="宋体" w:cs="宋体" w:eastAsia="宋体" w:hint="default"/>
                <w:sz w:val="18"/>
                <w:szCs w:val="18"/>
              </w:rPr>
            </w:pPr>
            <w:r>
              <w:rPr>
                <w:rFonts w:ascii="宋体" w:hAnsi="宋体" w:cs="宋体" w:eastAsia="宋体" w:hint="default"/>
                <w:sz w:val="18"/>
                <w:szCs w:val="18"/>
              </w:rPr>
              <w:t>实用新型</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201020115732.2</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2011-01-26</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已取得</w:t>
            </w:r>
          </w:p>
        </w:tc>
      </w:tr>
      <w:tr>
        <w:trPr>
          <w:trHeight w:val="322" w:hRule="exact"/>
        </w:trPr>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2</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一种钞箱推钞板的卡接结构</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49" w:right="0"/>
              <w:jc w:val="left"/>
              <w:rPr>
                <w:rFonts w:ascii="宋体" w:hAnsi="宋体" w:cs="宋体" w:eastAsia="宋体" w:hint="default"/>
                <w:sz w:val="18"/>
                <w:szCs w:val="18"/>
              </w:rPr>
            </w:pPr>
            <w:r>
              <w:rPr>
                <w:rFonts w:ascii="宋体" w:hAnsi="宋体" w:cs="宋体" w:eastAsia="宋体" w:hint="default"/>
                <w:sz w:val="18"/>
                <w:szCs w:val="18"/>
              </w:rPr>
              <w:t>实用新型</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201020115722.9</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2011-01-26</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已取得</w:t>
            </w:r>
          </w:p>
        </w:tc>
      </w:tr>
      <w:tr>
        <w:trPr>
          <w:trHeight w:val="634" w:hRule="exact"/>
        </w:trPr>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89"/>
              <w:jc w:val="left"/>
              <w:rPr>
                <w:rFonts w:ascii="宋体" w:hAnsi="宋体" w:cs="宋体" w:eastAsia="宋体" w:hint="default"/>
                <w:sz w:val="18"/>
                <w:szCs w:val="18"/>
              </w:rPr>
            </w:pPr>
            <w:r>
              <w:rPr>
                <w:rFonts w:ascii="宋体" w:hAnsi="宋体" w:cs="宋体" w:eastAsia="宋体" w:hint="default"/>
                <w:spacing w:val="13"/>
                <w:sz w:val="18"/>
                <w:szCs w:val="18"/>
              </w:rPr>
              <w:t>一种钞箱垫钞板高度和宽度 </w:t>
            </w:r>
            <w:r>
              <w:rPr>
                <w:rFonts w:ascii="宋体" w:hAnsi="宋体" w:cs="宋体" w:eastAsia="宋体" w:hint="default"/>
                <w:sz w:val="18"/>
                <w:szCs w:val="18"/>
              </w:rPr>
              <w:t>调节装置</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49" w:right="0"/>
              <w:jc w:val="left"/>
              <w:rPr>
                <w:rFonts w:ascii="宋体" w:hAnsi="宋体" w:cs="宋体" w:eastAsia="宋体" w:hint="default"/>
                <w:sz w:val="18"/>
                <w:szCs w:val="18"/>
              </w:rPr>
            </w:pPr>
            <w:r>
              <w:rPr>
                <w:rFonts w:ascii="宋体" w:hAnsi="宋体" w:cs="宋体" w:eastAsia="宋体" w:hint="default"/>
                <w:sz w:val="18"/>
                <w:szCs w:val="18"/>
              </w:rPr>
              <w:t>实用新型</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201020115734.1</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2011-03-09</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已取得</w:t>
            </w:r>
          </w:p>
        </w:tc>
      </w:tr>
      <w:tr>
        <w:trPr>
          <w:trHeight w:val="323" w:hRule="exact"/>
        </w:trPr>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4</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pacing w:val="13"/>
                <w:sz w:val="18"/>
                <w:szCs w:val="18"/>
              </w:rPr>
              <w:t>一种自动取款机机芯的取卡</w:t>
            </w:r>
            <w:r>
              <w:rPr>
                <w:rFonts w:ascii="宋体" w:hAnsi="宋体" w:cs="宋体" w:eastAsia="宋体" w:hint="default"/>
                <w:sz w:val="18"/>
                <w:szCs w:val="18"/>
              </w:rPr>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49" w:right="0"/>
              <w:jc w:val="left"/>
              <w:rPr>
                <w:rFonts w:ascii="宋体" w:hAnsi="宋体" w:cs="宋体" w:eastAsia="宋体" w:hint="default"/>
                <w:sz w:val="18"/>
                <w:szCs w:val="18"/>
              </w:rPr>
            </w:pPr>
            <w:r>
              <w:rPr>
                <w:rFonts w:ascii="宋体" w:hAnsi="宋体" w:cs="宋体" w:eastAsia="宋体" w:hint="default"/>
                <w:sz w:val="18"/>
                <w:szCs w:val="18"/>
              </w:rPr>
              <w:t>实用新型</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201020115774.6</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2011-03-30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已取得</w:t>
            </w:r>
          </w:p>
        </w:tc>
      </w:tr>
    </w:tbl>
    <w:p>
      <w:pPr>
        <w:spacing w:after="0" w:line="240" w:lineRule="auto"/>
        <w:jc w:val="center"/>
        <w:rPr>
          <w:rFonts w:ascii="宋体" w:hAnsi="宋体" w:cs="宋体" w:eastAsia="宋体" w:hint="default"/>
          <w:sz w:val="18"/>
          <w:szCs w:val="18"/>
        </w:rPr>
        <w:sectPr>
          <w:pgSz w:w="11910" w:h="16840"/>
          <w:pgMar w:header="877" w:footer="1048" w:top="1100" w:bottom="1240" w:left="1580" w:right="1160"/>
        </w:sectPr>
      </w:pPr>
    </w:p>
    <w:p>
      <w:pPr>
        <w:spacing w:line="240" w:lineRule="auto" w:before="6"/>
        <w:rPr>
          <w:rFonts w:ascii="宋体" w:hAnsi="宋体" w:cs="宋体" w:eastAsia="宋体" w:hint="default"/>
          <w:sz w:val="24"/>
          <w:szCs w:val="24"/>
        </w:rPr>
      </w:pPr>
    </w:p>
    <w:tbl>
      <w:tblPr>
        <w:tblW w:w="0" w:type="auto"/>
        <w:jc w:val="left"/>
        <w:tblInd w:w="107" w:type="dxa"/>
        <w:tblLayout w:type="fixed"/>
        <w:tblCellMar>
          <w:top w:w="0" w:type="dxa"/>
          <w:left w:w="0" w:type="dxa"/>
          <w:bottom w:w="0" w:type="dxa"/>
          <w:right w:w="0" w:type="dxa"/>
        </w:tblCellMar>
        <w:tblLook w:val="01E0"/>
      </w:tblPr>
      <w:tblGrid>
        <w:gridCol w:w="646"/>
        <w:gridCol w:w="2522"/>
        <w:gridCol w:w="1428"/>
        <w:gridCol w:w="1691"/>
        <w:gridCol w:w="1220"/>
        <w:gridCol w:w="1428"/>
      </w:tblGrid>
      <w:tr>
        <w:trPr>
          <w:trHeight w:val="322" w:hRule="exact"/>
        </w:trPr>
        <w:tc>
          <w:tcPr>
            <w:tcW w:w="646" w:type="dxa"/>
            <w:tcBorders>
              <w:top w:val="single" w:sz="4" w:space="0" w:color="000000"/>
              <w:left w:val="single" w:sz="4" w:space="0" w:color="000000"/>
              <w:bottom w:val="single" w:sz="4" w:space="0" w:color="000000"/>
              <w:right w:val="single" w:sz="4" w:space="0" w:color="000000"/>
            </w:tcBorders>
          </w:tcPr>
          <w:p>
            <w:pP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钞结构</w:t>
            </w:r>
          </w:p>
        </w:tc>
        <w:tc>
          <w:tcPr>
            <w:tcW w:w="1428" w:type="dxa"/>
            <w:tcBorders>
              <w:top w:val="single" w:sz="4" w:space="0" w:color="000000"/>
              <w:left w:val="single" w:sz="4" w:space="0" w:color="000000"/>
              <w:bottom w:val="single" w:sz="4" w:space="0" w:color="000000"/>
              <w:right w:val="single" w:sz="4" w:space="0" w:color="000000"/>
            </w:tcBorders>
          </w:tcPr>
          <w:p>
            <w:pPr/>
          </w:p>
        </w:tc>
        <w:tc>
          <w:tcPr>
            <w:tcW w:w="1691" w:type="dxa"/>
            <w:tcBorders>
              <w:top w:val="single" w:sz="4" w:space="0" w:color="000000"/>
              <w:left w:val="single" w:sz="4" w:space="0" w:color="000000"/>
              <w:bottom w:val="single" w:sz="4" w:space="0" w:color="000000"/>
              <w:right w:val="single" w:sz="4" w:space="0" w:color="000000"/>
            </w:tcBorders>
          </w:tcPr>
          <w:p>
            <w:pPr/>
          </w:p>
        </w:tc>
        <w:tc>
          <w:tcPr>
            <w:tcW w:w="1220"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5</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一种钞箱锁</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实用新型</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201020115773.1</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2011-03-30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已取得</w:t>
            </w:r>
          </w:p>
        </w:tc>
      </w:tr>
      <w:tr>
        <w:trPr>
          <w:trHeight w:val="322" w:hRule="exact"/>
        </w:trPr>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6</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读卡器自动对位机构</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200910192234.X</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2011-04-27</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已取得</w:t>
            </w:r>
          </w:p>
        </w:tc>
      </w:tr>
      <w:tr>
        <w:trPr>
          <w:trHeight w:val="322" w:hRule="exact"/>
        </w:trPr>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7</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挖钞模块驱动机构</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实用新型</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201020115755.3</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2011-05-25</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已取得</w:t>
            </w:r>
          </w:p>
        </w:tc>
      </w:tr>
      <w:tr>
        <w:trPr>
          <w:trHeight w:val="323" w:hRule="exact"/>
        </w:trPr>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8</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取卡钞装置</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实用新型</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ZL201020115754.9</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2011-06-01</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已取得</w:t>
            </w:r>
          </w:p>
        </w:tc>
      </w:tr>
      <w:tr>
        <w:trPr>
          <w:trHeight w:val="322" w:hRule="exact"/>
        </w:trPr>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9</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防盗出钞门</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200910039785.2</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2011-07-27</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已取得</w:t>
            </w:r>
          </w:p>
        </w:tc>
      </w:tr>
      <w:tr>
        <w:trPr>
          <w:trHeight w:val="322" w:hRule="exact"/>
        </w:trPr>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10</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一种自动取款机的机芯结构</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ZL201010111346.0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2011-08-10</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已取得</w:t>
            </w:r>
          </w:p>
        </w:tc>
      </w:tr>
      <w:tr>
        <w:trPr>
          <w:trHeight w:val="323" w:hRule="exact"/>
        </w:trPr>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11</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一种钞箱编码装置</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实用新型</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ZL201120078401.0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2011-08-17</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已取得</w:t>
            </w:r>
          </w:p>
        </w:tc>
      </w:tr>
      <w:tr>
        <w:trPr>
          <w:trHeight w:val="322" w:hRule="exact"/>
        </w:trPr>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12</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一种钞箱的定位机构</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实用新型</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ZL201120078402.5</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2011-08-17</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已取得</w:t>
            </w:r>
          </w:p>
        </w:tc>
      </w:tr>
      <w:tr>
        <w:trPr>
          <w:trHeight w:val="322" w:hRule="exact"/>
        </w:trPr>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13</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自动翻转机构</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200910040469.7</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2011-08-17</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已取得</w:t>
            </w:r>
          </w:p>
        </w:tc>
      </w:tr>
      <w:tr>
        <w:trPr>
          <w:trHeight w:val="323" w:hRule="exact"/>
        </w:trPr>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14</w:t>
            </w:r>
          </w:p>
        </w:tc>
        <w:tc>
          <w:tcPr>
            <w:tcW w:w="2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一种钞箱锁</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实用新型</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ZL201120078385.5</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2011-10-05</w:t>
            </w:r>
          </w:p>
        </w:tc>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已取得</w:t>
            </w:r>
          </w:p>
        </w:tc>
      </w:tr>
    </w:tbl>
    <w:p>
      <w:pPr>
        <w:spacing w:line="240" w:lineRule="auto" w:before="0"/>
        <w:rPr>
          <w:rFonts w:ascii="宋体" w:hAnsi="宋体" w:cs="宋体" w:eastAsia="宋体" w:hint="default"/>
          <w:sz w:val="13"/>
          <w:szCs w:val="13"/>
        </w:rPr>
      </w:pPr>
    </w:p>
    <w:p>
      <w:pPr>
        <w:pStyle w:val="BodyText"/>
        <w:spacing w:line="240" w:lineRule="auto" w:before="26"/>
        <w:ind w:left="640" w:right="234"/>
        <w:jc w:val="left"/>
      </w:pPr>
      <w:r>
        <w:rPr>
          <w:rFonts w:ascii="Times New Roman" w:hAnsi="Times New Roman" w:cs="Times New Roman" w:eastAsia="Times New Roman" w:hint="default"/>
        </w:rPr>
        <w:t>2</w:t>
      </w:r>
      <w:r>
        <w:rPr/>
        <w:t>、软件产品情况表</w:t>
      </w:r>
    </w:p>
    <w:p>
      <w:pPr>
        <w:spacing w:line="240" w:lineRule="auto" w:before="4"/>
        <w:rPr>
          <w:rFonts w:ascii="宋体" w:hAnsi="宋体" w:cs="宋体" w:eastAsia="宋体" w:hint="default"/>
          <w:sz w:val="7"/>
          <w:szCs w:val="7"/>
        </w:rPr>
      </w:pPr>
    </w:p>
    <w:tbl>
      <w:tblPr>
        <w:tblW w:w="0" w:type="auto"/>
        <w:jc w:val="left"/>
        <w:tblInd w:w="107" w:type="dxa"/>
        <w:tblLayout w:type="fixed"/>
        <w:tblCellMar>
          <w:top w:w="0" w:type="dxa"/>
          <w:left w:w="0" w:type="dxa"/>
          <w:bottom w:w="0" w:type="dxa"/>
          <w:right w:w="0" w:type="dxa"/>
        </w:tblCellMar>
        <w:tblLook w:val="01E0"/>
      </w:tblPr>
      <w:tblGrid>
        <w:gridCol w:w="648"/>
        <w:gridCol w:w="5040"/>
        <w:gridCol w:w="1800"/>
        <w:gridCol w:w="1440"/>
      </w:tblGrid>
      <w:tr>
        <w:trPr>
          <w:trHeight w:val="322" w:hRule="exact"/>
        </w:trPr>
        <w:tc>
          <w:tcPr>
            <w:tcW w:w="64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序列</w:t>
            </w:r>
          </w:p>
        </w:tc>
        <w:tc>
          <w:tcPr>
            <w:tcW w:w="50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软件产品名称</w:t>
            </w:r>
          </w:p>
        </w:tc>
        <w:tc>
          <w:tcPr>
            <w:tcW w:w="18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证书编号</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left="355" w:right="0"/>
              <w:jc w:val="left"/>
              <w:rPr>
                <w:rFonts w:ascii="宋体" w:hAnsi="宋体" w:cs="宋体" w:eastAsia="宋体" w:hint="default"/>
                <w:sz w:val="18"/>
                <w:szCs w:val="18"/>
              </w:rPr>
            </w:pPr>
            <w:r>
              <w:rPr>
                <w:rFonts w:ascii="宋体" w:hAnsi="宋体" w:cs="宋体" w:eastAsia="宋体" w:hint="default"/>
                <w:sz w:val="18"/>
                <w:szCs w:val="18"/>
              </w:rPr>
              <w:t>批准时间</w:t>
            </w:r>
          </w:p>
        </w:tc>
      </w:tr>
      <w:tr>
        <w:trPr>
          <w:trHeight w:val="323"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1</w:t>
            </w:r>
          </w:p>
        </w:tc>
        <w:tc>
          <w:tcPr>
            <w:tcW w:w="5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御新</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C</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端金融系统应用软件（</w:t>
            </w:r>
            <w:r>
              <w:rPr>
                <w:rFonts w:ascii="Times New Roman" w:hAnsi="Times New Roman" w:cs="Times New Roman" w:eastAsia="Times New Roman" w:hint="default"/>
                <w:sz w:val="18"/>
                <w:szCs w:val="18"/>
              </w:rPr>
              <w:t>V3.2.0</w:t>
            </w:r>
            <w:r>
              <w:rPr>
                <w:rFonts w:ascii="宋体" w:hAnsi="宋体" w:cs="宋体" w:eastAsia="宋体" w:hint="default"/>
                <w:sz w:val="18"/>
                <w:szCs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粤</w:t>
            </w:r>
            <w:r>
              <w:rPr>
                <w:rFonts w:ascii="宋体" w:hAnsi="宋体" w:cs="宋体" w:eastAsia="宋体" w:hint="default"/>
                <w:spacing w:val="-36"/>
                <w:sz w:val="18"/>
                <w:szCs w:val="18"/>
              </w:rPr>
              <w:t> </w:t>
            </w:r>
            <w:r>
              <w:rPr>
                <w:rFonts w:ascii="Times New Roman" w:hAnsi="Times New Roman" w:cs="Times New Roman" w:eastAsia="Times New Roman" w:hint="default"/>
                <w:spacing w:val="-3"/>
                <w:sz w:val="18"/>
                <w:szCs w:val="18"/>
              </w:rPr>
              <w:t>DGY-2011-0928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98" w:right="0"/>
              <w:jc w:val="left"/>
              <w:rPr>
                <w:rFonts w:ascii="Times New Roman" w:hAnsi="Times New Roman" w:cs="Times New Roman" w:eastAsia="Times New Roman" w:hint="default"/>
                <w:sz w:val="18"/>
                <w:szCs w:val="18"/>
              </w:rPr>
            </w:pPr>
            <w:r>
              <w:rPr>
                <w:rFonts w:ascii="Times New Roman"/>
                <w:sz w:val="18"/>
              </w:rPr>
              <w:t>2011-08-17</w:t>
            </w:r>
          </w:p>
        </w:tc>
      </w:tr>
    </w:tbl>
    <w:p>
      <w:pPr>
        <w:spacing w:line="240" w:lineRule="auto" w:before="0"/>
        <w:rPr>
          <w:rFonts w:ascii="宋体" w:hAnsi="宋体" w:cs="宋体" w:eastAsia="宋体" w:hint="default"/>
          <w:sz w:val="13"/>
          <w:szCs w:val="13"/>
        </w:rPr>
      </w:pPr>
    </w:p>
    <w:p>
      <w:pPr>
        <w:pStyle w:val="BodyText"/>
        <w:spacing w:line="240" w:lineRule="auto" w:before="26"/>
        <w:ind w:left="640" w:right="234"/>
        <w:jc w:val="left"/>
      </w:pPr>
      <w:r>
        <w:rPr>
          <w:rFonts w:ascii="Times New Roman" w:hAnsi="Times New Roman" w:cs="Times New Roman" w:eastAsia="Times New Roman" w:hint="default"/>
        </w:rPr>
        <w:t>3</w:t>
      </w:r>
      <w:r>
        <w:rPr/>
        <w:t>、软件著作权情况表</w:t>
      </w:r>
    </w:p>
    <w:p>
      <w:pPr>
        <w:spacing w:line="240" w:lineRule="auto" w:before="4"/>
        <w:rPr>
          <w:rFonts w:ascii="宋体" w:hAnsi="宋体" w:cs="宋体" w:eastAsia="宋体" w:hint="default"/>
          <w:sz w:val="7"/>
          <w:szCs w:val="7"/>
        </w:rPr>
      </w:pPr>
    </w:p>
    <w:tbl>
      <w:tblPr>
        <w:tblW w:w="0" w:type="auto"/>
        <w:jc w:val="left"/>
        <w:tblInd w:w="107" w:type="dxa"/>
        <w:tblLayout w:type="fixed"/>
        <w:tblCellMar>
          <w:top w:w="0" w:type="dxa"/>
          <w:left w:w="0" w:type="dxa"/>
          <w:bottom w:w="0" w:type="dxa"/>
          <w:right w:w="0" w:type="dxa"/>
        </w:tblCellMar>
        <w:tblLook w:val="01E0"/>
      </w:tblPr>
      <w:tblGrid>
        <w:gridCol w:w="648"/>
        <w:gridCol w:w="5272"/>
        <w:gridCol w:w="1568"/>
        <w:gridCol w:w="1440"/>
      </w:tblGrid>
      <w:tr>
        <w:trPr>
          <w:trHeight w:val="322" w:hRule="exact"/>
        </w:trPr>
        <w:tc>
          <w:tcPr>
            <w:tcW w:w="64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序列</w:t>
            </w:r>
          </w:p>
        </w:tc>
        <w:tc>
          <w:tcPr>
            <w:tcW w:w="527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软件名称</w:t>
            </w:r>
          </w:p>
        </w:tc>
        <w:tc>
          <w:tcPr>
            <w:tcW w:w="156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登记号</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left="355" w:right="0"/>
              <w:jc w:val="left"/>
              <w:rPr>
                <w:rFonts w:ascii="宋体" w:hAnsi="宋体" w:cs="宋体" w:eastAsia="宋体" w:hint="default"/>
                <w:sz w:val="18"/>
                <w:szCs w:val="18"/>
              </w:rPr>
            </w:pPr>
            <w:r>
              <w:rPr>
                <w:rFonts w:ascii="宋体" w:hAnsi="宋体" w:cs="宋体" w:eastAsia="宋体" w:hint="default"/>
                <w:sz w:val="18"/>
                <w:szCs w:val="18"/>
              </w:rPr>
              <w:t>批准时间</w:t>
            </w:r>
          </w:p>
        </w:tc>
      </w:tr>
      <w:tr>
        <w:trPr>
          <w:trHeight w:val="323"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1</w:t>
            </w:r>
          </w:p>
        </w:tc>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7"/>
                <w:sz w:val="18"/>
                <w:szCs w:val="18"/>
              </w:rPr>
              <w:t>ATM </w:t>
            </w:r>
            <w:r>
              <w:rPr>
                <w:rFonts w:ascii="宋体" w:hAnsi="宋体" w:cs="宋体" w:eastAsia="宋体" w:hint="default"/>
                <w:sz w:val="18"/>
                <w:szCs w:val="18"/>
              </w:rPr>
              <w:t>终端系统应用软件 </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V1.0.0</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2011SR000157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99" w:right="0"/>
              <w:jc w:val="left"/>
              <w:rPr>
                <w:rFonts w:ascii="Times New Roman" w:hAnsi="Times New Roman" w:cs="Times New Roman" w:eastAsia="Times New Roman" w:hint="default"/>
                <w:sz w:val="18"/>
                <w:szCs w:val="18"/>
              </w:rPr>
            </w:pPr>
            <w:r>
              <w:rPr>
                <w:rFonts w:ascii="Times New Roman"/>
                <w:sz w:val="18"/>
              </w:rPr>
              <w:t>2011-01-04</w:t>
            </w:r>
          </w:p>
        </w:tc>
      </w:tr>
      <w:tr>
        <w:trPr>
          <w:trHeight w:val="322"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2</w:t>
            </w:r>
          </w:p>
        </w:tc>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7"/>
                <w:sz w:val="18"/>
                <w:szCs w:val="18"/>
              </w:rPr>
              <w:t>ATM </w:t>
            </w:r>
            <w:r>
              <w:rPr>
                <w:rFonts w:ascii="宋体" w:hAnsi="宋体" w:cs="宋体" w:eastAsia="宋体" w:hint="default"/>
                <w:sz w:val="18"/>
                <w:szCs w:val="18"/>
              </w:rPr>
              <w:t>部件集成测试系统</w:t>
            </w:r>
            <w:r>
              <w:rPr>
                <w:rFonts w:ascii="Times New Roman" w:hAnsi="Times New Roman" w:cs="Times New Roman" w:eastAsia="Times New Roman" w:hint="default"/>
                <w:sz w:val="18"/>
                <w:szCs w:val="18"/>
              </w:rPr>
              <w:t>[</w:t>
            </w:r>
            <w:r>
              <w:rPr>
                <w:rFonts w:ascii="宋体" w:hAnsi="宋体" w:cs="宋体" w:eastAsia="宋体" w:hint="default"/>
                <w:sz w:val="18"/>
                <w:szCs w:val="18"/>
              </w:rPr>
              <w:t>简称：</w:t>
            </w:r>
            <w:r>
              <w:rPr>
                <w:rFonts w:ascii="Times New Roman" w:hAnsi="Times New Roman" w:cs="Times New Roman" w:eastAsia="Times New Roman" w:hint="default"/>
                <w:sz w:val="18"/>
                <w:szCs w:val="18"/>
              </w:rPr>
              <w:t>KTVDA]    V1.0.0</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2011SR000134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99" w:right="0"/>
              <w:jc w:val="left"/>
              <w:rPr>
                <w:rFonts w:ascii="Times New Roman" w:hAnsi="Times New Roman" w:cs="Times New Roman" w:eastAsia="Times New Roman" w:hint="default"/>
                <w:sz w:val="18"/>
                <w:szCs w:val="18"/>
              </w:rPr>
            </w:pPr>
            <w:r>
              <w:rPr>
                <w:rFonts w:ascii="Times New Roman"/>
                <w:sz w:val="18"/>
              </w:rPr>
              <w:t>2011-01-04</w:t>
            </w:r>
          </w:p>
        </w:tc>
      </w:tr>
      <w:tr>
        <w:trPr>
          <w:trHeight w:val="322"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3</w:t>
            </w:r>
          </w:p>
        </w:tc>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7"/>
                <w:sz w:val="18"/>
                <w:szCs w:val="18"/>
              </w:rPr>
              <w:t>ATM </w:t>
            </w:r>
            <w:r>
              <w:rPr>
                <w:rFonts w:ascii="宋体" w:hAnsi="宋体" w:cs="宋体" w:eastAsia="宋体" w:hint="default"/>
                <w:sz w:val="18"/>
                <w:szCs w:val="18"/>
              </w:rPr>
              <w:t>运营综合管理系统 </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V1.0.0</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2011SR023122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99" w:right="0"/>
              <w:jc w:val="left"/>
              <w:rPr>
                <w:rFonts w:ascii="Times New Roman" w:hAnsi="Times New Roman" w:cs="Times New Roman" w:eastAsia="Times New Roman" w:hint="default"/>
                <w:sz w:val="18"/>
                <w:szCs w:val="18"/>
              </w:rPr>
            </w:pPr>
            <w:r>
              <w:rPr>
                <w:rFonts w:ascii="Times New Roman"/>
                <w:sz w:val="18"/>
              </w:rPr>
              <w:t>2011-04-25</w:t>
            </w:r>
          </w:p>
        </w:tc>
      </w:tr>
      <w:tr>
        <w:trPr>
          <w:trHeight w:val="323"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4</w:t>
            </w:r>
          </w:p>
        </w:tc>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御银 </w:t>
            </w:r>
            <w:r>
              <w:rPr>
                <w:rFonts w:ascii="Times New Roman" w:hAnsi="Times New Roman" w:cs="Times New Roman" w:eastAsia="Times New Roman" w:hint="default"/>
                <w:sz w:val="18"/>
                <w:szCs w:val="18"/>
              </w:rPr>
              <w:t>KTUDP </w:t>
            </w:r>
            <w:r>
              <w:rPr>
                <w:rFonts w:ascii="宋体" w:hAnsi="宋体" w:cs="宋体" w:eastAsia="宋体" w:hint="default"/>
                <w:sz w:val="18"/>
                <w:szCs w:val="18"/>
              </w:rPr>
              <w:t>统一开发平台软件</w:t>
            </w:r>
            <w:r>
              <w:rPr>
                <w:rFonts w:ascii="Times New Roman" w:hAnsi="Times New Roman" w:cs="Times New Roman" w:eastAsia="Times New Roman" w:hint="default"/>
                <w:sz w:val="18"/>
                <w:szCs w:val="18"/>
              </w:rPr>
              <w:t>[</w:t>
            </w:r>
            <w:r>
              <w:rPr>
                <w:rFonts w:ascii="宋体" w:hAnsi="宋体" w:cs="宋体" w:eastAsia="宋体" w:hint="default"/>
                <w:sz w:val="18"/>
                <w:szCs w:val="18"/>
              </w:rPr>
              <w:t>简称：</w:t>
            </w:r>
            <w:r>
              <w:rPr>
                <w:rFonts w:ascii="Times New Roman" w:hAnsi="Times New Roman" w:cs="Times New Roman" w:eastAsia="Times New Roman" w:hint="default"/>
                <w:sz w:val="18"/>
                <w:szCs w:val="18"/>
              </w:rPr>
              <w:t>KTUDP </w:t>
            </w:r>
            <w:r>
              <w:rPr>
                <w:rFonts w:ascii="宋体" w:hAnsi="宋体" w:cs="宋体" w:eastAsia="宋体" w:hint="default"/>
                <w:sz w:val="18"/>
                <w:szCs w:val="18"/>
              </w:rPr>
              <w:t>软件</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6"/>
                <w:sz w:val="18"/>
                <w:szCs w:val="18"/>
              </w:rPr>
              <w:t> </w:t>
            </w:r>
            <w:r>
              <w:rPr>
                <w:rFonts w:ascii="Times New Roman" w:hAnsi="Times New Roman" w:cs="Times New Roman" w:eastAsia="Times New Roman" w:hint="default"/>
                <w:sz w:val="18"/>
                <w:szCs w:val="18"/>
              </w:rPr>
              <w:t>V3.2.20</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2011SR033929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99" w:right="0"/>
              <w:jc w:val="left"/>
              <w:rPr>
                <w:rFonts w:ascii="Times New Roman" w:hAnsi="Times New Roman" w:cs="Times New Roman" w:eastAsia="Times New Roman" w:hint="default"/>
                <w:sz w:val="18"/>
                <w:szCs w:val="18"/>
              </w:rPr>
            </w:pPr>
            <w:r>
              <w:rPr>
                <w:rFonts w:ascii="Times New Roman"/>
                <w:sz w:val="18"/>
              </w:rPr>
              <w:t>2011-06-02</w:t>
            </w:r>
          </w:p>
        </w:tc>
      </w:tr>
      <w:tr>
        <w:trPr>
          <w:trHeight w:val="322"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5</w:t>
            </w:r>
          </w:p>
        </w:tc>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御银 </w:t>
            </w:r>
            <w:r>
              <w:rPr>
                <w:rFonts w:ascii="Times New Roman" w:hAnsi="Times New Roman" w:cs="Times New Roman" w:eastAsia="Times New Roman" w:hint="default"/>
                <w:spacing w:val="-6"/>
                <w:sz w:val="18"/>
                <w:szCs w:val="18"/>
              </w:rPr>
              <w:t>ATMC </w:t>
            </w:r>
            <w:r>
              <w:rPr>
                <w:rFonts w:ascii="宋体" w:hAnsi="宋体" w:cs="宋体" w:eastAsia="宋体" w:hint="default"/>
                <w:sz w:val="18"/>
                <w:szCs w:val="18"/>
              </w:rPr>
              <w:t>应用开发环境软件</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V3.0.0</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2011SR033930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99" w:right="0"/>
              <w:jc w:val="left"/>
              <w:rPr>
                <w:rFonts w:ascii="Times New Roman" w:hAnsi="Times New Roman" w:cs="Times New Roman" w:eastAsia="Times New Roman" w:hint="default"/>
                <w:sz w:val="18"/>
                <w:szCs w:val="18"/>
              </w:rPr>
            </w:pPr>
            <w:r>
              <w:rPr>
                <w:rFonts w:ascii="Times New Roman"/>
                <w:sz w:val="18"/>
              </w:rPr>
              <w:t>2011-06-02</w:t>
            </w:r>
          </w:p>
        </w:tc>
      </w:tr>
      <w:tr>
        <w:trPr>
          <w:trHeight w:val="322"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6</w:t>
            </w:r>
          </w:p>
        </w:tc>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御新 </w:t>
            </w:r>
            <w:r>
              <w:rPr>
                <w:rFonts w:ascii="Times New Roman" w:hAnsi="Times New Roman" w:cs="Times New Roman" w:eastAsia="Times New Roman" w:hint="default"/>
                <w:sz w:val="18"/>
                <w:szCs w:val="18"/>
              </w:rPr>
              <w:t>C </w:t>
            </w:r>
            <w:r>
              <w:rPr>
                <w:rFonts w:ascii="宋体" w:hAnsi="宋体" w:cs="宋体" w:eastAsia="宋体" w:hint="default"/>
                <w:sz w:val="18"/>
                <w:szCs w:val="18"/>
              </w:rPr>
              <w:t>端金融系统应用软件</w:t>
            </w:r>
            <w:r>
              <w:rPr>
                <w:rFonts w:ascii="Times New Roman" w:hAnsi="Times New Roman" w:cs="Times New Roman" w:eastAsia="Times New Roman" w:hint="default"/>
                <w:sz w:val="18"/>
                <w:szCs w:val="18"/>
              </w:rPr>
              <w:t>[</w:t>
            </w:r>
            <w:r>
              <w:rPr>
                <w:rFonts w:ascii="宋体" w:hAnsi="宋体" w:cs="宋体" w:eastAsia="宋体" w:hint="default"/>
                <w:sz w:val="18"/>
                <w:szCs w:val="18"/>
              </w:rPr>
              <w:t>简称：金融软件</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41"/>
                <w:sz w:val="18"/>
                <w:szCs w:val="18"/>
              </w:rPr>
              <w:t> </w:t>
            </w:r>
            <w:r>
              <w:rPr>
                <w:rFonts w:ascii="Times New Roman" w:hAnsi="Times New Roman" w:cs="Times New Roman" w:eastAsia="Times New Roman" w:hint="default"/>
                <w:sz w:val="18"/>
                <w:szCs w:val="18"/>
              </w:rPr>
              <w:t>V3.2.0</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2011SR033977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99" w:right="0"/>
              <w:jc w:val="left"/>
              <w:rPr>
                <w:rFonts w:ascii="Times New Roman" w:hAnsi="Times New Roman" w:cs="Times New Roman" w:eastAsia="Times New Roman" w:hint="default"/>
                <w:sz w:val="18"/>
                <w:szCs w:val="18"/>
              </w:rPr>
            </w:pPr>
            <w:r>
              <w:rPr>
                <w:rFonts w:ascii="Times New Roman"/>
                <w:sz w:val="18"/>
              </w:rPr>
              <w:t>2011-06-02</w:t>
            </w:r>
          </w:p>
        </w:tc>
      </w:tr>
      <w:tr>
        <w:trPr>
          <w:trHeight w:val="323"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7</w:t>
            </w:r>
          </w:p>
        </w:tc>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御新 </w:t>
            </w:r>
            <w:r>
              <w:rPr>
                <w:rFonts w:ascii="Times New Roman" w:hAnsi="Times New Roman" w:cs="Times New Roman" w:eastAsia="Times New Roman" w:hint="default"/>
                <w:spacing w:val="-7"/>
                <w:sz w:val="18"/>
                <w:szCs w:val="18"/>
              </w:rPr>
              <w:t>ATM     </w:t>
            </w:r>
            <w:r>
              <w:rPr>
                <w:rFonts w:ascii="Times New Roman" w:hAnsi="Times New Roman" w:cs="Times New Roman" w:eastAsia="Times New Roman" w:hint="default"/>
                <w:sz w:val="18"/>
                <w:szCs w:val="18"/>
              </w:rPr>
              <w:t>Canera  </w:t>
            </w:r>
            <w:r>
              <w:rPr>
                <w:rFonts w:ascii="宋体" w:hAnsi="宋体" w:cs="宋体" w:eastAsia="宋体" w:hint="default"/>
                <w:sz w:val="18"/>
                <w:szCs w:val="18"/>
              </w:rPr>
              <w:t>监控软件</w:t>
            </w:r>
            <w:r>
              <w:rPr>
                <w:rFonts w:ascii="宋体" w:hAnsi="宋体" w:cs="宋体" w:eastAsia="宋体" w:hint="default"/>
                <w:spacing w:val="30"/>
                <w:sz w:val="18"/>
                <w:szCs w:val="18"/>
              </w:rPr>
              <w:t> </w:t>
            </w:r>
            <w:r>
              <w:rPr>
                <w:rFonts w:ascii="Times New Roman" w:hAnsi="Times New Roman" w:cs="Times New Roman" w:eastAsia="Times New Roman" w:hint="default"/>
                <w:sz w:val="18"/>
                <w:szCs w:val="18"/>
              </w:rPr>
              <w:t>V1.0</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2011SR034505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99" w:right="0"/>
              <w:jc w:val="left"/>
              <w:rPr>
                <w:rFonts w:ascii="Times New Roman" w:hAnsi="Times New Roman" w:cs="Times New Roman" w:eastAsia="Times New Roman" w:hint="default"/>
                <w:sz w:val="18"/>
                <w:szCs w:val="18"/>
              </w:rPr>
            </w:pPr>
            <w:r>
              <w:rPr>
                <w:rFonts w:ascii="Times New Roman"/>
                <w:sz w:val="18"/>
              </w:rPr>
              <w:t>2011-06-03</w:t>
            </w:r>
          </w:p>
        </w:tc>
      </w:tr>
      <w:tr>
        <w:trPr>
          <w:trHeight w:val="322" w:hRule="exact"/>
        </w:trPr>
        <w:tc>
          <w:tcPr>
            <w:tcW w:w="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8</w:t>
            </w:r>
          </w:p>
        </w:tc>
        <w:tc>
          <w:tcPr>
            <w:tcW w:w="5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w w:val="99"/>
                <w:sz w:val="18"/>
                <w:szCs w:val="18"/>
              </w:rPr>
              <w:t>Kingteller</w:t>
            </w:r>
            <w:r>
              <w:rPr>
                <w:rFonts w:ascii="Times New Roman" w:hAnsi="Times New Roman" w:cs="Times New Roman" w:eastAsia="Times New Roman" w:hint="default"/>
                <w:spacing w:val="-10"/>
                <w:w w:val="99"/>
                <w:sz w:val="18"/>
                <w:szCs w:val="18"/>
              </w:rPr>
              <w:t> </w:t>
            </w:r>
            <w:r>
              <w:rPr>
                <w:rFonts w:ascii="Times New Roman" w:hAnsi="Times New Roman" w:cs="Times New Roman" w:eastAsia="Times New Roman" w:hint="default"/>
                <w:spacing w:val="-21"/>
                <w:w w:val="99"/>
                <w:sz w:val="18"/>
                <w:szCs w:val="18"/>
              </w:rPr>
              <w:t>A</w:t>
            </w:r>
            <w:r>
              <w:rPr>
                <w:rFonts w:ascii="Times New Roman" w:hAnsi="Times New Roman" w:cs="Times New Roman" w:eastAsia="Times New Roman" w:hint="default"/>
                <w:sz w:val="18"/>
                <w:szCs w:val="18"/>
              </w:rPr>
              <w:t>T</w:t>
            </w:r>
            <w:r>
              <w:rPr>
                <w:rFonts w:ascii="Times New Roman" w:hAnsi="Times New Roman" w:cs="Times New Roman" w:eastAsia="Times New Roman" w:hint="default"/>
                <w:w w:val="99"/>
                <w:sz w:val="18"/>
                <w:szCs w:val="18"/>
              </w:rPr>
              <w:t>MP</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综合前置处</w:t>
            </w:r>
            <w:r>
              <w:rPr>
                <w:rFonts w:ascii="宋体" w:hAnsi="宋体" w:cs="宋体" w:eastAsia="宋体" w:hint="default"/>
                <w:spacing w:val="1"/>
                <w:sz w:val="18"/>
                <w:szCs w:val="18"/>
              </w:rPr>
              <w:t>理</w:t>
            </w:r>
            <w:r>
              <w:rPr>
                <w:rFonts w:ascii="宋体" w:hAnsi="宋体" w:cs="宋体" w:eastAsia="宋体" w:hint="default"/>
                <w:sz w:val="18"/>
                <w:szCs w:val="18"/>
              </w:rPr>
              <w:t>软件</w:t>
            </w:r>
            <w:r>
              <w:rPr>
                <w:rFonts w:ascii="Times New Roman" w:hAnsi="Times New Roman" w:cs="Times New Roman" w:eastAsia="Times New Roman" w:hint="default"/>
                <w:sz w:val="18"/>
                <w:szCs w:val="18"/>
              </w:rPr>
              <w:t>[</w:t>
            </w:r>
            <w:r>
              <w:rPr>
                <w:rFonts w:ascii="宋体" w:hAnsi="宋体" w:cs="宋体" w:eastAsia="宋体" w:hint="default"/>
                <w:sz w:val="18"/>
                <w:szCs w:val="18"/>
              </w:rPr>
              <w:t>简称</w:t>
            </w:r>
            <w:r>
              <w:rPr>
                <w:rFonts w:ascii="宋体" w:hAnsi="宋体" w:cs="宋体" w:eastAsia="宋体" w:hint="default"/>
                <w:spacing w:val="-75"/>
                <w:sz w:val="18"/>
                <w:szCs w:val="18"/>
              </w:rPr>
              <w:t>：</w:t>
            </w:r>
            <w:r>
              <w:rPr>
                <w:rFonts w:ascii="Times New Roman" w:hAnsi="Times New Roman" w:cs="Times New Roman" w:eastAsia="Times New Roman" w:hint="default"/>
                <w:sz w:val="18"/>
                <w:szCs w:val="18"/>
              </w:rPr>
              <w:t>kingteller</w:t>
            </w:r>
            <w:r>
              <w:rPr>
                <w:rFonts w:ascii="Times New Roman" w:hAnsi="Times New Roman" w:cs="Times New Roman" w:eastAsia="Times New Roman" w:hint="default"/>
                <w:spacing w:val="-10"/>
                <w:sz w:val="18"/>
                <w:szCs w:val="18"/>
              </w:rPr>
              <w:t> </w:t>
            </w:r>
            <w:r>
              <w:rPr>
                <w:rFonts w:ascii="Times New Roman" w:hAnsi="Times New Roman" w:cs="Times New Roman" w:eastAsia="Times New Roman" w:hint="default"/>
                <w:spacing w:val="-21"/>
                <w:w w:val="99"/>
                <w:sz w:val="18"/>
                <w:szCs w:val="18"/>
              </w:rPr>
              <w:t>A</w:t>
            </w:r>
            <w:r>
              <w:rPr>
                <w:rFonts w:ascii="Times New Roman" w:hAnsi="Times New Roman" w:cs="Times New Roman" w:eastAsia="Times New Roman" w:hint="default"/>
                <w:sz w:val="18"/>
                <w:szCs w:val="18"/>
              </w:rPr>
              <w:t>T</w:t>
            </w:r>
            <w:r>
              <w:rPr>
                <w:rFonts w:ascii="Times New Roman" w:hAnsi="Times New Roman" w:cs="Times New Roman" w:eastAsia="Times New Roman" w:hint="default"/>
                <w:w w:val="99"/>
                <w:sz w:val="18"/>
                <w:szCs w:val="18"/>
              </w:rPr>
              <w:t>MP]</w:t>
            </w:r>
            <w:r>
              <w:rPr>
                <w:rFonts w:ascii="Times New Roman" w:hAnsi="Times New Roman" w:cs="Times New Roman" w:eastAsia="Times New Roman" w:hint="default"/>
                <w:sz w:val="18"/>
                <w:szCs w:val="18"/>
              </w:rPr>
              <w:t>    V3.3</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2011SR079419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301" w:right="0"/>
              <w:jc w:val="left"/>
              <w:rPr>
                <w:rFonts w:ascii="Times New Roman" w:hAnsi="Times New Roman" w:cs="Times New Roman" w:eastAsia="Times New Roman" w:hint="default"/>
                <w:sz w:val="18"/>
                <w:szCs w:val="18"/>
              </w:rPr>
            </w:pPr>
            <w:r>
              <w:rPr>
                <w:rFonts w:ascii="Times New Roman"/>
                <w:sz w:val="18"/>
              </w:rPr>
              <w:t>2011-11-02</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pStyle w:val="BodyText"/>
        <w:spacing w:line="240" w:lineRule="auto" w:before="26"/>
        <w:ind w:left="757" w:right="234"/>
        <w:jc w:val="left"/>
      </w:pPr>
      <w:r>
        <w:rPr/>
        <w:t>（二十一）公司主要子公司、参股公司的经营情况及业绩分析</w:t>
      </w:r>
    </w:p>
    <w:p>
      <w:pPr>
        <w:pStyle w:val="BodyText"/>
        <w:spacing w:line="348" w:lineRule="auto" w:before="154"/>
        <w:ind w:left="219" w:right="242" w:firstLine="480"/>
        <w:jc w:val="both"/>
      </w:pPr>
      <w:r>
        <w:rPr>
          <w:rFonts w:ascii="Times New Roman" w:hAnsi="Times New Roman" w:cs="Times New Roman" w:eastAsia="Times New Roman" w:hint="default"/>
        </w:rPr>
        <w:t>1</w:t>
      </w:r>
      <w:r>
        <w:rPr/>
        <w:t>、广州御新软件有限公司，注册资本暨实收资本：</w:t>
      </w:r>
      <w:r>
        <w:rPr>
          <w:rFonts w:ascii="Times New Roman" w:hAnsi="Times New Roman" w:cs="Times New Roman" w:eastAsia="Times New Roman" w:hint="default"/>
        </w:rPr>
        <w:t>200</w:t>
      </w:r>
      <w:r>
        <w:rPr/>
        <w:t>万元；公司类型：有限</w:t>
      </w:r>
      <w:r>
        <w:rPr>
          <w:spacing w:val="1"/>
        </w:rPr>
        <w:t> </w:t>
      </w:r>
      <w:r>
        <w:rPr/>
        <w:t>责任公司（法人独资）；经营范围：电子产品、通讯产品、电脑软件、金融机具设</w:t>
      </w:r>
      <w:r>
        <w:rPr>
          <w:spacing w:val="-84"/>
        </w:rPr>
        <w:t> </w:t>
      </w:r>
      <w:r>
        <w:rPr>
          <w:spacing w:val="-84"/>
        </w:rPr>
      </w:r>
      <w:r>
        <w:rPr/>
        <w:t>备、自动柜员机及点钞机设备的研发、销售。商品信息咨询，技术咨询。商品和技</w:t>
      </w:r>
      <w:r>
        <w:rPr>
          <w:spacing w:val="-84"/>
        </w:rPr>
        <w:t> </w:t>
      </w:r>
      <w:r>
        <w:rPr>
          <w:spacing w:val="-84"/>
        </w:rPr>
      </w:r>
      <w:r>
        <w:rPr>
          <w:spacing w:val="10"/>
        </w:rPr>
        <w:t>术的进出口</w:t>
      </w:r>
      <w:r>
        <w:rPr>
          <w:rFonts w:ascii="Times New Roman" w:hAnsi="Times New Roman" w:cs="Times New Roman" w:eastAsia="Times New Roman" w:hint="default"/>
          <w:spacing w:val="10"/>
        </w:rPr>
        <w:t>(</w:t>
      </w:r>
      <w:r>
        <w:rPr>
          <w:spacing w:val="10"/>
        </w:rPr>
        <w:t>国家限定公司经营或禁止进出口的商品和技术除外</w:t>
      </w:r>
      <w:r>
        <w:rPr>
          <w:rFonts w:ascii="Times New Roman" w:hAnsi="Times New Roman" w:cs="Times New Roman" w:eastAsia="Times New Roman" w:hint="default"/>
          <w:spacing w:val="10"/>
        </w:rPr>
        <w:t>)</w:t>
      </w:r>
      <w:r>
        <w:rPr>
          <w:spacing w:val="10"/>
        </w:rPr>
        <w:t>。本公司持有其 </w:t>
      </w:r>
      <w:r>
        <w:rPr>
          <w:rFonts w:ascii="Times New Roman" w:hAnsi="Times New Roman" w:cs="Times New Roman" w:eastAsia="Times New Roman" w:hint="default"/>
        </w:rPr>
        <w:t>100%</w:t>
      </w:r>
      <w:r>
        <w:rPr/>
        <w:t>的股权。</w:t>
      </w:r>
    </w:p>
    <w:p>
      <w:pPr>
        <w:pStyle w:val="BodyText"/>
        <w:spacing w:line="269" w:lineRule="exact" w:before="0"/>
        <w:ind w:left="699" w:right="0"/>
        <w:jc w:val="left"/>
      </w:pPr>
      <w:r>
        <w:rPr>
          <w:rFonts w:ascii="Times New Roman" w:hAnsi="Times New Roman" w:cs="Times New Roman" w:eastAsia="Times New Roman" w:hint="default"/>
        </w:rPr>
        <w:t>2</w:t>
      </w:r>
      <w:r>
        <w:rPr/>
        <w:t>、珠海市御银电子科技有限公司，注册资本暨实收资本：</w:t>
      </w:r>
      <w:r>
        <w:rPr>
          <w:rFonts w:ascii="Times New Roman" w:hAnsi="Times New Roman" w:cs="Times New Roman" w:eastAsia="Times New Roman" w:hint="default"/>
        </w:rPr>
        <w:t>200</w:t>
      </w:r>
      <w:r>
        <w:rPr/>
        <w:t>万元；公司类型：</w:t>
      </w:r>
    </w:p>
    <w:p>
      <w:pPr>
        <w:pStyle w:val="BodyText"/>
        <w:spacing w:line="357" w:lineRule="auto" w:before="134"/>
        <w:ind w:left="219" w:right="234"/>
        <w:jc w:val="left"/>
      </w:pPr>
      <w:r>
        <w:rPr/>
        <w:t>有限责任公司（法人独资）；经营范围：电子产品、通讯产品、计算机软件、机电</w:t>
      </w:r>
      <w:r>
        <w:rPr>
          <w:spacing w:val="-84"/>
        </w:rPr>
        <w:t> </w:t>
      </w:r>
      <w:r>
        <w:rPr>
          <w:spacing w:val="-84"/>
        </w:rPr>
      </w:r>
      <w:r>
        <w:rPr/>
        <w:t>设备的研发。计算机维修、维护、租赁服务；消费品信息咨询；商业的批发、零售</w:t>
      </w:r>
    </w:p>
    <w:p>
      <w:pPr>
        <w:pStyle w:val="BodyText"/>
        <w:spacing w:line="338" w:lineRule="auto" w:before="35"/>
        <w:ind w:left="220" w:right="234"/>
        <w:jc w:val="left"/>
      </w:pPr>
      <w:r>
        <w:rPr>
          <w:spacing w:val="-3"/>
        </w:rPr>
        <w:t>（需行政许可项目除外、法律法规禁止的不得经营）。该公司于</w:t>
      </w: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22</w:t>
      </w:r>
      <w:r>
        <w:rPr>
          <w:spacing w:val="-3"/>
        </w:rPr>
        <w:t>日办理</w:t>
      </w:r>
      <w:r>
        <w:rPr>
          <w:spacing w:val="-90"/>
        </w:rPr>
        <w:t> </w:t>
      </w:r>
      <w:r>
        <w:rPr/>
        <w:t>工商注销登记。</w:t>
      </w:r>
    </w:p>
    <w:p>
      <w:pPr>
        <w:spacing w:after="0" w:line="338" w:lineRule="auto"/>
        <w:jc w:val="left"/>
        <w:sectPr>
          <w:pgSz w:w="11910" w:h="16840"/>
          <w:pgMar w:header="877" w:footer="1048" w:top="1100" w:bottom="1240" w:left="1580" w:right="1160"/>
        </w:sectPr>
      </w:pPr>
    </w:p>
    <w:p>
      <w:pPr>
        <w:spacing w:line="240" w:lineRule="auto" w:before="7"/>
        <w:rPr>
          <w:rFonts w:ascii="宋体" w:hAnsi="宋体" w:cs="宋体" w:eastAsia="宋体" w:hint="default"/>
          <w:sz w:val="19"/>
          <w:szCs w:val="19"/>
        </w:rPr>
      </w:pPr>
    </w:p>
    <w:p>
      <w:pPr>
        <w:pStyle w:val="BodyText"/>
        <w:spacing w:line="352" w:lineRule="auto" w:before="26"/>
        <w:ind w:right="227" w:firstLine="480"/>
        <w:jc w:val="both"/>
      </w:pPr>
      <w:r>
        <w:rPr>
          <w:rFonts w:ascii="Times New Roman" w:hAnsi="Times New Roman" w:cs="Times New Roman" w:eastAsia="Times New Roman" w:hint="default"/>
          <w:spacing w:val="2"/>
        </w:rPr>
        <w:t>3</w:t>
      </w:r>
      <w:r>
        <w:rPr>
          <w:spacing w:val="2"/>
        </w:rPr>
        <w:t>、广州御银自动柜员机技术有限公司，注册资本暨实收资本：</w:t>
      </w:r>
      <w:r>
        <w:rPr>
          <w:rFonts w:ascii="Times New Roman" w:hAnsi="Times New Roman" w:cs="Times New Roman" w:eastAsia="Times New Roman" w:hint="default"/>
          <w:spacing w:val="2"/>
        </w:rPr>
        <w:t>2,000</w:t>
      </w:r>
      <w:r>
        <w:rPr>
          <w:spacing w:val="2"/>
        </w:rPr>
        <w:t>万元；公</w:t>
      </w:r>
      <w:r>
        <w:rPr>
          <w:spacing w:val="4"/>
        </w:rPr>
        <w:t> </w:t>
      </w:r>
      <w:r>
        <w:rPr/>
        <w:t>司类型：有限责任公司；经营范围：电子产品、通讯产品、电脑软件、金融机具设</w:t>
      </w:r>
      <w:r>
        <w:rPr>
          <w:spacing w:val="-84"/>
        </w:rPr>
        <w:t> </w:t>
      </w:r>
      <w:r>
        <w:rPr>
          <w:spacing w:val="-84"/>
        </w:rPr>
      </w:r>
      <w:r>
        <w:rPr/>
        <w:t>备、自动柜员机的研究、开发、销售、技术咨询及维护。商品信息咨询。货物进出</w:t>
      </w:r>
      <w:r>
        <w:rPr>
          <w:spacing w:val="-84"/>
        </w:rPr>
        <w:t> </w:t>
      </w:r>
      <w:r>
        <w:rPr>
          <w:spacing w:val="-84"/>
        </w:rPr>
      </w:r>
      <w:r>
        <w:rPr/>
        <w:t>口，技术进出口（法律、行政法规禁止的项目除外；法律、行政法规限制的项目须</w:t>
      </w:r>
      <w:r>
        <w:rPr>
          <w:spacing w:val="-84"/>
        </w:rPr>
        <w:t> </w:t>
      </w:r>
      <w:r>
        <w:rPr>
          <w:spacing w:val="-84"/>
        </w:rPr>
      </w:r>
      <w:r>
        <w:rPr>
          <w:spacing w:val="-4"/>
        </w:rPr>
        <w:t>取得许可后方可经营）。本公司通过广州御新持有其</w:t>
      </w:r>
      <w:r>
        <w:rPr>
          <w:rFonts w:ascii="Times New Roman" w:hAnsi="Times New Roman" w:cs="Times New Roman" w:eastAsia="Times New Roman" w:hint="default"/>
          <w:spacing w:val="-4"/>
        </w:rPr>
        <w:t>100%</w:t>
      </w:r>
      <w:r>
        <w:rPr>
          <w:spacing w:val="-4"/>
        </w:rPr>
        <w:t>的股份。</w:t>
      </w:r>
    </w:p>
    <w:p>
      <w:pPr>
        <w:pStyle w:val="BodyText"/>
        <w:spacing w:line="350" w:lineRule="auto" w:before="9"/>
        <w:ind w:right="232" w:firstLine="480"/>
        <w:jc w:val="both"/>
      </w:pPr>
      <w:r>
        <w:rPr>
          <w:rFonts w:ascii="Times New Roman" w:hAnsi="Times New Roman" w:cs="Times New Roman" w:eastAsia="Times New Roman" w:hint="default"/>
        </w:rPr>
        <w:t>4</w:t>
      </w:r>
      <w:r>
        <w:rPr/>
        <w:t>、安徽御银电子科技有限公司，注册资本暨实收资本：</w:t>
      </w:r>
      <w:r>
        <w:rPr>
          <w:rFonts w:ascii="Times New Roman" w:hAnsi="Times New Roman" w:cs="Times New Roman" w:eastAsia="Times New Roman" w:hint="default"/>
        </w:rPr>
        <w:t>500</w:t>
      </w:r>
      <w:r>
        <w:rPr/>
        <w:t>万元；公司类型：</w:t>
      </w:r>
      <w:r>
        <w:rPr>
          <w:spacing w:val="1"/>
        </w:rPr>
        <w:t> </w:t>
      </w:r>
      <w:r>
        <w:rPr>
          <w:spacing w:val="7"/>
        </w:rPr>
        <w:t>有限责任公司；经营范围：计算机信息系统集成；机电设备销售、维护；金融机</w:t>
      </w:r>
      <w:r>
        <w:rPr>
          <w:spacing w:val="-96"/>
        </w:rPr>
        <w:t> </w:t>
      </w:r>
      <w:r>
        <w:rPr>
          <w:spacing w:val="-96"/>
        </w:rPr>
      </w:r>
      <w:r>
        <w:rPr>
          <w:spacing w:val="8"/>
        </w:rPr>
        <w:t>具研发、销售及租赁、维护；计算机软件研发销售；监控工程及技术服务。公司</w:t>
      </w:r>
      <w:r>
        <w:rPr>
          <w:spacing w:val="-115"/>
        </w:rPr>
        <w:t> </w:t>
      </w:r>
      <w:r>
        <w:rPr>
          <w:spacing w:val="-115"/>
        </w:rPr>
      </w:r>
      <w:r>
        <w:rPr/>
        <w:t>于</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31</w:t>
      </w:r>
      <w:r>
        <w:rPr/>
        <w:t>日收购此公司，本公司持有其</w:t>
      </w:r>
      <w:r>
        <w:rPr>
          <w:rFonts w:ascii="Times New Roman" w:hAnsi="Times New Roman" w:cs="Times New Roman" w:eastAsia="Times New Roman" w:hint="default"/>
        </w:rPr>
        <w:t>100%</w:t>
      </w:r>
      <w:r>
        <w:rPr/>
        <w:t>的股权。</w:t>
      </w:r>
    </w:p>
    <w:p>
      <w:pPr>
        <w:pStyle w:val="BodyText"/>
        <w:spacing w:line="352" w:lineRule="auto" w:before="91"/>
        <w:ind w:right="104" w:firstLine="480"/>
        <w:jc w:val="left"/>
      </w:pPr>
      <w:r>
        <w:rPr>
          <w:rFonts w:ascii="Times New Roman" w:hAnsi="Times New Roman" w:cs="Times New Roman" w:eastAsia="Times New Roman" w:hint="default"/>
          <w:spacing w:val="-1"/>
        </w:rPr>
        <w:t>5</w:t>
      </w:r>
      <w:r>
        <w:rPr>
          <w:spacing w:val="-1"/>
        </w:rPr>
        <w:t>、广州御银金融服务有限公司，注册资本暨实收资本：</w:t>
      </w:r>
      <w:r>
        <w:rPr>
          <w:rFonts w:ascii="Times New Roman" w:hAnsi="Times New Roman" w:cs="Times New Roman" w:eastAsia="Times New Roman" w:hint="default"/>
          <w:spacing w:val="-1"/>
        </w:rPr>
        <w:t>3,000</w:t>
      </w:r>
      <w:r>
        <w:rPr>
          <w:spacing w:val="-1"/>
        </w:rPr>
        <w:t>万元；公司类型：</w:t>
      </w:r>
      <w:r>
        <w:rPr/>
        <w:t> 有限责任公司；经营范围：受银行委托对自动柜员机进行日常维护及管理；对现金</w:t>
      </w:r>
      <w:r>
        <w:rPr>
          <w:spacing w:val="-84"/>
        </w:rPr>
        <w:t> </w:t>
      </w:r>
      <w:r>
        <w:rPr>
          <w:spacing w:val="-84"/>
        </w:rPr>
      </w:r>
      <w:r>
        <w:rPr/>
        <w:t>有价证券提供清分处理服务（法律、行政法规禁止的项目除外，法律、行政法规限</w:t>
      </w:r>
      <w:r>
        <w:rPr>
          <w:spacing w:val="-84"/>
        </w:rPr>
        <w:t> </w:t>
      </w:r>
      <w:r>
        <w:rPr>
          <w:spacing w:val="-84"/>
        </w:rPr>
      </w:r>
      <w:r>
        <w:rPr>
          <w:spacing w:val="-6"/>
        </w:rPr>
        <w:t>制的项目须取得许可证后方可经营）。御银金融由公司与广州御新共同出资组建，其</w:t>
      </w:r>
      <w:r>
        <w:rPr>
          <w:spacing w:val="-88"/>
        </w:rPr>
        <w:t> </w:t>
      </w:r>
      <w:r>
        <w:rPr>
          <w:spacing w:val="-88"/>
        </w:rPr>
      </w:r>
      <w:r>
        <w:rPr/>
        <w:t>中：公司持有</w:t>
      </w:r>
      <w:r>
        <w:rPr>
          <w:rFonts w:ascii="Times New Roman" w:hAnsi="Times New Roman" w:cs="Times New Roman" w:eastAsia="Times New Roman" w:hint="default"/>
        </w:rPr>
        <w:t>80%</w:t>
      </w:r>
      <w:r>
        <w:rPr/>
        <w:t>的股权，广州御新持有</w:t>
      </w:r>
      <w:r>
        <w:rPr>
          <w:rFonts w:ascii="Times New Roman" w:hAnsi="Times New Roman" w:cs="Times New Roman" w:eastAsia="Times New Roman" w:hint="default"/>
        </w:rPr>
        <w:t>20%</w:t>
      </w:r>
      <w:r>
        <w:rPr/>
        <w:t>的股权，公司合共持有其</w:t>
      </w:r>
      <w:r>
        <w:rPr>
          <w:rFonts w:ascii="Times New Roman" w:hAnsi="Times New Roman" w:cs="Times New Roman" w:eastAsia="Times New Roman" w:hint="default"/>
        </w:rPr>
        <w:t>100%</w:t>
      </w:r>
      <w:r>
        <w:rPr/>
        <w:t>股权。</w:t>
      </w:r>
    </w:p>
    <w:p>
      <w:pPr>
        <w:pStyle w:val="BodyText"/>
        <w:spacing w:line="338" w:lineRule="auto" w:before="11"/>
        <w:ind w:right="222" w:firstLine="480"/>
        <w:jc w:val="both"/>
      </w:pPr>
      <w:r>
        <w:rPr>
          <w:rFonts w:ascii="Times New Roman" w:hAnsi="Times New Roman" w:cs="Times New Roman" w:eastAsia="Times New Roman" w:hint="default"/>
        </w:rPr>
        <w:t>6</w:t>
      </w:r>
      <w:r>
        <w:rPr/>
        <w:t>、深圳市信威电子有限公司，注册资本暨实收资本：</w:t>
      </w:r>
      <w:r>
        <w:rPr>
          <w:rFonts w:ascii="Times New Roman" w:hAnsi="Times New Roman" w:cs="Times New Roman" w:eastAsia="Times New Roman" w:hint="default"/>
        </w:rPr>
        <w:t>357.14</w:t>
      </w:r>
      <w:r>
        <w:rPr/>
        <w:t>万元；公司类型： 有限责任公司；经营范围：传感器、电子产品的研制开发、生产与购销；软件开发</w:t>
      </w:r>
    </w:p>
    <w:p>
      <w:pPr>
        <w:pStyle w:val="BodyText"/>
        <w:spacing w:line="357" w:lineRule="auto" w:before="55"/>
        <w:ind w:right="104"/>
        <w:jc w:val="left"/>
      </w:pPr>
      <w:r>
        <w:rPr>
          <w:spacing w:val="-12"/>
        </w:rPr>
        <w:t>（以上不含限制项目以及不含专营、专控、专卖商品）；货物进出口、技术进出口（法</w:t>
      </w:r>
      <w:r>
        <w:rPr>
          <w:spacing w:val="-99"/>
        </w:rPr>
        <w:t> </w:t>
      </w:r>
      <w:r>
        <w:rPr>
          <w:spacing w:val="-99"/>
        </w:rPr>
      </w:r>
      <w:r>
        <w:rPr>
          <w:spacing w:val="-9"/>
        </w:rPr>
        <w:t>律、行政法规禁止的项目除外，法律、行政法规限制的项目须取得许可后方可经营）。</w:t>
      </w:r>
      <w:r>
        <w:rPr>
          <w:spacing w:val="-90"/>
        </w:rPr>
        <w:t> </w:t>
      </w:r>
      <w:r>
        <w:rPr>
          <w:spacing w:val="-90"/>
        </w:rPr>
      </w:r>
      <w:r>
        <w:rPr/>
        <w:t>本公司持有其</w:t>
      </w:r>
      <w:r>
        <w:rPr>
          <w:rFonts w:ascii="Times New Roman" w:hAnsi="Times New Roman" w:cs="Times New Roman" w:eastAsia="Times New Roman" w:hint="default"/>
        </w:rPr>
        <w:t>16%</w:t>
      </w:r>
      <w:r>
        <w:rPr/>
        <w:t>的股权。</w:t>
      </w:r>
    </w:p>
    <w:p>
      <w:pPr>
        <w:pStyle w:val="BodyText"/>
        <w:spacing w:line="352" w:lineRule="auto" w:before="5"/>
        <w:ind w:right="230" w:firstLine="480"/>
        <w:jc w:val="both"/>
      </w:pPr>
      <w:r>
        <w:rPr>
          <w:rFonts w:ascii="Times New Roman" w:hAnsi="Times New Roman" w:cs="Times New Roman" w:eastAsia="Times New Roman" w:hint="default"/>
          <w:spacing w:val="-2"/>
        </w:rPr>
        <w:t>7</w:t>
      </w:r>
      <w:r>
        <w:rPr>
          <w:spacing w:val="-2"/>
        </w:rPr>
        <w:t>、广东星河生物科技股份有限公司，注册资本暨实收资本：</w:t>
      </w:r>
      <w:r>
        <w:rPr>
          <w:rFonts w:ascii="Times New Roman" w:hAnsi="Times New Roman" w:cs="Times New Roman" w:eastAsia="Times New Roman" w:hint="default"/>
          <w:spacing w:val="-2"/>
        </w:rPr>
        <w:t>14,740</w:t>
      </w:r>
      <w:r>
        <w:rPr>
          <w:rFonts w:ascii="Times New Roman" w:hAnsi="Times New Roman" w:cs="Times New Roman" w:eastAsia="Times New Roman" w:hint="default"/>
          <w:spacing w:val="11"/>
        </w:rPr>
        <w:t> </w:t>
      </w:r>
      <w:r>
        <w:rPr>
          <w:spacing w:val="-4"/>
        </w:rPr>
        <w:t>万元；公司</w:t>
      </w:r>
      <w:r>
        <w:rPr/>
        <w:t> 类型：股份有限公司；经营范围：种植、加工、销售食用菌等农副产品，食（药）</w:t>
      </w:r>
      <w:r>
        <w:rPr>
          <w:spacing w:val="-84"/>
        </w:rPr>
        <w:t> </w:t>
      </w:r>
      <w:r>
        <w:rPr>
          <w:spacing w:val="-84"/>
        </w:rPr>
      </w:r>
      <w:r>
        <w:rPr/>
        <w:t>用菌和其他有益生物育种、引种及相关产品的研究和开发，食（药）用菌高效生产</w:t>
      </w:r>
      <w:r>
        <w:rPr>
          <w:spacing w:val="-84"/>
        </w:rPr>
        <w:t> </w:t>
      </w:r>
      <w:r>
        <w:rPr>
          <w:spacing w:val="-84"/>
        </w:rPr>
      </w:r>
      <w:r>
        <w:rPr/>
        <w:t>工艺及培养基再利用技术的研究和开发；货物进出口、技术进出口（法律、行政法</w:t>
      </w:r>
      <w:r>
        <w:rPr>
          <w:spacing w:val="-84"/>
        </w:rPr>
        <w:t> </w:t>
      </w:r>
      <w:r>
        <w:rPr>
          <w:spacing w:val="-84"/>
        </w:rPr>
      </w:r>
      <w:r>
        <w:rPr>
          <w:spacing w:val="-6"/>
        </w:rPr>
        <w:t>规禁止经营的项目除外，法律、行政法规限制的项目须取得许可后方可经营）。公司</w:t>
      </w:r>
      <w:r>
        <w:rPr/>
        <w:t> 通过广州御新持有其</w:t>
      </w:r>
      <w:r>
        <w:rPr>
          <w:spacing w:val="-60"/>
        </w:rPr>
        <w:t> </w:t>
      </w:r>
      <w:r>
        <w:rPr>
          <w:rFonts w:ascii="Times New Roman" w:hAnsi="Times New Roman" w:cs="Times New Roman" w:eastAsia="Times New Roman" w:hint="default"/>
        </w:rPr>
        <w:t>7.07%</w:t>
      </w:r>
      <w:r>
        <w:rPr/>
        <w:t>股权。</w:t>
      </w:r>
    </w:p>
    <w:p>
      <w:pPr>
        <w:pStyle w:val="BodyText"/>
        <w:spacing w:line="348" w:lineRule="auto" w:before="11"/>
        <w:ind w:right="100" w:firstLine="480"/>
        <w:jc w:val="left"/>
      </w:pPr>
      <w:r>
        <w:rPr>
          <w:rFonts w:ascii="Times New Roman" w:hAnsi="Times New Roman" w:cs="Times New Roman" w:eastAsia="Times New Roman" w:hint="default"/>
          <w:spacing w:val="-2"/>
        </w:rPr>
        <w:t>8</w:t>
      </w:r>
      <w:r>
        <w:rPr>
          <w:spacing w:val="-2"/>
        </w:rPr>
        <w:t>、御银（中国）科技国际有限公司，注册资本</w:t>
      </w:r>
      <w:r>
        <w:rPr>
          <w:rFonts w:ascii="Times New Roman" w:hAnsi="Times New Roman" w:cs="Times New Roman" w:eastAsia="Times New Roman" w:hint="default"/>
          <w:spacing w:val="-2"/>
        </w:rPr>
        <w:t>100</w:t>
      </w:r>
      <w:r>
        <w:rPr>
          <w:spacing w:val="-2"/>
        </w:rPr>
        <w:t>万美元，实收资本</w:t>
      </w:r>
      <w:r>
        <w:rPr>
          <w:rFonts w:ascii="Times New Roman" w:hAnsi="Times New Roman" w:cs="Times New Roman" w:eastAsia="Times New Roman" w:hint="default"/>
          <w:spacing w:val="-2"/>
        </w:rPr>
        <w:t>10</w:t>
      </w:r>
      <w:r>
        <w:rPr>
          <w:spacing w:val="-2"/>
        </w:rPr>
        <w:t>万美元。</w:t>
      </w:r>
      <w:r>
        <w:rPr/>
        <w:t> 公司类型：有限责任公司；经营范围：进行有关产品和技术的进出口贸易业务。公</w:t>
      </w:r>
      <w:r>
        <w:rPr>
          <w:spacing w:val="-84"/>
        </w:rPr>
        <w:t> </w:t>
      </w:r>
      <w:r>
        <w:rPr>
          <w:spacing w:val="-84"/>
        </w:rPr>
      </w:r>
      <w:r>
        <w:rPr/>
        <w:t>司持有其</w:t>
      </w:r>
      <w:r>
        <w:rPr>
          <w:rFonts w:ascii="Times New Roman" w:hAnsi="Times New Roman" w:cs="Times New Roman" w:eastAsia="Times New Roman" w:hint="default"/>
        </w:rPr>
        <w:t>100%</w:t>
      </w:r>
      <w:r>
        <w:rPr/>
        <w:t>股权。</w:t>
      </w:r>
    </w:p>
    <w:p>
      <w:pPr>
        <w:pStyle w:val="BodyText"/>
        <w:spacing w:line="338" w:lineRule="auto" w:before="16"/>
        <w:ind w:right="96" w:firstLine="480"/>
        <w:jc w:val="left"/>
        <w:rPr>
          <w:rFonts w:ascii="Times New Roman" w:hAnsi="Times New Roman" w:cs="Times New Roman" w:eastAsia="Times New Roman" w:hint="default"/>
        </w:rPr>
      </w:pPr>
      <w:r>
        <w:rPr>
          <w:rFonts w:ascii="Times New Roman" w:hAnsi="Times New Roman" w:cs="Times New Roman" w:eastAsia="Times New Roman" w:hint="default"/>
          <w:spacing w:val="-2"/>
        </w:rPr>
        <w:t>9</w:t>
      </w:r>
      <w:r>
        <w:rPr>
          <w:spacing w:val="-2"/>
        </w:rPr>
        <w:t>、御银科技（香港）有限公司，注册资本</w:t>
      </w:r>
      <w:r>
        <w:rPr>
          <w:rFonts w:ascii="Times New Roman" w:hAnsi="Times New Roman" w:cs="Times New Roman" w:eastAsia="Times New Roman" w:hint="default"/>
          <w:spacing w:val="-2"/>
        </w:rPr>
        <w:t>1</w:t>
      </w:r>
      <w:r>
        <w:rPr>
          <w:spacing w:val="-2"/>
        </w:rPr>
        <w:t>万港元。公司类型：有限责任公司。</w:t>
      </w:r>
      <w:r>
        <w:rPr/>
        <w:t> 经营范围：进行有关产品和技术的进出口贸易业务。公司通过御银国际持有其</w:t>
      </w:r>
      <w:r>
        <w:rPr>
          <w:rFonts w:ascii="Times New Roman" w:hAnsi="Times New Roman" w:cs="Times New Roman" w:eastAsia="Times New Roman" w:hint="default"/>
        </w:rPr>
        <w:t>100%</w:t>
      </w:r>
    </w:p>
    <w:p>
      <w:pPr>
        <w:spacing w:after="0" w:line="338" w:lineRule="auto"/>
        <w:jc w:val="left"/>
        <w:rPr>
          <w:rFonts w:ascii="Times New Roman" w:hAnsi="Times New Roman" w:cs="Times New Roman" w:eastAsia="Times New Roman" w:hint="default"/>
        </w:rPr>
        <w:sectPr>
          <w:pgSz w:w="11910" w:h="16840"/>
          <w:pgMar w:header="877" w:footer="1048" w:top="1100" w:bottom="1240" w:left="1660" w:right="1180"/>
        </w:sectPr>
      </w:pPr>
    </w:p>
    <w:p>
      <w:pPr>
        <w:spacing w:line="240" w:lineRule="auto" w:before="1"/>
        <w:rPr>
          <w:rFonts w:ascii="Times New Roman" w:hAnsi="Times New Roman" w:cs="Times New Roman" w:eastAsia="Times New Roman" w:hint="default"/>
          <w:sz w:val="29"/>
          <w:szCs w:val="29"/>
        </w:rPr>
      </w:pPr>
    </w:p>
    <w:p>
      <w:pPr>
        <w:pStyle w:val="BodyText"/>
        <w:spacing w:line="240" w:lineRule="auto" w:before="26"/>
        <w:ind w:left="300" w:right="98"/>
        <w:jc w:val="left"/>
      </w:pPr>
      <w:r>
        <w:rPr/>
        <w:t>股权。</w:t>
      </w:r>
    </w:p>
    <w:p>
      <w:pPr>
        <w:pStyle w:val="BodyText"/>
        <w:spacing w:line="352" w:lineRule="auto" w:before="154"/>
        <w:ind w:left="300" w:right="98" w:firstLine="480"/>
        <w:jc w:val="left"/>
      </w:pPr>
      <w:r>
        <w:rPr>
          <w:rFonts w:ascii="Times New Roman" w:hAnsi="Times New Roman" w:cs="Times New Roman" w:eastAsia="Times New Roman" w:hint="default"/>
          <w:spacing w:val="-4"/>
        </w:rPr>
        <w:t>10</w:t>
      </w:r>
      <w:r>
        <w:rPr>
          <w:spacing w:val="-4"/>
        </w:rPr>
        <w:t>、上海博科咨询股份有限公司，注册资本暨实收资本：</w:t>
      </w:r>
      <w:r>
        <w:rPr>
          <w:rFonts w:ascii="Times New Roman" w:hAnsi="Times New Roman" w:cs="Times New Roman" w:eastAsia="Times New Roman" w:hint="default"/>
          <w:spacing w:val="-4"/>
        </w:rPr>
        <w:t>8,500</w:t>
      </w:r>
      <w:r>
        <w:rPr>
          <w:spacing w:val="-4"/>
        </w:rPr>
        <w:t>万元；公司类型：</w:t>
      </w:r>
      <w:r>
        <w:rPr/>
        <w:t> 股份有限公司；经营范围：计算机软、硬件的技术开发、技术服务、技术咨询、销</w:t>
      </w:r>
      <w:r>
        <w:rPr>
          <w:spacing w:val="-84"/>
        </w:rPr>
        <w:t> </w:t>
      </w:r>
      <w:r>
        <w:rPr>
          <w:spacing w:val="-84"/>
        </w:rPr>
      </w:r>
      <w:r>
        <w:rPr>
          <w:spacing w:val="-2"/>
        </w:rPr>
        <w:t>售自产产品，计算机网络结构的设计、综合布线、维护，计算机设备的安装、调试、</w:t>
      </w:r>
      <w:r>
        <w:rPr/>
        <w:t> </w:t>
      </w:r>
      <w:r>
        <w:rPr>
          <w:spacing w:val="-6"/>
        </w:rPr>
        <w:t>维护，物流设备的批发（涉及行政许可的凭许可证经营）。公司通过广州御新持有其</w:t>
      </w:r>
      <w:r>
        <w:rPr>
          <w:spacing w:val="-87"/>
        </w:rPr>
        <w:t> </w:t>
      </w:r>
      <w:r>
        <w:rPr>
          <w:spacing w:val="-87"/>
        </w:rPr>
      </w:r>
      <w:r>
        <w:rPr>
          <w:rFonts w:ascii="Times New Roman" w:hAnsi="Times New Roman" w:cs="Times New Roman" w:eastAsia="Times New Roman" w:hint="default"/>
        </w:rPr>
        <w:t>1.647%</w:t>
      </w:r>
      <w:r>
        <w:rPr/>
        <w:t>股权。</w:t>
      </w:r>
    </w:p>
    <w:p>
      <w:pPr>
        <w:pStyle w:val="BodyText"/>
        <w:spacing w:line="348" w:lineRule="auto" w:before="11"/>
        <w:ind w:left="300" w:right="98" w:firstLine="480"/>
        <w:jc w:val="left"/>
      </w:pPr>
      <w:r>
        <w:rPr>
          <w:rFonts w:ascii="Times New Roman" w:hAnsi="Times New Roman" w:cs="Times New Roman" w:eastAsia="Times New Roman" w:hint="default"/>
          <w:spacing w:val="-1"/>
        </w:rPr>
        <w:t>11</w:t>
      </w:r>
      <w:r>
        <w:rPr>
          <w:spacing w:val="-1"/>
        </w:rPr>
        <w:t>、北京青年御银科技有限责任公司，注册资本</w:t>
      </w:r>
      <w:r>
        <w:rPr>
          <w:rFonts w:ascii="Times New Roman" w:hAnsi="Times New Roman" w:cs="Times New Roman" w:eastAsia="Times New Roman" w:hint="default"/>
          <w:spacing w:val="-1"/>
        </w:rPr>
        <w:t>1,000</w:t>
      </w:r>
      <w:r>
        <w:rPr>
          <w:spacing w:val="-1"/>
        </w:rPr>
        <w:t>万元，实收资本</w:t>
      </w:r>
      <w:r>
        <w:rPr>
          <w:rFonts w:ascii="Times New Roman" w:hAnsi="Times New Roman" w:cs="Times New Roman" w:eastAsia="Times New Roman" w:hint="default"/>
          <w:spacing w:val="-1"/>
        </w:rPr>
        <w:t>200</w:t>
      </w:r>
      <w:r>
        <w:rPr>
          <w:spacing w:val="-1"/>
        </w:rPr>
        <w:t>万元；</w:t>
      </w:r>
      <w:r>
        <w:rPr/>
        <w:t> 公司类型：其他有限责任公司；经营范围：技术开发、技术转让、技术咨询、技术</w:t>
      </w:r>
      <w:r>
        <w:rPr>
          <w:spacing w:val="-84"/>
        </w:rPr>
        <w:t> </w:t>
      </w:r>
      <w:r>
        <w:rPr>
          <w:spacing w:val="-84"/>
        </w:rPr>
      </w:r>
      <w:r>
        <w:rPr/>
        <w:t>服务。公司持有其</w:t>
      </w:r>
      <w:r>
        <w:rPr>
          <w:rFonts w:ascii="Times New Roman" w:hAnsi="Times New Roman" w:cs="Times New Roman" w:eastAsia="Times New Roman" w:hint="default"/>
        </w:rPr>
        <w:t>20%</w:t>
      </w:r>
      <w:r>
        <w:rPr/>
        <w:t>股权。</w:t>
      </w:r>
    </w:p>
    <w:p>
      <w:pPr>
        <w:pStyle w:val="BodyText"/>
        <w:spacing w:line="355" w:lineRule="auto" w:before="16"/>
        <w:ind w:left="300" w:right="162" w:firstLine="480"/>
        <w:jc w:val="both"/>
      </w:pPr>
      <w:r>
        <w:rPr>
          <w:rFonts w:ascii="Times New Roman" w:hAnsi="Times New Roman" w:cs="Times New Roman" w:eastAsia="Times New Roman" w:hint="default"/>
        </w:rPr>
        <w:t>12</w:t>
      </w:r>
      <w:r>
        <w:rPr/>
        <w:t>、广州御银先端电子科技有限公司，注册资本暨实收资本</w:t>
      </w:r>
      <w:r>
        <w:rPr>
          <w:rFonts w:ascii="Times New Roman" w:hAnsi="Times New Roman" w:cs="Times New Roman" w:eastAsia="Times New Roman" w:hint="default"/>
        </w:rPr>
        <w:t>2,000</w:t>
      </w:r>
      <w:r>
        <w:rPr/>
        <w:t>万元；公司类 </w:t>
      </w:r>
      <w:r>
        <w:rPr>
          <w:spacing w:val="-6"/>
        </w:rPr>
        <w:t>型：有限责任公司（法人独资）；经营范围：电子产品、通讯产品（不含卫星地面接</w:t>
      </w:r>
      <w:r>
        <w:rPr>
          <w:spacing w:val="-90"/>
        </w:rPr>
        <w:t> </w:t>
      </w:r>
      <w:r>
        <w:rPr>
          <w:spacing w:val="-90"/>
        </w:rPr>
      </w:r>
      <w:r>
        <w:rPr>
          <w:spacing w:val="-4"/>
        </w:rPr>
        <w:t>收设备）、电脑软件、金融机具网络、自动柜员机及自助金融终端机的研究、开发；</w:t>
      </w:r>
      <w:r>
        <w:rPr>
          <w:spacing w:val="-92"/>
        </w:rPr>
        <w:t> </w:t>
      </w:r>
      <w:r>
        <w:rPr>
          <w:spacing w:val="-92"/>
        </w:rPr>
      </w:r>
      <w:r>
        <w:rPr>
          <w:spacing w:val="-4"/>
        </w:rPr>
        <w:t>生产、维修、租赁：计算机及其配件、金融机具设备及配件（另设分支机构生产）；</w:t>
      </w:r>
      <w:r>
        <w:rPr>
          <w:spacing w:val="-92"/>
        </w:rPr>
        <w:t> </w:t>
      </w:r>
      <w:r>
        <w:rPr>
          <w:spacing w:val="-92"/>
        </w:rPr>
      </w:r>
      <w:r>
        <w:rPr>
          <w:spacing w:val="-6"/>
        </w:rPr>
        <w:t>商品信息咨询、技术咨询；批发和零售贸易（国家专营专控商品除外）；计算机信息</w:t>
      </w:r>
      <w:r>
        <w:rPr>
          <w:spacing w:val="-90"/>
        </w:rPr>
        <w:t> </w:t>
      </w:r>
      <w:r>
        <w:rPr>
          <w:spacing w:val="-90"/>
        </w:rPr>
      </w:r>
      <w:r>
        <w:rPr/>
        <w:t>系统集成；货物进出口、技术进出口（法律、法规禁止的项目除外，法律、法规限</w:t>
      </w:r>
      <w:r>
        <w:rPr>
          <w:spacing w:val="-84"/>
        </w:rPr>
        <w:t> </w:t>
      </w:r>
      <w:r>
        <w:rPr>
          <w:spacing w:val="-84"/>
        </w:rPr>
      </w:r>
      <w:r>
        <w:rPr>
          <w:spacing w:val="-5"/>
        </w:rPr>
        <w:t>制的项目须取得许可证后方可经营）。公司持有其</w:t>
      </w:r>
      <w:r>
        <w:rPr>
          <w:rFonts w:ascii="Times New Roman" w:hAnsi="Times New Roman" w:cs="Times New Roman" w:eastAsia="Times New Roman" w:hint="default"/>
          <w:spacing w:val="-5"/>
        </w:rPr>
        <w:t>100%</w:t>
      </w:r>
      <w:r>
        <w:rPr>
          <w:spacing w:val="-5"/>
        </w:rPr>
        <w:t>股权。</w:t>
      </w:r>
    </w:p>
    <w:p>
      <w:pPr>
        <w:pStyle w:val="BodyText"/>
        <w:spacing w:line="352" w:lineRule="auto" w:before="8"/>
        <w:ind w:left="300" w:right="113" w:firstLine="480"/>
        <w:jc w:val="both"/>
      </w:pPr>
      <w:r>
        <w:rPr>
          <w:rFonts w:ascii="Times New Roman" w:hAnsi="Times New Roman" w:cs="Times New Roman" w:eastAsia="Times New Roman" w:hint="default"/>
        </w:rPr>
        <w:t>13</w:t>
      </w:r>
      <w:r>
        <w:rPr/>
        <w:t>、广州花都稠州村镇银行股份有限公司，注册资本暨实收资本</w:t>
      </w:r>
      <w:r>
        <w:rPr>
          <w:spacing w:val="-60"/>
        </w:rPr>
        <w:t> </w:t>
      </w:r>
      <w:r>
        <w:rPr>
          <w:rFonts w:ascii="Times New Roman" w:hAnsi="Times New Roman" w:cs="Times New Roman" w:eastAsia="Times New Roman" w:hint="default"/>
        </w:rPr>
        <w:t>25,000 </w:t>
      </w:r>
      <w:r>
        <w:rPr/>
        <w:t>万元； </w:t>
      </w:r>
      <w:r>
        <w:rPr>
          <w:spacing w:val="-6"/>
        </w:rPr>
        <w:t>公司类型：其他股份有限公司（非上市）；经营范围：吸收人民币存款；发放人民币</w:t>
      </w:r>
      <w:r>
        <w:rPr>
          <w:spacing w:val="-93"/>
        </w:rPr>
        <w:t> </w:t>
      </w:r>
      <w:r>
        <w:rPr>
          <w:spacing w:val="-93"/>
        </w:rPr>
      </w:r>
      <w:r>
        <w:rPr/>
        <w:t>短期、中期和长期贷款；办理国内结算；办理票据承兑与贴现；从事同业拆借；从</w:t>
      </w:r>
      <w:r>
        <w:rPr>
          <w:spacing w:val="-84"/>
        </w:rPr>
        <w:t> </w:t>
      </w:r>
      <w:r>
        <w:rPr>
          <w:spacing w:val="-84"/>
        </w:rPr>
      </w:r>
      <w:r>
        <w:rPr/>
        <w:t>事银行卡（借记卡）业务；代理发行、代理兑付、承销政府债券；代理收付款项及</w:t>
      </w:r>
      <w:r>
        <w:rPr>
          <w:spacing w:val="-84"/>
        </w:rPr>
        <w:t> </w:t>
      </w:r>
      <w:r>
        <w:rPr>
          <w:spacing w:val="-84"/>
        </w:rPr>
      </w:r>
      <w:r>
        <w:rPr/>
        <w:t>代理保险业务；许可该机构经营中国银行业监督管理委员会依照有关法律、行政法</w:t>
      </w:r>
      <w:r>
        <w:rPr>
          <w:spacing w:val="-84"/>
        </w:rPr>
        <w:t> </w:t>
      </w:r>
      <w:r>
        <w:rPr>
          <w:spacing w:val="-84"/>
        </w:rPr>
      </w:r>
      <w:r>
        <w:rPr>
          <w:spacing w:val="-4"/>
        </w:rPr>
        <w:t>规和其他规定批准的业务，经营范围以批准文件所列的为准。公司持有其</w:t>
      </w:r>
      <w:r>
        <w:rPr>
          <w:spacing w:val="-52"/>
        </w:rPr>
        <w:t> </w:t>
      </w:r>
      <w:r>
        <w:rPr>
          <w:rFonts w:ascii="Times New Roman" w:hAnsi="Times New Roman" w:cs="Times New Roman" w:eastAsia="Times New Roman" w:hint="default"/>
        </w:rPr>
        <w:t>10%</w:t>
      </w:r>
      <w:r>
        <w:rPr/>
        <w:t>股权。</w:t>
      </w:r>
    </w:p>
    <w:p>
      <w:pPr>
        <w:pStyle w:val="BodyText"/>
        <w:spacing w:line="240" w:lineRule="auto" w:before="11"/>
        <w:ind w:left="780" w:right="98"/>
        <w:jc w:val="left"/>
      </w:pPr>
      <w:r>
        <w:rPr/>
        <w:t>公司主要控股、参股公司</w:t>
      </w:r>
      <w:r>
        <w:rPr>
          <w:rFonts w:ascii="Times New Roman" w:hAnsi="Times New Roman" w:cs="Times New Roman" w:eastAsia="Times New Roman" w:hint="default"/>
        </w:rPr>
        <w:t>2011</w:t>
      </w:r>
      <w:r>
        <w:rPr/>
        <w:t>年度主要财务指标如下表：</w:t>
      </w:r>
    </w:p>
    <w:p>
      <w:pPr>
        <w:spacing w:before="184"/>
        <w:ind w:left="0" w:right="611"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13"/>
        <w:rPr>
          <w:rFonts w:ascii="宋体" w:hAnsi="宋体" w:cs="宋体" w:eastAsia="宋体" w:hint="default"/>
          <w:sz w:val="10"/>
          <w:szCs w:val="10"/>
        </w:rPr>
      </w:pPr>
    </w:p>
    <w:tbl>
      <w:tblPr>
        <w:tblW w:w="0" w:type="auto"/>
        <w:jc w:val="left"/>
        <w:tblInd w:w="115" w:type="dxa"/>
        <w:tblLayout w:type="fixed"/>
        <w:tblCellMar>
          <w:top w:w="0" w:type="dxa"/>
          <w:left w:w="0" w:type="dxa"/>
          <w:bottom w:w="0" w:type="dxa"/>
          <w:right w:w="0" w:type="dxa"/>
        </w:tblCellMar>
        <w:tblLook w:val="01E0"/>
      </w:tblPr>
      <w:tblGrid>
        <w:gridCol w:w="3157"/>
        <w:gridCol w:w="1700"/>
        <w:gridCol w:w="1418"/>
        <w:gridCol w:w="1440"/>
        <w:gridCol w:w="1260"/>
      </w:tblGrid>
      <w:tr>
        <w:trPr>
          <w:trHeight w:val="330" w:hRule="exact"/>
        </w:trPr>
        <w:tc>
          <w:tcPr>
            <w:tcW w:w="315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17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485"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41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总资产</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445"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355"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330"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广州御新软件有限公司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spacing w:val="-1"/>
                <w:sz w:val="18"/>
              </w:rPr>
              <w:t>2,000,000.00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79" w:right="0"/>
              <w:jc w:val="center"/>
              <w:rPr>
                <w:rFonts w:ascii="Times New Roman" w:hAnsi="Times New Roman" w:cs="Times New Roman" w:eastAsia="Times New Roman" w:hint="default"/>
                <w:sz w:val="18"/>
                <w:szCs w:val="18"/>
              </w:rPr>
            </w:pPr>
            <w:r>
              <w:rPr>
                <w:rFonts w:ascii="Times New Roman"/>
                <w:sz w:val="18"/>
              </w:rPr>
              <w:t>218,906,095.75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193,144,245.69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37,694,530.95</w:t>
            </w:r>
          </w:p>
        </w:tc>
      </w:tr>
      <w:tr>
        <w:trPr>
          <w:trHeight w:val="330"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珠海市御银电子科技有限公司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spacing w:val="-1"/>
                <w:sz w:val="18"/>
              </w:rPr>
              <w:t>2,000,000.00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z w:val="18"/>
              </w:rPr>
              <w:t>1,629.36</w:t>
            </w:r>
          </w:p>
        </w:tc>
      </w:tr>
      <w:tr>
        <w:trPr>
          <w:trHeight w:val="330"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广州御银自动柜员机技术有限公司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spacing w:val="-1"/>
                <w:sz w:val="18"/>
              </w:rPr>
              <w:t>20,000,000.00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79" w:right="0"/>
              <w:jc w:val="center"/>
              <w:rPr>
                <w:rFonts w:ascii="Times New Roman" w:hAnsi="Times New Roman" w:cs="Times New Roman" w:eastAsia="Times New Roman" w:hint="default"/>
                <w:sz w:val="18"/>
                <w:szCs w:val="18"/>
              </w:rPr>
            </w:pPr>
            <w:r>
              <w:rPr>
                <w:rFonts w:ascii="Times New Roman"/>
                <w:sz w:val="18"/>
              </w:rPr>
              <w:t>181,936,386.99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115,087,980.84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57,006,510.63</w:t>
            </w:r>
          </w:p>
        </w:tc>
      </w:tr>
      <w:tr>
        <w:trPr>
          <w:trHeight w:val="330"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安徽御银电子科技有限公司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spacing w:val="-1"/>
                <w:sz w:val="18"/>
              </w:rPr>
              <w:t>5,000,000.00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169" w:right="0"/>
              <w:jc w:val="center"/>
              <w:rPr>
                <w:rFonts w:ascii="Times New Roman" w:hAnsi="Times New Roman" w:cs="Times New Roman" w:eastAsia="Times New Roman" w:hint="default"/>
                <w:sz w:val="18"/>
                <w:szCs w:val="18"/>
              </w:rPr>
            </w:pPr>
            <w:r>
              <w:rPr>
                <w:rFonts w:ascii="Times New Roman"/>
                <w:sz w:val="18"/>
              </w:rPr>
              <w:t>36,555,750.17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w w:val="95"/>
                <w:sz w:val="18"/>
              </w:rPr>
              <w:t>-101,846.85</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-2,930,285.61</w:t>
            </w:r>
          </w:p>
        </w:tc>
      </w:tr>
      <w:tr>
        <w:trPr>
          <w:trHeight w:val="330"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广州御银金融服务有限公司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spacing w:val="-1"/>
                <w:sz w:val="18"/>
              </w:rPr>
              <w:t>30,000,000.00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169" w:right="0"/>
              <w:jc w:val="center"/>
              <w:rPr>
                <w:rFonts w:ascii="Times New Roman" w:hAnsi="Times New Roman" w:cs="Times New Roman" w:eastAsia="Times New Roman" w:hint="default"/>
                <w:sz w:val="18"/>
                <w:szCs w:val="18"/>
              </w:rPr>
            </w:pPr>
            <w:r>
              <w:rPr>
                <w:rFonts w:ascii="Times New Roman"/>
                <w:sz w:val="18"/>
              </w:rPr>
              <w:t>36,363,744.94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26,272,432.50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-1,918,874.79</w:t>
            </w:r>
          </w:p>
        </w:tc>
      </w:tr>
      <w:tr>
        <w:trPr>
          <w:trHeight w:val="330"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深圳市信威电子有限公司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spacing w:val="-1"/>
                <w:sz w:val="18"/>
              </w:rPr>
              <w:t>3,571,400.00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169" w:right="0"/>
              <w:jc w:val="center"/>
              <w:rPr>
                <w:rFonts w:ascii="Times New Roman" w:hAnsi="Times New Roman" w:cs="Times New Roman" w:eastAsia="Times New Roman" w:hint="default"/>
                <w:sz w:val="18"/>
                <w:szCs w:val="18"/>
              </w:rPr>
            </w:pPr>
            <w:r>
              <w:rPr>
                <w:rFonts w:ascii="Times New Roman"/>
                <w:sz w:val="18"/>
              </w:rPr>
              <w:t>40,764,318.32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33,666,529.41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4,132,545.57</w:t>
            </w:r>
          </w:p>
        </w:tc>
      </w:tr>
      <w:tr>
        <w:trPr>
          <w:trHeight w:val="330"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广东星河生物科技股份有限公司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spacing w:val="-1"/>
                <w:sz w:val="18"/>
              </w:rPr>
              <w:t>147,400,000.00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center"/>
        <w:rPr>
          <w:rFonts w:ascii="Times New Roman" w:hAnsi="Times New Roman" w:cs="Times New Roman" w:eastAsia="Times New Roman" w:hint="default"/>
          <w:sz w:val="18"/>
          <w:szCs w:val="18"/>
        </w:rPr>
        <w:sectPr>
          <w:pgSz w:w="11910" w:h="16840"/>
          <w:pgMar w:header="877" w:footer="1048" w:top="1100" w:bottom="1240" w:left="1500" w:right="1180"/>
        </w:sectPr>
      </w:pPr>
    </w:p>
    <w:p>
      <w:pPr>
        <w:spacing w:line="240" w:lineRule="auto" w:before="6"/>
        <w:rPr>
          <w:rFonts w:ascii="宋体" w:hAnsi="宋体" w:cs="宋体" w:eastAsia="宋体" w:hint="default"/>
          <w:sz w:val="24"/>
          <w:szCs w:val="24"/>
        </w:rPr>
      </w:pPr>
    </w:p>
    <w:tbl>
      <w:tblPr>
        <w:tblW w:w="0" w:type="auto"/>
        <w:jc w:val="left"/>
        <w:tblInd w:w="115" w:type="dxa"/>
        <w:tblLayout w:type="fixed"/>
        <w:tblCellMar>
          <w:top w:w="0" w:type="dxa"/>
          <w:left w:w="0" w:type="dxa"/>
          <w:bottom w:w="0" w:type="dxa"/>
          <w:right w:w="0" w:type="dxa"/>
        </w:tblCellMar>
        <w:tblLook w:val="01E0"/>
      </w:tblPr>
      <w:tblGrid>
        <w:gridCol w:w="3157"/>
        <w:gridCol w:w="1700"/>
        <w:gridCol w:w="1418"/>
        <w:gridCol w:w="1440"/>
        <w:gridCol w:w="1260"/>
      </w:tblGrid>
      <w:tr>
        <w:trPr>
          <w:trHeight w:val="330"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御银（中国）科技国际有限公司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z w:val="18"/>
              </w:rPr>
              <w:t>USD</w:t>
            </w:r>
            <w:r>
              <w:rPr>
                <w:rFonts w:ascii="Times New Roman"/>
                <w:spacing w:val="-15"/>
                <w:sz w:val="18"/>
              </w:rPr>
              <w:t> </w:t>
            </w:r>
            <w:r>
              <w:rPr>
                <w:rFonts w:ascii="Times New Roman"/>
                <w:sz w:val="18"/>
              </w:rPr>
              <w:t>1,000,000.00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9"/>
              <w:jc w:val="right"/>
              <w:rPr>
                <w:rFonts w:ascii="Times New Roman" w:hAnsi="Times New Roman" w:cs="Times New Roman" w:eastAsia="Times New Roman" w:hint="default"/>
                <w:sz w:val="18"/>
                <w:szCs w:val="18"/>
              </w:rPr>
            </w:pPr>
            <w:r>
              <w:rPr>
                <w:rFonts w:ascii="Times New Roman"/>
                <w:sz w:val="18"/>
              </w:rPr>
              <w:t>627,986.19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598,093.19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w w:val="95"/>
                <w:sz w:val="18"/>
              </w:rPr>
              <w:t>-39,713.81</w:t>
            </w:r>
            <w:r>
              <w:rPr>
                <w:rFonts w:ascii="Times New Roman"/>
                <w:sz w:val="18"/>
              </w:rPr>
            </w:r>
          </w:p>
        </w:tc>
      </w:tr>
      <w:tr>
        <w:trPr>
          <w:trHeight w:val="330"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御银科技（香港）有限公司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sz w:val="18"/>
              </w:rPr>
              <w:t>HKD</w:t>
            </w:r>
            <w:r>
              <w:rPr>
                <w:rFonts w:ascii="Times New Roman"/>
                <w:spacing w:val="-12"/>
                <w:sz w:val="18"/>
              </w:rPr>
              <w:t> </w:t>
            </w:r>
            <w:r>
              <w:rPr>
                <w:rFonts w:ascii="Times New Roman"/>
                <w:sz w:val="18"/>
              </w:rPr>
              <w:t>10,000.00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9"/>
              <w:jc w:val="right"/>
              <w:rPr>
                <w:rFonts w:ascii="Times New Roman" w:hAnsi="Times New Roman" w:cs="Times New Roman" w:eastAsia="Times New Roman" w:hint="default"/>
                <w:sz w:val="18"/>
                <w:szCs w:val="18"/>
              </w:rPr>
            </w:pPr>
            <w:r>
              <w:rPr>
                <w:rFonts w:ascii="Times New Roman"/>
                <w:spacing w:val="-1"/>
                <w:sz w:val="18"/>
              </w:rPr>
              <w:t>72,105,548.42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3,880,651.51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3,879,173.74</w:t>
            </w:r>
          </w:p>
        </w:tc>
      </w:tr>
      <w:tr>
        <w:trPr>
          <w:trHeight w:val="330"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上海博科咨询股份有限公司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spacing w:val="-1"/>
                <w:sz w:val="18"/>
              </w:rPr>
              <w:t>85,000,000.00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99"/>
              <w:jc w:val="right"/>
              <w:rPr>
                <w:rFonts w:ascii="Times New Roman" w:hAnsi="Times New Roman" w:cs="Times New Roman" w:eastAsia="Times New Roman" w:hint="default"/>
                <w:sz w:val="18"/>
                <w:szCs w:val="18"/>
              </w:rPr>
            </w:pPr>
            <w:r>
              <w:rPr>
                <w:rFonts w:ascii="Times New Roman"/>
                <w:spacing w:val="-1"/>
                <w:sz w:val="18"/>
              </w:rPr>
              <w:t>234,749,191.14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203,583,830.21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24,552,553.66</w:t>
            </w:r>
          </w:p>
        </w:tc>
      </w:tr>
      <w:tr>
        <w:trPr>
          <w:trHeight w:val="330"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北京青年御银科技有限公司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spacing w:val="-1"/>
                <w:sz w:val="18"/>
              </w:rPr>
              <w:t>10,000,000.00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9,100,199.29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1,715,199.29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w w:val="95"/>
                <w:sz w:val="18"/>
              </w:rPr>
              <w:t>-273,129.46</w:t>
            </w:r>
            <w:r>
              <w:rPr>
                <w:rFonts w:ascii="Times New Roman"/>
                <w:sz w:val="18"/>
              </w:rPr>
            </w:r>
          </w:p>
        </w:tc>
      </w:tr>
      <w:tr>
        <w:trPr>
          <w:trHeight w:val="330"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广州御银先端电子科技有限公司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spacing w:val="-1"/>
                <w:sz w:val="18"/>
              </w:rPr>
              <w:t>20,000,000.00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20,260,093.49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19,988,768.51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-11,231.49</w:t>
            </w:r>
          </w:p>
        </w:tc>
      </w:tr>
      <w:tr>
        <w:trPr>
          <w:trHeight w:val="330" w:hRule="exact"/>
        </w:trPr>
        <w:tc>
          <w:tcPr>
            <w:tcW w:w="3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广州花都稠州村镇银行股份有限公司</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spacing w:val="-1"/>
                <w:sz w:val="18"/>
              </w:rPr>
              <w:t>250,000,000.00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before="10"/>
        <w:ind w:left="570" w:right="98"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注：珠海市御银电子科技有限公司已于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月注销；广东星河生物科技股份有限公司的年报将于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2012</w:t>
      </w:r>
    </w:p>
    <w:p>
      <w:pPr>
        <w:spacing w:line="300" w:lineRule="auto" w:before="63"/>
        <w:ind w:left="300" w:right="225" w:hanging="1"/>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日披露，故本报告披露时未能取得其相关数据；广州花都稠州村镇银行股份有限公司系</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 开业；</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2"/>
          <w:szCs w:val="22"/>
        </w:rPr>
      </w:pPr>
    </w:p>
    <w:p>
      <w:pPr>
        <w:pStyle w:val="BodyText"/>
        <w:spacing w:line="240" w:lineRule="auto" w:before="0"/>
        <w:ind w:left="837" w:right="98"/>
        <w:jc w:val="left"/>
      </w:pPr>
      <w:r>
        <w:rPr/>
        <w:t>（二十一）薪酬分析</w:t>
      </w:r>
    </w:p>
    <w:p>
      <w:pPr>
        <w:spacing w:line="240" w:lineRule="auto" w:before="10"/>
        <w:rPr>
          <w:rFonts w:ascii="宋体" w:hAnsi="宋体" w:cs="宋体" w:eastAsia="宋体" w:hint="default"/>
          <w:sz w:val="8"/>
          <w:szCs w:val="8"/>
        </w:rPr>
      </w:pPr>
    </w:p>
    <w:tbl>
      <w:tblPr>
        <w:tblW w:w="0" w:type="auto"/>
        <w:jc w:val="left"/>
        <w:tblInd w:w="187" w:type="dxa"/>
        <w:tblLayout w:type="fixed"/>
        <w:tblCellMar>
          <w:top w:w="0" w:type="dxa"/>
          <w:left w:w="0" w:type="dxa"/>
          <w:bottom w:w="0" w:type="dxa"/>
          <w:right w:w="0" w:type="dxa"/>
        </w:tblCellMar>
        <w:tblLook w:val="01E0"/>
      </w:tblPr>
      <w:tblGrid>
        <w:gridCol w:w="468"/>
        <w:gridCol w:w="900"/>
        <w:gridCol w:w="1620"/>
        <w:gridCol w:w="1234"/>
        <w:gridCol w:w="1260"/>
        <w:gridCol w:w="1106"/>
        <w:gridCol w:w="900"/>
        <w:gridCol w:w="1234"/>
      </w:tblGrid>
      <w:tr>
        <w:trPr>
          <w:trHeight w:val="1258" w:hRule="exact"/>
        </w:trPr>
        <w:tc>
          <w:tcPr>
            <w:tcW w:w="46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9"/>
              <w:ind w:right="0"/>
              <w:jc w:val="left"/>
              <w:rPr>
                <w:rFonts w:ascii="宋体" w:hAnsi="宋体" w:cs="宋体" w:eastAsia="宋体" w:hint="default"/>
                <w:sz w:val="24"/>
                <w:szCs w:val="24"/>
              </w:rPr>
            </w:pPr>
          </w:p>
          <w:p>
            <w:pPr>
              <w:pStyle w:val="TableParagraph"/>
              <w:spacing w:line="316" w:lineRule="auto"/>
              <w:ind w:left="139" w:right="137"/>
              <w:jc w:val="left"/>
              <w:rPr>
                <w:rFonts w:ascii="宋体" w:hAnsi="宋体" w:cs="宋体" w:eastAsia="宋体" w:hint="default"/>
                <w:sz w:val="18"/>
                <w:szCs w:val="18"/>
              </w:rPr>
            </w:pPr>
            <w:r>
              <w:rPr>
                <w:rFonts w:ascii="宋体" w:hAnsi="宋体" w:cs="宋体" w:eastAsia="宋体" w:hint="default"/>
                <w:sz w:val="18"/>
                <w:szCs w:val="18"/>
              </w:rPr>
              <w:t>序 号</w:t>
            </w:r>
          </w:p>
        </w:tc>
        <w:tc>
          <w:tcPr>
            <w:tcW w:w="9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6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123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2" w:lineRule="auto" w:before="11"/>
              <w:ind w:left="103" w:right="101" w:hanging="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年度从 公司领取的 </w:t>
            </w:r>
            <w:r>
              <w:rPr>
                <w:rFonts w:ascii="宋体" w:hAnsi="宋体" w:cs="宋体" w:eastAsia="宋体" w:hint="default"/>
                <w:spacing w:val="-11"/>
                <w:sz w:val="18"/>
                <w:szCs w:val="18"/>
              </w:rPr>
              <w:t>报酬总额（万</w:t>
            </w:r>
            <w:r>
              <w:rPr>
                <w:rFonts w:ascii="宋体" w:hAnsi="宋体" w:cs="宋体" w:eastAsia="宋体" w:hint="default"/>
                <w:sz w:val="18"/>
                <w:szCs w:val="18"/>
              </w:rPr>
              <w:t> 元）</w:t>
            </w: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2" w:lineRule="auto" w:before="11"/>
              <w:ind w:left="101" w:right="102" w:hanging="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年度从 公司领取的 </w:t>
            </w:r>
            <w:r>
              <w:rPr>
                <w:rFonts w:ascii="宋体" w:hAnsi="宋体" w:cs="宋体" w:eastAsia="宋体" w:hint="default"/>
                <w:spacing w:val="-6"/>
                <w:sz w:val="18"/>
                <w:szCs w:val="18"/>
              </w:rPr>
              <w:t>报酬总额（万</w:t>
            </w:r>
            <w:r>
              <w:rPr>
                <w:rFonts w:ascii="宋体" w:hAnsi="宋体" w:cs="宋体" w:eastAsia="宋体" w:hint="default"/>
                <w:sz w:val="18"/>
                <w:szCs w:val="18"/>
              </w:rPr>
              <w:t> 元）</w:t>
            </w:r>
          </w:p>
        </w:tc>
        <w:tc>
          <w:tcPr>
            <w:tcW w:w="110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87" w:right="187"/>
              <w:jc w:val="center"/>
              <w:rPr>
                <w:rFonts w:ascii="宋体" w:hAnsi="宋体" w:cs="宋体" w:eastAsia="宋体" w:hint="default"/>
                <w:sz w:val="18"/>
                <w:szCs w:val="18"/>
              </w:rPr>
            </w:pPr>
            <w:r>
              <w:rPr>
                <w:rFonts w:ascii="宋体" w:hAnsi="宋体" w:cs="宋体" w:eastAsia="宋体" w:hint="default"/>
                <w:sz w:val="18"/>
                <w:szCs w:val="18"/>
              </w:rPr>
              <w:t>薪酬总额 同比增减</w:t>
            </w:r>
          </w:p>
          <w:p>
            <w:pPr>
              <w:pStyle w:val="TableParagraph"/>
              <w:spacing w:line="240" w:lineRule="auto" w:before="19"/>
              <w:ind w:right="1"/>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1"/>
              <w:ind w:left="175" w:right="173"/>
              <w:jc w:val="both"/>
              <w:rPr>
                <w:rFonts w:ascii="宋体" w:hAnsi="宋体" w:cs="宋体" w:eastAsia="宋体" w:hint="default"/>
                <w:sz w:val="18"/>
                <w:szCs w:val="18"/>
              </w:rPr>
            </w:pPr>
            <w:r>
              <w:rPr>
                <w:rFonts w:ascii="宋体" w:hAnsi="宋体" w:cs="宋体" w:eastAsia="宋体" w:hint="default"/>
                <w:sz w:val="18"/>
                <w:szCs w:val="18"/>
              </w:rPr>
              <w:t>公司净 利润同 比增减</w:t>
            </w:r>
          </w:p>
          <w:p>
            <w:pPr>
              <w:pStyle w:val="TableParagraph"/>
              <w:spacing w:line="240" w:lineRule="auto" w:before="19"/>
              <w:ind w:left="189" w:right="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3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1"/>
              <w:ind w:left="161" w:right="161"/>
              <w:jc w:val="both"/>
              <w:rPr>
                <w:rFonts w:ascii="宋体" w:hAnsi="宋体" w:cs="宋体" w:eastAsia="宋体" w:hint="default"/>
                <w:sz w:val="18"/>
                <w:szCs w:val="18"/>
              </w:rPr>
            </w:pPr>
            <w:r>
              <w:rPr>
                <w:rFonts w:ascii="宋体" w:hAnsi="宋体" w:cs="宋体" w:eastAsia="宋体" w:hint="default"/>
                <w:sz w:val="18"/>
                <w:szCs w:val="18"/>
              </w:rPr>
              <w:t>薪酬同比变 动与净利润 同比变动的 比较说明</w:t>
            </w:r>
          </w:p>
        </w:tc>
      </w:tr>
      <w:tr>
        <w:trPr>
          <w:trHeight w:val="322" w:hRule="exact"/>
        </w:trPr>
        <w:tc>
          <w:tcPr>
            <w:tcW w:w="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杨文江</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董事长、总经理</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z w:val="18"/>
              </w:rPr>
              <w:t>42.55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42.49</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315" w:right="0"/>
              <w:jc w:val="left"/>
              <w:rPr>
                <w:rFonts w:ascii="Times New Roman" w:hAnsi="Times New Roman" w:cs="Times New Roman" w:eastAsia="Times New Roman" w:hint="default"/>
                <w:sz w:val="18"/>
                <w:szCs w:val="18"/>
              </w:rPr>
            </w:pPr>
            <w:r>
              <w:rPr>
                <w:rFonts w:ascii="Times New Roman"/>
                <w:sz w:val="18"/>
              </w:rPr>
              <w:t>0.14%</w:t>
            </w:r>
          </w:p>
        </w:tc>
        <w:tc>
          <w:tcPr>
            <w:tcW w:w="90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232" w:right="0"/>
              <w:jc w:val="left"/>
              <w:rPr>
                <w:rFonts w:ascii="Times New Roman" w:hAnsi="Times New Roman" w:cs="Times New Roman" w:eastAsia="Times New Roman" w:hint="default"/>
                <w:sz w:val="18"/>
                <w:szCs w:val="18"/>
              </w:rPr>
            </w:pPr>
            <w:r>
              <w:rPr>
                <w:rFonts w:ascii="Times New Roman"/>
                <w:sz w:val="18"/>
              </w:rPr>
              <w:t>90.13%</w:t>
            </w:r>
          </w:p>
        </w:tc>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42"/>
              <w:ind w:left="103" w:right="74"/>
              <w:jc w:val="both"/>
              <w:rPr>
                <w:rFonts w:ascii="宋体" w:hAnsi="宋体" w:cs="宋体" w:eastAsia="宋体" w:hint="default"/>
                <w:sz w:val="18"/>
                <w:szCs w:val="18"/>
              </w:rPr>
            </w:pPr>
            <w:r>
              <w:rPr>
                <w:rFonts w:ascii="宋体" w:hAnsi="宋体" w:cs="宋体" w:eastAsia="宋体" w:hint="default"/>
                <w:spacing w:val="-11"/>
                <w:sz w:val="18"/>
                <w:szCs w:val="18"/>
              </w:rPr>
              <w:t>公司董事、监</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2"/>
                <w:sz w:val="18"/>
                <w:szCs w:val="18"/>
              </w:rPr>
              <w:t>事及高级管</w:t>
            </w:r>
            <w:r>
              <w:rPr>
                <w:rFonts w:ascii="宋体" w:hAnsi="宋体" w:cs="宋体" w:eastAsia="宋体" w:hint="default"/>
                <w:spacing w:val="-62"/>
                <w:sz w:val="18"/>
                <w:szCs w:val="18"/>
              </w:rPr>
              <w:t> </w:t>
            </w:r>
            <w:r>
              <w:rPr>
                <w:rFonts w:ascii="宋体" w:hAnsi="宋体" w:cs="宋体" w:eastAsia="宋体" w:hint="default"/>
                <w:spacing w:val="22"/>
                <w:sz w:val="18"/>
                <w:szCs w:val="18"/>
              </w:rPr>
              <w:t>理人员的薪</w:t>
            </w:r>
            <w:r>
              <w:rPr>
                <w:rFonts w:ascii="宋体" w:hAnsi="宋体" w:cs="宋体" w:eastAsia="宋体" w:hint="default"/>
                <w:spacing w:val="-62"/>
                <w:sz w:val="18"/>
                <w:szCs w:val="18"/>
              </w:rPr>
              <w:t> </w:t>
            </w:r>
            <w:r>
              <w:rPr>
                <w:rFonts w:ascii="宋体" w:hAnsi="宋体" w:cs="宋体" w:eastAsia="宋体" w:hint="default"/>
                <w:spacing w:val="22"/>
                <w:sz w:val="18"/>
                <w:szCs w:val="18"/>
              </w:rPr>
              <w:t>酬发放标准</w:t>
            </w:r>
            <w:r>
              <w:rPr>
                <w:rFonts w:ascii="宋体" w:hAnsi="宋体" w:cs="宋体" w:eastAsia="宋体" w:hint="default"/>
                <w:spacing w:val="-62"/>
                <w:sz w:val="18"/>
                <w:szCs w:val="18"/>
              </w:rPr>
              <w:t> </w:t>
            </w:r>
            <w:r>
              <w:rPr>
                <w:rFonts w:ascii="宋体" w:hAnsi="宋体" w:cs="宋体" w:eastAsia="宋体" w:hint="default"/>
                <w:sz w:val="18"/>
                <w:szCs w:val="18"/>
              </w:rPr>
              <w:t>未发生变化</w:t>
            </w:r>
          </w:p>
        </w:tc>
      </w:tr>
      <w:tr>
        <w:trPr>
          <w:trHeight w:val="322" w:hRule="exact"/>
        </w:trPr>
        <w:tc>
          <w:tcPr>
            <w:tcW w:w="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吴  宁</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49.25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33.73</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69" w:right="0"/>
              <w:jc w:val="left"/>
              <w:rPr>
                <w:rFonts w:ascii="Times New Roman" w:hAnsi="Times New Roman" w:cs="Times New Roman" w:eastAsia="Times New Roman" w:hint="default"/>
                <w:sz w:val="18"/>
                <w:szCs w:val="18"/>
              </w:rPr>
            </w:pPr>
            <w:r>
              <w:rPr>
                <w:rFonts w:ascii="Times New Roman"/>
                <w:sz w:val="18"/>
              </w:rPr>
              <w:t>46.01%</w:t>
            </w:r>
          </w:p>
        </w:tc>
        <w:tc>
          <w:tcPr>
            <w:tcW w:w="900" w:type="dxa"/>
            <w:vMerge/>
            <w:tcBorders>
              <w:left w:val="single" w:sz="4" w:space="0" w:color="000000"/>
              <w:right w:val="single" w:sz="4" w:space="0" w:color="000000"/>
            </w:tcBorders>
          </w:tcPr>
          <w:p>
            <w:pPr/>
          </w:p>
        </w:tc>
        <w:tc>
          <w:tcPr>
            <w:tcW w:w="1234" w:type="dxa"/>
            <w:vMerge/>
            <w:tcBorders>
              <w:left w:val="single" w:sz="4" w:space="0" w:color="000000"/>
              <w:right w:val="single" w:sz="4" w:space="0" w:color="000000"/>
            </w:tcBorders>
          </w:tcPr>
          <w:p>
            <w:pPr/>
          </w:p>
        </w:tc>
      </w:tr>
      <w:tr>
        <w:trPr>
          <w:trHeight w:val="323" w:hRule="exact"/>
        </w:trPr>
        <w:tc>
          <w:tcPr>
            <w:tcW w:w="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3</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王志杰</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董事、财务总监</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39.47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34.23</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9" w:right="0"/>
              <w:jc w:val="left"/>
              <w:rPr>
                <w:rFonts w:ascii="Times New Roman" w:hAnsi="Times New Roman" w:cs="Times New Roman" w:eastAsia="Times New Roman" w:hint="default"/>
                <w:sz w:val="18"/>
                <w:szCs w:val="18"/>
              </w:rPr>
            </w:pPr>
            <w:r>
              <w:rPr>
                <w:rFonts w:ascii="Times New Roman"/>
                <w:sz w:val="18"/>
              </w:rPr>
              <w:t>15.31%</w:t>
            </w:r>
          </w:p>
        </w:tc>
        <w:tc>
          <w:tcPr>
            <w:tcW w:w="900" w:type="dxa"/>
            <w:vMerge/>
            <w:tcBorders>
              <w:left w:val="single" w:sz="4" w:space="0" w:color="000000"/>
              <w:right w:val="single" w:sz="4" w:space="0" w:color="000000"/>
            </w:tcBorders>
          </w:tcPr>
          <w:p>
            <w:pPr/>
          </w:p>
        </w:tc>
        <w:tc>
          <w:tcPr>
            <w:tcW w:w="1234" w:type="dxa"/>
            <w:vMerge/>
            <w:tcBorders>
              <w:left w:val="single" w:sz="4" w:space="0" w:color="000000"/>
              <w:right w:val="single" w:sz="4" w:space="0" w:color="000000"/>
            </w:tcBorders>
          </w:tcPr>
          <w:p>
            <w:pPr/>
          </w:p>
        </w:tc>
      </w:tr>
      <w:tr>
        <w:trPr>
          <w:trHeight w:val="322" w:hRule="exact"/>
        </w:trPr>
        <w:tc>
          <w:tcPr>
            <w:tcW w:w="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4</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石本仁</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6.00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1.00</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5" w:right="0"/>
              <w:jc w:val="left"/>
              <w:rPr>
                <w:rFonts w:ascii="Times New Roman" w:hAnsi="Times New Roman" w:cs="Times New Roman" w:eastAsia="Times New Roman" w:hint="default"/>
                <w:sz w:val="18"/>
                <w:szCs w:val="18"/>
              </w:rPr>
            </w:pPr>
            <w:r>
              <w:rPr>
                <w:rFonts w:ascii="Times New Roman"/>
                <w:sz w:val="18"/>
              </w:rPr>
              <w:t>500.00%</w:t>
            </w:r>
          </w:p>
        </w:tc>
        <w:tc>
          <w:tcPr>
            <w:tcW w:w="900" w:type="dxa"/>
            <w:vMerge/>
            <w:tcBorders>
              <w:left w:val="single" w:sz="4" w:space="0" w:color="000000"/>
              <w:right w:val="single" w:sz="4" w:space="0" w:color="000000"/>
            </w:tcBorders>
          </w:tcPr>
          <w:p>
            <w:pPr/>
          </w:p>
        </w:tc>
        <w:tc>
          <w:tcPr>
            <w:tcW w:w="1234" w:type="dxa"/>
            <w:vMerge/>
            <w:tcBorders>
              <w:left w:val="single" w:sz="4" w:space="0" w:color="000000"/>
              <w:right w:val="single" w:sz="4" w:space="0" w:color="000000"/>
            </w:tcBorders>
          </w:tcPr>
          <w:p>
            <w:pPr/>
          </w:p>
        </w:tc>
      </w:tr>
      <w:tr>
        <w:trPr>
          <w:trHeight w:val="322" w:hRule="exact"/>
        </w:trPr>
        <w:tc>
          <w:tcPr>
            <w:tcW w:w="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5</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张  华</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6.00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1.00</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5" w:right="0"/>
              <w:jc w:val="left"/>
              <w:rPr>
                <w:rFonts w:ascii="Times New Roman" w:hAnsi="Times New Roman" w:cs="Times New Roman" w:eastAsia="Times New Roman" w:hint="default"/>
                <w:sz w:val="18"/>
                <w:szCs w:val="18"/>
              </w:rPr>
            </w:pPr>
            <w:r>
              <w:rPr>
                <w:rFonts w:ascii="Times New Roman"/>
                <w:sz w:val="18"/>
              </w:rPr>
              <w:t>500.00%</w:t>
            </w:r>
          </w:p>
        </w:tc>
        <w:tc>
          <w:tcPr>
            <w:tcW w:w="900" w:type="dxa"/>
            <w:vMerge/>
            <w:tcBorders>
              <w:left w:val="single" w:sz="4" w:space="0" w:color="000000"/>
              <w:right w:val="single" w:sz="4" w:space="0" w:color="000000"/>
            </w:tcBorders>
          </w:tcPr>
          <w:p>
            <w:pPr/>
          </w:p>
        </w:tc>
        <w:tc>
          <w:tcPr>
            <w:tcW w:w="1234" w:type="dxa"/>
            <w:vMerge/>
            <w:tcBorders>
              <w:left w:val="single" w:sz="4" w:space="0" w:color="000000"/>
              <w:right w:val="single" w:sz="4" w:space="0" w:color="000000"/>
            </w:tcBorders>
          </w:tcPr>
          <w:p>
            <w:pPr/>
          </w:p>
        </w:tc>
      </w:tr>
      <w:tr>
        <w:trPr>
          <w:trHeight w:val="323" w:hRule="exact"/>
        </w:trPr>
        <w:tc>
          <w:tcPr>
            <w:tcW w:w="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6</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梁晓芹</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17.30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15.36</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9" w:right="0"/>
              <w:jc w:val="left"/>
              <w:rPr>
                <w:rFonts w:ascii="Times New Roman" w:hAnsi="Times New Roman" w:cs="Times New Roman" w:eastAsia="Times New Roman" w:hint="default"/>
                <w:sz w:val="18"/>
                <w:szCs w:val="18"/>
              </w:rPr>
            </w:pPr>
            <w:r>
              <w:rPr>
                <w:rFonts w:ascii="Times New Roman"/>
                <w:sz w:val="18"/>
              </w:rPr>
              <w:t>12.63%</w:t>
            </w:r>
          </w:p>
        </w:tc>
        <w:tc>
          <w:tcPr>
            <w:tcW w:w="900" w:type="dxa"/>
            <w:vMerge/>
            <w:tcBorders>
              <w:left w:val="single" w:sz="4" w:space="0" w:color="000000"/>
              <w:right w:val="single" w:sz="4" w:space="0" w:color="000000"/>
            </w:tcBorders>
          </w:tcPr>
          <w:p>
            <w:pPr/>
          </w:p>
        </w:tc>
        <w:tc>
          <w:tcPr>
            <w:tcW w:w="1234" w:type="dxa"/>
            <w:vMerge/>
            <w:tcBorders>
              <w:left w:val="single" w:sz="4" w:space="0" w:color="000000"/>
              <w:right w:val="single" w:sz="4" w:space="0" w:color="000000"/>
            </w:tcBorders>
          </w:tcPr>
          <w:p>
            <w:pPr/>
          </w:p>
        </w:tc>
      </w:tr>
      <w:tr>
        <w:trPr>
          <w:trHeight w:val="322" w:hRule="exact"/>
        </w:trPr>
        <w:tc>
          <w:tcPr>
            <w:tcW w:w="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7</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龚穗娟</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1.20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1.00</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69" w:right="0"/>
              <w:jc w:val="left"/>
              <w:rPr>
                <w:rFonts w:ascii="Times New Roman" w:hAnsi="Times New Roman" w:cs="Times New Roman" w:eastAsia="Times New Roman" w:hint="default"/>
                <w:sz w:val="18"/>
                <w:szCs w:val="18"/>
              </w:rPr>
            </w:pPr>
            <w:r>
              <w:rPr>
                <w:rFonts w:ascii="Times New Roman"/>
                <w:sz w:val="18"/>
              </w:rPr>
              <w:t>20.00%</w:t>
            </w:r>
          </w:p>
        </w:tc>
        <w:tc>
          <w:tcPr>
            <w:tcW w:w="900" w:type="dxa"/>
            <w:vMerge/>
            <w:tcBorders>
              <w:left w:val="single" w:sz="4" w:space="0" w:color="000000"/>
              <w:right w:val="single" w:sz="4" w:space="0" w:color="000000"/>
            </w:tcBorders>
          </w:tcPr>
          <w:p>
            <w:pPr/>
          </w:p>
        </w:tc>
        <w:tc>
          <w:tcPr>
            <w:tcW w:w="1234" w:type="dxa"/>
            <w:vMerge/>
            <w:tcBorders>
              <w:left w:val="single" w:sz="4" w:space="0" w:color="000000"/>
              <w:right w:val="single" w:sz="4" w:space="0" w:color="000000"/>
            </w:tcBorders>
          </w:tcPr>
          <w:p>
            <w:pPr/>
          </w:p>
        </w:tc>
      </w:tr>
      <w:tr>
        <w:trPr>
          <w:trHeight w:val="322" w:hRule="exact"/>
        </w:trPr>
        <w:tc>
          <w:tcPr>
            <w:tcW w:w="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8</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张成虎</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7.24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3.82</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69" w:right="0"/>
              <w:jc w:val="left"/>
              <w:rPr>
                <w:rFonts w:ascii="Times New Roman" w:hAnsi="Times New Roman" w:cs="Times New Roman" w:eastAsia="Times New Roman" w:hint="default"/>
                <w:sz w:val="18"/>
                <w:szCs w:val="18"/>
              </w:rPr>
            </w:pPr>
            <w:r>
              <w:rPr>
                <w:rFonts w:ascii="Times New Roman"/>
                <w:sz w:val="18"/>
              </w:rPr>
              <w:t>89.53%</w:t>
            </w:r>
          </w:p>
        </w:tc>
        <w:tc>
          <w:tcPr>
            <w:tcW w:w="900" w:type="dxa"/>
            <w:vMerge/>
            <w:tcBorders>
              <w:left w:val="single" w:sz="4" w:space="0" w:color="000000"/>
              <w:right w:val="single" w:sz="4" w:space="0" w:color="000000"/>
            </w:tcBorders>
          </w:tcPr>
          <w:p>
            <w:pPr/>
          </w:p>
        </w:tc>
        <w:tc>
          <w:tcPr>
            <w:tcW w:w="1234" w:type="dxa"/>
            <w:vMerge/>
            <w:tcBorders>
              <w:left w:val="single" w:sz="4" w:space="0" w:color="000000"/>
              <w:right w:val="single" w:sz="4" w:space="0" w:color="000000"/>
            </w:tcBorders>
          </w:tcPr>
          <w:p>
            <w:pPr/>
          </w:p>
        </w:tc>
      </w:tr>
      <w:tr>
        <w:trPr>
          <w:trHeight w:val="635" w:hRule="exact"/>
        </w:trPr>
        <w:tc>
          <w:tcPr>
            <w:tcW w:w="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9</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谭  骅</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left"/>
              <w:rPr>
                <w:rFonts w:ascii="宋体" w:hAnsi="宋体" w:cs="宋体" w:eastAsia="宋体" w:hint="default"/>
                <w:sz w:val="18"/>
                <w:szCs w:val="18"/>
              </w:rPr>
            </w:pPr>
            <w:r>
              <w:rPr>
                <w:rFonts w:ascii="宋体" w:hAnsi="宋体" w:cs="宋体" w:eastAsia="宋体" w:hint="default"/>
                <w:spacing w:val="-5"/>
                <w:sz w:val="18"/>
                <w:szCs w:val="18"/>
              </w:rPr>
              <w:t>副总经理、董事会</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秘书</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13.08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00" w:type="dxa"/>
            <w:vMerge/>
            <w:tcBorders>
              <w:left w:val="single" w:sz="4" w:space="0" w:color="000000"/>
              <w:right w:val="single" w:sz="4" w:space="0" w:color="000000"/>
            </w:tcBorders>
          </w:tcPr>
          <w:p>
            <w:pPr/>
          </w:p>
        </w:tc>
        <w:tc>
          <w:tcPr>
            <w:tcW w:w="1234" w:type="dxa"/>
            <w:vMerge/>
            <w:tcBorders>
              <w:left w:val="single" w:sz="4" w:space="0" w:color="000000"/>
              <w:right w:val="single" w:sz="4" w:space="0" w:color="000000"/>
            </w:tcBorders>
          </w:tcPr>
          <w:p>
            <w:pPr/>
          </w:p>
        </w:tc>
      </w:tr>
      <w:tr>
        <w:trPr>
          <w:trHeight w:val="322" w:hRule="exact"/>
        </w:trPr>
        <w:tc>
          <w:tcPr>
            <w:tcW w:w="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庞泰松</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17.27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9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00" w:type="dxa"/>
            <w:vMerge/>
            <w:tcBorders>
              <w:left w:val="single" w:sz="4" w:space="0" w:color="000000"/>
              <w:right w:val="single" w:sz="4" w:space="0" w:color="000000"/>
            </w:tcBorders>
          </w:tcPr>
          <w:p>
            <w:pPr/>
          </w:p>
        </w:tc>
        <w:tc>
          <w:tcPr>
            <w:tcW w:w="1234" w:type="dxa"/>
            <w:vMerge/>
            <w:tcBorders>
              <w:left w:val="single" w:sz="4" w:space="0" w:color="000000"/>
              <w:right w:val="single" w:sz="4" w:space="0" w:color="000000"/>
            </w:tcBorders>
          </w:tcPr>
          <w:p>
            <w:pPr/>
          </w:p>
        </w:tc>
      </w:tr>
      <w:tr>
        <w:trPr>
          <w:trHeight w:val="322" w:hRule="exact"/>
        </w:trPr>
        <w:tc>
          <w:tcPr>
            <w:tcW w:w="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高永坚</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32.24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26.46</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69" w:right="0"/>
              <w:jc w:val="left"/>
              <w:rPr>
                <w:rFonts w:ascii="Times New Roman" w:hAnsi="Times New Roman" w:cs="Times New Roman" w:eastAsia="Times New Roman" w:hint="default"/>
                <w:sz w:val="18"/>
                <w:szCs w:val="18"/>
              </w:rPr>
            </w:pPr>
            <w:r>
              <w:rPr>
                <w:rFonts w:ascii="Times New Roman"/>
                <w:sz w:val="18"/>
              </w:rPr>
              <w:t>21.84%</w:t>
            </w:r>
          </w:p>
        </w:tc>
        <w:tc>
          <w:tcPr>
            <w:tcW w:w="900" w:type="dxa"/>
            <w:vMerge/>
            <w:tcBorders>
              <w:left w:val="single" w:sz="4" w:space="0" w:color="000000"/>
              <w:right w:val="single" w:sz="4" w:space="0" w:color="000000"/>
            </w:tcBorders>
          </w:tcPr>
          <w:p>
            <w:pPr/>
          </w:p>
        </w:tc>
        <w:tc>
          <w:tcPr>
            <w:tcW w:w="1234" w:type="dxa"/>
            <w:vMerge/>
            <w:tcBorders>
              <w:left w:val="single" w:sz="4" w:space="0" w:color="000000"/>
              <w:right w:val="single" w:sz="4" w:space="0" w:color="000000"/>
            </w:tcBorders>
          </w:tcPr>
          <w:p>
            <w:pPr/>
          </w:p>
        </w:tc>
      </w:tr>
      <w:tr>
        <w:trPr>
          <w:trHeight w:val="323" w:hRule="exact"/>
        </w:trPr>
        <w:tc>
          <w:tcPr>
            <w:tcW w:w="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徐德银</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36.39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25.97</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9" w:right="0"/>
              <w:jc w:val="left"/>
              <w:rPr>
                <w:rFonts w:ascii="Times New Roman" w:hAnsi="Times New Roman" w:cs="Times New Roman" w:eastAsia="Times New Roman" w:hint="default"/>
                <w:sz w:val="18"/>
                <w:szCs w:val="18"/>
              </w:rPr>
            </w:pPr>
            <w:r>
              <w:rPr>
                <w:rFonts w:ascii="Times New Roman"/>
                <w:sz w:val="18"/>
              </w:rPr>
              <w:t>40.12%</w:t>
            </w:r>
          </w:p>
        </w:tc>
        <w:tc>
          <w:tcPr>
            <w:tcW w:w="900" w:type="dxa"/>
            <w:vMerge/>
            <w:tcBorders>
              <w:left w:val="single" w:sz="4" w:space="0" w:color="000000"/>
              <w:right w:val="single" w:sz="4" w:space="0" w:color="000000"/>
            </w:tcBorders>
          </w:tcPr>
          <w:p>
            <w:pPr/>
          </w:p>
        </w:tc>
        <w:tc>
          <w:tcPr>
            <w:tcW w:w="1234" w:type="dxa"/>
            <w:vMerge/>
            <w:tcBorders>
              <w:left w:val="single" w:sz="4" w:space="0" w:color="000000"/>
              <w:right w:val="single" w:sz="4" w:space="0" w:color="000000"/>
            </w:tcBorders>
          </w:tcPr>
          <w:p>
            <w:pPr/>
          </w:p>
        </w:tc>
      </w:tr>
      <w:tr>
        <w:trPr>
          <w:trHeight w:val="634" w:hRule="exact"/>
        </w:trPr>
        <w:tc>
          <w:tcPr>
            <w:tcW w:w="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13</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郑  蕾</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Times New Roman" w:hAnsi="Times New Roman" w:cs="Times New Roman" w:eastAsia="Times New Roman" w:hint="default"/>
                <w:sz w:val="18"/>
                <w:szCs w:val="18"/>
              </w:rPr>
            </w:pPr>
            <w:r>
              <w:rPr>
                <w:rFonts w:ascii="宋体" w:hAnsi="宋体" w:cs="宋体" w:eastAsia="宋体" w:hint="default"/>
                <w:spacing w:val="-5"/>
                <w:sz w:val="18"/>
                <w:szCs w:val="18"/>
              </w:rPr>
              <w:t>副总经理、董事会</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秘书</w:t>
            </w:r>
            <w:r>
              <w:rPr>
                <w:rFonts w:ascii="Times New Roman" w:hAnsi="Times New Roman" w:cs="Times New Roman" w:eastAsia="Times New Roman" w:hint="default"/>
                <w:sz w:val="18"/>
                <w:szCs w:val="18"/>
              </w:rPr>
              <w:t>(</w:t>
            </w:r>
            <w:r>
              <w:rPr>
                <w:rFonts w:ascii="宋体" w:hAnsi="宋体" w:cs="宋体" w:eastAsia="宋体" w:hint="default"/>
                <w:sz w:val="18"/>
                <w:szCs w:val="18"/>
              </w:rPr>
              <w:t>离任</w:t>
            </w:r>
            <w:r>
              <w:rPr>
                <w:rFonts w:ascii="Times New Roman" w:hAnsi="Times New Roman" w:cs="Times New Roman" w:eastAsia="Times New Roman" w:hint="default"/>
                <w:sz w:val="18"/>
                <w:szCs w:val="18"/>
              </w:rPr>
              <w:t>)</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24.91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27.03</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85" w:right="0"/>
              <w:jc w:val="left"/>
              <w:rPr>
                <w:rFonts w:ascii="Times New Roman" w:hAnsi="Times New Roman" w:cs="Times New Roman" w:eastAsia="Times New Roman" w:hint="default"/>
                <w:sz w:val="18"/>
                <w:szCs w:val="18"/>
              </w:rPr>
            </w:pPr>
            <w:r>
              <w:rPr>
                <w:rFonts w:ascii="Times New Roman"/>
                <w:sz w:val="18"/>
              </w:rPr>
              <w:t>-7.84%</w:t>
            </w:r>
          </w:p>
        </w:tc>
        <w:tc>
          <w:tcPr>
            <w:tcW w:w="900" w:type="dxa"/>
            <w:vMerge/>
            <w:tcBorders>
              <w:left w:val="single" w:sz="4" w:space="0" w:color="000000"/>
              <w:right w:val="single" w:sz="4" w:space="0" w:color="000000"/>
            </w:tcBorders>
          </w:tcPr>
          <w:p>
            <w:pPr/>
          </w:p>
        </w:tc>
        <w:tc>
          <w:tcPr>
            <w:tcW w:w="1234" w:type="dxa"/>
            <w:vMerge/>
            <w:tcBorders>
              <w:left w:val="single" w:sz="4" w:space="0" w:color="000000"/>
              <w:right w:val="single" w:sz="4" w:space="0" w:color="000000"/>
            </w:tcBorders>
          </w:tcPr>
          <w:p>
            <w:pPr/>
          </w:p>
        </w:tc>
      </w:tr>
      <w:tr>
        <w:trPr>
          <w:trHeight w:val="323" w:hRule="exact"/>
        </w:trPr>
        <w:tc>
          <w:tcPr>
            <w:tcW w:w="2988" w:type="dxa"/>
            <w:gridSpan w:val="3"/>
            <w:tcBorders>
              <w:top w:val="single" w:sz="4" w:space="0" w:color="000000"/>
              <w:left w:val="single" w:sz="4" w:space="0" w:color="000000"/>
              <w:bottom w:val="single" w:sz="4" w:space="0" w:color="000000"/>
              <w:right w:val="single" w:sz="4" w:space="0" w:color="000000"/>
            </w:tcBorders>
            <w:shd w:val="clear" w:color="auto" w:fill="C0C0C0"/>
          </w:tcPr>
          <w:p>
            <w:pPr>
              <w:pStyle w:val="TableParagraph"/>
              <w:tabs>
                <w:tab w:pos="539" w:val="left" w:leader="none"/>
              </w:tabs>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z w:val="18"/>
              </w:rPr>
              <w:t>292.90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212.09</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69" w:right="0"/>
              <w:jc w:val="left"/>
              <w:rPr>
                <w:rFonts w:ascii="Times New Roman" w:hAnsi="Times New Roman" w:cs="Times New Roman" w:eastAsia="Times New Roman" w:hint="default"/>
                <w:sz w:val="18"/>
                <w:szCs w:val="18"/>
              </w:rPr>
            </w:pPr>
            <w:r>
              <w:rPr>
                <w:rFonts w:ascii="Times New Roman"/>
                <w:sz w:val="18"/>
              </w:rPr>
              <w:t>38.10%</w:t>
            </w:r>
          </w:p>
        </w:tc>
        <w:tc>
          <w:tcPr>
            <w:tcW w:w="900" w:type="dxa"/>
            <w:vMerge/>
            <w:tcBorders>
              <w:left w:val="single" w:sz="4" w:space="0" w:color="000000"/>
              <w:bottom w:val="single" w:sz="4" w:space="0" w:color="000000"/>
              <w:right w:val="single" w:sz="4" w:space="0" w:color="000000"/>
            </w:tcBorders>
          </w:tcPr>
          <w:p>
            <w:pPr/>
          </w:p>
        </w:tc>
        <w:tc>
          <w:tcPr>
            <w:tcW w:w="1234" w:type="dxa"/>
            <w:vMerge/>
            <w:tcBorders>
              <w:left w:val="single" w:sz="4" w:space="0" w:color="000000"/>
              <w:bottom w:val="single" w:sz="4" w:space="0" w:color="000000"/>
              <w:right w:val="single" w:sz="4" w:space="0" w:color="000000"/>
            </w:tcBorders>
          </w:tcPr>
          <w:p>
            <w:pPr/>
          </w:p>
        </w:tc>
      </w:tr>
    </w:tbl>
    <w:p>
      <w:pPr>
        <w:spacing w:before="10"/>
        <w:ind w:left="615" w:right="98" w:firstLine="0"/>
        <w:jc w:val="left"/>
        <w:rPr>
          <w:rFonts w:ascii="宋体" w:hAnsi="宋体" w:cs="宋体" w:eastAsia="宋体" w:hint="default"/>
          <w:sz w:val="18"/>
          <w:szCs w:val="18"/>
        </w:rPr>
      </w:pPr>
      <w:r>
        <w:rPr>
          <w:rFonts w:ascii="宋体" w:hAnsi="宋体" w:cs="宋体" w:eastAsia="宋体" w:hint="default"/>
          <w:spacing w:val="-3"/>
          <w:sz w:val="18"/>
          <w:szCs w:val="18"/>
        </w:rPr>
        <w:t>注：吴宁预留部分</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年度的考核薪资在</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年度发放；张成虎、徐德银、郑蕾由于职位变动调高了工资</w:t>
      </w:r>
    </w:p>
    <w:p>
      <w:pPr>
        <w:spacing w:line="300" w:lineRule="auto" w:before="63"/>
        <w:ind w:left="300" w:right="225" w:firstLine="0"/>
        <w:jc w:val="left"/>
        <w:rPr>
          <w:rFonts w:ascii="宋体" w:hAnsi="宋体" w:cs="宋体" w:eastAsia="宋体" w:hint="default"/>
          <w:sz w:val="18"/>
          <w:szCs w:val="18"/>
        </w:rPr>
      </w:pPr>
      <w:r>
        <w:rPr>
          <w:rFonts w:ascii="宋体" w:hAnsi="宋体" w:cs="宋体" w:eastAsia="宋体" w:hint="default"/>
          <w:sz w:val="18"/>
          <w:szCs w:val="18"/>
        </w:rPr>
        <w:t>发放级别；公司独立董事津贴为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年，监事津贴为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年，张华、石本仁系</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月开始担任公 司独立董事。</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2"/>
          <w:szCs w:val="22"/>
        </w:rPr>
      </w:pPr>
    </w:p>
    <w:p>
      <w:pPr>
        <w:pStyle w:val="BodyText"/>
        <w:spacing w:line="357" w:lineRule="auto" w:before="0"/>
        <w:ind w:left="720" w:right="984" w:firstLine="60"/>
        <w:jc w:val="left"/>
      </w:pPr>
      <w:r>
        <w:rPr/>
        <w:t>（二十二）公司会计政策、会计估计变更或重大会计差错的原因及影响 报告期内，无会计政策、会计估计变更及会计差错更正事项。</w:t>
      </w:r>
    </w:p>
    <w:p>
      <w:pPr>
        <w:spacing w:line="240" w:lineRule="auto" w:before="0"/>
        <w:rPr>
          <w:rFonts w:ascii="宋体" w:hAnsi="宋体" w:cs="宋体" w:eastAsia="宋体" w:hint="default"/>
          <w:sz w:val="24"/>
          <w:szCs w:val="24"/>
        </w:rPr>
      </w:pPr>
    </w:p>
    <w:p>
      <w:pPr>
        <w:pStyle w:val="BodyText"/>
        <w:spacing w:line="240" w:lineRule="auto" w:before="190"/>
        <w:ind w:left="720" w:right="98"/>
        <w:jc w:val="left"/>
      </w:pPr>
      <w:r>
        <w:rPr/>
        <w:t>二、对公司未来发展的展望</w:t>
      </w:r>
    </w:p>
    <w:p>
      <w:pPr>
        <w:pStyle w:val="BodyText"/>
        <w:spacing w:line="240" w:lineRule="auto" w:before="154"/>
        <w:ind w:left="837" w:right="98"/>
        <w:jc w:val="left"/>
      </w:pPr>
      <w:r>
        <w:rPr/>
        <w:t>（一）行业的发展趋势</w:t>
      </w:r>
    </w:p>
    <w:p>
      <w:pPr>
        <w:spacing w:after="0" w:line="240" w:lineRule="auto"/>
        <w:jc w:val="left"/>
        <w:sectPr>
          <w:pgSz w:w="11910" w:h="16840"/>
          <w:pgMar w:header="877" w:footer="1048" w:top="1100" w:bottom="1240" w:left="1500" w:right="1180"/>
        </w:sectPr>
      </w:pPr>
    </w:p>
    <w:p>
      <w:pPr>
        <w:spacing w:line="240" w:lineRule="auto" w:before="7"/>
        <w:rPr>
          <w:rFonts w:ascii="宋体" w:hAnsi="宋体" w:cs="宋体" w:eastAsia="宋体" w:hint="default"/>
          <w:sz w:val="25"/>
          <w:szCs w:val="25"/>
        </w:rPr>
      </w:pPr>
    </w:p>
    <w:p>
      <w:pPr>
        <w:pStyle w:val="BodyText"/>
        <w:spacing w:line="338" w:lineRule="auto" w:before="26"/>
        <w:ind w:left="139" w:right="104" w:firstLine="537"/>
        <w:jc w:val="left"/>
      </w:pPr>
      <w:r>
        <w:rPr/>
        <w:t>随着离行式</w:t>
      </w:r>
      <w:r>
        <w:rPr>
          <w:spacing w:val="-51"/>
        </w:rPr>
        <w:t> </w:t>
      </w:r>
      <w:r>
        <w:rPr>
          <w:rFonts w:ascii="Times New Roman" w:hAnsi="Times New Roman" w:cs="Times New Roman" w:eastAsia="Times New Roman" w:hint="default"/>
          <w:spacing w:val="-9"/>
          <w:w w:val="99"/>
        </w:rPr>
        <w:t>ATM</w:t>
      </w:r>
      <w:r>
        <w:rPr>
          <w:spacing w:val="-9"/>
          <w:w w:val="99"/>
        </w:rPr>
        <w:t>（自助银行）的不断发展成熟和公众日益增长的金融服务需求，</w:t>
      </w:r>
      <w:r>
        <w:rPr>
          <w:spacing w:val="-1"/>
        </w:rPr>
        <w:t> </w:t>
      </w:r>
      <w:r>
        <w:rPr/>
        <w:t>我国</w:t>
      </w:r>
      <w:r>
        <w:rPr>
          <w:spacing w:val="-63"/>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3"/>
        </w:rPr>
        <w:t> </w:t>
      </w:r>
      <w:r>
        <w:rPr/>
        <w:t>行业的市场需求呈现稳步上升之势。</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年行业的发展动态如下：</w:t>
      </w:r>
    </w:p>
    <w:p>
      <w:pPr>
        <w:pStyle w:val="BodyText"/>
        <w:spacing w:line="338" w:lineRule="auto" w:before="27"/>
        <w:ind w:left="619" w:right="216"/>
        <w:jc w:val="left"/>
      </w:pPr>
      <w:r>
        <w:rPr>
          <w:rFonts w:ascii="Times New Roman" w:hAnsi="Times New Roman" w:cs="Times New Roman" w:eastAsia="Times New Roman" w:hint="default"/>
        </w:rPr>
        <w:t>1</w:t>
      </w:r>
      <w:r>
        <w:rPr/>
        <w:t>、银行卡发卡量持续稳定增长，促进</w:t>
      </w:r>
      <w:r>
        <w:rPr>
          <w:spacing w:val="-60"/>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rPr>
        <w:t> </w:t>
      </w:r>
      <w:r>
        <w:rPr/>
        <w:t>保有量快速增加 根据中国人民银行发布的《</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年第三季度支付体系运行总体情况》报告，截</w:t>
      </w:r>
    </w:p>
    <w:p>
      <w:pPr>
        <w:pStyle w:val="BodyText"/>
        <w:spacing w:line="240" w:lineRule="auto" w:before="27"/>
        <w:ind w:left="139" w:right="104"/>
        <w:jc w:val="left"/>
      </w:pPr>
      <w:r>
        <w:rPr/>
        <w:t>至</w:t>
      </w:r>
      <w:r>
        <w:rPr>
          <w:spacing w:val="-65"/>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5"/>
        </w:rPr>
        <w:t> </w:t>
      </w:r>
      <w:r>
        <w:rPr/>
        <w:t>年第三季度末，全国累计发行银行卡</w:t>
      </w:r>
      <w:r>
        <w:rPr>
          <w:spacing w:val="-65"/>
        </w:rPr>
        <w:t> </w:t>
      </w:r>
      <w:r>
        <w:rPr>
          <w:rFonts w:ascii="Times New Roman" w:hAnsi="Times New Roman" w:cs="Times New Roman" w:eastAsia="Times New Roman" w:hint="default"/>
        </w:rPr>
        <w:t>28.06</w:t>
      </w:r>
      <w:r>
        <w:rPr>
          <w:rFonts w:ascii="Times New Roman" w:hAnsi="Times New Roman" w:cs="Times New Roman" w:eastAsia="Times New Roman" w:hint="default"/>
          <w:spacing w:val="-5"/>
        </w:rPr>
        <w:t> </w:t>
      </w:r>
      <w:r>
        <w:rPr>
          <w:spacing w:val="-4"/>
        </w:rPr>
        <w:t>亿张，同比增长</w:t>
      </w:r>
      <w:r>
        <w:rPr>
          <w:spacing w:val="-65"/>
        </w:rPr>
        <w:t> </w:t>
      </w:r>
      <w:r>
        <w:rPr>
          <w:rFonts w:ascii="Times New Roman" w:hAnsi="Times New Roman" w:cs="Times New Roman" w:eastAsia="Times New Roman" w:hint="default"/>
          <w:spacing w:val="-3"/>
        </w:rPr>
        <w:t>17.90%</w:t>
      </w:r>
      <w:r>
        <w:rPr>
          <w:spacing w:val="-3"/>
        </w:rPr>
        <w:t>，增速较</w:t>
      </w:r>
    </w:p>
    <w:p>
      <w:pPr>
        <w:pStyle w:val="BodyText"/>
        <w:spacing w:line="338" w:lineRule="auto"/>
        <w:ind w:left="139" w:right="95"/>
        <w:jc w:val="left"/>
      </w:pPr>
      <w:r>
        <w:rPr/>
        <w:t>上年同期加快</w:t>
      </w:r>
      <w:r>
        <w:rPr>
          <w:spacing w:val="-66"/>
        </w:rPr>
        <w:t> </w:t>
      </w:r>
      <w:r>
        <w:rPr>
          <w:rFonts w:ascii="Times New Roman" w:hAnsi="Times New Roman" w:cs="Times New Roman" w:eastAsia="Times New Roman" w:hint="default"/>
        </w:rPr>
        <w:t>3.3</w:t>
      </w:r>
      <w:r>
        <w:rPr>
          <w:rFonts w:ascii="Times New Roman" w:hAnsi="Times New Roman" w:cs="Times New Roman" w:eastAsia="Times New Roman" w:hint="default"/>
          <w:spacing w:val="-6"/>
        </w:rPr>
        <w:t> </w:t>
      </w:r>
      <w:r>
        <w:rPr/>
        <w:t>个百分点。其中，借记卡发卡量为</w:t>
      </w:r>
      <w:r>
        <w:rPr>
          <w:spacing w:val="-66"/>
        </w:rPr>
        <w:t> </w:t>
      </w:r>
      <w:r>
        <w:rPr>
          <w:rFonts w:ascii="Times New Roman" w:hAnsi="Times New Roman" w:cs="Times New Roman" w:eastAsia="Times New Roman" w:hint="default"/>
        </w:rPr>
        <w:t>25.38</w:t>
      </w:r>
      <w:r>
        <w:rPr>
          <w:rFonts w:ascii="Times New Roman" w:hAnsi="Times New Roman" w:cs="Times New Roman" w:eastAsia="Times New Roman" w:hint="default"/>
          <w:spacing w:val="-6"/>
        </w:rPr>
        <w:t> </w:t>
      </w:r>
      <w:r>
        <w:rPr/>
        <w:t>亿张，同比增长</w:t>
      </w:r>
      <w:r>
        <w:rPr>
          <w:spacing w:val="-66"/>
        </w:rPr>
        <w:t> </w:t>
      </w:r>
      <w:r>
        <w:rPr>
          <w:rFonts w:ascii="Times New Roman" w:hAnsi="Times New Roman" w:cs="Times New Roman" w:eastAsia="Times New Roman" w:hint="default"/>
        </w:rPr>
        <w:t>17.60%</w:t>
      </w:r>
      <w:r>
        <w:rPr/>
        <w:t>， 占银行卡发卡量的</w:t>
      </w:r>
      <w:r>
        <w:rPr>
          <w:spacing w:val="-75"/>
        </w:rPr>
        <w:t> </w:t>
      </w:r>
      <w:r>
        <w:rPr>
          <w:rFonts w:ascii="Times New Roman" w:hAnsi="Times New Roman" w:cs="Times New Roman" w:eastAsia="Times New Roman" w:hint="default"/>
        </w:rPr>
        <w:t>90.45%</w:t>
      </w:r>
      <w:r>
        <w:rPr/>
        <w:t>。银行卡作为我国居民使用最广泛的非现金支付工具，其 发卡量还将保持增长趋势。</w:t>
      </w:r>
    </w:p>
    <w:p>
      <w:pPr>
        <w:pStyle w:val="BodyText"/>
        <w:spacing w:line="338" w:lineRule="auto" w:before="55"/>
        <w:ind w:left="139" w:right="231" w:firstLine="480"/>
        <w:jc w:val="both"/>
      </w:pPr>
      <w:r>
        <w:rPr>
          <w:spacing w:val="-3"/>
        </w:rPr>
        <w:t>银行卡发卡量的持续增长，促进了联网</w:t>
      </w:r>
      <w:r>
        <w:rPr>
          <w:spacing w:val="-53"/>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7"/>
        </w:rPr>
        <w:t> </w:t>
      </w:r>
      <w:r>
        <w:rPr>
          <w:spacing w:val="-4"/>
        </w:rPr>
        <w:t>的快速增加。中国银联最新数据显</w:t>
      </w:r>
      <w:r>
        <w:rPr/>
        <w:t> </w:t>
      </w:r>
      <w:r>
        <w:rPr>
          <w:spacing w:val="-6"/>
        </w:rPr>
        <w:t>示，截至</w:t>
      </w:r>
      <w:r>
        <w:rPr>
          <w:spacing w:val="-5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spacing w:val="-4"/>
        </w:rPr>
        <w:t>年底，全国联网</w:t>
      </w:r>
      <w:r>
        <w:rPr>
          <w:spacing w:val="-59"/>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1"/>
        </w:rPr>
        <w:t> </w:t>
      </w:r>
      <w:r>
        <w:rPr/>
        <w:t>数量为</w:t>
      </w:r>
      <w:r>
        <w:rPr>
          <w:spacing w:val="-59"/>
        </w:rPr>
        <w:t> </w:t>
      </w:r>
      <w:r>
        <w:rPr>
          <w:rFonts w:ascii="Times New Roman" w:hAnsi="Times New Roman" w:cs="Times New Roman" w:eastAsia="Times New Roman" w:hint="default"/>
        </w:rPr>
        <w:t>34.9</w:t>
      </w:r>
      <w:r>
        <w:rPr>
          <w:rFonts w:ascii="Times New Roman" w:hAnsi="Times New Roman" w:cs="Times New Roman" w:eastAsia="Times New Roman" w:hint="default"/>
          <w:spacing w:val="1"/>
        </w:rPr>
        <w:t> </w:t>
      </w:r>
      <w:r>
        <w:rPr>
          <w:spacing w:val="-6"/>
        </w:rPr>
        <w:t>万台，较</w:t>
      </w:r>
      <w:r>
        <w:rPr>
          <w:spacing w:val="-5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年新增</w:t>
      </w:r>
      <w:r>
        <w:rPr>
          <w:spacing w:val="-59"/>
        </w:rPr>
        <w:t> </w:t>
      </w:r>
      <w:r>
        <w:rPr>
          <w:rFonts w:ascii="Times New Roman" w:hAnsi="Times New Roman" w:cs="Times New Roman" w:eastAsia="Times New Roman" w:hint="default"/>
        </w:rPr>
        <w:t>7.8</w:t>
      </w:r>
      <w:r>
        <w:rPr>
          <w:rFonts w:ascii="Times New Roman" w:hAnsi="Times New Roman" w:cs="Times New Roman" w:eastAsia="Times New Roman" w:hint="default"/>
          <w:spacing w:val="1"/>
        </w:rPr>
        <w:t> </w:t>
      </w:r>
      <w:r>
        <w:rPr>
          <w:spacing w:val="-6"/>
        </w:rPr>
        <w:t>万台，增</w:t>
      </w:r>
      <w:r>
        <w:rPr/>
        <w:t> 长幅度为</w:t>
      </w:r>
      <w:r>
        <w:rPr>
          <w:spacing w:val="-46"/>
        </w:rPr>
        <w:t> </w:t>
      </w:r>
      <w:r>
        <w:rPr>
          <w:rFonts w:ascii="Times New Roman" w:hAnsi="Times New Roman" w:cs="Times New Roman" w:eastAsia="Times New Roman" w:hint="default"/>
        </w:rPr>
        <w:t>28.78%</w:t>
      </w:r>
      <w:r>
        <w:rPr/>
        <w:t>。虽然</w:t>
      </w:r>
      <w:r>
        <w:rPr>
          <w:spacing w:val="-46"/>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14"/>
        </w:rPr>
        <w:t> </w:t>
      </w:r>
      <w:r>
        <w:rPr/>
        <w:t>设备总保有量持续增加，但是与世界发达国家相比，</w:t>
      </w:r>
      <w:r>
        <w:rPr>
          <w:spacing w:val="-1"/>
        </w:rPr>
        <w:t> </w:t>
      </w:r>
      <w:r>
        <w:rPr/>
        <w:t>我国</w:t>
      </w:r>
      <w:r>
        <w:rPr>
          <w:spacing w:val="-63"/>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3"/>
        </w:rPr>
        <w:t> </w:t>
      </w:r>
      <w:r>
        <w:rPr>
          <w:spacing w:val="-5"/>
        </w:rPr>
        <w:t>发展仍处于较低水平，</w:t>
      </w:r>
      <w:r>
        <w:rPr>
          <w:rFonts w:ascii="Times New Roman" w:hAnsi="Times New Roman" w:cs="Times New Roman" w:eastAsia="Times New Roman" w:hint="default"/>
          <w:spacing w:val="-5"/>
        </w:rPr>
        <w:t>ATM</w:t>
      </w:r>
      <w:r>
        <w:rPr>
          <w:rFonts w:ascii="Times New Roman" w:hAnsi="Times New Roman" w:cs="Times New Roman" w:eastAsia="Times New Roman" w:hint="default"/>
          <w:spacing w:val="-3"/>
        </w:rPr>
        <w:t> </w:t>
      </w:r>
      <w:r>
        <w:rPr/>
        <w:t>保有量仍有较大的发展空间。截至</w:t>
      </w:r>
      <w:r>
        <w:rPr>
          <w:spacing w:val="-63"/>
        </w:rPr>
        <w:t> </w:t>
      </w:r>
      <w:r>
        <w:rPr>
          <w:rFonts w:ascii="Times New Roman" w:hAnsi="Times New Roman" w:cs="Times New Roman" w:eastAsia="Times New Roman" w:hint="default"/>
          <w:spacing w:val="-3"/>
        </w:rPr>
        <w:t>2011 </w:t>
      </w:r>
      <w:r>
        <w:rPr/>
        <w:t>年第 三季度末，我国每台</w:t>
      </w:r>
      <w:r>
        <w:rPr>
          <w:spacing w:val="-57"/>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3"/>
        </w:rPr>
        <w:t> </w:t>
      </w:r>
      <w:r>
        <w:rPr/>
        <w:t>对应的银行卡数量为</w:t>
      </w:r>
      <w:r>
        <w:rPr>
          <w:spacing w:val="-57"/>
        </w:rPr>
        <w:t> </w:t>
      </w:r>
      <w:r>
        <w:rPr>
          <w:rFonts w:ascii="Times New Roman" w:hAnsi="Times New Roman" w:cs="Times New Roman" w:eastAsia="Times New Roman" w:hint="default"/>
        </w:rPr>
        <w:t>0.91</w:t>
      </w:r>
      <w:r>
        <w:rPr>
          <w:rFonts w:ascii="Times New Roman" w:hAnsi="Times New Roman" w:cs="Times New Roman" w:eastAsia="Times New Roman" w:hint="default"/>
          <w:spacing w:val="3"/>
        </w:rPr>
        <w:t> </w:t>
      </w:r>
      <w:r>
        <w:rPr/>
        <w:t>万张，远高于国际</w:t>
      </w:r>
      <w:r>
        <w:rPr>
          <w:spacing w:val="-57"/>
        </w:rPr>
        <w:t> </w:t>
      </w:r>
      <w:r>
        <w:rPr>
          <w:rFonts w:ascii="Times New Roman" w:hAnsi="Times New Roman" w:cs="Times New Roman" w:eastAsia="Times New Roman" w:hint="default"/>
        </w:rPr>
        <w:t>0.40</w:t>
      </w:r>
      <w:r>
        <w:rPr>
          <w:rFonts w:ascii="Times New Roman" w:hAnsi="Times New Roman" w:cs="Times New Roman" w:eastAsia="Times New Roman" w:hint="default"/>
          <w:spacing w:val="3"/>
        </w:rPr>
        <w:t> </w:t>
      </w:r>
      <w:r>
        <w:rPr/>
        <w:t>万张的 标准配置水平，显示我国</w:t>
      </w:r>
      <w:r>
        <w:rPr>
          <w:spacing w:val="-60"/>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rPr>
        <w:t> </w:t>
      </w:r>
      <w:r>
        <w:rPr/>
        <w:t>市场需求仍然旺盛。</w:t>
      </w:r>
    </w:p>
    <w:p>
      <w:pPr>
        <w:pStyle w:val="BodyText"/>
        <w:spacing w:line="338" w:lineRule="auto" w:before="27"/>
        <w:ind w:left="619" w:right="104"/>
        <w:jc w:val="left"/>
      </w:pPr>
      <w:r>
        <w:rPr>
          <w:rFonts w:ascii="Times New Roman" w:hAnsi="Times New Roman" w:cs="Times New Roman" w:eastAsia="Times New Roman" w:hint="default"/>
        </w:rPr>
        <w:t>2</w:t>
      </w:r>
      <w:r>
        <w:rPr/>
        <w:t>、银行卡业务量持续大幅增长，</w:t>
      </w:r>
      <w:r>
        <w:rPr>
          <w:rFonts w:ascii="Times New Roman" w:hAnsi="Times New Roman" w:cs="Times New Roman" w:eastAsia="Times New Roman" w:hint="default"/>
        </w:rPr>
        <w:t>ATM</w:t>
      </w:r>
      <w:r>
        <w:rPr>
          <w:rFonts w:ascii="Times New Roman" w:hAnsi="Times New Roman" w:cs="Times New Roman" w:eastAsia="Times New Roman" w:hint="default"/>
          <w:spacing w:val="-1"/>
        </w:rPr>
        <w:t> </w:t>
      </w:r>
      <w:r>
        <w:rPr/>
        <w:t>存取款一体机需求增强 随着银行卡发行规模的不断扩大，银行受理网络加速向中小城市和广大农村地</w:t>
      </w:r>
    </w:p>
    <w:p>
      <w:pPr>
        <w:pStyle w:val="BodyText"/>
        <w:spacing w:line="240" w:lineRule="auto" w:before="55"/>
        <w:ind w:left="139" w:right="104"/>
        <w:jc w:val="left"/>
      </w:pPr>
      <w:r>
        <w:rPr/>
        <w:t>区延伸，社会公众的持卡、用卡意识进一步增强，推动银行卡交易连创新高。</w:t>
      </w:r>
    </w:p>
    <w:p>
      <w:pPr>
        <w:pStyle w:val="BodyText"/>
        <w:spacing w:line="240" w:lineRule="auto" w:before="154"/>
        <w:ind w:left="619" w:right="104"/>
        <w:jc w:val="left"/>
      </w:pPr>
      <w:r>
        <w:rPr/>
        <w:t>截至</w:t>
      </w:r>
      <w:r>
        <w:rPr>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8"/>
        </w:rPr>
        <w:t> </w:t>
      </w:r>
      <w:r>
        <w:rPr/>
        <w:t>年第三季度末，发生银行卡业务</w:t>
      </w:r>
      <w:r>
        <w:rPr>
          <w:spacing w:val="-53"/>
        </w:rPr>
        <w:t> </w:t>
      </w:r>
      <w:r>
        <w:rPr>
          <w:rFonts w:ascii="Times New Roman" w:hAnsi="Times New Roman" w:cs="Times New Roman" w:eastAsia="Times New Roman" w:hint="default"/>
        </w:rPr>
        <w:t>227.23</w:t>
      </w:r>
      <w:r>
        <w:rPr>
          <w:rFonts w:ascii="Times New Roman" w:hAnsi="Times New Roman" w:cs="Times New Roman" w:eastAsia="Times New Roman" w:hint="default"/>
          <w:spacing w:val="7"/>
        </w:rPr>
        <w:t> </w:t>
      </w:r>
      <w:r>
        <w:rPr/>
        <w:t>亿笔，同比增长</w:t>
      </w:r>
      <w:r>
        <w:rPr>
          <w:spacing w:val="-53"/>
        </w:rPr>
        <w:t> </w:t>
      </w:r>
      <w:r>
        <w:rPr>
          <w:rFonts w:ascii="Times New Roman" w:hAnsi="Times New Roman" w:cs="Times New Roman" w:eastAsia="Times New Roman" w:hint="default"/>
        </w:rPr>
        <w:t>22.33%</w:t>
      </w:r>
      <w:r>
        <w:rPr/>
        <w:t>；业</w:t>
      </w:r>
    </w:p>
    <w:p>
      <w:pPr>
        <w:pStyle w:val="BodyText"/>
        <w:spacing w:line="338" w:lineRule="auto"/>
        <w:ind w:left="139" w:right="233"/>
        <w:jc w:val="both"/>
      </w:pPr>
      <w:r>
        <w:rPr/>
        <w:t>务金额</w:t>
      </w:r>
      <w:r>
        <w:rPr>
          <w:spacing w:val="-58"/>
        </w:rPr>
        <w:t> </w:t>
      </w:r>
      <w:r>
        <w:rPr>
          <w:rFonts w:ascii="Times New Roman" w:hAnsi="Times New Roman" w:cs="Times New Roman" w:eastAsia="Times New Roman" w:hint="default"/>
        </w:rPr>
        <w:t>236.63</w:t>
      </w:r>
      <w:r>
        <w:rPr>
          <w:rFonts w:ascii="Times New Roman" w:hAnsi="Times New Roman" w:cs="Times New Roman" w:eastAsia="Times New Roman" w:hint="default"/>
          <w:spacing w:val="2"/>
        </w:rPr>
        <w:t> </w:t>
      </w:r>
      <w:r>
        <w:rPr>
          <w:spacing w:val="-5"/>
        </w:rPr>
        <w:t>万亿元，同比增长</w:t>
      </w:r>
      <w:r>
        <w:rPr>
          <w:spacing w:val="-58"/>
        </w:rPr>
        <w:t> </w:t>
      </w:r>
      <w:r>
        <w:rPr>
          <w:rFonts w:ascii="Times New Roman" w:hAnsi="Times New Roman" w:cs="Times New Roman" w:eastAsia="Times New Roman" w:hint="default"/>
          <w:spacing w:val="-6"/>
        </w:rPr>
        <w:t>35.85%</w:t>
      </w:r>
      <w:r>
        <w:rPr>
          <w:spacing w:val="-6"/>
        </w:rPr>
        <w:t>。其中，银行卡存现</w:t>
      </w:r>
      <w:r>
        <w:rPr>
          <w:spacing w:val="-58"/>
        </w:rPr>
        <w:t> </w:t>
      </w:r>
      <w:r>
        <w:rPr>
          <w:rFonts w:ascii="Times New Roman" w:hAnsi="Times New Roman" w:cs="Times New Roman" w:eastAsia="Times New Roman" w:hint="default"/>
        </w:rPr>
        <w:t>40.14</w:t>
      </w:r>
      <w:r>
        <w:rPr>
          <w:rFonts w:ascii="Times New Roman" w:hAnsi="Times New Roman" w:cs="Times New Roman" w:eastAsia="Times New Roman" w:hint="default"/>
          <w:spacing w:val="2"/>
        </w:rPr>
        <w:t> </w:t>
      </w:r>
      <w:r>
        <w:rPr>
          <w:spacing w:val="-8"/>
        </w:rPr>
        <w:t>亿笔，金额</w:t>
      </w:r>
      <w:r>
        <w:rPr>
          <w:spacing w:val="-58"/>
        </w:rPr>
        <w:t> </w:t>
      </w:r>
      <w:r>
        <w:rPr>
          <w:rFonts w:ascii="Times New Roman" w:hAnsi="Times New Roman" w:cs="Times New Roman" w:eastAsia="Times New Roman" w:hint="default"/>
        </w:rPr>
        <w:t>39.81 </w:t>
      </w:r>
      <w:r>
        <w:rPr/>
        <w:t>万亿元，同比分别增长</w:t>
      </w:r>
      <w:r>
        <w:rPr>
          <w:spacing w:val="-62"/>
        </w:rPr>
        <w:t> </w:t>
      </w:r>
      <w:r>
        <w:rPr>
          <w:rFonts w:ascii="Times New Roman" w:hAnsi="Times New Roman" w:cs="Times New Roman" w:eastAsia="Times New Roman" w:hint="default"/>
        </w:rPr>
        <w:t>19.04%</w:t>
      </w:r>
      <w:r>
        <w:rPr/>
        <w:t>和</w:t>
      </w:r>
      <w:r>
        <w:rPr>
          <w:spacing w:val="-62"/>
        </w:rPr>
        <w:t> </w:t>
      </w:r>
      <w:r>
        <w:rPr>
          <w:rFonts w:ascii="Times New Roman" w:hAnsi="Times New Roman" w:cs="Times New Roman" w:eastAsia="Times New Roman" w:hint="default"/>
          <w:spacing w:val="-3"/>
        </w:rPr>
        <w:t>25.11%</w:t>
      </w:r>
      <w:r>
        <w:rPr>
          <w:spacing w:val="-3"/>
        </w:rPr>
        <w:t>；取现</w:t>
      </w:r>
      <w:r>
        <w:rPr>
          <w:spacing w:val="-62"/>
        </w:rPr>
        <w:t> </w:t>
      </w:r>
      <w:r>
        <w:rPr>
          <w:rFonts w:ascii="Times New Roman" w:hAnsi="Times New Roman" w:cs="Times New Roman" w:eastAsia="Times New Roman" w:hint="default"/>
        </w:rPr>
        <w:t>101</w:t>
      </w:r>
      <w:r>
        <w:rPr>
          <w:rFonts w:ascii="Times New Roman" w:hAnsi="Times New Roman" w:cs="Times New Roman" w:eastAsia="Times New Roman" w:hint="default"/>
          <w:spacing w:val="-2"/>
        </w:rPr>
        <w:t> </w:t>
      </w:r>
      <w:r>
        <w:rPr>
          <w:spacing w:val="-3"/>
        </w:rPr>
        <w:t>亿笔，金额</w:t>
      </w:r>
      <w:r>
        <w:rPr>
          <w:spacing w:val="-62"/>
        </w:rPr>
        <w:t> </w:t>
      </w:r>
      <w:r>
        <w:rPr>
          <w:rFonts w:ascii="Times New Roman" w:hAnsi="Times New Roman" w:cs="Times New Roman" w:eastAsia="Times New Roman" w:hint="default"/>
        </w:rPr>
        <w:t>43.94</w:t>
      </w:r>
      <w:r>
        <w:rPr>
          <w:rFonts w:ascii="Times New Roman" w:hAnsi="Times New Roman" w:cs="Times New Roman" w:eastAsia="Times New Roman" w:hint="default"/>
          <w:spacing w:val="-2"/>
        </w:rPr>
        <w:t> </w:t>
      </w:r>
      <w:r>
        <w:rPr/>
        <w:t>万亿元，同比 分别增长</w:t>
      </w:r>
      <w:r>
        <w:rPr>
          <w:spacing w:val="-55"/>
        </w:rPr>
        <w:t> </w:t>
      </w:r>
      <w:r>
        <w:rPr>
          <w:rFonts w:ascii="Times New Roman" w:hAnsi="Times New Roman" w:cs="Times New Roman" w:eastAsia="Times New Roman" w:hint="default"/>
        </w:rPr>
        <w:t>18.94%</w:t>
      </w:r>
      <w:r>
        <w:rPr/>
        <w:t>和</w:t>
      </w:r>
      <w:r>
        <w:rPr>
          <w:spacing w:val="-55"/>
        </w:rPr>
        <w:t> </w:t>
      </w:r>
      <w:r>
        <w:rPr>
          <w:rFonts w:ascii="Times New Roman" w:hAnsi="Times New Roman" w:cs="Times New Roman" w:eastAsia="Times New Roman" w:hint="default"/>
        </w:rPr>
        <w:t>20.28%</w:t>
      </w:r>
      <w:r>
        <w:rPr/>
        <w:t>。随着银行卡存取现业务持续增长，</w:t>
      </w:r>
      <w:r>
        <w:rPr>
          <w:rFonts w:ascii="Times New Roman" w:hAnsi="Times New Roman" w:cs="Times New Roman" w:eastAsia="Times New Roman" w:hint="default"/>
        </w:rPr>
        <w:t>ATM</w:t>
      </w:r>
      <w:r>
        <w:rPr>
          <w:rFonts w:ascii="Times New Roman" w:hAnsi="Times New Roman" w:cs="Times New Roman" w:eastAsia="Times New Roman" w:hint="default"/>
          <w:spacing w:val="5"/>
        </w:rPr>
        <w:t> </w:t>
      </w:r>
      <w:r>
        <w:rPr/>
        <w:t>存取款一体机 的市场需求日益增强。</w:t>
      </w:r>
    </w:p>
    <w:p>
      <w:pPr>
        <w:pStyle w:val="BodyText"/>
        <w:spacing w:line="240" w:lineRule="auto" w:before="55"/>
        <w:ind w:left="620" w:right="104"/>
        <w:jc w:val="left"/>
      </w:pPr>
      <w:r>
        <w:rPr>
          <w:rFonts w:ascii="Times New Roman" w:hAnsi="Times New Roman" w:cs="Times New Roman" w:eastAsia="Times New Roman" w:hint="default"/>
        </w:rPr>
        <w:t>3</w:t>
      </w:r>
      <w:r>
        <w:rPr/>
        <w:t>、银行卡跨行支付业务继续快速增长，银行卡交易潜力进一步凸显</w:t>
      </w:r>
    </w:p>
    <w:p>
      <w:pPr>
        <w:pStyle w:val="BodyText"/>
        <w:spacing w:line="240" w:lineRule="auto"/>
        <w:ind w:left="620" w:right="104"/>
        <w:jc w:val="left"/>
      </w:pPr>
      <w:r>
        <w:rPr>
          <w:rFonts w:ascii="Times New Roman" w:hAnsi="Times New Roman" w:cs="Times New Roman" w:eastAsia="Times New Roman" w:hint="default"/>
          <w:spacing w:val="-3"/>
        </w:rPr>
        <w:t>2011 </w:t>
      </w:r>
      <w:r>
        <w:rPr>
          <w:spacing w:val="-3"/>
        </w:rPr>
        <w:t>年我国跨行交易业务量继续保持高速增长，截至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6"/>
        </w:rPr>
        <w:t> </w:t>
      </w:r>
      <w:r>
        <w:rPr>
          <w:spacing w:val="-7"/>
        </w:rPr>
        <w:t>年第三季度末，银行</w:t>
      </w:r>
    </w:p>
    <w:p>
      <w:pPr>
        <w:pStyle w:val="BodyText"/>
        <w:spacing w:line="240" w:lineRule="auto"/>
        <w:ind w:right="104"/>
        <w:jc w:val="left"/>
        <w:rPr>
          <w:rFonts w:ascii="Times New Roman" w:hAnsi="Times New Roman" w:cs="Times New Roman" w:eastAsia="Times New Roman" w:hint="default"/>
        </w:rPr>
      </w:pPr>
      <w:r>
        <w:rPr/>
        <w:t>卡跨行支付系统共处理业务 </w:t>
      </w:r>
      <w:r>
        <w:rPr>
          <w:rFonts w:ascii="Times New Roman" w:hAnsi="Times New Roman" w:cs="Times New Roman" w:eastAsia="Times New Roman" w:hint="default"/>
        </w:rPr>
        <w:t>49.69 </w:t>
      </w:r>
      <w:r>
        <w:rPr/>
        <w:t>亿笔，金额 </w:t>
      </w:r>
      <w:r>
        <w:rPr>
          <w:rFonts w:ascii="Times New Roman" w:hAnsi="Times New Roman" w:cs="Times New Roman" w:eastAsia="Times New Roman" w:hint="default"/>
        </w:rPr>
        <w:t>10.91 </w:t>
      </w:r>
      <w:r>
        <w:rPr/>
        <w:t>万亿元，同比分别增长</w:t>
      </w:r>
      <w:r>
        <w:rPr>
          <w:spacing w:val="-90"/>
        </w:rPr>
        <w:t> </w:t>
      </w:r>
      <w:r>
        <w:rPr>
          <w:rFonts w:ascii="Times New Roman" w:hAnsi="Times New Roman" w:cs="Times New Roman" w:eastAsia="Times New Roman" w:hint="default"/>
        </w:rPr>
        <w:t>23.51%</w:t>
      </w:r>
    </w:p>
    <w:p>
      <w:pPr>
        <w:pStyle w:val="BodyText"/>
        <w:spacing w:line="338" w:lineRule="auto"/>
        <w:ind w:left="139" w:right="215"/>
        <w:jc w:val="left"/>
      </w:pPr>
      <w:r>
        <w:rPr/>
        <w:t>和</w:t>
      </w:r>
      <w:r>
        <w:rPr>
          <w:spacing w:val="-66"/>
        </w:rPr>
        <w:t> </w:t>
      </w:r>
      <w:r>
        <w:rPr>
          <w:rFonts w:ascii="Times New Roman" w:hAnsi="Times New Roman" w:cs="Times New Roman" w:eastAsia="Times New Roman" w:hint="default"/>
        </w:rPr>
        <w:t>41.87%</w:t>
      </w:r>
      <w:r>
        <w:rPr/>
        <w:t>。日均处理业务笔数</w:t>
      </w:r>
      <w:r>
        <w:rPr>
          <w:spacing w:val="-66"/>
        </w:rPr>
        <w:t> </w:t>
      </w:r>
      <w:r>
        <w:rPr>
          <w:rFonts w:ascii="Times New Roman" w:hAnsi="Times New Roman" w:cs="Times New Roman" w:eastAsia="Times New Roman" w:hint="default"/>
        </w:rPr>
        <w:t>1820.15</w:t>
      </w:r>
      <w:r>
        <w:rPr>
          <w:rFonts w:ascii="Times New Roman" w:hAnsi="Times New Roman" w:cs="Times New Roman" w:eastAsia="Times New Roman" w:hint="default"/>
          <w:spacing w:val="-6"/>
        </w:rPr>
        <w:t> </w:t>
      </w:r>
      <w:r>
        <w:rPr/>
        <w:t>万笔，金额</w:t>
      </w:r>
      <w:r>
        <w:rPr>
          <w:spacing w:val="-66"/>
        </w:rPr>
        <w:t> </w:t>
      </w:r>
      <w:r>
        <w:rPr>
          <w:rFonts w:ascii="Times New Roman" w:hAnsi="Times New Roman" w:cs="Times New Roman" w:eastAsia="Times New Roman" w:hint="default"/>
        </w:rPr>
        <w:t>399.63</w:t>
      </w:r>
      <w:r>
        <w:rPr>
          <w:rFonts w:ascii="Times New Roman" w:hAnsi="Times New Roman" w:cs="Times New Roman" w:eastAsia="Times New Roman" w:hint="default"/>
          <w:spacing w:val="-6"/>
        </w:rPr>
        <w:t> </w:t>
      </w:r>
      <w:r>
        <w:rPr/>
        <w:t>亿元。银行卡跨行交易的 快速增长，将进一步刺激银行对</w:t>
      </w:r>
      <w:r>
        <w:rPr>
          <w:spacing w:val="-60"/>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rPr>
        <w:t> </w:t>
      </w:r>
      <w:r>
        <w:rPr/>
        <w:t>布放的需求。</w:t>
      </w:r>
    </w:p>
    <w:p>
      <w:pPr>
        <w:pStyle w:val="BodyText"/>
        <w:spacing w:line="240" w:lineRule="auto" w:before="27"/>
        <w:ind w:left="619" w:right="104"/>
        <w:jc w:val="left"/>
      </w:pPr>
      <w:r>
        <w:rPr>
          <w:rFonts w:ascii="Times New Roman" w:hAnsi="Times New Roman" w:cs="Times New Roman" w:eastAsia="Times New Roman" w:hint="default"/>
        </w:rPr>
        <w:t>4</w:t>
      </w:r>
      <w:r>
        <w:rPr/>
        <w:t>、银行卡在农村快速发展，村镇</w:t>
      </w:r>
      <w:r>
        <w:rPr>
          <w:spacing w:val="-60"/>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rPr>
        <w:t> </w:t>
      </w:r>
      <w:r>
        <w:rPr/>
        <w:t>蓝海市场显现</w:t>
      </w:r>
    </w:p>
    <w:p>
      <w:pPr>
        <w:pStyle w:val="BodyText"/>
        <w:spacing w:line="240" w:lineRule="auto"/>
        <w:ind w:left="619" w:right="104"/>
        <w:jc w:val="left"/>
      </w:pPr>
      <w:r>
        <w:rPr/>
        <w:t>目前我国的</w:t>
      </w:r>
      <w:r>
        <w:rPr>
          <w:spacing w:val="-53"/>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7"/>
        </w:rPr>
        <w:t> </w:t>
      </w:r>
      <w:r>
        <w:rPr>
          <w:spacing w:val="-4"/>
        </w:rPr>
        <w:t>设备仅在大、中城市及部分经济发达地区普及，在中小城市和</w:t>
      </w:r>
    </w:p>
    <w:p>
      <w:pPr>
        <w:spacing w:after="0" w:line="240" w:lineRule="auto"/>
        <w:jc w:val="left"/>
        <w:sectPr>
          <w:pgSz w:w="11910" w:h="16840"/>
          <w:pgMar w:header="877" w:footer="1048" w:top="1100" w:bottom="1240" w:left="1660" w:right="1180"/>
        </w:sectPr>
      </w:pPr>
    </w:p>
    <w:p>
      <w:pPr>
        <w:spacing w:line="240" w:lineRule="auto" w:before="7"/>
        <w:rPr>
          <w:rFonts w:ascii="宋体" w:hAnsi="宋体" w:cs="宋体" w:eastAsia="宋体" w:hint="default"/>
          <w:sz w:val="25"/>
          <w:szCs w:val="25"/>
        </w:rPr>
      </w:pPr>
    </w:p>
    <w:p>
      <w:pPr>
        <w:pStyle w:val="BodyText"/>
        <w:spacing w:line="338" w:lineRule="auto" w:before="26"/>
        <w:ind w:left="139" w:right="230"/>
        <w:jc w:val="both"/>
      </w:pPr>
      <w:r>
        <w:rPr/>
        <w:t>农村</w:t>
      </w:r>
      <w:r>
        <w:rPr>
          <w:spacing w:val="-47"/>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13"/>
        </w:rPr>
        <w:t> </w:t>
      </w:r>
      <w:r>
        <w:rPr>
          <w:spacing w:val="-4"/>
        </w:rPr>
        <w:t>设备的使用率和布放率都还很低。近年来随着国家对“三农”支持力度逐</w:t>
      </w:r>
      <w:r>
        <w:rPr>
          <w:spacing w:val="-117"/>
        </w:rPr>
        <w:t> </w:t>
      </w:r>
      <w:r>
        <w:rPr>
          <w:spacing w:val="-117"/>
        </w:rPr>
      </w:r>
      <w:r>
        <w:rPr>
          <w:spacing w:val="-8"/>
        </w:rPr>
        <w:t>年加强，并依托银行卡进行资金发放，银行卡在农村得到了快速发展，这为村镇</w:t>
      </w:r>
      <w:r>
        <w:rPr>
          <w:spacing w:val="-58"/>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w w:val="99"/>
        </w:rPr>
        <w:t> </w:t>
      </w:r>
      <w:r>
        <w:rPr/>
        <w:t>奠定了良好的市场基础。中国人民银行在</w:t>
      </w:r>
      <w:r>
        <w:rPr>
          <w:spacing w:val="-8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9"/>
        </w:rPr>
        <w:t> </w:t>
      </w:r>
      <w:r>
        <w:rPr/>
        <w:t>年发布的《关于推广银行卡助农取款</w:t>
      </w:r>
    </w:p>
    <w:p>
      <w:pPr>
        <w:pStyle w:val="BodyText"/>
        <w:spacing w:line="345" w:lineRule="auto" w:before="27"/>
        <w:ind w:left="139" w:right="230"/>
        <w:jc w:val="both"/>
      </w:pPr>
      <w:r>
        <w:rPr>
          <w:spacing w:val="-6"/>
        </w:rPr>
        <w:t>服务的通知》中提出，要在</w:t>
      </w:r>
      <w:r>
        <w:rPr>
          <w:spacing w:val="-60"/>
        </w:rPr>
        <w:t> </w:t>
      </w:r>
      <w:r>
        <w:rPr>
          <w:rFonts w:ascii="Times New Roman" w:hAnsi="Times New Roman" w:cs="Times New Roman" w:eastAsia="Times New Roman" w:hint="default"/>
        </w:rPr>
        <w:t>2013 </w:t>
      </w:r>
      <w:r>
        <w:rPr/>
        <w:t>年底前实现银行卡助农取款服务在全国农村乡镇及 行政村基本覆盖；在《关于改善农村地区支付服务环境的指导意见》中也提到，力</w:t>
      </w:r>
      <w:r>
        <w:rPr>
          <w:spacing w:val="-84"/>
        </w:rPr>
        <w:t> </w:t>
      </w:r>
      <w:r>
        <w:rPr>
          <w:spacing w:val="-84"/>
        </w:rPr>
      </w:r>
      <w:r>
        <w:rPr/>
        <w:t>争</w:t>
      </w:r>
      <w:r>
        <w:rPr>
          <w:spacing w:val="-46"/>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4"/>
        </w:rPr>
        <w:t> </w:t>
      </w:r>
      <w:r>
        <w:rPr/>
        <w:t>年</w:t>
      </w:r>
      <w:r>
        <w:rPr>
          <w:spacing w:val="-46"/>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14"/>
        </w:rPr>
        <w:t> </w:t>
      </w:r>
      <w:r>
        <w:rPr/>
        <w:t>在农村地区的布放数量达到</w:t>
      </w:r>
      <w:r>
        <w:rPr>
          <w:spacing w:val="-46"/>
        </w:rPr>
        <w:t> </w:t>
      </w:r>
      <w:r>
        <w:rPr>
          <w:rFonts w:ascii="Times New Roman" w:hAnsi="Times New Roman" w:cs="Times New Roman" w:eastAsia="Times New Roman" w:hint="default"/>
        </w:rPr>
        <w:t>6</w:t>
      </w:r>
      <w:r>
        <w:rPr>
          <w:rFonts w:ascii="Times New Roman" w:hAnsi="Times New Roman" w:cs="Times New Roman" w:eastAsia="Times New Roman" w:hint="default"/>
          <w:spacing w:val="14"/>
        </w:rPr>
        <w:t> </w:t>
      </w:r>
      <w:r>
        <w:rPr/>
        <w:t>万台，较贫困县实现</w:t>
      </w:r>
      <w:r>
        <w:rPr>
          <w:spacing w:val="-46"/>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15"/>
        </w:rPr>
        <w:t> </w:t>
      </w:r>
      <w:r>
        <w:rPr/>
        <w:t>布放零突 破。</w:t>
      </w:r>
    </w:p>
    <w:p>
      <w:pPr>
        <w:pStyle w:val="BodyText"/>
        <w:spacing w:line="240" w:lineRule="auto" w:before="48"/>
        <w:ind w:left="620" w:right="104"/>
        <w:jc w:val="left"/>
      </w:pPr>
      <w:r>
        <w:rPr/>
        <w:t>银监会数据显示，截至 </w:t>
      </w:r>
      <w:r>
        <w:rPr>
          <w:rFonts w:ascii="Times New Roman" w:hAnsi="Times New Roman" w:cs="Times New Roman" w:eastAsia="Times New Roman" w:hint="default"/>
          <w:spacing w:val="-3"/>
        </w:rPr>
        <w:t>2011 </w:t>
      </w:r>
      <w:r>
        <w:rPr>
          <w:rFonts w:ascii="Times New Roman" w:hAnsi="Times New Roman" w:cs="Times New Roman" w:eastAsia="Times New Roman" w:hint="default"/>
          <w:spacing w:val="48"/>
        </w:rPr>
        <w:t> </w:t>
      </w:r>
      <w:r>
        <w:rPr/>
        <w:t>年末，全国金融机构空白乡镇已经从两年之前的</w:t>
      </w:r>
    </w:p>
    <w:p>
      <w:pPr>
        <w:pStyle w:val="BodyText"/>
        <w:spacing w:line="338" w:lineRule="auto"/>
        <w:ind w:right="101"/>
        <w:jc w:val="left"/>
      </w:pPr>
      <w:r>
        <w:rPr>
          <w:rFonts w:ascii="Times New Roman" w:hAnsi="Times New Roman" w:cs="Times New Roman" w:eastAsia="Times New Roman" w:hint="default"/>
        </w:rPr>
        <w:t>2945 </w:t>
      </w:r>
      <w:r>
        <w:rPr/>
        <w:t>个减少到 </w:t>
      </w:r>
      <w:r>
        <w:rPr>
          <w:rFonts w:ascii="Times New Roman" w:hAnsi="Times New Roman" w:cs="Times New Roman" w:eastAsia="Times New Roman" w:hint="default"/>
        </w:rPr>
        <w:t>1696</w:t>
      </w:r>
      <w:r>
        <w:rPr>
          <w:rFonts w:ascii="Times New Roman" w:hAnsi="Times New Roman" w:cs="Times New Roman" w:eastAsia="Times New Roman" w:hint="default"/>
          <w:spacing w:val="-10"/>
        </w:rPr>
        <w:t> </w:t>
      </w:r>
      <w:r>
        <w:rPr/>
        <w:t>个，农村合作金融机构（农信社、农合行和农商行）总资产已 由约 </w:t>
      </w:r>
      <w:r>
        <w:rPr>
          <w:rFonts w:ascii="Times New Roman" w:hAnsi="Times New Roman" w:cs="Times New Roman" w:eastAsia="Times New Roman" w:hint="default"/>
        </w:rPr>
        <w:t>2 </w:t>
      </w:r>
      <w:r>
        <w:rPr/>
        <w:t>万亿元增至约 </w:t>
      </w:r>
      <w:r>
        <w:rPr>
          <w:rFonts w:ascii="Times New Roman" w:hAnsi="Times New Roman" w:cs="Times New Roman" w:eastAsia="Times New Roman" w:hint="default"/>
          <w:spacing w:val="-5"/>
        </w:rPr>
        <w:t>11 </w:t>
      </w:r>
      <w:r>
        <w:rPr>
          <w:spacing w:val="-4"/>
        </w:rPr>
        <w:t>万亿元，</w:t>
      </w:r>
      <w:r>
        <w:rPr>
          <w:rFonts w:ascii="Times New Roman" w:hAnsi="Times New Roman" w:cs="Times New Roman" w:eastAsia="Times New Roman" w:hint="default"/>
          <w:spacing w:val="-4"/>
        </w:rPr>
        <w:t>ATM</w:t>
      </w:r>
      <w:r>
        <w:rPr>
          <w:rFonts w:ascii="Times New Roman" w:hAnsi="Times New Roman" w:cs="Times New Roman" w:eastAsia="Times New Roman" w:hint="default"/>
          <w:spacing w:val="-24"/>
        </w:rPr>
        <w:t> </w:t>
      </w:r>
      <w:r>
        <w:rPr/>
        <w:t>成为金融机构在村镇市场以较低成本扩张的 </w:t>
      </w:r>
      <w:r>
        <w:rPr>
          <w:spacing w:val="-8"/>
        </w:rPr>
        <w:t>有效途径。此外，发改委在</w:t>
      </w:r>
      <w:r>
        <w:rPr>
          <w:spacing w:val="-5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spacing w:val="-5"/>
        </w:rPr>
        <w:t>日公布的《十二五规划纲要草案》中显示，</w:t>
      </w:r>
      <w:r>
        <w:rPr/>
        <w:t> 中国力争到</w:t>
      </w:r>
      <w:r>
        <w:rPr>
          <w:spacing w:val="-59"/>
        </w:rPr>
        <w:t> </w:t>
      </w:r>
      <w:r>
        <w:rPr>
          <w:rFonts w:ascii="Times New Roman" w:hAnsi="Times New Roman" w:cs="Times New Roman" w:eastAsia="Times New Roman" w:hint="default"/>
        </w:rPr>
        <w:t>2015</w:t>
      </w:r>
      <w:r>
        <w:rPr>
          <w:rFonts w:ascii="Times New Roman" w:hAnsi="Times New Roman" w:cs="Times New Roman" w:eastAsia="Times New Roman" w:hint="default"/>
          <w:spacing w:val="1"/>
        </w:rPr>
        <w:t> </w:t>
      </w:r>
      <w:r>
        <w:rPr/>
        <w:t>年城镇化率由现在的</w:t>
      </w:r>
      <w:r>
        <w:rPr>
          <w:spacing w:val="-59"/>
        </w:rPr>
        <w:t> </w:t>
      </w:r>
      <w:r>
        <w:rPr>
          <w:rFonts w:ascii="Times New Roman" w:hAnsi="Times New Roman" w:cs="Times New Roman" w:eastAsia="Times New Roman" w:hint="default"/>
        </w:rPr>
        <w:t>47.5%</w:t>
      </w:r>
      <w:r>
        <w:rPr/>
        <w:t>提高到</w:t>
      </w:r>
      <w:r>
        <w:rPr>
          <w:spacing w:val="-59"/>
        </w:rPr>
        <w:t> </w:t>
      </w:r>
      <w:r>
        <w:rPr>
          <w:rFonts w:ascii="Times New Roman" w:hAnsi="Times New Roman" w:cs="Times New Roman" w:eastAsia="Times New Roman" w:hint="default"/>
          <w:spacing w:val="-8"/>
        </w:rPr>
        <w:t>51.5%</w:t>
      </w:r>
      <w:r>
        <w:rPr>
          <w:spacing w:val="-8"/>
        </w:rPr>
        <w:t>。农村（村镇）</w:t>
      </w:r>
      <w:r>
        <w:rPr>
          <w:rFonts w:ascii="Times New Roman" w:hAnsi="Times New Roman" w:cs="Times New Roman" w:eastAsia="Times New Roman" w:hint="default"/>
          <w:spacing w:val="-8"/>
        </w:rPr>
        <w:t>ATM</w:t>
      </w:r>
      <w:r>
        <w:rPr>
          <w:rFonts w:ascii="Times New Roman" w:hAnsi="Times New Roman" w:cs="Times New Roman" w:eastAsia="Times New Roman" w:hint="default"/>
          <w:spacing w:val="1"/>
        </w:rPr>
        <w:t> </w:t>
      </w:r>
      <w:r>
        <w:rPr/>
        <w:t>市场</w:t>
      </w:r>
      <w:r>
        <w:rPr>
          <w:spacing w:val="-117"/>
        </w:rPr>
        <w:t> </w:t>
      </w:r>
      <w:r>
        <w:rPr/>
        <w:t>需求根基已现，这将成为今后几年中国</w:t>
      </w:r>
      <w:r>
        <w:rPr>
          <w:spacing w:val="-60"/>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rPr>
        <w:t> </w:t>
      </w:r>
      <w:r>
        <w:rPr/>
        <w:t>行业的新蓝海。</w:t>
      </w:r>
    </w:p>
    <w:p>
      <w:pPr>
        <w:spacing w:line="240" w:lineRule="auto" w:before="0"/>
        <w:rPr>
          <w:rFonts w:ascii="宋体" w:hAnsi="宋体" w:cs="宋体" w:eastAsia="宋体" w:hint="default"/>
          <w:sz w:val="24"/>
          <w:szCs w:val="24"/>
        </w:rPr>
      </w:pPr>
    </w:p>
    <w:p>
      <w:pPr>
        <w:pStyle w:val="BodyText"/>
        <w:spacing w:line="240" w:lineRule="auto" w:before="180"/>
        <w:ind w:left="680" w:right="104"/>
        <w:jc w:val="left"/>
      </w:pPr>
      <w:r>
        <w:rPr/>
        <w:t>（二）市场竞争格局</w:t>
      </w:r>
    </w:p>
    <w:p>
      <w:pPr>
        <w:pStyle w:val="BodyText"/>
        <w:spacing w:line="340" w:lineRule="auto" w:before="154"/>
        <w:ind w:right="109" w:firstLine="540"/>
        <w:jc w:val="left"/>
      </w:pPr>
      <w:r>
        <w:rPr/>
        <w:t>近几年，中国 </w:t>
      </w:r>
      <w:r>
        <w:rPr>
          <w:rFonts w:ascii="Times New Roman" w:hAnsi="Times New Roman" w:cs="Times New Roman" w:eastAsia="Times New Roman" w:hint="default"/>
        </w:rPr>
        <w:t>ATM </w:t>
      </w:r>
      <w:r>
        <w:rPr/>
        <w:t>行业的竞争格局基本稳定， </w:t>
      </w:r>
      <w:r>
        <w:rPr>
          <w:rFonts w:ascii="Times New Roman" w:hAnsi="Times New Roman" w:cs="Times New Roman" w:eastAsia="Times New Roman" w:hint="default"/>
        </w:rPr>
        <w:t>ATM</w:t>
      </w:r>
      <w:r>
        <w:rPr>
          <w:rFonts w:ascii="Times New Roman" w:hAnsi="Times New Roman" w:cs="Times New Roman" w:eastAsia="Times New Roman" w:hint="default"/>
          <w:spacing w:val="-1"/>
        </w:rPr>
        <w:t> </w:t>
      </w:r>
      <w:r>
        <w:rPr/>
        <w:t>市场仍然由进口品牌与 </w:t>
      </w:r>
      <w:r>
        <w:rPr>
          <w:spacing w:val="-12"/>
        </w:rPr>
        <w:t>国产品牌所分据。国外</w:t>
      </w:r>
      <w:r>
        <w:rPr>
          <w:spacing w:val="-62"/>
        </w:rPr>
        <w:t> </w:t>
      </w:r>
      <w:r>
        <w:rPr>
          <w:rFonts w:ascii="Times New Roman" w:hAnsi="Times New Roman" w:cs="Times New Roman" w:eastAsia="Times New Roman" w:hint="default"/>
          <w:spacing w:val="-10"/>
          <w:w w:val="99"/>
        </w:rPr>
        <w:t>ATM</w:t>
      </w:r>
      <w:r>
        <w:rPr>
          <w:rFonts w:ascii="Times New Roman" w:hAnsi="Times New Roman" w:cs="Times New Roman" w:eastAsia="Times New Roman" w:hint="default"/>
          <w:spacing w:val="-2"/>
          <w:w w:val="99"/>
        </w:rPr>
        <w:t> </w:t>
      </w:r>
      <w:r>
        <w:rPr>
          <w:spacing w:val="-14"/>
        </w:rPr>
        <w:t>供应商主要有：美国</w:t>
      </w:r>
      <w:r>
        <w:rPr>
          <w:spacing w:val="-62"/>
        </w:rPr>
        <w:t> </w:t>
      </w:r>
      <w:r>
        <w:rPr>
          <w:rFonts w:ascii="Times New Roman" w:hAnsi="Times New Roman" w:cs="Times New Roman" w:eastAsia="Times New Roman" w:hint="default"/>
          <w:spacing w:val="-18"/>
        </w:rPr>
        <w:t>NCR</w:t>
      </w:r>
      <w:r>
        <w:rPr>
          <w:spacing w:val="-18"/>
        </w:rPr>
        <w:t>、</w:t>
      </w:r>
      <w:r>
        <w:rPr>
          <w:rFonts w:ascii="Times New Roman" w:hAnsi="Times New Roman" w:cs="Times New Roman" w:eastAsia="Times New Roman" w:hint="default"/>
          <w:spacing w:val="-18"/>
        </w:rPr>
        <w:t>Diebold</w:t>
      </w:r>
      <w:r>
        <w:rPr>
          <w:spacing w:val="-18"/>
        </w:rPr>
        <w:t>，德国</w:t>
      </w:r>
      <w:r>
        <w:rPr>
          <w:spacing w:val="-61"/>
        </w:rPr>
        <w:t> </w:t>
      </w:r>
      <w:r>
        <w:rPr>
          <w:rFonts w:ascii="Times New Roman" w:hAnsi="Times New Roman" w:cs="Times New Roman" w:eastAsia="Times New Roman" w:hint="default"/>
          <w:spacing w:val="-2"/>
        </w:rPr>
        <w:t>Wincor</w:t>
      </w:r>
      <w:r>
        <w:rPr>
          <w:rFonts w:ascii="Times New Roman" w:hAnsi="Times New Roman" w:cs="Times New Roman" w:eastAsia="Times New Roman" w:hint="default"/>
          <w:spacing w:val="3"/>
        </w:rPr>
        <w:t> </w:t>
      </w:r>
      <w:r>
        <w:rPr>
          <w:rFonts w:ascii="Times New Roman" w:hAnsi="Times New Roman" w:cs="Times New Roman" w:eastAsia="Times New Roman" w:hint="default"/>
        </w:rPr>
        <w:t>Nixdorf</w:t>
      </w:r>
      <w:r>
        <w:rPr/>
        <w:t>、 日本</w:t>
      </w:r>
      <w:r>
        <w:rPr>
          <w:spacing w:val="-62"/>
        </w:rPr>
        <w:t> </w:t>
      </w:r>
      <w:r>
        <w:rPr>
          <w:rFonts w:ascii="Times New Roman" w:hAnsi="Times New Roman" w:cs="Times New Roman" w:eastAsia="Times New Roman" w:hint="default"/>
        </w:rPr>
        <w:t>Hitachi</w:t>
      </w:r>
      <w:r>
        <w:rPr/>
        <w:t>、</w:t>
      </w:r>
      <w:r>
        <w:rPr>
          <w:rFonts w:ascii="Times New Roman" w:hAnsi="Times New Roman" w:cs="Times New Roman" w:eastAsia="Times New Roman" w:hint="default"/>
        </w:rPr>
        <w:t>Fujitsu</w:t>
      </w:r>
      <w:r>
        <w:rPr/>
        <w:t>、</w:t>
      </w:r>
      <w:r>
        <w:rPr>
          <w:rFonts w:ascii="Times New Roman" w:hAnsi="Times New Roman" w:cs="Times New Roman" w:eastAsia="Times New Roman" w:hint="default"/>
        </w:rPr>
        <w:t>OKI</w:t>
      </w:r>
      <w:r>
        <w:rPr/>
        <w:t>，韩国</w:t>
      </w:r>
      <w:r>
        <w:rPr>
          <w:spacing w:val="-62"/>
        </w:rPr>
        <w:t> </w:t>
      </w:r>
      <w:r>
        <w:rPr>
          <w:rFonts w:ascii="Times New Roman" w:hAnsi="Times New Roman" w:cs="Times New Roman" w:eastAsia="Times New Roman" w:hint="default"/>
        </w:rPr>
        <w:t>Hyosung</w:t>
      </w:r>
      <w:r>
        <w:rPr>
          <w:rFonts w:ascii="Times New Roman" w:hAnsi="Times New Roman" w:cs="Times New Roman" w:eastAsia="Times New Roman" w:hint="default"/>
          <w:spacing w:val="-2"/>
        </w:rPr>
        <w:t> </w:t>
      </w:r>
      <w:r>
        <w:rPr/>
        <w:t>等；国内</w:t>
      </w:r>
      <w:r>
        <w:rPr>
          <w:spacing w:val="-62"/>
        </w:rPr>
        <w:t> </w:t>
      </w:r>
      <w:r>
        <w:rPr>
          <w:rFonts w:ascii="Arial" w:hAnsi="Arial" w:cs="Arial" w:eastAsia="Arial" w:hint="default"/>
          <w:spacing w:val="-6"/>
        </w:rPr>
        <w:t>ATM</w:t>
      </w:r>
      <w:r>
        <w:rPr>
          <w:rFonts w:ascii="Arial" w:hAnsi="Arial" w:cs="Arial" w:eastAsia="Arial" w:hint="default"/>
          <w:spacing w:val="-9"/>
        </w:rPr>
        <w:t> </w:t>
      </w:r>
      <w:r>
        <w:rPr/>
        <w:t>供应商主要有：本公司、</w:t>
      </w:r>
      <w:r>
        <w:rPr>
          <w:w w:val="99"/>
        </w:rPr>
        <w:t> </w:t>
      </w:r>
      <w:r>
        <w:rPr/>
        <w:t>广电运通、深圳怡化、东方通信、南天信息等。随着国家政策大力提倡自主创新，</w:t>
      </w:r>
      <w:r>
        <w:rPr>
          <w:spacing w:val="-84"/>
        </w:rPr>
        <w:t> </w:t>
      </w:r>
      <w:r>
        <w:rPr>
          <w:spacing w:val="-84"/>
        </w:rPr>
      </w:r>
      <w:r>
        <w:rPr/>
        <w:t>相关政策扶持自主创新与产业化，加上国产 </w:t>
      </w:r>
      <w:r>
        <w:rPr>
          <w:rFonts w:ascii="Times New Roman" w:hAnsi="Times New Roman" w:cs="Times New Roman" w:eastAsia="Times New Roman" w:hint="default"/>
        </w:rPr>
        <w:t>ATM</w:t>
      </w:r>
      <w:r>
        <w:rPr>
          <w:rFonts w:ascii="Times New Roman" w:hAnsi="Times New Roman" w:cs="Times New Roman" w:eastAsia="Times New Roman" w:hint="default"/>
          <w:spacing w:val="55"/>
        </w:rPr>
        <w:t> </w:t>
      </w:r>
      <w:r>
        <w:rPr/>
        <w:t>品牌具有外国品牌所不具备的本 土化优势，近年来，国产 </w:t>
      </w:r>
      <w:r>
        <w:rPr>
          <w:rFonts w:ascii="Times New Roman" w:hAnsi="Times New Roman" w:cs="Times New Roman" w:eastAsia="Times New Roman" w:hint="default"/>
        </w:rPr>
        <w:t>ATM</w:t>
      </w:r>
      <w:r>
        <w:rPr>
          <w:rFonts w:ascii="Times New Roman" w:hAnsi="Times New Roman" w:cs="Times New Roman" w:eastAsia="Times New Roman" w:hint="default"/>
          <w:spacing w:val="55"/>
        </w:rPr>
        <w:t> </w:t>
      </w:r>
      <w:r>
        <w:rPr/>
        <w:t>品牌获得了更好的发展，其增长速度已远远高于外 国厂商。</w:t>
      </w:r>
    </w:p>
    <w:p>
      <w:pPr>
        <w:spacing w:line="240" w:lineRule="auto" w:before="0"/>
        <w:rPr>
          <w:rFonts w:ascii="宋体" w:hAnsi="宋体" w:cs="宋体" w:eastAsia="宋体" w:hint="default"/>
          <w:sz w:val="24"/>
          <w:szCs w:val="24"/>
        </w:rPr>
      </w:pPr>
    </w:p>
    <w:p>
      <w:pPr>
        <w:pStyle w:val="BodyText"/>
        <w:spacing w:line="240" w:lineRule="auto" w:before="207"/>
        <w:ind w:left="677" w:right="104"/>
        <w:jc w:val="left"/>
      </w:pPr>
      <w:r>
        <w:rPr/>
        <w:t>（三）公司发展战略及年度经营计划</w:t>
      </w:r>
    </w:p>
    <w:p>
      <w:pPr>
        <w:pStyle w:val="BodyText"/>
        <w:spacing w:line="338" w:lineRule="auto" w:before="154"/>
        <w:ind w:left="680" w:right="104" w:hanging="3"/>
        <w:jc w:val="left"/>
      </w:pPr>
      <w:r>
        <w:rPr>
          <w:rFonts w:ascii="Times New Roman" w:hAnsi="Times New Roman" w:cs="Times New Roman" w:eastAsia="Times New Roman" w:hint="default"/>
        </w:rPr>
        <w:t>1</w:t>
      </w:r>
      <w:r>
        <w:rPr/>
        <w:t>、公司发展战略 </w:t>
      </w:r>
      <w:r>
        <w:rPr>
          <w:spacing w:val="-1"/>
        </w:rPr>
        <w:t>公司将按照国家产业政策导向，抓住我国国民经济快速发展的有利时机，通过</w:t>
      </w:r>
    </w:p>
    <w:p>
      <w:pPr>
        <w:pStyle w:val="BodyText"/>
        <w:spacing w:line="357" w:lineRule="auto" w:before="55"/>
        <w:ind w:right="230"/>
        <w:jc w:val="both"/>
      </w:pPr>
      <w:r>
        <w:rPr/>
        <w:t>不断创新，追求卓越，使公司在市场竞争中不断发展壮大，成为提供银行自助产品</w:t>
      </w:r>
      <w:r>
        <w:rPr>
          <w:spacing w:val="-84"/>
        </w:rPr>
        <w:t> </w:t>
      </w:r>
      <w:r>
        <w:rPr>
          <w:spacing w:val="-84"/>
        </w:rPr>
      </w:r>
      <w:r>
        <w:rPr/>
        <w:t>世界级研发生产基地；公司坚持技术领先战略、质量保障战略、市场扩张战略的战</w:t>
      </w:r>
      <w:r>
        <w:rPr>
          <w:spacing w:val="-84"/>
        </w:rPr>
        <w:t> </w:t>
      </w:r>
      <w:r>
        <w:rPr>
          <w:spacing w:val="-84"/>
        </w:rPr>
      </w:r>
      <w:r>
        <w:rPr/>
        <w:t>略指导思想，从而实现“国内一流企业、国际知名品牌”长期战略目标，树立全球</w:t>
      </w:r>
    </w:p>
    <w:p>
      <w:pPr>
        <w:spacing w:after="0" w:line="357" w:lineRule="auto"/>
        <w:jc w:val="both"/>
        <w:sectPr>
          <w:pgSz w:w="11910" w:h="16840"/>
          <w:pgMar w:header="877" w:footer="1048" w:top="1100" w:bottom="1240" w:left="1660" w:right="1180"/>
        </w:sectPr>
      </w:pPr>
    </w:p>
    <w:p>
      <w:pPr>
        <w:spacing w:line="240" w:lineRule="auto" w:before="7"/>
        <w:rPr>
          <w:rFonts w:ascii="宋体" w:hAnsi="宋体" w:cs="宋体" w:eastAsia="宋体" w:hint="default"/>
          <w:sz w:val="25"/>
          <w:szCs w:val="25"/>
        </w:rPr>
      </w:pPr>
    </w:p>
    <w:p>
      <w:pPr>
        <w:pStyle w:val="BodyText"/>
        <w:spacing w:line="240" w:lineRule="auto" w:before="26"/>
        <w:ind w:right="104"/>
        <w:jc w:val="left"/>
      </w:pPr>
      <w:r>
        <w:rPr/>
        <w:t>性的强势品牌。</w:t>
      </w:r>
    </w:p>
    <w:p>
      <w:pPr>
        <w:pStyle w:val="BodyText"/>
        <w:spacing w:line="240" w:lineRule="auto" w:before="154"/>
        <w:ind w:left="680" w:right="104"/>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2012 </w:t>
      </w:r>
      <w:r>
        <w:rPr/>
        <w:t>年度经营计划</w:t>
      </w:r>
    </w:p>
    <w:p>
      <w:pPr>
        <w:pStyle w:val="BodyText"/>
        <w:spacing w:line="338" w:lineRule="auto"/>
        <w:ind w:right="162" w:firstLine="540"/>
        <w:jc w:val="both"/>
      </w:pPr>
      <w:r>
        <w:rPr>
          <w:rFonts w:ascii="Times New Roman" w:hAnsi="Times New Roman" w:cs="Times New Roman" w:eastAsia="Times New Roman" w:hint="default"/>
        </w:rPr>
        <w:t>2012 </w:t>
      </w:r>
      <w:r>
        <w:rPr/>
        <w:t>年，公司将坚持董事会既定的战略目标，把握市场机遇，积极迎接挑战， 提升业绩，为股东提供良好的投资回报。</w:t>
      </w:r>
      <w:r>
        <w:rPr>
          <w:rFonts w:ascii="Times New Roman" w:hAnsi="Times New Roman" w:cs="Times New Roman" w:eastAsia="Times New Roman" w:hint="default"/>
        </w:rPr>
        <w:t>2012 </w:t>
      </w:r>
      <w:r>
        <w:rPr/>
        <w:t>年的业绩目标为：以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年经审计</w:t>
      </w:r>
      <w:r>
        <w:rPr>
          <w:spacing w:val="-1"/>
        </w:rPr>
        <w:t> </w:t>
      </w:r>
      <w:r>
        <w:rPr>
          <w:spacing w:val="-5"/>
        </w:rPr>
        <w:t>的净利润为基数，公司</w:t>
      </w:r>
      <w:r>
        <w:rPr>
          <w:spacing w:val="-61"/>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年度经审计净利润较</w:t>
      </w:r>
      <w:r>
        <w:rPr>
          <w:spacing w:val="-5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年增长拟超过</w:t>
      </w:r>
      <w:r>
        <w:rPr>
          <w:spacing w:val="-59"/>
        </w:rPr>
        <w:t> </w:t>
      </w:r>
      <w:r>
        <w:rPr>
          <w:rFonts w:ascii="Times New Roman" w:hAnsi="Times New Roman" w:cs="Times New Roman" w:eastAsia="Times New Roman" w:hint="default"/>
          <w:spacing w:val="-6"/>
        </w:rPr>
        <w:t>160%</w:t>
      </w:r>
      <w:r>
        <w:rPr>
          <w:spacing w:val="-6"/>
        </w:rPr>
        <w:t>。为实现</w:t>
      </w:r>
    </w:p>
    <w:p>
      <w:pPr>
        <w:pStyle w:val="BodyText"/>
        <w:spacing w:line="240" w:lineRule="auto" w:before="27"/>
        <w:ind w:right="104"/>
        <w:jc w:val="left"/>
      </w:pPr>
      <w:r>
        <w:rPr>
          <w:rFonts w:ascii="Times New Roman" w:hAnsi="Times New Roman" w:cs="Times New Roman" w:eastAsia="Times New Roman" w:hint="default"/>
        </w:rPr>
        <w:t>2012 </w:t>
      </w:r>
      <w:r>
        <w:rPr/>
        <w:t>年的经营目标，公司将围绕以下重点，抓好各项经营管理工作：</w:t>
      </w:r>
    </w:p>
    <w:p>
      <w:pPr>
        <w:pStyle w:val="BodyText"/>
        <w:spacing w:line="338" w:lineRule="auto"/>
        <w:ind w:left="620" w:right="104"/>
        <w:jc w:val="left"/>
      </w:pPr>
      <w:r>
        <w:rPr/>
        <w:t>（</w:t>
      </w:r>
      <w:r>
        <w:rPr>
          <w:rFonts w:ascii="Times New Roman" w:hAnsi="Times New Roman" w:cs="Times New Roman" w:eastAsia="Times New Roman" w:hint="default"/>
        </w:rPr>
        <w:t>1</w:t>
      </w:r>
      <w:r>
        <w:rPr/>
        <w:t>）提升品牌，扩张产能 为了满足迅速增长的市场需求和公司业务快速发展的要求，提升公司研发实力</w:t>
      </w:r>
    </w:p>
    <w:p>
      <w:pPr>
        <w:pStyle w:val="BodyText"/>
        <w:spacing w:line="338" w:lineRule="auto" w:before="55"/>
        <w:ind w:right="220"/>
        <w:jc w:val="left"/>
      </w:pPr>
      <w:r>
        <w:rPr>
          <w:spacing w:val="-3"/>
        </w:rPr>
        <w:t>和品牌形象，公司入驻天河智慧城，拟投资建设御银科技大厦、科研中心及</w:t>
      </w:r>
      <w:r>
        <w:rPr>
          <w:spacing w:val="-60"/>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rPr>
        <w:t> </w:t>
      </w:r>
      <w:r>
        <w:rPr/>
        <w:t>网 络运营中心，并依托天河智慧城这个大平台塑造公司全球知名品牌形象。</w:t>
      </w:r>
    </w:p>
    <w:p>
      <w:pPr>
        <w:pStyle w:val="BodyText"/>
        <w:spacing w:line="352" w:lineRule="auto" w:before="55"/>
        <w:ind w:right="230" w:firstLine="480"/>
        <w:jc w:val="both"/>
      </w:pPr>
      <w:r>
        <w:rPr/>
        <w:t>此外，公司全资控股子公司御银自动柜员机已签订《国有建设用地使用权出让</w:t>
      </w:r>
      <w:r>
        <w:rPr>
          <w:spacing w:val="1"/>
        </w:rPr>
        <w:t> </w:t>
      </w:r>
      <w:r>
        <w:rPr/>
        <w:t>合同》并支付土地购买价款，选址在广州开发区科学城，基地建设稳步推进中，计</w:t>
      </w:r>
      <w:r>
        <w:rPr>
          <w:spacing w:val="-84"/>
        </w:rPr>
        <w:t> </w:t>
      </w:r>
      <w:r>
        <w:rPr>
          <w:spacing w:val="-84"/>
        </w:rPr>
      </w:r>
      <w:r>
        <w:rPr/>
        <w:t>划建设超过</w:t>
      </w:r>
      <w:r>
        <w:rPr>
          <w:spacing w:val="-56"/>
        </w:rPr>
        <w:t> </w:t>
      </w:r>
      <w:r>
        <w:rPr>
          <w:rFonts w:ascii="Times New Roman" w:hAnsi="Times New Roman" w:cs="Times New Roman" w:eastAsia="Times New Roman" w:hint="default"/>
        </w:rPr>
        <w:t>35,000</w:t>
      </w:r>
      <w:r>
        <w:rPr>
          <w:rFonts w:ascii="Times New Roman" w:hAnsi="Times New Roman" w:cs="Times New Roman" w:eastAsia="Times New Roman" w:hint="default"/>
          <w:spacing w:val="4"/>
        </w:rPr>
        <w:t> </w:t>
      </w:r>
      <w:r>
        <w:rPr>
          <w:spacing w:val="-4"/>
        </w:rPr>
        <w:t>平方米的厂房，届时公司的年生产能力将新增超过</w:t>
      </w:r>
      <w:r>
        <w:rPr>
          <w:spacing w:val="-56"/>
        </w:rPr>
        <w:t> </w:t>
      </w:r>
      <w:r>
        <w:rPr>
          <w:rFonts w:ascii="Times New Roman" w:hAnsi="Times New Roman" w:cs="Times New Roman" w:eastAsia="Times New Roman" w:hint="default"/>
        </w:rPr>
        <w:t>30,000</w:t>
      </w:r>
      <w:r>
        <w:rPr>
          <w:rFonts w:ascii="Times New Roman" w:hAnsi="Times New Roman" w:cs="Times New Roman" w:eastAsia="Times New Roman" w:hint="default"/>
          <w:spacing w:val="4"/>
        </w:rPr>
        <w:t> </w:t>
      </w:r>
      <w:r>
        <w:rPr/>
        <w:t>台的生 产规模。生产能力的扩张将有助于公司近年业绩指标的实现，并将对公司的长期发</w:t>
      </w:r>
      <w:r>
        <w:rPr>
          <w:spacing w:val="-84"/>
        </w:rPr>
        <w:t> </w:t>
      </w:r>
      <w:r>
        <w:rPr>
          <w:spacing w:val="-84"/>
        </w:rPr>
      </w:r>
      <w:r>
        <w:rPr/>
        <w:t>展战略的实现奠定坚实的基础。</w:t>
      </w:r>
    </w:p>
    <w:p>
      <w:pPr>
        <w:pStyle w:val="BodyText"/>
        <w:spacing w:line="338" w:lineRule="auto" w:before="41"/>
        <w:ind w:left="680" w:right="218"/>
        <w:jc w:val="left"/>
      </w:pPr>
      <w:r>
        <w:rPr/>
        <w:t>（</w:t>
      </w:r>
      <w:r>
        <w:rPr>
          <w:rFonts w:ascii="Times New Roman" w:hAnsi="Times New Roman" w:cs="Times New Roman" w:eastAsia="Times New Roman" w:hint="default"/>
        </w:rPr>
        <w:t>2</w:t>
      </w:r>
      <w:r>
        <w:rPr/>
        <w:t>）持续推进募投项目建设 报告期内，公司积极有效的推进募投项目建设，截至</w:t>
      </w:r>
      <w:r>
        <w:rPr>
          <w:spacing w:val="-4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0"/>
        </w:rPr>
        <w:t> </w:t>
      </w:r>
      <w:r>
        <w:rPr/>
        <w:t>年</w:t>
      </w:r>
      <w:r>
        <w:rPr>
          <w:spacing w:val="-40"/>
        </w:rPr>
        <w:t> </w:t>
      </w:r>
      <w:r>
        <w:rPr>
          <w:rFonts w:ascii="Times New Roman" w:hAnsi="Times New Roman" w:cs="Times New Roman" w:eastAsia="Times New Roman" w:hint="default"/>
        </w:rPr>
        <w:t>12</w:t>
      </w:r>
      <w:r>
        <w:rPr>
          <w:rFonts w:ascii="Times New Roman" w:hAnsi="Times New Roman" w:cs="Times New Roman" w:eastAsia="Times New Roman" w:hint="default"/>
          <w:spacing w:val="19"/>
        </w:rPr>
        <w:t> </w:t>
      </w:r>
      <w:r>
        <w:rPr/>
        <w:t>月</w:t>
      </w:r>
      <w:r>
        <w:rPr>
          <w:spacing w:val="-41"/>
        </w:rPr>
        <w:t> </w:t>
      </w:r>
      <w:r>
        <w:rPr>
          <w:rFonts w:ascii="Times New Roman" w:hAnsi="Times New Roman" w:cs="Times New Roman" w:eastAsia="Times New Roman" w:hint="default"/>
        </w:rPr>
        <w:t>31</w:t>
      </w:r>
      <w:r>
        <w:rPr>
          <w:rFonts w:ascii="Times New Roman" w:hAnsi="Times New Roman" w:cs="Times New Roman" w:eastAsia="Times New Roman" w:hint="default"/>
          <w:spacing w:val="20"/>
        </w:rPr>
        <w:t> </w:t>
      </w:r>
      <w:r>
        <w:rPr/>
        <w:t>日，已</w:t>
      </w:r>
    </w:p>
    <w:p>
      <w:pPr>
        <w:pStyle w:val="BodyText"/>
        <w:spacing w:line="338" w:lineRule="auto" w:before="27"/>
        <w:ind w:right="100"/>
        <w:jc w:val="left"/>
      </w:pPr>
      <w:r>
        <w:rPr/>
        <w:t>完成对合作运营</w:t>
      </w:r>
      <w:r>
        <w:rPr>
          <w:spacing w:val="-57"/>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5"/>
        </w:rPr>
        <w:t> </w:t>
      </w:r>
      <w:r>
        <w:rPr/>
        <w:t>网络建设项目的投资建设（其于</w:t>
      </w:r>
      <w:r>
        <w:rPr>
          <w:spacing w:val="-57"/>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10</w:t>
      </w:r>
      <w:r>
        <w:rPr>
          <w:rFonts w:ascii="Times New Roman" w:hAnsi="Times New Roman" w:cs="Times New Roman" w:eastAsia="Times New Roman" w:hint="default"/>
          <w:spacing w:val="4"/>
        </w:rPr>
        <w:t> </w:t>
      </w:r>
      <w:r>
        <w:rPr/>
        <w:t>月</w:t>
      </w:r>
      <w:r>
        <w:rPr>
          <w:spacing w:val="-57"/>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日达到预定 </w:t>
      </w:r>
      <w:r>
        <w:rPr>
          <w:spacing w:val="-24"/>
        </w:rPr>
        <w:t>可使用状态），并且对</w:t>
      </w:r>
      <w:r>
        <w:rPr>
          <w:spacing w:val="-80"/>
        </w:rPr>
        <w:t> </w:t>
      </w:r>
      <w:r>
        <w:rPr>
          <w:rFonts w:ascii="Times New Roman" w:hAnsi="Times New Roman" w:cs="Times New Roman" w:eastAsia="Times New Roman" w:hint="default"/>
          <w:spacing w:val="-10"/>
          <w:w w:val="99"/>
        </w:rPr>
        <w:t>ATM</w:t>
      </w:r>
      <w:r>
        <w:rPr>
          <w:rFonts w:ascii="Times New Roman" w:hAnsi="Times New Roman" w:cs="Times New Roman" w:eastAsia="Times New Roman" w:hint="default"/>
          <w:spacing w:val="-19"/>
          <w:w w:val="99"/>
        </w:rPr>
        <w:t> </w:t>
      </w:r>
      <w:r>
        <w:rPr/>
        <w:t>融资租赁运营服务项目的投入已达计划投资额的</w:t>
      </w:r>
      <w:r>
        <w:rPr>
          <w:spacing w:val="-80"/>
        </w:rPr>
        <w:t> </w:t>
      </w:r>
      <w:r>
        <w:rPr>
          <w:rFonts w:ascii="Times New Roman" w:hAnsi="Times New Roman" w:cs="Times New Roman" w:eastAsia="Times New Roman" w:hint="default"/>
        </w:rPr>
        <w:t>84.33%</w:t>
      </w:r>
      <w:r>
        <w:rPr/>
        <w:t>。</w:t>
      </w:r>
    </w:p>
    <w:p>
      <w:pPr>
        <w:pStyle w:val="BodyText"/>
        <w:spacing w:line="350" w:lineRule="auto" w:before="27"/>
        <w:ind w:right="99" w:firstLine="540"/>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8"/>
        </w:rPr>
        <w:t> </w:t>
      </w:r>
      <w:r>
        <w:rPr>
          <w:spacing w:val="-3"/>
        </w:rPr>
        <w:t>年公司将继续积极有效的推进募投项目建设，努力提高募投项目的运营收</w:t>
      </w:r>
      <w:r>
        <w:rPr/>
        <w:t> 益、降低运营风险，使募投项目给投资者带来良好的收益。随着募投项目的有效推</w:t>
      </w:r>
      <w:r>
        <w:rPr>
          <w:spacing w:val="-84"/>
        </w:rPr>
        <w:t> </w:t>
      </w:r>
      <w:r>
        <w:rPr>
          <w:spacing w:val="-84"/>
        </w:rPr>
      </w:r>
      <w:r>
        <w:rPr>
          <w:spacing w:val="-22"/>
        </w:rPr>
        <w:t>进，预计</w:t>
      </w:r>
      <w:r>
        <w:rPr>
          <w:spacing w:val="-60"/>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rPr>
        <w:t> </w:t>
      </w:r>
      <w:r>
        <w:rPr/>
        <w:t>融资租赁运营服务项目将于</w:t>
      </w:r>
      <w:r>
        <w:rPr>
          <w:spacing w:val="-60"/>
        </w:rPr>
        <w:t> </w:t>
      </w:r>
      <w:r>
        <w:rPr>
          <w:rFonts w:ascii="Times New Roman" w:hAnsi="Times New Roman" w:cs="Times New Roman" w:eastAsia="Times New Roman" w:hint="default"/>
        </w:rPr>
        <w:t>2012 </w:t>
      </w:r>
      <w:r>
        <w:rPr/>
        <w:t>年</w:t>
      </w:r>
      <w:r>
        <w:rPr>
          <w:spacing w:val="-60"/>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rPr>
        <w:t> </w:t>
      </w:r>
      <w:r>
        <w:rPr/>
        <w:t>月</w:t>
      </w:r>
      <w:r>
        <w:rPr>
          <w:spacing w:val="-60"/>
        </w:rPr>
        <w:t> </w:t>
      </w:r>
      <w:r>
        <w:rPr>
          <w:rFonts w:ascii="Times New Roman" w:hAnsi="Times New Roman" w:cs="Times New Roman" w:eastAsia="Times New Roman" w:hint="default"/>
        </w:rPr>
        <w:t>30 </w:t>
      </w:r>
      <w:r>
        <w:rPr/>
        <w:t>日达到预定可使用状态。 该项目的完成可以给公司带来比较稳定的收入和现金流入，增强了公司经营现金流</w:t>
      </w:r>
      <w:r>
        <w:rPr>
          <w:spacing w:val="-84"/>
        </w:rPr>
        <w:t> </w:t>
      </w:r>
      <w:r>
        <w:rPr>
          <w:spacing w:val="-84"/>
        </w:rPr>
      </w:r>
      <w:r>
        <w:rPr/>
        <w:t>入的稳定性，为公司的持续增长和规模的快速扩张打下了良好的基础。同时该项目</w:t>
      </w:r>
      <w:r>
        <w:rPr>
          <w:spacing w:val="-84"/>
        </w:rPr>
        <w:t> </w:t>
      </w:r>
      <w:r>
        <w:rPr>
          <w:spacing w:val="-84"/>
        </w:rPr>
      </w:r>
      <w:r>
        <w:rPr/>
        <w:t>具有低风险的特点，随着该项目的收入占公司总收入比例的提升，公司的经营风险</w:t>
      </w:r>
      <w:r>
        <w:rPr>
          <w:spacing w:val="-84"/>
        </w:rPr>
        <w:t> </w:t>
      </w:r>
      <w:r>
        <w:rPr>
          <w:spacing w:val="-84"/>
        </w:rPr>
      </w:r>
      <w:r>
        <w:rPr/>
        <w:t>也会相应降低。</w:t>
      </w:r>
    </w:p>
    <w:p>
      <w:pPr>
        <w:pStyle w:val="BodyText"/>
        <w:spacing w:line="240" w:lineRule="auto" w:before="43"/>
        <w:ind w:left="680" w:right="104"/>
        <w:jc w:val="left"/>
      </w:pPr>
      <w:r>
        <w:rPr/>
        <w:t>（</w:t>
      </w:r>
      <w:r>
        <w:rPr>
          <w:rFonts w:ascii="Times New Roman" w:hAnsi="Times New Roman" w:cs="Times New Roman" w:eastAsia="Times New Roman" w:hint="default"/>
        </w:rPr>
        <w:t>3</w:t>
      </w:r>
      <w:r>
        <w:rPr/>
        <w:t>）加强后台服务系统建设，提升客服竞争优势</w:t>
      </w:r>
    </w:p>
    <w:p>
      <w:pPr>
        <w:pStyle w:val="BodyText"/>
        <w:spacing w:line="338" w:lineRule="auto"/>
        <w:ind w:right="230" w:firstLine="480"/>
        <w:jc w:val="both"/>
      </w:pPr>
      <w:r>
        <w:rPr>
          <w:rFonts w:ascii="Times New Roman" w:hAnsi="Times New Roman" w:cs="Times New Roman" w:eastAsia="Times New Roman" w:hint="default"/>
        </w:rPr>
        <w:t>2012</w:t>
      </w:r>
      <w:r>
        <w:rPr>
          <w:rFonts w:ascii="Times New Roman" w:hAnsi="Times New Roman" w:cs="Times New Roman" w:eastAsia="Times New Roman" w:hint="default"/>
          <w:spacing w:val="-9"/>
        </w:rPr>
        <w:t> </w:t>
      </w:r>
      <w:r>
        <w:rPr/>
        <w:t>年公司将加强对后台服务系统的开发和建设，提高客服服务效率，降低客 服服务成本。通过对后台服务系统的模块化、程序化开发，利用云计算、物联网等</w:t>
      </w:r>
    </w:p>
    <w:p>
      <w:pPr>
        <w:spacing w:after="0" w:line="338" w:lineRule="auto"/>
        <w:jc w:val="both"/>
        <w:sectPr>
          <w:pgSz w:w="11910" w:h="16840"/>
          <w:pgMar w:header="877" w:footer="1048" w:top="1100" w:bottom="1240" w:left="1660" w:right="1180"/>
        </w:sectPr>
      </w:pPr>
    </w:p>
    <w:p>
      <w:pPr>
        <w:spacing w:line="240" w:lineRule="auto" w:before="7"/>
        <w:rPr>
          <w:rFonts w:ascii="宋体" w:hAnsi="宋体" w:cs="宋体" w:eastAsia="宋体" w:hint="default"/>
          <w:sz w:val="25"/>
          <w:szCs w:val="25"/>
        </w:rPr>
      </w:pPr>
    </w:p>
    <w:p>
      <w:pPr>
        <w:pStyle w:val="BodyText"/>
        <w:spacing w:line="240" w:lineRule="auto" w:before="26"/>
        <w:ind w:right="104"/>
        <w:jc w:val="left"/>
      </w:pPr>
      <w:r>
        <w:rPr/>
        <w:t>最新网络技术实现远程即时维护和服务，从而大大节省维修成本、提升服务质量。</w:t>
      </w:r>
    </w:p>
    <w:p>
      <w:pPr>
        <w:pStyle w:val="BodyText"/>
        <w:spacing w:line="338" w:lineRule="auto" w:before="154"/>
        <w:ind w:left="620" w:right="104"/>
        <w:jc w:val="left"/>
      </w:pPr>
      <w:r>
        <w:rPr/>
        <w:t>（</w:t>
      </w:r>
      <w:r>
        <w:rPr>
          <w:rFonts w:ascii="Times New Roman" w:hAnsi="Times New Roman" w:cs="Times New Roman" w:eastAsia="Times New Roman" w:hint="default"/>
        </w:rPr>
        <w:t>4</w:t>
      </w:r>
      <w:r>
        <w:rPr/>
        <w:t>）加强维护服务管理，提升维护服务收入 随着公司销售机器的不断增长，已过免费维护期的销售机器不断的增加，维护</w:t>
      </w:r>
    </w:p>
    <w:p>
      <w:pPr>
        <w:pStyle w:val="BodyText"/>
        <w:spacing w:line="357" w:lineRule="auto" w:before="55"/>
        <w:ind w:right="104"/>
        <w:jc w:val="left"/>
      </w:pPr>
      <w:r>
        <w:rPr/>
        <w:t>收入的规模化效益明显增强。为此，公司将对其进行全面的梳理，加强对已过免费</w:t>
      </w:r>
      <w:r>
        <w:rPr>
          <w:spacing w:val="-84"/>
        </w:rPr>
        <w:t> </w:t>
      </w:r>
      <w:r>
        <w:rPr>
          <w:spacing w:val="-84"/>
        </w:rPr>
      </w:r>
      <w:r>
        <w:rPr/>
        <w:t>维护期机器的维护服务管理，收取合理的维护费用，提升公司的维护服务收入。</w:t>
      </w:r>
    </w:p>
    <w:p>
      <w:pPr>
        <w:pStyle w:val="BodyText"/>
        <w:spacing w:line="240" w:lineRule="auto" w:before="36"/>
        <w:ind w:left="680" w:right="104"/>
        <w:jc w:val="left"/>
      </w:pPr>
      <w:r>
        <w:rPr/>
        <w:t>（</w:t>
      </w:r>
      <w:r>
        <w:rPr>
          <w:rFonts w:ascii="Times New Roman" w:hAnsi="Times New Roman" w:cs="Times New Roman" w:eastAsia="Times New Roman" w:hint="default"/>
        </w:rPr>
        <w:t>5</w:t>
      </w:r>
      <w:r>
        <w:rPr/>
        <w:t>）市场开发与营销网络建设</w:t>
      </w:r>
    </w:p>
    <w:p>
      <w:pPr>
        <w:pStyle w:val="BodyText"/>
        <w:spacing w:line="345" w:lineRule="auto"/>
        <w:ind w:right="97" w:firstLine="540"/>
        <w:jc w:val="left"/>
      </w:pPr>
      <w:r>
        <w:rPr>
          <w:rFonts w:ascii="Times New Roman" w:hAnsi="Times New Roman" w:cs="Times New Roman" w:eastAsia="Times New Roman" w:hint="default"/>
          <w:spacing w:val="-2"/>
        </w:rPr>
        <w:t>A</w:t>
      </w:r>
      <w:r>
        <w:rPr>
          <w:spacing w:val="-2"/>
        </w:rPr>
        <w:t>、在产品销售市场，公司将充分利用在中国建设银行、邮政总局的在位优势，</w:t>
      </w:r>
      <w:r>
        <w:rPr/>
        <w:t> 进一步提升采购份额，巩固公司在其国产品牌供应商的龙头地位；公司作为中国农</w:t>
      </w:r>
      <w:r>
        <w:rPr>
          <w:spacing w:val="-84"/>
        </w:rPr>
        <w:t> </w:t>
      </w:r>
      <w:r>
        <w:rPr>
          <w:spacing w:val="-84"/>
        </w:rPr>
      </w:r>
      <w:r>
        <w:rPr>
          <w:spacing w:val="-8"/>
        </w:rPr>
        <w:t>业银行的入围供应商，目前已经在重庆农行、安徽农行顺利开展</w:t>
      </w:r>
      <w:r>
        <w:rPr>
          <w:spacing w:val="-56"/>
        </w:rPr>
        <w:t> </w:t>
      </w:r>
      <w:r>
        <w:rPr>
          <w:rFonts w:ascii="Times New Roman" w:hAnsi="Times New Roman" w:cs="Times New Roman" w:eastAsia="Times New Roman" w:hint="default"/>
          <w:spacing w:val="-10"/>
          <w:w w:val="99"/>
        </w:rPr>
        <w:t>ATM</w:t>
      </w:r>
      <w:r>
        <w:rPr>
          <w:rFonts w:ascii="Times New Roman" w:hAnsi="Times New Roman" w:cs="Times New Roman" w:eastAsia="Times New Roman" w:hint="default"/>
          <w:spacing w:val="4"/>
          <w:w w:val="99"/>
        </w:rPr>
        <w:t> </w:t>
      </w:r>
      <w:r>
        <w:rPr/>
        <w:t>合作运营业务， 以期取得销售订单突破。</w:t>
      </w:r>
    </w:p>
    <w:p>
      <w:pPr>
        <w:pStyle w:val="BodyText"/>
        <w:spacing w:line="338" w:lineRule="auto" w:before="48"/>
        <w:ind w:right="233" w:firstLine="480"/>
        <w:jc w:val="both"/>
      </w:pPr>
      <w:r>
        <w:rPr>
          <w:rFonts w:ascii="Times New Roman" w:hAnsi="Times New Roman" w:cs="Times New Roman" w:eastAsia="Times New Roman" w:hint="default"/>
          <w:spacing w:val="-3"/>
        </w:rPr>
        <w:t>B</w:t>
      </w:r>
      <w:r>
        <w:rPr>
          <w:spacing w:val="-3"/>
        </w:rPr>
        <w:t>、在</w:t>
      </w:r>
      <w:r>
        <w:rPr>
          <w:spacing w:val="-65"/>
        </w:rPr>
        <w:t> </w:t>
      </w:r>
      <w:r>
        <w:rPr>
          <w:rFonts w:ascii="Times New Roman" w:hAnsi="Times New Roman" w:cs="Times New Roman" w:eastAsia="Times New Roman" w:hint="default"/>
          <w:spacing w:val="-9"/>
        </w:rPr>
        <w:t>ATM</w:t>
      </w:r>
      <w:r>
        <w:rPr>
          <w:rFonts w:ascii="Times New Roman" w:hAnsi="Times New Roman" w:cs="Times New Roman" w:eastAsia="Times New Roman" w:hint="default"/>
          <w:spacing w:val="-5"/>
        </w:rPr>
        <w:t> </w:t>
      </w:r>
      <w:r>
        <w:rPr/>
        <w:t>运营及融资租赁市场，借助市场对存取款一体机的强烈需求，巩固 公司在</w:t>
      </w:r>
      <w:r>
        <w:rPr>
          <w:spacing w:val="-48"/>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12"/>
        </w:rPr>
        <w:t> </w:t>
      </w:r>
      <w:r>
        <w:rPr>
          <w:spacing w:val="-4"/>
        </w:rPr>
        <w:t>运营服务方面的领先地位，发挥公司在运营业务的选点、成本、维护和</w:t>
      </w:r>
      <w:r>
        <w:rPr>
          <w:spacing w:val="-118"/>
        </w:rPr>
        <w:t> </w:t>
      </w:r>
      <w:r>
        <w:rPr>
          <w:spacing w:val="-118"/>
        </w:rPr>
      </w:r>
      <w:r>
        <w:rPr/>
        <w:t>规模等优势，不断开辟新的运营服务市场。</w:t>
      </w:r>
    </w:p>
    <w:p>
      <w:pPr>
        <w:pStyle w:val="BodyText"/>
        <w:spacing w:line="338" w:lineRule="auto" w:before="55"/>
        <w:ind w:right="232" w:firstLine="480"/>
        <w:jc w:val="both"/>
      </w:pPr>
      <w:r>
        <w:rPr>
          <w:rFonts w:ascii="Times New Roman" w:hAnsi="Times New Roman" w:cs="Times New Roman" w:eastAsia="Times New Roman" w:hint="default"/>
          <w:spacing w:val="-4"/>
        </w:rPr>
        <w:t>C</w:t>
      </w:r>
      <w:r>
        <w:rPr>
          <w:spacing w:val="-4"/>
        </w:rPr>
        <w:t>、在积极开发国内市场的同时，公司重点打造国际市场，全力铺设海外营销网</w:t>
      </w:r>
      <w:r>
        <w:rPr/>
        <w:t> 络，积极参与国际市场竞争，树立品牌国际影响力。</w:t>
      </w:r>
    </w:p>
    <w:p>
      <w:pPr>
        <w:pStyle w:val="BodyText"/>
        <w:spacing w:line="338" w:lineRule="auto" w:before="55"/>
        <w:ind w:right="227" w:firstLine="480"/>
        <w:jc w:val="both"/>
      </w:pPr>
      <w:r>
        <w:rPr>
          <w:rFonts w:ascii="Times New Roman" w:hAnsi="Times New Roman" w:cs="Times New Roman" w:eastAsia="Times New Roman" w:hint="default"/>
          <w:spacing w:val="3"/>
        </w:rPr>
        <w:t>D</w:t>
      </w:r>
      <w:r>
        <w:rPr>
          <w:spacing w:val="3"/>
        </w:rPr>
        <w:t>、拓展金融服务外包业务，加深与银行的合作关系，以服务带动市场，培养 </w:t>
      </w:r>
      <w:r>
        <w:rPr/>
        <w:t>新的利润增长点，促进公司</w:t>
      </w:r>
      <w:r>
        <w:rPr>
          <w:spacing w:val="-60"/>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rPr>
        <w:t> </w:t>
      </w:r>
      <w:r>
        <w:rPr/>
        <w:t>销售及营运业务的整体发展。</w:t>
      </w:r>
    </w:p>
    <w:p>
      <w:pPr>
        <w:pStyle w:val="BodyText"/>
        <w:spacing w:line="338" w:lineRule="auto" w:before="27"/>
        <w:ind w:left="620" w:right="104"/>
        <w:jc w:val="left"/>
      </w:pPr>
      <w:r>
        <w:rPr/>
        <w:t>（</w:t>
      </w:r>
      <w:r>
        <w:rPr>
          <w:rFonts w:ascii="Times New Roman" w:hAnsi="Times New Roman" w:cs="Times New Roman" w:eastAsia="Times New Roman" w:hint="default"/>
        </w:rPr>
        <w:t>6</w:t>
      </w:r>
      <w:r>
        <w:rPr/>
        <w:t>）加强人才培养，储备有用之才 公司将全面强化人才队伍建设，拓宽选用人才的思路和视野，通过内部培训、</w:t>
      </w:r>
    </w:p>
    <w:p>
      <w:pPr>
        <w:pStyle w:val="BodyText"/>
        <w:spacing w:line="357" w:lineRule="auto" w:before="55"/>
        <w:ind w:right="98"/>
        <w:jc w:val="left"/>
      </w:pPr>
      <w:r>
        <w:rPr>
          <w:spacing w:val="-2"/>
        </w:rPr>
        <w:t>外部培养、人才引进等多种方式，前瞻性地储备人才，在满足公司现实需要的同时，</w:t>
      </w:r>
      <w:r>
        <w:rPr>
          <w:spacing w:val="-115"/>
        </w:rPr>
        <w:t> </w:t>
      </w:r>
      <w:r>
        <w:rPr>
          <w:spacing w:val="-115"/>
        </w:rPr>
      </w:r>
      <w:r>
        <w:rPr/>
        <w:t>为企业快速发展储备一批可用之才。同时，公司将不断完善绩效评价运行体系和企</w:t>
      </w:r>
      <w:r>
        <w:rPr>
          <w:spacing w:val="-84"/>
        </w:rPr>
        <w:t> </w:t>
      </w:r>
      <w:r>
        <w:rPr>
          <w:spacing w:val="-84"/>
        </w:rPr>
      </w:r>
      <w:r>
        <w:rPr/>
        <w:t>业文化，为公司员工营造良好的工作和生活环境，使其具有良好的归属感，从而稳</w:t>
      </w:r>
      <w:r>
        <w:rPr>
          <w:spacing w:val="-84"/>
        </w:rPr>
        <w:t> </w:t>
      </w:r>
      <w:r>
        <w:rPr>
          <w:spacing w:val="-84"/>
        </w:rPr>
      </w:r>
      <w:r>
        <w:rPr/>
        <w:t>定公司的人才队伍。</w:t>
      </w:r>
    </w:p>
    <w:p>
      <w:pPr>
        <w:pStyle w:val="BodyText"/>
        <w:spacing w:line="240" w:lineRule="auto" w:before="36"/>
        <w:ind w:left="620" w:right="104"/>
        <w:jc w:val="left"/>
      </w:pPr>
      <w:r>
        <w:rPr/>
        <w:t>（</w:t>
      </w:r>
      <w:r>
        <w:rPr>
          <w:rFonts w:ascii="Times New Roman" w:hAnsi="Times New Roman" w:cs="Times New Roman" w:eastAsia="Times New Roman" w:hint="default"/>
        </w:rPr>
        <w:t>7</w:t>
      </w:r>
      <w:r>
        <w:rPr/>
        <w:t>）加强研发投入，提升核心竞争力</w:t>
      </w:r>
    </w:p>
    <w:p>
      <w:pPr>
        <w:pStyle w:val="BodyText"/>
        <w:spacing w:line="338" w:lineRule="auto"/>
        <w:ind w:right="170" w:firstLine="480"/>
        <w:jc w:val="both"/>
      </w:pPr>
      <w:r>
        <w:rPr/>
        <w:t>经过多年的积累，公司基本掌握了 </w:t>
      </w:r>
      <w:r>
        <w:rPr>
          <w:rFonts w:ascii="Times New Roman" w:hAnsi="Times New Roman" w:cs="Times New Roman" w:eastAsia="Times New Roman" w:hint="default"/>
          <w:spacing w:val="-10"/>
        </w:rPr>
        <w:t>ATM </w:t>
      </w:r>
      <w:r>
        <w:rPr/>
        <w:t>设备研发生产的先进核心技术，</w:t>
      </w:r>
      <w:r>
        <w:rPr>
          <w:spacing w:val="-25"/>
        </w:rPr>
        <w:t> </w:t>
      </w:r>
      <w:r>
        <w:rPr>
          <w:rFonts w:ascii="Times New Roman" w:hAnsi="Times New Roman" w:cs="Times New Roman" w:eastAsia="Times New Roman" w:hint="default"/>
        </w:rPr>
        <w:t>2012 </w:t>
      </w:r>
      <w:r>
        <w:rPr/>
        <w:t>年公司将在</w:t>
      </w:r>
      <w:r>
        <w:rPr>
          <w:spacing w:val="-5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年的基础上，通过研发进一步降低成本，提高产品竞争力。同时， 公司将加大研发技术储备，提高公司整体核心竞争力。</w:t>
      </w:r>
    </w:p>
    <w:p>
      <w:pPr>
        <w:pStyle w:val="BodyText"/>
        <w:spacing w:line="338" w:lineRule="auto" w:before="55"/>
        <w:ind w:left="620" w:right="94"/>
        <w:jc w:val="left"/>
      </w:pPr>
      <w:r>
        <w:rPr/>
        <w:t>（</w:t>
      </w:r>
      <w:r>
        <w:rPr>
          <w:rFonts w:ascii="Times New Roman" w:hAnsi="Times New Roman" w:cs="Times New Roman" w:eastAsia="Times New Roman" w:hint="default"/>
        </w:rPr>
        <w:t>8</w:t>
      </w:r>
      <w:r>
        <w:rPr/>
        <w:t>）加强内部控制管理，完善公司治理机构 </w:t>
      </w:r>
      <w:r>
        <w:rPr>
          <w:spacing w:val="-2"/>
        </w:rPr>
        <w:t>公司将全面落实和完善内部控制管理，从公司治理、财务管理、人力资源管理、</w:t>
      </w:r>
    </w:p>
    <w:p>
      <w:pPr>
        <w:spacing w:after="0" w:line="338" w:lineRule="auto"/>
        <w:jc w:val="left"/>
        <w:sectPr>
          <w:pgSz w:w="11910" w:h="16840"/>
          <w:pgMar w:header="877" w:footer="1048" w:top="1100" w:bottom="1240" w:left="1660" w:right="1180"/>
        </w:sectPr>
      </w:pPr>
    </w:p>
    <w:p>
      <w:pPr>
        <w:spacing w:line="240" w:lineRule="auto" w:before="7"/>
        <w:rPr>
          <w:rFonts w:ascii="宋体" w:hAnsi="宋体" w:cs="宋体" w:eastAsia="宋体" w:hint="default"/>
          <w:sz w:val="25"/>
          <w:szCs w:val="25"/>
        </w:rPr>
      </w:pPr>
    </w:p>
    <w:p>
      <w:pPr>
        <w:pStyle w:val="BodyText"/>
        <w:spacing w:line="357" w:lineRule="auto" w:before="26"/>
        <w:ind w:right="230"/>
        <w:jc w:val="both"/>
      </w:pPr>
      <w:r>
        <w:rPr/>
        <w:t>采购管理、市场营销管理、投资管理、内部审计、信息化管理和行政事务管理等方</w:t>
      </w:r>
      <w:r>
        <w:rPr>
          <w:spacing w:val="-84"/>
        </w:rPr>
        <w:t> </w:t>
      </w:r>
      <w:r>
        <w:rPr>
          <w:spacing w:val="-84"/>
        </w:rPr>
      </w:r>
      <w:r>
        <w:rPr/>
        <w:t>面，对现有的管理制度体系进行全面的梳理和完善，建立起适应公司快速发展要求</w:t>
      </w:r>
      <w:r>
        <w:rPr>
          <w:spacing w:val="-84"/>
        </w:rPr>
        <w:t> </w:t>
      </w:r>
      <w:r>
        <w:rPr>
          <w:spacing w:val="-84"/>
        </w:rPr>
      </w:r>
      <w:r>
        <w:rPr/>
        <w:t>的，规范化的现代企业管理制度体系。</w:t>
      </w:r>
    </w:p>
    <w:p>
      <w:pPr>
        <w:pStyle w:val="BodyText"/>
        <w:spacing w:line="357" w:lineRule="auto" w:before="36"/>
        <w:ind w:right="94" w:firstLine="480"/>
        <w:jc w:val="left"/>
      </w:pPr>
      <w:r>
        <w:rPr>
          <w:spacing w:val="-2"/>
        </w:rPr>
        <w:t>影响公司达到预计目标的情况包括：国内经济环境、行业政策、市场竞争加剧，</w:t>
      </w:r>
      <w:r>
        <w:rPr/>
        <w:t> 核心人才流失等方面的不确定因素（详见本节第五点对公司未来发展战略和经营目</w:t>
      </w:r>
      <w:r>
        <w:rPr>
          <w:spacing w:val="-84"/>
        </w:rPr>
        <w:t> </w:t>
      </w:r>
      <w:r>
        <w:rPr>
          <w:spacing w:val="-84"/>
        </w:rPr>
      </w:r>
      <w:r>
        <w:rPr>
          <w:spacing w:val="-8"/>
        </w:rPr>
        <w:t>标的实现产生不利影响的风险因素）。</w:t>
      </w:r>
    </w:p>
    <w:p>
      <w:pPr>
        <w:spacing w:line="240" w:lineRule="auto" w:before="0"/>
        <w:rPr>
          <w:rFonts w:ascii="宋体" w:hAnsi="宋体" w:cs="宋体" w:eastAsia="宋体" w:hint="default"/>
          <w:sz w:val="24"/>
          <w:szCs w:val="24"/>
        </w:rPr>
      </w:pPr>
    </w:p>
    <w:p>
      <w:pPr>
        <w:pStyle w:val="BodyText"/>
        <w:spacing w:line="357" w:lineRule="auto" w:before="190"/>
        <w:ind w:left="620" w:right="104"/>
        <w:jc w:val="left"/>
      </w:pPr>
      <w:r>
        <w:rPr/>
        <w:t>（四）为实现未来发展战略所需求的资金、使用计划及资金来源情况 公司经营活动现金流入稳健增长，可以满足为实现未来发展战略所需的大部分</w:t>
      </w:r>
    </w:p>
    <w:p>
      <w:pPr>
        <w:pStyle w:val="BodyText"/>
        <w:spacing w:line="350" w:lineRule="auto" w:before="36"/>
        <w:ind w:right="104"/>
        <w:jc w:val="left"/>
      </w:pPr>
      <w:r>
        <w:rPr/>
        <w:t>资金。与此同时，公司财务结构稳健、偿债能力指标优良、银行授信额度充足，外</w:t>
      </w:r>
      <w:r>
        <w:rPr>
          <w:spacing w:val="-84"/>
        </w:rPr>
        <w:t> </w:t>
      </w:r>
      <w:r>
        <w:rPr>
          <w:spacing w:val="-84"/>
        </w:rPr>
      </w:r>
      <w:r>
        <w:rPr>
          <w:spacing w:val="-3"/>
        </w:rPr>
        <w:t>部举债能力较强。公司参与发行</w:t>
      </w:r>
      <w:r>
        <w:rPr>
          <w:spacing w:val="-64"/>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4"/>
        </w:rPr>
        <w:t> </w:t>
      </w:r>
      <w:r>
        <w:rPr/>
        <w:t>年招商银行第一期中小企业集合中期票据，拓 </w:t>
      </w:r>
      <w:r>
        <w:rPr>
          <w:spacing w:val="-3"/>
        </w:rPr>
        <w:t>宽了公司外部融资渠道，优化了公司债务结构。此外，公司在深圳证券交易所上市，</w:t>
      </w:r>
      <w:r>
        <w:rPr>
          <w:spacing w:val="-112"/>
        </w:rPr>
        <w:t> </w:t>
      </w:r>
      <w:r>
        <w:rPr>
          <w:spacing w:val="-112"/>
        </w:rPr>
      </w:r>
      <w:r>
        <w:rPr/>
        <w:t>有良好的股权融资平台。</w:t>
      </w:r>
    </w:p>
    <w:p>
      <w:pPr>
        <w:pStyle w:val="BodyText"/>
        <w:spacing w:line="338" w:lineRule="auto" w:before="43"/>
        <w:ind w:right="215" w:firstLine="480"/>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11"/>
        </w:rPr>
        <w:t> </w:t>
      </w:r>
      <w:r>
        <w:rPr/>
        <w:t>年，公司将严格按照《募集资金管理办法》和《募集资金专款使用管理细 则》的要求，管好、用好募集资金，并加速推进募集资金项目的实施。</w:t>
      </w:r>
    </w:p>
    <w:p>
      <w:pPr>
        <w:spacing w:line="240" w:lineRule="auto" w:before="0"/>
        <w:rPr>
          <w:rFonts w:ascii="宋体" w:hAnsi="宋体" w:cs="宋体" w:eastAsia="宋体" w:hint="default"/>
          <w:sz w:val="24"/>
          <w:szCs w:val="24"/>
        </w:rPr>
      </w:pPr>
    </w:p>
    <w:p>
      <w:pPr>
        <w:pStyle w:val="BodyText"/>
        <w:spacing w:line="240" w:lineRule="auto" w:before="209"/>
        <w:ind w:left="620" w:right="104"/>
        <w:jc w:val="left"/>
      </w:pPr>
      <w:r>
        <w:rPr/>
        <w:t>（五）对公司未来发展战略和经营目标的实现产生不利影响的风险因素</w:t>
      </w:r>
    </w:p>
    <w:p>
      <w:pPr>
        <w:pStyle w:val="BodyText"/>
        <w:spacing w:line="348" w:lineRule="auto" w:before="154"/>
        <w:ind w:right="98" w:firstLine="480"/>
        <w:jc w:val="left"/>
      </w:pPr>
      <w:r>
        <w:rPr>
          <w:rFonts w:ascii="Times New Roman" w:hAnsi="Times New Roman" w:cs="Times New Roman" w:eastAsia="Times New Roman" w:hint="default"/>
        </w:rPr>
        <w:t>1</w:t>
      </w:r>
      <w:r>
        <w:rPr/>
        <w:t>、宏观政策风险：公司的主营业务是公司管理层在把握当前宏观经营环境和政 </w:t>
      </w:r>
      <w:r>
        <w:rPr>
          <w:spacing w:val="-2"/>
        </w:rPr>
        <w:t>策的基础上，结合公司的实际情况作出的战略决策，如果经营环境（如消费疲软等）</w:t>
      </w:r>
      <w:r>
        <w:rPr>
          <w:spacing w:val="-115"/>
        </w:rPr>
        <w:t> </w:t>
      </w:r>
      <w:r>
        <w:rPr>
          <w:spacing w:val="-115"/>
        </w:rPr>
      </w:r>
      <w:r>
        <w:rPr>
          <w:spacing w:val="-5"/>
        </w:rPr>
        <w:t>和宏观政策（如金融政策、银行</w:t>
      </w:r>
      <w:r>
        <w:rPr>
          <w:spacing w:val="-67"/>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7"/>
        </w:rPr>
        <w:t> </w:t>
      </w:r>
      <w:r>
        <w:rPr/>
        <w:t>业务的运作方式、跨行取款的代理手续费标准 等）发生变化，将对公司的经营业绩产生重大不确定性影响。为此，公司将密切关</w:t>
      </w:r>
      <w:r>
        <w:rPr>
          <w:spacing w:val="-84"/>
        </w:rPr>
        <w:t> </w:t>
      </w:r>
      <w:r>
        <w:rPr>
          <w:spacing w:val="-84"/>
        </w:rPr>
      </w:r>
      <w:r>
        <w:rPr/>
        <w:t>注宏观经营环境和政策的变化，积极快速的处理与应对其带来的风险。</w:t>
      </w:r>
    </w:p>
    <w:p>
      <w:pPr>
        <w:pStyle w:val="BodyText"/>
        <w:spacing w:line="340" w:lineRule="auto" w:before="46"/>
        <w:ind w:left="139" w:right="230" w:firstLine="480"/>
        <w:jc w:val="both"/>
      </w:pPr>
      <w:r>
        <w:rPr>
          <w:rFonts w:ascii="Times New Roman" w:hAnsi="Times New Roman" w:cs="Times New Roman" w:eastAsia="Times New Roman" w:hint="default"/>
        </w:rPr>
        <w:t>2</w:t>
      </w:r>
      <w:r>
        <w:rPr/>
        <w:t>、市场风险：首先，随着 </w:t>
      </w:r>
      <w:r>
        <w:rPr>
          <w:rFonts w:ascii="Times New Roman" w:hAnsi="Times New Roman" w:cs="Times New Roman" w:eastAsia="Times New Roman" w:hint="default"/>
          <w:spacing w:val="-10"/>
        </w:rPr>
        <w:t>ATM </w:t>
      </w:r>
      <w:r>
        <w:rPr/>
        <w:t>制造行业竞争的加剧，单台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9"/>
        </w:rPr>
        <w:t> </w:t>
      </w:r>
      <w:r>
        <w:rPr/>
        <w:t>销售价格将 呈现下降趋势，如果公司</w:t>
      </w:r>
      <w:r>
        <w:rPr>
          <w:spacing w:val="-61"/>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1"/>
        </w:rPr>
        <w:t> </w:t>
      </w:r>
      <w:r>
        <w:rPr/>
        <w:t>生产成本的下降幅度跟不上</w:t>
      </w:r>
      <w:r>
        <w:rPr>
          <w:spacing w:val="-61"/>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1"/>
        </w:rPr>
        <w:t> </w:t>
      </w:r>
      <w:r>
        <w:rPr/>
        <w:t>销售价格的下降幅 度，则</w:t>
      </w:r>
      <w:r>
        <w:rPr>
          <w:spacing w:val="-65"/>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5"/>
        </w:rPr>
        <w:t> </w:t>
      </w:r>
      <w:r>
        <w:rPr/>
        <w:t>销售业务的毛利率将会下降。其次，随着国内银行业</w:t>
      </w:r>
      <w:r>
        <w:rPr>
          <w:spacing w:val="-66"/>
        </w:rPr>
        <w:t>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5"/>
        </w:rPr>
        <w:t> </w:t>
      </w:r>
      <w:r>
        <w:rPr/>
        <w:t>业务外包的 </w:t>
      </w:r>
      <w:r>
        <w:rPr>
          <w:spacing w:val="-6"/>
        </w:rPr>
        <w:t>不断完善，</w:t>
      </w:r>
      <w:r>
        <w:rPr>
          <w:rFonts w:ascii="Times New Roman" w:hAnsi="Times New Roman" w:cs="Times New Roman" w:eastAsia="Times New Roman" w:hint="default"/>
          <w:spacing w:val="-6"/>
        </w:rPr>
        <w:t>ATM</w:t>
      </w:r>
      <w:r>
        <w:rPr>
          <w:rFonts w:ascii="Times New Roman" w:hAnsi="Times New Roman" w:cs="Times New Roman" w:eastAsia="Times New Roman" w:hint="default"/>
          <w:spacing w:val="-14"/>
        </w:rPr>
        <w:t> </w:t>
      </w:r>
      <w:r>
        <w:rPr/>
        <w:t>运营服务的巨大潜力吸引众多的国内外投资者，对公司未来的发展 形成较大的市场竞争压力。为此，公司将对市场进行审慎研究和综合判断，加强市</w:t>
      </w:r>
      <w:r>
        <w:rPr>
          <w:spacing w:val="-84"/>
        </w:rPr>
        <w:t> </w:t>
      </w:r>
      <w:r>
        <w:rPr>
          <w:spacing w:val="-84"/>
        </w:rPr>
      </w:r>
      <w:r>
        <w:rPr/>
        <w:t>场开拓和技术研发，不断巩固和增强公司的核心竞争力，保障公司的平稳发展。</w:t>
      </w:r>
    </w:p>
    <w:p>
      <w:pPr>
        <w:pStyle w:val="BodyText"/>
        <w:spacing w:line="240" w:lineRule="auto" w:before="53"/>
        <w:ind w:left="620" w:right="104"/>
        <w:jc w:val="left"/>
      </w:pPr>
      <w:r>
        <w:rPr>
          <w:rFonts w:ascii="Times New Roman" w:hAnsi="Times New Roman" w:cs="Times New Roman" w:eastAsia="Times New Roman" w:hint="default"/>
          <w:spacing w:val="-3"/>
        </w:rPr>
        <w:t>3</w:t>
      </w:r>
      <w:r>
        <w:rPr>
          <w:spacing w:val="-3"/>
        </w:rPr>
        <w:t>、技术风险：首先，公司是高新技术企业，主营产品的科技含量较高，产品技</w:t>
      </w:r>
    </w:p>
    <w:p>
      <w:pPr>
        <w:spacing w:after="0" w:line="240" w:lineRule="auto"/>
        <w:jc w:val="left"/>
        <w:sectPr>
          <w:pgSz w:w="11910" w:h="16840"/>
          <w:pgMar w:header="877" w:footer="1048" w:top="1100" w:bottom="1240" w:left="1660" w:right="1180"/>
        </w:sectPr>
      </w:pPr>
    </w:p>
    <w:p>
      <w:pPr>
        <w:spacing w:line="240" w:lineRule="auto" w:before="7"/>
        <w:rPr>
          <w:rFonts w:ascii="宋体" w:hAnsi="宋体" w:cs="宋体" w:eastAsia="宋体" w:hint="default"/>
          <w:sz w:val="25"/>
          <w:szCs w:val="25"/>
        </w:rPr>
      </w:pPr>
    </w:p>
    <w:p>
      <w:pPr>
        <w:pStyle w:val="BodyText"/>
        <w:spacing w:line="357" w:lineRule="auto" w:before="26"/>
        <w:ind w:left="139" w:right="99"/>
        <w:jc w:val="left"/>
      </w:pPr>
      <w:r>
        <w:rPr/>
        <w:t>术升级和更新换代较快，如果公司不能及时准确地把握新技术及市场需求的发展方</w:t>
      </w:r>
      <w:r>
        <w:rPr>
          <w:spacing w:val="-84"/>
        </w:rPr>
        <w:t> </w:t>
      </w:r>
      <w:r>
        <w:rPr>
          <w:spacing w:val="-84"/>
        </w:rPr>
      </w:r>
      <w:r>
        <w:rPr/>
        <w:t>向，研发出的新产品可能会不被市场接受，将会影响公司的进一步发展。其次，公</w:t>
      </w:r>
      <w:r>
        <w:rPr>
          <w:spacing w:val="-84"/>
        </w:rPr>
        <w:t> </w:t>
      </w:r>
      <w:r>
        <w:rPr>
          <w:spacing w:val="-84"/>
        </w:rPr>
      </w:r>
      <w:r>
        <w:rPr/>
        <w:t>司在核心关键技术上拥有自主知识产权，并有多项产品和技术处于研发阶段，多项</w:t>
      </w:r>
      <w:r>
        <w:rPr>
          <w:spacing w:val="-84"/>
        </w:rPr>
        <w:t> </w:t>
      </w:r>
      <w:r>
        <w:rPr>
          <w:spacing w:val="-84"/>
        </w:rPr>
      </w:r>
      <w:r>
        <w:rPr/>
        <w:t>核心技术为行业创新，达到国内领先水平，构成公司主营产品的核心竞争力。如果</w:t>
      </w:r>
      <w:r>
        <w:rPr>
          <w:spacing w:val="-84"/>
        </w:rPr>
        <w:t> </w:t>
      </w:r>
      <w:r>
        <w:rPr>
          <w:spacing w:val="-84"/>
        </w:rPr>
      </w:r>
      <w:r>
        <w:rPr>
          <w:spacing w:val="-2"/>
        </w:rPr>
        <w:t>出现技术外泄或者核心技术人员外流情况，将会影响本公司的持续的技术创新能力。</w:t>
      </w:r>
      <w:r>
        <w:rPr>
          <w:spacing w:val="-116"/>
        </w:rPr>
        <w:t> </w:t>
      </w:r>
      <w:r>
        <w:rPr>
          <w:spacing w:val="-116"/>
        </w:rPr>
      </w:r>
      <w:r>
        <w:rPr>
          <w:spacing w:val="-6"/>
        </w:rPr>
        <w:t>为此，公司与核心技术人员签订了《保密协议》，加强了核心技术保密工作，并通过</w:t>
      </w:r>
      <w:r>
        <w:rPr>
          <w:spacing w:val="-90"/>
        </w:rPr>
        <w:t> </w:t>
      </w:r>
      <w:r>
        <w:rPr>
          <w:spacing w:val="-90"/>
        </w:rPr>
      </w:r>
      <w:r>
        <w:rPr/>
        <w:t>不断完善内部激励机制，吸引和留住核心技术人员，促进公司的技术创新能力不断</w:t>
      </w:r>
      <w:r>
        <w:rPr>
          <w:spacing w:val="-84"/>
        </w:rPr>
        <w:t> </w:t>
      </w:r>
      <w:r>
        <w:rPr>
          <w:spacing w:val="-84"/>
        </w:rPr>
      </w:r>
      <w:r>
        <w:rPr/>
        <w:t>提高。</w:t>
      </w:r>
    </w:p>
    <w:p>
      <w:pPr>
        <w:spacing w:line="240" w:lineRule="auto" w:before="0"/>
        <w:rPr>
          <w:rFonts w:ascii="宋体" w:hAnsi="宋体" w:cs="宋体" w:eastAsia="宋体" w:hint="default"/>
          <w:sz w:val="24"/>
          <w:szCs w:val="24"/>
        </w:rPr>
      </w:pPr>
    </w:p>
    <w:p>
      <w:pPr>
        <w:pStyle w:val="BodyText"/>
        <w:spacing w:line="240" w:lineRule="auto" w:before="190"/>
        <w:ind w:left="619" w:right="104"/>
        <w:jc w:val="left"/>
      </w:pPr>
      <w:r>
        <w:rPr/>
        <w:t>三、公司投资情况</w:t>
      </w:r>
    </w:p>
    <w:p>
      <w:pPr>
        <w:pStyle w:val="BodyText"/>
        <w:spacing w:line="240" w:lineRule="auto" w:before="154"/>
        <w:ind w:left="619" w:right="104"/>
        <w:jc w:val="left"/>
      </w:pPr>
      <w:r>
        <w:rPr/>
        <w:t>（一）募集资金投资情况</w:t>
      </w:r>
    </w:p>
    <w:p>
      <w:pPr>
        <w:pStyle w:val="BodyText"/>
        <w:spacing w:line="338" w:lineRule="auto" w:before="154"/>
        <w:ind w:left="619" w:right="225" w:hanging="44"/>
        <w:jc w:val="left"/>
      </w:pPr>
      <w:r>
        <w:rPr>
          <w:rFonts w:ascii="Times New Roman" w:hAnsi="Times New Roman" w:cs="Times New Roman" w:eastAsia="Times New Roman" w:hint="default"/>
        </w:rPr>
        <w:t>1</w:t>
      </w:r>
      <w:r>
        <w:rPr/>
        <w:t>、首次公开发行股票募集资金情况 经中国证券监督管理委员会证监发行字</w:t>
      </w:r>
      <w:r>
        <w:rPr>
          <w:rFonts w:ascii="Times New Roman" w:hAnsi="Times New Roman" w:cs="Times New Roman" w:eastAsia="Times New Roman" w:hint="default"/>
        </w:rPr>
        <w:t>[2007]350</w:t>
      </w:r>
      <w:r>
        <w:rPr>
          <w:rFonts w:ascii="Times New Roman" w:hAnsi="Times New Roman" w:cs="Times New Roman" w:eastAsia="Times New Roman" w:hint="default"/>
          <w:spacing w:val="-8"/>
        </w:rPr>
        <w:t> </w:t>
      </w:r>
      <w:r>
        <w:rPr>
          <w:spacing w:val="-4"/>
        </w:rPr>
        <w:t>号文核准，并经深圳证券交易</w:t>
      </w:r>
    </w:p>
    <w:p>
      <w:pPr>
        <w:pStyle w:val="BodyText"/>
        <w:spacing w:line="240" w:lineRule="auto" w:before="27"/>
        <w:ind w:left="139" w:right="104"/>
        <w:jc w:val="left"/>
      </w:pPr>
      <w:r>
        <w:rPr>
          <w:spacing w:val="-4"/>
        </w:rPr>
        <w:t>所同意，本公司由主承销商国信证券有限责任公司于</w:t>
      </w:r>
      <w:r>
        <w:rPr>
          <w:spacing w:val="-57"/>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25</w:t>
      </w:r>
      <w:r>
        <w:rPr>
          <w:rFonts w:ascii="Times New Roman" w:hAnsi="Times New Roman" w:cs="Times New Roman" w:eastAsia="Times New Roman" w:hint="default"/>
          <w:spacing w:val="3"/>
        </w:rPr>
        <w:t> </w:t>
      </w:r>
      <w:r>
        <w:rPr/>
        <w:t>日向社会公众</w:t>
      </w:r>
    </w:p>
    <w:p>
      <w:pPr>
        <w:pStyle w:val="BodyText"/>
        <w:spacing w:line="240" w:lineRule="auto"/>
        <w:ind w:left="139" w:right="104"/>
        <w:jc w:val="left"/>
      </w:pPr>
      <w:r>
        <w:rPr/>
        <w:t>公开发行普通股股票</w:t>
      </w:r>
      <w:r>
        <w:rPr>
          <w:spacing w:val="-58"/>
        </w:rPr>
        <w:t> </w:t>
      </w:r>
      <w:r>
        <w:rPr>
          <w:rFonts w:ascii="Times New Roman" w:hAnsi="Times New Roman" w:cs="Times New Roman" w:eastAsia="Times New Roman" w:hint="default"/>
        </w:rPr>
        <w:t>1,900</w:t>
      </w:r>
      <w:r>
        <w:rPr>
          <w:rFonts w:ascii="Times New Roman" w:hAnsi="Times New Roman" w:cs="Times New Roman" w:eastAsia="Times New Roman" w:hint="default"/>
          <w:spacing w:val="2"/>
        </w:rPr>
        <w:t> </w:t>
      </w:r>
      <w:r>
        <w:rPr>
          <w:spacing w:val="-4"/>
        </w:rPr>
        <w:t>万股，每股面值</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spacing w:val="-3"/>
        </w:rPr>
        <w:t>元，每股发行价人民币</w:t>
      </w:r>
      <w:r>
        <w:rPr>
          <w:spacing w:val="-58"/>
        </w:rPr>
        <w:t> </w:t>
      </w:r>
      <w:r>
        <w:rPr>
          <w:rFonts w:ascii="Times New Roman" w:hAnsi="Times New Roman" w:cs="Times New Roman" w:eastAsia="Times New Roman" w:hint="default"/>
        </w:rPr>
        <w:t>13.79</w:t>
      </w:r>
      <w:r>
        <w:rPr>
          <w:rFonts w:ascii="Times New Roman" w:hAnsi="Times New Roman" w:cs="Times New Roman" w:eastAsia="Times New Roman" w:hint="default"/>
          <w:spacing w:val="2"/>
        </w:rPr>
        <w:t> </w:t>
      </w:r>
      <w:r>
        <w:rPr>
          <w:spacing w:val="-6"/>
        </w:rPr>
        <w:t>元。截止</w:t>
      </w:r>
    </w:p>
    <w:p>
      <w:pPr>
        <w:pStyle w:val="BodyText"/>
        <w:spacing w:line="240" w:lineRule="auto"/>
        <w:ind w:left="139" w:right="104"/>
        <w:jc w:val="left"/>
        <w:rPr>
          <w:rFonts w:ascii="Times New Roman" w:hAnsi="Times New Roman" w:cs="Times New Roman" w:eastAsia="Times New Roman" w:hint="default"/>
        </w:rPr>
      </w:pPr>
      <w:r>
        <w:rPr>
          <w:rFonts w:ascii="Times New Roman" w:hAnsi="Times New Roman" w:cs="Times New Roman" w:eastAsia="Times New Roman" w:hint="default"/>
        </w:rPr>
        <w:t>2007</w:t>
      </w:r>
      <w:r>
        <w:rPr>
          <w:rFonts w:ascii="Times New Roman" w:hAnsi="Times New Roman" w:cs="Times New Roman" w:eastAsia="Times New Roman" w:hint="default"/>
          <w:spacing w:val="-24"/>
        </w:rPr>
        <w:t> </w:t>
      </w:r>
      <w:r>
        <w:rPr/>
        <w:t>年</w:t>
      </w:r>
      <w:r>
        <w:rPr>
          <w:spacing w:val="-84"/>
        </w:rPr>
        <w:t> </w:t>
      </w:r>
      <w:r>
        <w:rPr>
          <w:rFonts w:ascii="Times New Roman" w:hAnsi="Times New Roman" w:cs="Times New Roman" w:eastAsia="Times New Roman" w:hint="default"/>
        </w:rPr>
        <w:t>10</w:t>
      </w:r>
      <w:r>
        <w:rPr>
          <w:rFonts w:ascii="Times New Roman" w:hAnsi="Times New Roman" w:cs="Times New Roman" w:eastAsia="Times New Roman" w:hint="default"/>
          <w:spacing w:val="-23"/>
        </w:rPr>
        <w:t> </w:t>
      </w:r>
      <w:r>
        <w:rPr/>
        <w:t>月</w:t>
      </w:r>
      <w:r>
        <w:rPr>
          <w:spacing w:val="-84"/>
        </w:rPr>
        <w:t> </w:t>
      </w:r>
      <w:r>
        <w:rPr>
          <w:rFonts w:ascii="Times New Roman" w:hAnsi="Times New Roman" w:cs="Times New Roman" w:eastAsia="Times New Roman" w:hint="default"/>
        </w:rPr>
        <w:t>25</w:t>
      </w:r>
      <w:r>
        <w:rPr>
          <w:rFonts w:ascii="Times New Roman" w:hAnsi="Times New Roman" w:cs="Times New Roman" w:eastAsia="Times New Roman" w:hint="default"/>
          <w:spacing w:val="-24"/>
        </w:rPr>
        <w:t> </w:t>
      </w:r>
      <w:r>
        <w:rPr/>
        <w:t>日</w:t>
      </w:r>
      <w:r>
        <w:rPr>
          <w:spacing w:val="-120"/>
        </w:rPr>
        <w:t>，</w:t>
      </w:r>
      <w:r>
        <w:rPr/>
        <w:t>本公司共募集资金</w:t>
      </w:r>
      <w:r>
        <w:rPr>
          <w:spacing w:val="-84"/>
        </w:rPr>
        <w:t> </w:t>
      </w:r>
      <w:r>
        <w:rPr>
          <w:rFonts w:ascii="Times New Roman" w:hAnsi="Times New Roman" w:cs="Times New Roman" w:eastAsia="Times New Roman" w:hint="default"/>
        </w:rPr>
        <w:t>262,010,000.00</w:t>
      </w:r>
      <w:r>
        <w:rPr>
          <w:rFonts w:ascii="Times New Roman" w:hAnsi="Times New Roman" w:cs="Times New Roman" w:eastAsia="Times New Roman" w:hint="default"/>
          <w:spacing w:val="-24"/>
        </w:rPr>
        <w:t> </w:t>
      </w:r>
      <w:r>
        <w:rPr/>
        <w:t>元</w:t>
      </w:r>
      <w:r>
        <w:rPr>
          <w:spacing w:val="-120"/>
        </w:rPr>
        <w:t>，</w:t>
      </w:r>
      <w:r>
        <w:rPr/>
        <w:t>扣除发行费用</w:t>
      </w:r>
      <w:r>
        <w:rPr>
          <w:spacing w:val="-84"/>
        </w:rPr>
        <w:t> </w:t>
      </w:r>
      <w:r>
        <w:rPr>
          <w:rFonts w:ascii="Times New Roman" w:hAnsi="Times New Roman" w:cs="Times New Roman" w:eastAsia="Times New Roman" w:hint="default"/>
        </w:rPr>
        <w:t>18,960,360.34</w:t>
      </w:r>
    </w:p>
    <w:p>
      <w:pPr>
        <w:pStyle w:val="BodyText"/>
        <w:spacing w:line="240" w:lineRule="auto"/>
        <w:ind w:left="139" w:right="104"/>
        <w:jc w:val="left"/>
      </w:pPr>
      <w:r>
        <w:rPr/>
        <w:t>元，募集资金净额</w:t>
      </w:r>
      <w:r>
        <w:rPr>
          <w:spacing w:val="-62"/>
        </w:rPr>
        <w:t> </w:t>
      </w:r>
      <w:r>
        <w:rPr>
          <w:rFonts w:ascii="Times New Roman" w:hAnsi="Times New Roman" w:cs="Times New Roman" w:eastAsia="Times New Roman" w:hint="default"/>
        </w:rPr>
        <w:t>243,049,639.66</w:t>
      </w:r>
      <w:r>
        <w:rPr>
          <w:rFonts w:ascii="Times New Roman" w:hAnsi="Times New Roman" w:cs="Times New Roman" w:eastAsia="Times New Roman" w:hint="default"/>
          <w:spacing w:val="-2"/>
        </w:rPr>
        <w:t> </w:t>
      </w:r>
      <w:r>
        <w:rPr/>
        <w:t>元。截止</w:t>
      </w:r>
      <w:r>
        <w:rPr>
          <w:spacing w:val="-62"/>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62"/>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月</w:t>
      </w:r>
      <w:r>
        <w:rPr>
          <w:spacing w:val="-62"/>
        </w:rPr>
        <w:t> </w:t>
      </w:r>
      <w:r>
        <w:rPr>
          <w:rFonts w:ascii="Times New Roman" w:hAnsi="Times New Roman" w:cs="Times New Roman" w:eastAsia="Times New Roman" w:hint="default"/>
        </w:rPr>
        <w:t>25</w:t>
      </w:r>
      <w:r>
        <w:rPr>
          <w:rFonts w:ascii="Times New Roman" w:hAnsi="Times New Roman" w:cs="Times New Roman" w:eastAsia="Times New Roman" w:hint="default"/>
          <w:spacing w:val="-2"/>
        </w:rPr>
        <w:t> </w:t>
      </w:r>
      <w:r>
        <w:rPr/>
        <w:t>日，本公司上述发行募</w:t>
      </w:r>
    </w:p>
    <w:p>
      <w:pPr>
        <w:pStyle w:val="BodyText"/>
        <w:spacing w:line="240" w:lineRule="auto"/>
        <w:ind w:left="139" w:right="104"/>
        <w:jc w:val="left"/>
      </w:pPr>
      <w:r>
        <w:rPr/>
        <w:t>集的资金已全部到位，业经深圳大华天诚会计师事务所“深华</w:t>
      </w:r>
      <w:r>
        <w:rPr>
          <w:rFonts w:ascii="Times New Roman" w:hAnsi="Times New Roman" w:cs="Times New Roman" w:eastAsia="Times New Roman" w:hint="default"/>
        </w:rPr>
        <w:t>(2007)</w:t>
      </w:r>
      <w:r>
        <w:rPr/>
        <w:t>验字</w:t>
      </w:r>
      <w:r>
        <w:rPr>
          <w:spacing w:val="-94"/>
        </w:rPr>
        <w:t> </w:t>
      </w:r>
      <w:r>
        <w:rPr>
          <w:rFonts w:ascii="Times New Roman" w:hAnsi="Times New Roman" w:cs="Times New Roman" w:eastAsia="Times New Roman" w:hint="default"/>
          <w:spacing w:val="-3"/>
        </w:rPr>
        <w:t>113</w:t>
      </w:r>
      <w:r>
        <w:rPr>
          <w:rFonts w:ascii="Times New Roman" w:hAnsi="Times New Roman" w:cs="Times New Roman" w:eastAsia="Times New Roman" w:hint="default"/>
          <w:spacing w:val="-34"/>
        </w:rPr>
        <w:t> </w:t>
      </w:r>
      <w:r>
        <w:rPr>
          <w:spacing w:val="-12"/>
        </w:rPr>
        <w:t>号”验</w:t>
      </w:r>
    </w:p>
    <w:p>
      <w:pPr>
        <w:pStyle w:val="BodyText"/>
        <w:spacing w:line="338" w:lineRule="auto"/>
        <w:ind w:left="576" w:right="104" w:hanging="437"/>
        <w:jc w:val="left"/>
      </w:pPr>
      <w:r>
        <w:rPr/>
        <w:t>资报告验证确认。截止</w:t>
      </w:r>
      <w:r>
        <w:rPr>
          <w:spacing w:val="-60"/>
        </w:rPr>
        <w:t> </w:t>
      </w:r>
      <w:r>
        <w:rPr>
          <w:rFonts w:ascii="Times New Roman" w:hAnsi="Times New Roman" w:cs="Times New Roman" w:eastAsia="Times New Roman" w:hint="default"/>
        </w:rPr>
        <w:t>2009 </w:t>
      </w:r>
      <w:r>
        <w:rPr/>
        <w:t>年</w:t>
      </w:r>
      <w:r>
        <w:rPr>
          <w:spacing w:val="-60"/>
        </w:rPr>
        <w:t> </w:t>
      </w:r>
      <w:r>
        <w:rPr>
          <w:rFonts w:ascii="Times New Roman" w:hAnsi="Times New Roman" w:cs="Times New Roman" w:eastAsia="Times New Roman" w:hint="default"/>
        </w:rPr>
        <w:t>6 </w:t>
      </w:r>
      <w:r>
        <w:rPr/>
        <w:t>月</w:t>
      </w:r>
      <w:r>
        <w:rPr>
          <w:spacing w:val="-60"/>
        </w:rPr>
        <w:t> </w:t>
      </w:r>
      <w:r>
        <w:rPr>
          <w:rFonts w:ascii="Times New Roman" w:hAnsi="Times New Roman" w:cs="Times New Roman" w:eastAsia="Times New Roman" w:hint="default"/>
        </w:rPr>
        <w:t>30 </w:t>
      </w:r>
      <w:r>
        <w:rPr/>
        <w:t>日此募集资金已使用完毕。 </w:t>
      </w:r>
      <w:r>
        <w:rPr>
          <w:rFonts w:ascii="Times New Roman" w:hAnsi="Times New Roman" w:cs="Times New Roman" w:eastAsia="Times New Roman" w:hint="default"/>
        </w:rPr>
        <w:t>2</w:t>
      </w:r>
      <w:r>
        <w:rPr/>
        <w:t>、非公开发行股票募集资金情况 经中国证券监督管理委员会证监许可字</w:t>
      </w:r>
      <w:r>
        <w:rPr>
          <w:rFonts w:ascii="Times New Roman" w:hAnsi="Times New Roman" w:cs="Times New Roman" w:eastAsia="Times New Roman" w:hint="default"/>
        </w:rPr>
        <w:t>[2009]962 </w:t>
      </w:r>
      <w:r>
        <w:rPr/>
        <w:t>号文核准</w:t>
      </w:r>
      <w:r>
        <w:rPr>
          <w:rFonts w:ascii="Times New Roman" w:hAnsi="Times New Roman" w:cs="Times New Roman" w:eastAsia="Times New Roman" w:hint="default"/>
        </w:rPr>
        <w:t>,</w:t>
      </w:r>
      <w:r>
        <w:rPr>
          <w:rFonts w:ascii="Times New Roman" w:hAnsi="Times New Roman" w:cs="Times New Roman" w:eastAsia="Times New Roman" w:hint="default"/>
          <w:spacing w:val="53"/>
        </w:rPr>
        <w:t> </w:t>
      </w:r>
      <w:r>
        <w:rPr/>
        <w:t>同意本公司非公开</w:t>
      </w:r>
    </w:p>
    <w:p>
      <w:pPr>
        <w:pStyle w:val="BodyText"/>
        <w:spacing w:line="240" w:lineRule="auto" w:before="27"/>
        <w:ind w:left="139" w:right="104"/>
        <w:jc w:val="left"/>
      </w:pPr>
      <w:r>
        <w:rPr/>
        <w:t>发行不超过 </w:t>
      </w:r>
      <w:r>
        <w:rPr>
          <w:rFonts w:ascii="Times New Roman" w:hAnsi="Times New Roman" w:cs="Times New Roman" w:eastAsia="Times New Roman" w:hint="default"/>
        </w:rPr>
        <w:t>7,500</w:t>
      </w:r>
      <w:r>
        <w:rPr>
          <w:rFonts w:ascii="Times New Roman" w:hAnsi="Times New Roman" w:cs="Times New Roman" w:eastAsia="Times New Roman" w:hint="default"/>
          <w:spacing w:val="50"/>
        </w:rPr>
        <w:t> </w:t>
      </w:r>
      <w:r>
        <w:rPr/>
        <w:t>万股新股，经深圳证券交易所同意，本公司由主承销商国信证券</w:t>
      </w:r>
    </w:p>
    <w:p>
      <w:pPr>
        <w:pStyle w:val="BodyText"/>
        <w:spacing w:line="240" w:lineRule="auto"/>
        <w:ind w:left="139" w:right="104"/>
        <w:jc w:val="left"/>
      </w:pPr>
      <w:r>
        <w:rPr/>
        <w:t>股份有限公司于</w:t>
      </w:r>
      <w:r>
        <w:rPr>
          <w:spacing w:val="-60"/>
        </w:rPr>
        <w:t> </w:t>
      </w:r>
      <w:r>
        <w:rPr>
          <w:rFonts w:ascii="Times New Roman" w:hAnsi="Times New Roman" w:cs="Times New Roman" w:eastAsia="Times New Roman" w:hint="default"/>
        </w:rPr>
        <w:t>2009 </w:t>
      </w:r>
      <w:r>
        <w:rPr/>
        <w:t>年</w:t>
      </w:r>
      <w:r>
        <w:rPr>
          <w:spacing w:val="-60"/>
        </w:rPr>
        <w:t> </w:t>
      </w:r>
      <w:r>
        <w:rPr>
          <w:rFonts w:ascii="Times New Roman" w:hAnsi="Times New Roman" w:cs="Times New Roman" w:eastAsia="Times New Roman" w:hint="default"/>
        </w:rPr>
        <w:t>10 </w:t>
      </w:r>
      <w:r>
        <w:rPr/>
        <w:t>月</w:t>
      </w:r>
      <w:r>
        <w:rPr>
          <w:spacing w:val="-60"/>
        </w:rPr>
        <w:t> </w:t>
      </w:r>
      <w:r>
        <w:rPr>
          <w:rFonts w:ascii="Times New Roman" w:hAnsi="Times New Roman" w:cs="Times New Roman" w:eastAsia="Times New Roman" w:hint="default"/>
        </w:rPr>
        <w:t>13 </w:t>
      </w:r>
      <w:r>
        <w:rPr/>
        <w:t>日非公开发行</w:t>
      </w:r>
      <w:r>
        <w:rPr>
          <w:spacing w:val="-60"/>
        </w:rPr>
        <w:t> </w:t>
      </w:r>
      <w:r>
        <w:rPr>
          <w:rFonts w:ascii="Times New Roman" w:hAnsi="Times New Roman" w:cs="Times New Roman" w:eastAsia="Times New Roman" w:hint="default"/>
        </w:rPr>
        <w:t>4,124.25 </w:t>
      </w:r>
      <w:r>
        <w:rPr>
          <w:spacing w:val="-6"/>
        </w:rPr>
        <w:t>万股人民币普通股，每股面</w:t>
      </w:r>
    </w:p>
    <w:p>
      <w:pPr>
        <w:pStyle w:val="BodyText"/>
        <w:spacing w:line="240" w:lineRule="auto"/>
        <w:ind w:left="139" w:right="104"/>
        <w:jc w:val="left"/>
      </w:pPr>
      <w:r>
        <w:rPr/>
        <w:t>值人民币</w:t>
      </w:r>
      <w:r>
        <w:rPr>
          <w:spacing w:val="-63"/>
        </w:rPr>
        <w:t> </w:t>
      </w:r>
      <w:r>
        <w:rPr>
          <w:rFonts w:ascii="Times New Roman" w:hAnsi="Times New Roman" w:cs="Times New Roman" w:eastAsia="Times New Roman" w:hint="default"/>
        </w:rPr>
        <w:t>1.00</w:t>
      </w:r>
      <w:r>
        <w:rPr>
          <w:rFonts w:ascii="Times New Roman" w:hAnsi="Times New Roman" w:cs="Times New Roman" w:eastAsia="Times New Roman" w:hint="default"/>
          <w:spacing w:val="-3"/>
        </w:rPr>
        <w:t> </w:t>
      </w:r>
      <w:r>
        <w:rPr/>
        <w:t>元，每股发行价格为人民币</w:t>
      </w:r>
      <w:r>
        <w:rPr>
          <w:spacing w:val="-63"/>
        </w:rPr>
        <w:t> </w:t>
      </w:r>
      <w:r>
        <w:rPr>
          <w:rFonts w:ascii="Times New Roman" w:hAnsi="Times New Roman" w:cs="Times New Roman" w:eastAsia="Times New Roman" w:hint="default"/>
        </w:rPr>
        <w:t>12.00</w:t>
      </w:r>
      <w:r>
        <w:rPr>
          <w:rFonts w:ascii="Times New Roman" w:hAnsi="Times New Roman" w:cs="Times New Roman" w:eastAsia="Times New Roman" w:hint="default"/>
          <w:spacing w:val="-3"/>
        </w:rPr>
        <w:t> </w:t>
      </w:r>
      <w:r>
        <w:rPr>
          <w:spacing w:val="-6"/>
        </w:rPr>
        <w:t>元。截止</w:t>
      </w:r>
      <w:r>
        <w:rPr>
          <w:spacing w:val="-63"/>
        </w:rPr>
        <w:t> </w:t>
      </w:r>
      <w:r>
        <w:rPr>
          <w:rFonts w:ascii="Times New Roman" w:hAnsi="Times New Roman" w:cs="Times New Roman" w:eastAsia="Times New Roman" w:hint="default"/>
        </w:rPr>
        <w:t>2009</w:t>
      </w:r>
      <w:r>
        <w:rPr>
          <w:rFonts w:ascii="Times New Roman" w:hAnsi="Times New Roman" w:cs="Times New Roman" w:eastAsia="Times New Roman" w:hint="default"/>
          <w:spacing w:val="-3"/>
        </w:rPr>
        <w:t> </w:t>
      </w:r>
      <w:r>
        <w:rPr/>
        <w:t>年</w:t>
      </w:r>
      <w:r>
        <w:rPr>
          <w:spacing w:val="-63"/>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月</w:t>
      </w:r>
      <w:r>
        <w:rPr>
          <w:spacing w:val="-63"/>
        </w:rPr>
        <w:t> </w:t>
      </w:r>
      <w:r>
        <w:rPr>
          <w:rFonts w:ascii="Times New Roman" w:hAnsi="Times New Roman" w:cs="Times New Roman" w:eastAsia="Times New Roman" w:hint="default"/>
        </w:rPr>
        <w:t>19</w:t>
      </w:r>
      <w:r>
        <w:rPr>
          <w:rFonts w:ascii="Times New Roman" w:hAnsi="Times New Roman" w:cs="Times New Roman" w:eastAsia="Times New Roman" w:hint="default"/>
          <w:spacing w:val="-3"/>
        </w:rPr>
        <w:t> </w:t>
      </w:r>
      <w:r>
        <w:rPr>
          <w:spacing w:val="-6"/>
        </w:rPr>
        <w:t>日，本公</w:t>
      </w:r>
    </w:p>
    <w:p>
      <w:pPr>
        <w:pStyle w:val="BodyText"/>
        <w:spacing w:line="240" w:lineRule="auto"/>
        <w:ind w:right="104"/>
        <w:jc w:val="left"/>
      </w:pPr>
      <w:r>
        <w:rPr/>
        <w:t>司非公开发行股票共募集资金 </w:t>
      </w:r>
      <w:r>
        <w:rPr>
          <w:rFonts w:ascii="Times New Roman" w:hAnsi="Times New Roman" w:cs="Times New Roman" w:eastAsia="Times New Roman" w:hint="default"/>
        </w:rPr>
        <w:t>494,910,000.00</w:t>
      </w:r>
      <w:r>
        <w:rPr>
          <w:rFonts w:ascii="Times New Roman" w:hAnsi="Times New Roman" w:cs="Times New Roman" w:eastAsia="Times New Roman" w:hint="default"/>
          <w:spacing w:val="50"/>
        </w:rPr>
        <w:t> </w:t>
      </w:r>
      <w:r>
        <w:rPr/>
        <w:t>元，扣除保荐及承销费后的非公开发</w:t>
      </w:r>
    </w:p>
    <w:p>
      <w:pPr>
        <w:pStyle w:val="BodyText"/>
        <w:spacing w:line="240" w:lineRule="auto"/>
        <w:ind w:left="139" w:right="104"/>
        <w:jc w:val="left"/>
      </w:pPr>
      <w:r>
        <w:rPr/>
        <w:t>行股票募集资金人民币</w:t>
      </w:r>
      <w:r>
        <w:rPr>
          <w:spacing w:val="-58"/>
        </w:rPr>
        <w:t> </w:t>
      </w:r>
      <w:r>
        <w:rPr>
          <w:rFonts w:ascii="Times New Roman" w:hAnsi="Times New Roman" w:cs="Times New Roman" w:eastAsia="Times New Roman" w:hint="default"/>
        </w:rPr>
        <w:t>477,588,150.00</w:t>
      </w:r>
      <w:r>
        <w:rPr>
          <w:rFonts w:ascii="Times New Roman" w:hAnsi="Times New Roman" w:cs="Times New Roman" w:eastAsia="Times New Roman" w:hint="default"/>
          <w:spacing w:val="2"/>
        </w:rPr>
        <w:t> </w:t>
      </w:r>
      <w:r>
        <w:rPr>
          <w:spacing w:val="-4"/>
        </w:rPr>
        <w:t>元，其他发行费用人民币</w:t>
      </w:r>
      <w:r>
        <w:rPr>
          <w:spacing w:val="-58"/>
        </w:rPr>
        <w:t> </w:t>
      </w:r>
      <w:r>
        <w:rPr>
          <w:rFonts w:ascii="Times New Roman" w:hAnsi="Times New Roman" w:cs="Times New Roman" w:eastAsia="Times New Roman" w:hint="default"/>
        </w:rPr>
        <w:t>4,685,959.49</w:t>
      </w:r>
      <w:r>
        <w:rPr>
          <w:rFonts w:ascii="Times New Roman" w:hAnsi="Times New Roman" w:cs="Times New Roman" w:eastAsia="Times New Roman" w:hint="default"/>
          <w:spacing w:val="2"/>
        </w:rPr>
        <w:t> </w:t>
      </w:r>
      <w:r>
        <w:rPr>
          <w:spacing w:val="-12"/>
        </w:rPr>
        <w:t>元，募</w:t>
      </w:r>
    </w:p>
    <w:p>
      <w:pPr>
        <w:pStyle w:val="BodyText"/>
        <w:spacing w:line="348" w:lineRule="auto"/>
        <w:ind w:right="223"/>
        <w:jc w:val="both"/>
      </w:pPr>
      <w:r>
        <w:rPr/>
        <w:t>集资金净额</w:t>
      </w:r>
      <w:r>
        <w:rPr>
          <w:spacing w:val="-62"/>
        </w:rPr>
        <w:t> </w:t>
      </w:r>
      <w:r>
        <w:rPr>
          <w:rFonts w:ascii="Times New Roman" w:hAnsi="Times New Roman" w:cs="Times New Roman" w:eastAsia="Times New Roman" w:hint="default"/>
        </w:rPr>
        <w:t>472,902,190.51</w:t>
      </w:r>
      <w:r>
        <w:rPr>
          <w:rFonts w:ascii="Times New Roman" w:hAnsi="Times New Roman" w:cs="Times New Roman" w:eastAsia="Times New Roman" w:hint="default"/>
          <w:spacing w:val="-2"/>
        </w:rPr>
        <w:t> </w:t>
      </w:r>
      <w:r>
        <w:rPr/>
        <w:t>元。截止</w:t>
      </w:r>
      <w:r>
        <w:rPr>
          <w:spacing w:val="-62"/>
        </w:rPr>
        <w:t> </w:t>
      </w: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t>年</w:t>
      </w:r>
      <w:r>
        <w:rPr>
          <w:spacing w:val="-62"/>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月</w:t>
      </w:r>
      <w:r>
        <w:rPr>
          <w:spacing w:val="-62"/>
        </w:rPr>
        <w:t> </w:t>
      </w:r>
      <w:r>
        <w:rPr>
          <w:rFonts w:ascii="Times New Roman" w:hAnsi="Times New Roman" w:cs="Times New Roman" w:eastAsia="Times New Roman" w:hint="default"/>
        </w:rPr>
        <w:t>19</w:t>
      </w:r>
      <w:r>
        <w:rPr>
          <w:rFonts w:ascii="Times New Roman" w:hAnsi="Times New Roman" w:cs="Times New Roman" w:eastAsia="Times New Roman" w:hint="default"/>
          <w:spacing w:val="-2"/>
        </w:rPr>
        <w:t> </w:t>
      </w:r>
      <w:r>
        <w:rPr/>
        <w:t>日，本公司上述发行募集的资 </w:t>
      </w:r>
      <w:r>
        <w:rPr>
          <w:spacing w:val="8"/>
        </w:rPr>
        <w:t>金已全部到位，业经广东大华德律会计师事务所（特殊普通合伙）以“华德验字</w:t>
      </w:r>
      <w:r>
        <w:rPr>
          <w:spacing w:val="8"/>
        </w:rPr>
        <w:t> </w:t>
      </w:r>
      <w:r>
        <w:rPr>
          <w:rFonts w:ascii="Times New Roman" w:hAnsi="Times New Roman" w:cs="Times New Roman" w:eastAsia="Times New Roman" w:hint="default"/>
        </w:rPr>
        <w:t>[2009]102</w:t>
      </w:r>
      <w:r>
        <w:rPr>
          <w:rFonts w:ascii="Times New Roman" w:hAnsi="Times New Roman" w:cs="Times New Roman" w:eastAsia="Times New Roman" w:hint="default"/>
          <w:spacing w:val="-7"/>
        </w:rPr>
        <w:t> </w:t>
      </w:r>
      <w:r>
        <w:rPr/>
        <w:t>号”验资报告验证确认。</w:t>
      </w:r>
    </w:p>
    <w:p>
      <w:pPr>
        <w:spacing w:after="0" w:line="348" w:lineRule="auto"/>
        <w:jc w:val="both"/>
        <w:sectPr>
          <w:pgSz w:w="11910" w:h="16840"/>
          <w:pgMar w:header="877" w:footer="1048" w:top="1100" w:bottom="1240" w:left="1660" w:right="1180"/>
        </w:sectPr>
      </w:pPr>
    </w:p>
    <w:p>
      <w:pPr>
        <w:spacing w:line="240" w:lineRule="auto" w:before="7"/>
        <w:rPr>
          <w:rFonts w:ascii="宋体" w:hAnsi="宋体" w:cs="宋体" w:eastAsia="宋体" w:hint="default"/>
          <w:sz w:val="25"/>
          <w:szCs w:val="25"/>
        </w:rPr>
      </w:pPr>
    </w:p>
    <w:p>
      <w:pPr>
        <w:pStyle w:val="BodyText"/>
        <w:spacing w:line="240" w:lineRule="auto" w:before="26"/>
        <w:ind w:left="620" w:right="0"/>
        <w:jc w:val="left"/>
      </w:pPr>
      <w:r>
        <w:rPr/>
        <w:t>截止</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日，公司对募集资金项目累计投入</w:t>
      </w:r>
      <w:r>
        <w:rPr>
          <w:spacing w:val="-60"/>
        </w:rPr>
        <w:t> </w:t>
      </w:r>
      <w:r>
        <w:rPr>
          <w:rFonts w:ascii="Times New Roman" w:hAnsi="Times New Roman" w:cs="Times New Roman" w:eastAsia="Times New Roman" w:hint="default"/>
        </w:rPr>
        <w:t>474,703,184.81  </w:t>
      </w:r>
      <w:r>
        <w:rPr/>
        <w:t>元，</w:t>
      </w:r>
    </w:p>
    <w:p>
      <w:pPr>
        <w:pStyle w:val="BodyText"/>
        <w:spacing w:line="240" w:lineRule="auto"/>
        <w:ind w:left="139" w:right="0"/>
        <w:jc w:val="left"/>
      </w:pPr>
      <w:r>
        <w:rPr>
          <w:rFonts w:ascii="Times New Roman" w:hAnsi="Times New Roman" w:cs="Times New Roman" w:eastAsia="Times New Roman" w:hint="default"/>
          <w:spacing w:val="-3"/>
        </w:rPr>
        <w:t>2011   </w:t>
      </w:r>
      <w:r>
        <w:rPr>
          <w:spacing w:val="20"/>
        </w:rPr>
        <w:t>年度使用募集资金人民币 </w:t>
      </w:r>
      <w:r>
        <w:rPr>
          <w:rFonts w:ascii="Times New Roman" w:hAnsi="Times New Roman" w:cs="Times New Roman" w:eastAsia="Times New Roman" w:hint="default"/>
        </w:rPr>
        <w:t>359,014,533.10 </w:t>
      </w:r>
      <w:r>
        <w:rPr>
          <w:rFonts w:ascii="Times New Roman" w:hAnsi="Times New Roman" w:cs="Times New Roman" w:eastAsia="Times New Roman" w:hint="default"/>
          <w:spacing w:val="15"/>
        </w:rPr>
        <w:t> </w:t>
      </w:r>
      <w:r>
        <w:rPr>
          <w:spacing w:val="22"/>
        </w:rPr>
        <w:t>元，其中：募集资金项目投入</w:t>
      </w:r>
      <w:r>
        <w:rPr>
          <w:spacing w:val="-96"/>
        </w:rPr>
        <w:t> </w:t>
      </w:r>
      <w:r>
        <w:rPr/>
      </w:r>
    </w:p>
    <w:p>
      <w:pPr>
        <w:pStyle w:val="BodyText"/>
        <w:spacing w:line="240" w:lineRule="auto"/>
        <w:ind w:left="139" w:right="0"/>
        <w:jc w:val="left"/>
        <w:rPr>
          <w:rFonts w:ascii="Times New Roman" w:hAnsi="Times New Roman" w:cs="Times New Roman" w:eastAsia="Times New Roman" w:hint="default"/>
        </w:rPr>
      </w:pPr>
      <w:r>
        <w:rPr>
          <w:rFonts w:ascii="Times New Roman" w:hAnsi="Times New Roman" w:cs="Times New Roman" w:eastAsia="Times New Roman" w:hint="default"/>
        </w:rPr>
        <w:t>313,514,533.10 </w:t>
      </w:r>
      <w:r>
        <w:rPr/>
        <w:t>元，用闲置募集资金补充流动资金 </w:t>
      </w:r>
      <w:r>
        <w:rPr>
          <w:rFonts w:ascii="Times New Roman" w:hAnsi="Times New Roman" w:cs="Times New Roman" w:eastAsia="Times New Roman" w:hint="default"/>
        </w:rPr>
        <w:t>45,500,000.00 </w:t>
      </w:r>
      <w:r>
        <w:rPr/>
        <w:t>元；于 </w:t>
      </w:r>
      <w:r>
        <w:rPr>
          <w:rFonts w:ascii="Times New Roman" w:hAnsi="Times New Roman" w:cs="Times New Roman" w:eastAsia="Times New Roman" w:hint="default"/>
        </w:rPr>
        <w:t>2009  </w:t>
      </w:r>
      <w:r>
        <w:rPr/>
        <w:t>年</w:t>
      </w:r>
      <w:r>
        <w:rPr>
          <w:spacing w:val="-73"/>
        </w:rPr>
        <w:t> </w:t>
      </w:r>
      <w:r>
        <w:rPr>
          <w:rFonts w:ascii="Times New Roman" w:hAnsi="Times New Roman" w:cs="Times New Roman" w:eastAsia="Times New Roman" w:hint="default"/>
        </w:rPr>
        <w:t>10</w:t>
      </w:r>
    </w:p>
    <w:p>
      <w:pPr>
        <w:pStyle w:val="BodyText"/>
        <w:spacing w:line="240" w:lineRule="auto"/>
        <w:ind w:left="139" w:right="0"/>
        <w:jc w:val="left"/>
      </w:pPr>
      <w:r>
        <w:rPr/>
        <w:t>月</w:t>
      </w:r>
      <w:r>
        <w:rPr>
          <w:spacing w:val="-61"/>
        </w:rPr>
        <w:t> </w:t>
      </w:r>
      <w:r>
        <w:rPr>
          <w:rFonts w:ascii="Times New Roman" w:hAnsi="Times New Roman" w:cs="Times New Roman" w:eastAsia="Times New Roman" w:hint="default"/>
        </w:rPr>
        <w:t>19</w:t>
      </w:r>
      <w:r>
        <w:rPr>
          <w:rFonts w:ascii="Times New Roman" w:hAnsi="Times New Roman" w:cs="Times New Roman" w:eastAsia="Times New Roman" w:hint="default"/>
          <w:spacing w:val="-1"/>
        </w:rPr>
        <w:t> </w:t>
      </w:r>
      <w:r>
        <w:rPr/>
        <w:t>日起至</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58"/>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58"/>
        </w:rPr>
        <w:t> </w:t>
      </w:r>
      <w:r>
        <w:rPr/>
        <w:t>月</w:t>
      </w:r>
      <w:r>
        <w:rPr>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日募集资金项目投入</w:t>
      </w:r>
      <w:r>
        <w:rPr>
          <w:spacing w:val="-61"/>
        </w:rPr>
        <w:t> </w:t>
      </w:r>
      <w:r>
        <w:rPr>
          <w:rFonts w:ascii="Times New Roman" w:hAnsi="Times New Roman" w:cs="Times New Roman" w:eastAsia="Times New Roman" w:hint="default"/>
        </w:rPr>
        <w:t>115,688,651.71</w:t>
      </w:r>
      <w:r>
        <w:rPr>
          <w:rFonts w:ascii="Times New Roman" w:hAnsi="Times New Roman" w:cs="Times New Roman" w:eastAsia="Times New Roman" w:hint="default"/>
          <w:spacing w:val="58"/>
        </w:rPr>
        <w:t> </w:t>
      </w:r>
      <w:r>
        <w:rPr>
          <w:spacing w:val="-9"/>
        </w:rPr>
        <w:t>元；尚未使用的</w:t>
      </w:r>
    </w:p>
    <w:p>
      <w:pPr>
        <w:pStyle w:val="BodyText"/>
        <w:spacing w:line="240" w:lineRule="auto"/>
        <w:ind w:left="139" w:right="0"/>
        <w:jc w:val="left"/>
      </w:pPr>
      <w:r>
        <w:rPr/>
        <w:t>资金</w:t>
      </w:r>
      <w:r>
        <w:rPr>
          <w:rFonts w:ascii="Times New Roman" w:hAnsi="Times New Roman" w:cs="Times New Roman" w:eastAsia="Times New Roman" w:hint="default"/>
        </w:rPr>
        <w:t>-1,800,994.30  </w:t>
      </w:r>
      <w:r>
        <w:rPr/>
        <w:t>元。 截止 </w:t>
      </w: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w:t>
      </w:r>
      <w:r>
        <w:rPr>
          <w:rFonts w:ascii="Times New Roman" w:hAnsi="Times New Roman" w:cs="Times New Roman" w:eastAsia="Times New Roman" w:hint="default"/>
          <w:spacing w:val="-15"/>
        </w:rPr>
        <w:t> </w:t>
      </w:r>
      <w:r>
        <w:rPr/>
        <w:t>日，募集资金专户余额合计人民币</w:t>
      </w:r>
    </w:p>
    <w:p>
      <w:pPr>
        <w:pStyle w:val="BodyText"/>
        <w:spacing w:line="240" w:lineRule="auto"/>
        <w:ind w:left="139" w:right="0"/>
        <w:jc w:val="left"/>
      </w:pPr>
      <w:r>
        <w:rPr>
          <w:rFonts w:ascii="Times New Roman" w:hAnsi="Times New Roman" w:cs="Times New Roman" w:eastAsia="Times New Roman" w:hint="default"/>
        </w:rPr>
        <w:t>2,004,244.32</w:t>
      </w:r>
      <w:r>
        <w:rPr>
          <w:rFonts w:ascii="Times New Roman" w:hAnsi="Times New Roman" w:cs="Times New Roman" w:eastAsia="Times New Roman" w:hint="default"/>
          <w:spacing w:val="-4"/>
        </w:rPr>
        <w:t> </w:t>
      </w:r>
      <w:r>
        <w:rPr/>
        <w:t>元。募集资金专户余额与尚未使用的资金余额的差异</w:t>
      </w:r>
      <w:r>
        <w:rPr>
          <w:spacing w:val="-64"/>
        </w:rPr>
        <w:t> </w:t>
      </w:r>
      <w:r>
        <w:rPr>
          <w:rFonts w:ascii="Times New Roman" w:hAnsi="Times New Roman" w:cs="Times New Roman" w:eastAsia="Times New Roman" w:hint="default"/>
        </w:rPr>
        <w:t>3,805,238.62</w:t>
      </w:r>
      <w:r>
        <w:rPr>
          <w:rFonts w:ascii="Times New Roman" w:hAnsi="Times New Roman" w:cs="Times New Roman" w:eastAsia="Times New Roman" w:hint="default"/>
          <w:spacing w:val="-4"/>
        </w:rPr>
        <w:t> </w:t>
      </w:r>
      <w:r>
        <w:rPr/>
        <w:t>元系</w:t>
      </w:r>
    </w:p>
    <w:p>
      <w:pPr>
        <w:pStyle w:val="BodyText"/>
        <w:spacing w:line="240" w:lineRule="auto"/>
        <w:ind w:left="139" w:right="0"/>
        <w:jc w:val="left"/>
      </w:pPr>
      <w:r>
        <w:rPr/>
        <w:t>募集资金存款利息收入</w:t>
      </w:r>
      <w:r>
        <w:rPr>
          <w:spacing w:val="-63"/>
        </w:rPr>
        <w:t> </w:t>
      </w:r>
      <w:r>
        <w:rPr>
          <w:rFonts w:ascii="Times New Roman" w:hAnsi="Times New Roman" w:cs="Times New Roman" w:eastAsia="Times New Roman" w:hint="default"/>
        </w:rPr>
        <w:t>3,843,142.75</w:t>
      </w:r>
      <w:r>
        <w:rPr>
          <w:rFonts w:ascii="Times New Roman" w:hAnsi="Times New Roman" w:cs="Times New Roman" w:eastAsia="Times New Roman" w:hint="default"/>
          <w:spacing w:val="-3"/>
        </w:rPr>
        <w:t> </w:t>
      </w:r>
      <w:r>
        <w:rPr/>
        <w:t>元、银行手续费支出</w:t>
      </w:r>
      <w:r>
        <w:rPr>
          <w:spacing w:val="-63"/>
        </w:rPr>
        <w:t> </w:t>
      </w:r>
      <w:r>
        <w:rPr>
          <w:rFonts w:ascii="Times New Roman" w:hAnsi="Times New Roman" w:cs="Times New Roman" w:eastAsia="Times New Roman" w:hint="default"/>
        </w:rPr>
        <w:t>38,704.13</w:t>
      </w:r>
      <w:r>
        <w:rPr>
          <w:rFonts w:ascii="Times New Roman" w:hAnsi="Times New Roman" w:cs="Times New Roman" w:eastAsia="Times New Roman" w:hint="default"/>
          <w:spacing w:val="-3"/>
        </w:rPr>
        <w:t> </w:t>
      </w:r>
      <w:r>
        <w:rPr/>
        <w:t>元（其中存入现</w:t>
      </w:r>
    </w:p>
    <w:p>
      <w:pPr>
        <w:pStyle w:val="BodyText"/>
        <w:spacing w:line="240" w:lineRule="auto"/>
        <w:ind w:left="139" w:right="0"/>
        <w:jc w:val="left"/>
      </w:pPr>
      <w:r>
        <w:rPr/>
        <w:t>金</w:t>
      </w:r>
      <w:r>
        <w:rPr>
          <w:spacing w:val="-60"/>
        </w:rPr>
        <w:t> </w:t>
      </w:r>
      <w:r>
        <w:rPr>
          <w:rFonts w:ascii="Times New Roman" w:hAnsi="Times New Roman" w:cs="Times New Roman" w:eastAsia="Times New Roman" w:hint="default"/>
        </w:rPr>
        <w:t>800.00 </w:t>
      </w:r>
      <w:r>
        <w:rPr/>
        <w:t>元支付银行手续费</w:t>
      </w:r>
      <w:r>
        <w:rPr>
          <w:spacing w:val="-120"/>
        </w:rPr>
        <w:t>）</w:t>
      </w:r>
      <w:r>
        <w:rPr/>
        <w:t>。</w:t>
      </w: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34"/>
          <w:szCs w:val="34"/>
        </w:rPr>
      </w:pPr>
    </w:p>
    <w:p>
      <w:pPr>
        <w:pStyle w:val="BodyText"/>
        <w:spacing w:line="357" w:lineRule="auto" w:before="0"/>
        <w:ind w:left="619" w:right="165"/>
        <w:jc w:val="left"/>
      </w:pPr>
      <w:r>
        <w:rPr/>
        <w:t>（二）募集资金管理情况 为了规范募集资金的管理和使用，保护中小投资者的利益，公司制定了《募集</w:t>
      </w:r>
    </w:p>
    <w:p>
      <w:pPr>
        <w:pStyle w:val="BodyText"/>
        <w:spacing w:line="357" w:lineRule="auto" w:before="36"/>
        <w:ind w:left="139" w:right="165"/>
        <w:jc w:val="left"/>
      </w:pPr>
      <w:r>
        <w:rPr/>
        <w:t>资金管理办法》、《募集资金专款使用管理细则》。根据《募集资金管理办法》规 定，公司对募集资金实行专户存储制度。</w:t>
      </w:r>
    </w:p>
    <w:p>
      <w:pPr>
        <w:pStyle w:val="BodyText"/>
        <w:spacing w:line="357" w:lineRule="auto" w:before="36"/>
        <w:ind w:left="139" w:right="182" w:firstLine="480"/>
        <w:jc w:val="both"/>
      </w:pPr>
      <w:r>
        <w:rPr/>
        <w:t>首次公开发行股票募集资金分别在广州市三元里农村信用合作社联合社、兴业 银行股份有限公司广州分行营业部设立募集资金专用账户，专款专用，公司与保荐 人国信证券有限责任公司及募集资金存储银行签订了募集资金三方监管协议，并授 权保荐代表人杨健、郭永青可以随时到募集资金储存银行查询、复印公司专户的资 料；募集资金开户银行应及时、准确、完整地向其提供所需的有关专户的资料，以 便募集资金的管理和使用以及对其他使用情况进行监督。</w:t>
      </w:r>
    </w:p>
    <w:p>
      <w:pPr>
        <w:pStyle w:val="BodyText"/>
        <w:spacing w:line="357" w:lineRule="auto" w:before="36"/>
        <w:ind w:left="139" w:right="182" w:firstLine="480"/>
        <w:jc w:val="both"/>
      </w:pPr>
      <w:r>
        <w:rPr/>
        <w:t>公司非公开发行股票募集资金分别在中国工商银行股份有限公司广州工业大道 支行、交通银行股份有限公司广州五羊支行、中国邮政储蓄银行有限责任公司广州 骏源支行、招商银行深圳松岗支行、东亚银行（中国）有限公司广州分行、中信银 行股份有限公司深圳市民中心支行、中国民生银行股份有限公司广州天河北支行设 立募集资金专用账户，专款专用，公司与保荐人国信证券股份有限公司及募集资金 储存银行签订了募集资金三方监管协议，并授权保荐代表人戴锋、李震可以随时向 募集资金开户银行查询募集资金专用账户资料，以便募集资金的管理和使用以及对 其他使用情况进行监督。</w:t>
      </w:r>
    </w:p>
    <w:p>
      <w:pPr>
        <w:pStyle w:val="BodyText"/>
        <w:spacing w:line="240" w:lineRule="auto" w:before="36"/>
        <w:ind w:left="619" w:right="0"/>
        <w:jc w:val="left"/>
      </w:pPr>
      <w:r>
        <w:rPr/>
        <w:t>（三）募集资金使用情况</w:t>
      </w:r>
    </w:p>
    <w:p>
      <w:pPr>
        <w:spacing w:after="0" w:line="240" w:lineRule="auto"/>
        <w:jc w:val="left"/>
        <w:sectPr>
          <w:pgSz w:w="11910" w:h="16840"/>
          <w:pgMar w:header="877" w:footer="1048" w:top="1100" w:bottom="1240" w:left="1660" w:right="1280"/>
        </w:sectPr>
      </w:pPr>
    </w:p>
    <w:p>
      <w:pPr>
        <w:spacing w:line="240" w:lineRule="auto" w:before="12"/>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693.3pt;height:.75pt;mso-position-horizontal-relative:char;mso-position-vertical-relative:line" coordorigin="0,0" coordsize="13866,15">
            <v:group style="position:absolute;left:7;top:7;width:13852;height:2" coordorigin="7,7" coordsize="13852,2">
              <v:shape style="position:absolute;left:7;top:7;width:13852;height:2" coordorigin="7,7" coordsize="13852,0" path="m7,7l13859,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34"/>
        <w:ind w:left="1339" w:right="0"/>
        <w:jc w:val="left"/>
      </w:pPr>
      <w:r>
        <w:rPr>
          <w:rFonts w:ascii="Times New Roman" w:hAnsi="Times New Roman" w:cs="Times New Roman" w:eastAsia="Times New Roman" w:hint="default"/>
        </w:rPr>
        <w:t>1</w:t>
      </w:r>
      <w:r>
        <w:rPr/>
        <w:t>、募集资金使用情况对照表</w:t>
      </w:r>
    </w:p>
    <w:p>
      <w:pPr>
        <w:spacing w:line="240" w:lineRule="auto" w:before="9"/>
        <w:rPr>
          <w:rFonts w:ascii="宋体" w:hAnsi="宋体" w:cs="宋体" w:eastAsia="宋体" w:hint="default"/>
          <w:sz w:val="10"/>
          <w:szCs w:val="10"/>
        </w:rPr>
      </w:pPr>
    </w:p>
    <w:p>
      <w:pPr>
        <w:spacing w:before="44"/>
        <w:ind w:left="0" w:right="1378" w:firstLine="0"/>
        <w:jc w:val="right"/>
        <w:rPr>
          <w:rFonts w:ascii="宋体" w:hAnsi="宋体" w:cs="宋体" w:eastAsia="宋体" w:hint="default"/>
          <w:sz w:val="18"/>
          <w:szCs w:val="18"/>
        </w:rPr>
      </w:pPr>
      <w:r>
        <w:rPr>
          <w:rFonts w:ascii="宋体" w:hAnsi="宋体" w:cs="宋体" w:eastAsia="宋体" w:hint="default"/>
          <w:sz w:val="18"/>
          <w:szCs w:val="18"/>
        </w:rPr>
        <w:t>单位：（人民币）万元</w:t>
      </w:r>
    </w:p>
    <w:p>
      <w:pPr>
        <w:spacing w:line="240" w:lineRule="auto" w:before="13"/>
        <w:rPr>
          <w:rFonts w:ascii="宋体" w:hAnsi="宋体" w:cs="宋体" w:eastAsia="宋体" w:hint="default"/>
          <w:sz w:val="10"/>
          <w:szCs w:val="10"/>
        </w:rPr>
      </w:pPr>
    </w:p>
    <w:tbl>
      <w:tblPr>
        <w:tblW w:w="0" w:type="auto"/>
        <w:jc w:val="left"/>
        <w:tblInd w:w="135" w:type="dxa"/>
        <w:tblLayout w:type="fixed"/>
        <w:tblCellMar>
          <w:top w:w="0" w:type="dxa"/>
          <w:left w:w="0" w:type="dxa"/>
          <w:bottom w:w="0" w:type="dxa"/>
          <w:right w:w="0" w:type="dxa"/>
        </w:tblCellMar>
        <w:tblLook w:val="01E0"/>
      </w:tblPr>
      <w:tblGrid>
        <w:gridCol w:w="1980"/>
        <w:gridCol w:w="1080"/>
        <w:gridCol w:w="1080"/>
        <w:gridCol w:w="1080"/>
        <w:gridCol w:w="1080"/>
        <w:gridCol w:w="1260"/>
        <w:gridCol w:w="1620"/>
        <w:gridCol w:w="1980"/>
        <w:gridCol w:w="1192"/>
        <w:gridCol w:w="1148"/>
        <w:gridCol w:w="1440"/>
      </w:tblGrid>
      <w:tr>
        <w:trPr>
          <w:trHeight w:val="322" w:hRule="exact"/>
        </w:trPr>
        <w:tc>
          <w:tcPr>
            <w:tcW w:w="4140" w:type="dxa"/>
            <w:gridSpan w:val="3"/>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募集资金总额</w:t>
            </w:r>
          </w:p>
        </w:tc>
        <w:tc>
          <w:tcPr>
            <w:tcW w:w="21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327" w:right="0"/>
              <w:jc w:val="left"/>
              <w:rPr>
                <w:rFonts w:ascii="Times New Roman" w:hAnsi="Times New Roman" w:cs="Times New Roman" w:eastAsia="Times New Roman" w:hint="default"/>
                <w:sz w:val="18"/>
                <w:szCs w:val="18"/>
              </w:rPr>
            </w:pPr>
            <w:r>
              <w:rPr>
                <w:rFonts w:ascii="Times New Roman"/>
                <w:sz w:val="18"/>
              </w:rPr>
              <w:t>47,290.22</w:t>
            </w:r>
          </w:p>
        </w:tc>
        <w:tc>
          <w:tcPr>
            <w:tcW w:w="6052" w:type="dxa"/>
            <w:gridSpan w:val="4"/>
            <w:vMerge w:val="restart"/>
            <w:tcBorders>
              <w:top w:val="single" w:sz="4" w:space="0" w:color="000000"/>
              <w:left w:val="single" w:sz="4" w:space="0" w:color="000000"/>
              <w:right w:val="single" w:sz="4" w:space="0" w:color="000000"/>
            </w:tcBorders>
            <w:shd w:val="clear" w:color="auto" w:fill="C0C0C0"/>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本年度投入募集资金总额</w:t>
            </w:r>
          </w:p>
        </w:tc>
        <w:tc>
          <w:tcPr>
            <w:tcW w:w="2588" w:type="dxa"/>
            <w:gridSpan w:val="2"/>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31,351.45</w:t>
            </w:r>
          </w:p>
        </w:tc>
      </w:tr>
      <w:tr>
        <w:trPr>
          <w:trHeight w:val="322" w:hRule="exact"/>
        </w:trPr>
        <w:tc>
          <w:tcPr>
            <w:tcW w:w="4140" w:type="dxa"/>
            <w:gridSpan w:val="3"/>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left="715" w:right="0"/>
              <w:jc w:val="left"/>
              <w:rPr>
                <w:rFonts w:ascii="宋体" w:hAnsi="宋体" w:cs="宋体" w:eastAsia="宋体" w:hint="default"/>
                <w:sz w:val="18"/>
                <w:szCs w:val="18"/>
              </w:rPr>
            </w:pPr>
            <w:r>
              <w:rPr>
                <w:rFonts w:ascii="宋体" w:hAnsi="宋体" w:cs="宋体" w:eastAsia="宋体" w:hint="default"/>
                <w:sz w:val="18"/>
                <w:szCs w:val="18"/>
              </w:rPr>
              <w:t>报告期内变更用途的募集资金总额</w:t>
            </w:r>
          </w:p>
        </w:tc>
        <w:tc>
          <w:tcPr>
            <w:tcW w:w="21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052" w:type="dxa"/>
            <w:gridSpan w:val="4"/>
            <w:vMerge/>
            <w:tcBorders>
              <w:left w:val="single" w:sz="4" w:space="0" w:color="000000"/>
              <w:bottom w:val="single" w:sz="4" w:space="0" w:color="000000"/>
              <w:right w:val="single" w:sz="4" w:space="0" w:color="000000"/>
            </w:tcBorders>
            <w:shd w:val="clear" w:color="auto" w:fill="C0C0C0"/>
          </w:tcPr>
          <w:p>
            <w:pPr/>
          </w:p>
        </w:tc>
        <w:tc>
          <w:tcPr>
            <w:tcW w:w="2588" w:type="dxa"/>
            <w:gridSpan w:val="2"/>
            <w:vMerge/>
            <w:tcBorders>
              <w:left w:val="single" w:sz="4" w:space="0" w:color="000000"/>
              <w:bottom w:val="single" w:sz="4" w:space="0" w:color="000000"/>
              <w:right w:val="single" w:sz="4" w:space="0" w:color="000000"/>
            </w:tcBorders>
          </w:tcPr>
          <w:p>
            <w:pPr/>
          </w:p>
        </w:tc>
      </w:tr>
      <w:tr>
        <w:trPr>
          <w:trHeight w:val="322" w:hRule="exact"/>
        </w:trPr>
        <w:tc>
          <w:tcPr>
            <w:tcW w:w="4140" w:type="dxa"/>
            <w:gridSpan w:val="3"/>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left="895" w:right="0"/>
              <w:jc w:val="left"/>
              <w:rPr>
                <w:rFonts w:ascii="宋体" w:hAnsi="宋体" w:cs="宋体" w:eastAsia="宋体" w:hint="default"/>
                <w:sz w:val="18"/>
                <w:szCs w:val="18"/>
              </w:rPr>
            </w:pPr>
            <w:r>
              <w:rPr>
                <w:rFonts w:ascii="宋体" w:hAnsi="宋体" w:cs="宋体" w:eastAsia="宋体" w:hint="default"/>
                <w:sz w:val="18"/>
                <w:szCs w:val="18"/>
              </w:rPr>
              <w:t>累计变更用途的募集资金总额</w:t>
            </w:r>
          </w:p>
        </w:tc>
        <w:tc>
          <w:tcPr>
            <w:tcW w:w="21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327" w:right="0"/>
              <w:jc w:val="left"/>
              <w:rPr>
                <w:rFonts w:ascii="Times New Roman" w:hAnsi="Times New Roman" w:cs="Times New Roman" w:eastAsia="Times New Roman" w:hint="default"/>
                <w:sz w:val="18"/>
                <w:szCs w:val="18"/>
              </w:rPr>
            </w:pPr>
            <w:r>
              <w:rPr>
                <w:rFonts w:ascii="Times New Roman"/>
                <w:sz w:val="18"/>
              </w:rPr>
              <w:t>27,889.00</w:t>
            </w:r>
          </w:p>
        </w:tc>
        <w:tc>
          <w:tcPr>
            <w:tcW w:w="6052" w:type="dxa"/>
            <w:gridSpan w:val="4"/>
            <w:vMerge w:val="restart"/>
            <w:tcBorders>
              <w:top w:val="single" w:sz="4" w:space="0" w:color="000000"/>
              <w:left w:val="single" w:sz="4" w:space="0" w:color="000000"/>
              <w:right w:val="single" w:sz="4" w:space="0" w:color="000000"/>
            </w:tcBorders>
            <w:shd w:val="clear" w:color="auto" w:fill="C0C0C0"/>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已累计投入募集资金总额</w:t>
            </w:r>
          </w:p>
        </w:tc>
        <w:tc>
          <w:tcPr>
            <w:tcW w:w="2588" w:type="dxa"/>
            <w:gridSpan w:val="2"/>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42,920.32</w:t>
            </w:r>
          </w:p>
        </w:tc>
      </w:tr>
      <w:tr>
        <w:trPr>
          <w:trHeight w:val="322" w:hRule="exact"/>
        </w:trPr>
        <w:tc>
          <w:tcPr>
            <w:tcW w:w="4140" w:type="dxa"/>
            <w:gridSpan w:val="3"/>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left="715" w:right="0"/>
              <w:jc w:val="left"/>
              <w:rPr>
                <w:rFonts w:ascii="宋体" w:hAnsi="宋体" w:cs="宋体" w:eastAsia="宋体" w:hint="default"/>
                <w:sz w:val="18"/>
                <w:szCs w:val="18"/>
              </w:rPr>
            </w:pPr>
            <w:r>
              <w:rPr>
                <w:rFonts w:ascii="宋体" w:hAnsi="宋体" w:cs="宋体" w:eastAsia="宋体" w:hint="default"/>
                <w:sz w:val="18"/>
                <w:szCs w:val="18"/>
              </w:rPr>
              <w:t>累计变更用途的募集资金总额比例</w:t>
            </w:r>
          </w:p>
        </w:tc>
        <w:tc>
          <w:tcPr>
            <w:tcW w:w="21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w w:val="95"/>
                <w:sz w:val="18"/>
              </w:rPr>
              <w:t>58.97%</w:t>
            </w:r>
            <w:r>
              <w:rPr>
                <w:rFonts w:ascii="Times New Roman"/>
                <w:sz w:val="18"/>
              </w:rPr>
            </w:r>
          </w:p>
        </w:tc>
        <w:tc>
          <w:tcPr>
            <w:tcW w:w="6052" w:type="dxa"/>
            <w:gridSpan w:val="4"/>
            <w:vMerge/>
            <w:tcBorders>
              <w:left w:val="single" w:sz="4" w:space="0" w:color="000000"/>
              <w:bottom w:val="single" w:sz="4" w:space="0" w:color="000000"/>
              <w:right w:val="single" w:sz="4" w:space="0" w:color="000000"/>
            </w:tcBorders>
            <w:shd w:val="clear" w:color="auto" w:fill="C0C0C0"/>
          </w:tcPr>
          <w:p>
            <w:pPr/>
          </w:p>
        </w:tc>
        <w:tc>
          <w:tcPr>
            <w:tcW w:w="2588" w:type="dxa"/>
            <w:gridSpan w:val="2"/>
            <w:vMerge/>
            <w:tcBorders>
              <w:left w:val="single" w:sz="4" w:space="0" w:color="000000"/>
              <w:bottom w:val="single" w:sz="4" w:space="0" w:color="000000"/>
              <w:right w:val="single" w:sz="4" w:space="0" w:color="000000"/>
            </w:tcBorders>
          </w:tcPr>
          <w:p>
            <w:pPr/>
          </w:p>
        </w:tc>
      </w:tr>
      <w:tr>
        <w:trPr>
          <w:trHeight w:val="1133" w:hRule="exact"/>
        </w:trPr>
        <w:tc>
          <w:tcPr>
            <w:tcW w:w="19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625" w:right="173" w:hanging="450"/>
              <w:jc w:val="left"/>
              <w:rPr>
                <w:rFonts w:ascii="宋体" w:hAnsi="宋体" w:cs="宋体" w:eastAsia="宋体" w:hint="default"/>
                <w:sz w:val="18"/>
                <w:szCs w:val="18"/>
              </w:rPr>
            </w:pPr>
            <w:r>
              <w:rPr>
                <w:rFonts w:ascii="宋体" w:hAnsi="宋体" w:cs="宋体" w:eastAsia="宋体" w:hint="default"/>
                <w:sz w:val="18"/>
                <w:szCs w:val="18"/>
              </w:rPr>
              <w:t>承诺投资项目和超募 资金投向</w:t>
            </w:r>
          </w:p>
        </w:tc>
        <w:tc>
          <w:tcPr>
            <w:tcW w:w="10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04"/>
              <w:ind w:left="103" w:right="65" w:firstLine="72"/>
              <w:jc w:val="left"/>
              <w:rPr>
                <w:rFonts w:ascii="宋体" w:hAnsi="宋体" w:cs="宋体" w:eastAsia="宋体" w:hint="default"/>
                <w:sz w:val="18"/>
                <w:szCs w:val="18"/>
              </w:rPr>
            </w:pPr>
            <w:r>
              <w:rPr>
                <w:rFonts w:ascii="宋体" w:hAnsi="宋体" w:cs="宋体" w:eastAsia="宋体" w:hint="default"/>
                <w:sz w:val="18"/>
                <w:szCs w:val="18"/>
              </w:rPr>
              <w:t>是否已变 </w:t>
            </w:r>
            <w:r>
              <w:rPr>
                <w:rFonts w:ascii="宋体" w:hAnsi="宋体" w:cs="宋体" w:eastAsia="宋体" w:hint="default"/>
                <w:spacing w:val="-8"/>
                <w:sz w:val="18"/>
                <w:szCs w:val="18"/>
              </w:rPr>
              <w:t>更项目（含</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部分变更）</w:t>
            </w:r>
          </w:p>
        </w:tc>
        <w:tc>
          <w:tcPr>
            <w:tcW w:w="10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137" w:right="30"/>
              <w:jc w:val="left"/>
              <w:rPr>
                <w:rFonts w:ascii="宋体" w:hAnsi="宋体" w:cs="宋体" w:eastAsia="宋体" w:hint="default"/>
                <w:sz w:val="18"/>
                <w:szCs w:val="18"/>
              </w:rPr>
            </w:pPr>
            <w:r>
              <w:rPr>
                <w:rFonts w:ascii="宋体" w:hAnsi="宋体" w:cs="宋体" w:eastAsia="宋体" w:hint="default"/>
                <w:sz w:val="18"/>
                <w:szCs w:val="18"/>
              </w:rPr>
              <w:t>募集资金承 诺投资总额</w:t>
            </w:r>
          </w:p>
        </w:tc>
        <w:tc>
          <w:tcPr>
            <w:tcW w:w="10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303" w:right="30" w:hanging="166"/>
              <w:jc w:val="left"/>
              <w:rPr>
                <w:rFonts w:ascii="Times New Roman" w:hAnsi="Times New Roman" w:cs="Times New Roman" w:eastAsia="Times New Roman" w:hint="default"/>
                <w:sz w:val="18"/>
                <w:szCs w:val="18"/>
              </w:rPr>
            </w:pPr>
            <w:r>
              <w:rPr>
                <w:rFonts w:ascii="宋体" w:hAnsi="宋体" w:cs="宋体" w:eastAsia="宋体" w:hint="default"/>
                <w:sz w:val="18"/>
                <w:szCs w:val="18"/>
              </w:rPr>
              <w:t>调整后投资 总额</w:t>
            </w:r>
            <w:r>
              <w:rPr>
                <w:rFonts w:ascii="Times New Roman" w:hAnsi="Times New Roman" w:cs="Times New Roman" w:eastAsia="Times New Roman" w:hint="default"/>
                <w:sz w:val="18"/>
                <w:szCs w:val="18"/>
              </w:rPr>
              <w:t>(1)</w:t>
            </w:r>
          </w:p>
        </w:tc>
        <w:tc>
          <w:tcPr>
            <w:tcW w:w="10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407" w:right="30" w:hanging="270"/>
              <w:jc w:val="left"/>
              <w:rPr>
                <w:rFonts w:ascii="宋体" w:hAnsi="宋体" w:cs="宋体" w:eastAsia="宋体" w:hint="default"/>
                <w:sz w:val="18"/>
                <w:szCs w:val="18"/>
              </w:rPr>
            </w:pPr>
            <w:r>
              <w:rPr>
                <w:rFonts w:ascii="宋体" w:hAnsi="宋体" w:cs="宋体" w:eastAsia="宋体" w:hint="default"/>
                <w:sz w:val="18"/>
                <w:szCs w:val="18"/>
              </w:rPr>
              <w:t>本年度投入 金额</w:t>
            </w:r>
          </w:p>
        </w:tc>
        <w:tc>
          <w:tcPr>
            <w:tcW w:w="12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213" w:right="30" w:hanging="76"/>
              <w:jc w:val="left"/>
              <w:rPr>
                <w:rFonts w:ascii="Times New Roman" w:hAnsi="Times New Roman" w:cs="Times New Roman" w:eastAsia="Times New Roman" w:hint="default"/>
                <w:sz w:val="18"/>
                <w:szCs w:val="18"/>
              </w:rPr>
            </w:pPr>
            <w:r>
              <w:rPr>
                <w:rFonts w:ascii="宋体" w:hAnsi="宋体" w:cs="宋体" w:eastAsia="宋体" w:hint="default"/>
                <w:sz w:val="18"/>
                <w:szCs w:val="18"/>
              </w:rPr>
              <w:t>截至期末累计 投入金额</w:t>
            </w:r>
            <w:r>
              <w:rPr>
                <w:rFonts w:ascii="Times New Roman" w:hAnsi="Times New Roman" w:cs="Times New Roman" w:eastAsia="Times New Roman" w:hint="default"/>
                <w:sz w:val="18"/>
                <w:szCs w:val="18"/>
              </w:rPr>
              <w:t>(2)</w:t>
            </w:r>
          </w:p>
        </w:tc>
        <w:tc>
          <w:tcPr>
            <w:tcW w:w="16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截至期末投入进度</w:t>
            </w:r>
          </w:p>
          <w:p>
            <w:pPr>
              <w:pStyle w:val="TableParagraph"/>
              <w:spacing w:line="240" w:lineRule="auto" w:before="76"/>
              <w:ind w:left="17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19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768" w:right="30" w:hanging="630"/>
              <w:jc w:val="left"/>
              <w:rPr>
                <w:rFonts w:ascii="宋体" w:hAnsi="宋体" w:cs="宋体" w:eastAsia="宋体" w:hint="default"/>
                <w:sz w:val="18"/>
                <w:szCs w:val="18"/>
              </w:rPr>
            </w:pPr>
            <w:r>
              <w:rPr>
                <w:rFonts w:ascii="宋体" w:hAnsi="宋体" w:cs="宋体" w:eastAsia="宋体" w:hint="default"/>
                <w:sz w:val="18"/>
                <w:szCs w:val="18"/>
              </w:rPr>
              <w:t>项目达到预定可使用状 态日期</w:t>
            </w:r>
          </w:p>
        </w:tc>
        <w:tc>
          <w:tcPr>
            <w:tcW w:w="119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464" w:right="-3" w:hanging="360"/>
              <w:jc w:val="left"/>
              <w:rPr>
                <w:rFonts w:ascii="宋体" w:hAnsi="宋体" w:cs="宋体" w:eastAsia="宋体" w:hint="default"/>
                <w:sz w:val="18"/>
                <w:szCs w:val="18"/>
              </w:rPr>
            </w:pPr>
            <w:r>
              <w:rPr>
                <w:rFonts w:ascii="宋体" w:hAnsi="宋体" w:cs="宋体" w:eastAsia="宋体" w:hint="default"/>
                <w:sz w:val="18"/>
                <w:szCs w:val="18"/>
              </w:rPr>
              <w:t>本年度实现的 效益</w:t>
            </w:r>
          </w:p>
        </w:tc>
        <w:tc>
          <w:tcPr>
            <w:tcW w:w="114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352" w:right="65" w:hanging="180"/>
              <w:jc w:val="left"/>
              <w:rPr>
                <w:rFonts w:ascii="宋体" w:hAnsi="宋体" w:cs="宋体" w:eastAsia="宋体" w:hint="default"/>
                <w:sz w:val="18"/>
                <w:szCs w:val="18"/>
              </w:rPr>
            </w:pPr>
            <w:r>
              <w:rPr>
                <w:rFonts w:ascii="宋体" w:hAnsi="宋体" w:cs="宋体" w:eastAsia="宋体" w:hint="default"/>
                <w:sz w:val="18"/>
                <w:szCs w:val="18"/>
              </w:rPr>
              <w:t>是否达到预 计效益</w:t>
            </w:r>
          </w:p>
        </w:tc>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2"/>
              <w:ind w:right="0"/>
              <w:jc w:val="left"/>
              <w:rPr>
                <w:rFonts w:ascii="宋体" w:hAnsi="宋体" w:cs="宋体" w:eastAsia="宋体" w:hint="default"/>
                <w:sz w:val="19"/>
                <w:szCs w:val="19"/>
              </w:rPr>
            </w:pPr>
          </w:p>
          <w:p>
            <w:pPr>
              <w:pStyle w:val="TableParagraph"/>
              <w:spacing w:line="316" w:lineRule="auto"/>
              <w:ind w:left="228" w:right="30" w:hanging="90"/>
              <w:jc w:val="left"/>
              <w:rPr>
                <w:rFonts w:ascii="宋体" w:hAnsi="宋体" w:cs="宋体" w:eastAsia="宋体" w:hint="default"/>
                <w:sz w:val="18"/>
                <w:szCs w:val="18"/>
              </w:rPr>
            </w:pPr>
            <w:r>
              <w:rPr>
                <w:rFonts w:ascii="宋体" w:hAnsi="宋体" w:cs="宋体" w:eastAsia="宋体" w:hint="default"/>
                <w:sz w:val="18"/>
                <w:szCs w:val="18"/>
              </w:rPr>
              <w:t>项目可行性是否 发生重大变化</w:t>
            </w:r>
          </w:p>
        </w:tc>
      </w:tr>
      <w:tr>
        <w:trPr>
          <w:trHeight w:val="323" w:hRule="exact"/>
        </w:trPr>
        <w:tc>
          <w:tcPr>
            <w:tcW w:w="19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承诺投资项目</w:t>
            </w:r>
          </w:p>
        </w:tc>
        <w:tc>
          <w:tcPr>
            <w:tcW w:w="12960" w:type="dxa"/>
            <w:gridSpan w:val="10"/>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z w:val="18"/>
                <w:szCs w:val="18"/>
              </w:rPr>
              <w:t>合作运营</w:t>
            </w:r>
            <w:r>
              <w:rPr>
                <w:rFonts w:ascii="宋体" w:hAnsi="宋体" w:cs="宋体" w:eastAsia="宋体" w:hint="default"/>
                <w:spacing w:val="-64"/>
                <w:sz w:val="18"/>
                <w:szCs w:val="18"/>
              </w:rPr>
              <w:t> </w:t>
            </w:r>
            <w:r>
              <w:rPr>
                <w:rFonts w:ascii="宋体" w:hAnsi="宋体" w:cs="宋体" w:eastAsia="宋体" w:hint="default"/>
                <w:sz w:val="18"/>
                <w:szCs w:val="18"/>
              </w:rPr>
              <w:t>ATM</w:t>
            </w:r>
            <w:r>
              <w:rPr>
                <w:rFonts w:ascii="宋体" w:hAnsi="宋体" w:cs="宋体" w:eastAsia="宋体" w:hint="default"/>
                <w:spacing w:val="-63"/>
                <w:sz w:val="18"/>
                <w:szCs w:val="18"/>
              </w:rPr>
              <w:t> </w:t>
            </w:r>
            <w:r>
              <w:rPr>
                <w:rFonts w:ascii="宋体" w:hAnsi="宋体" w:cs="宋体" w:eastAsia="宋体" w:hint="default"/>
                <w:sz w:val="18"/>
                <w:szCs w:val="18"/>
              </w:rPr>
              <w:t>网络建设</w:t>
            </w:r>
            <w:r>
              <w:rPr>
                <w:rFonts w:ascii="宋体" w:hAnsi="宋体" w:cs="宋体" w:eastAsia="宋体" w:hint="default"/>
                <w:sz w:val="18"/>
                <w:szCs w:val="18"/>
              </w:rPr>
              <w:t> 项目</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47,290.22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19,401.22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8,926.83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19,401.22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100.00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2011.10.31</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1,273.48</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2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4"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10"/>
              <w:jc w:val="left"/>
              <w:rPr>
                <w:rFonts w:ascii="宋体" w:hAnsi="宋体" w:cs="宋体" w:eastAsia="宋体" w:hint="default"/>
                <w:sz w:val="18"/>
                <w:szCs w:val="18"/>
              </w:rPr>
            </w:pPr>
            <w:r>
              <w:rPr>
                <w:rFonts w:ascii="宋体" w:hAnsi="宋体" w:cs="宋体" w:eastAsia="宋体" w:hint="default"/>
                <w:sz w:val="18"/>
                <w:szCs w:val="18"/>
              </w:rPr>
              <w:t>ATM</w:t>
            </w:r>
            <w:r>
              <w:rPr>
                <w:rFonts w:ascii="宋体" w:hAnsi="宋体" w:cs="宋体" w:eastAsia="宋体" w:hint="default"/>
                <w:spacing w:val="-46"/>
                <w:sz w:val="18"/>
                <w:szCs w:val="18"/>
              </w:rPr>
              <w:t> </w:t>
            </w:r>
            <w:r>
              <w:rPr>
                <w:rFonts w:ascii="宋体" w:hAnsi="宋体" w:cs="宋体" w:eastAsia="宋体" w:hint="default"/>
                <w:sz w:val="18"/>
                <w:szCs w:val="18"/>
              </w:rPr>
              <w:t>融资租赁运营服务</w:t>
            </w:r>
            <w:r>
              <w:rPr>
                <w:rFonts w:ascii="宋体" w:hAnsi="宋体" w:cs="宋体" w:eastAsia="宋体" w:hint="default"/>
                <w:sz w:val="18"/>
                <w:szCs w:val="18"/>
              </w:rPr>
              <w:t> 项目</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27,889.00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22,424.62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23,519.10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84.33</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2012.11.30</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6,633.85</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2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19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承诺投资项目小计</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47,290.22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47,290.22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31,351.45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42,920.32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7,907.33</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684"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3" w:hRule="exact"/>
        </w:trPr>
        <w:tc>
          <w:tcPr>
            <w:tcW w:w="19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超募资金投向</w:t>
            </w:r>
          </w:p>
        </w:tc>
        <w:tc>
          <w:tcPr>
            <w:tcW w:w="12960"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19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left="35" w:right="0"/>
              <w:jc w:val="center"/>
              <w:rPr>
                <w:rFonts w:ascii="宋体" w:hAnsi="宋体" w:cs="宋体" w:eastAsia="宋体" w:hint="default"/>
                <w:sz w:val="18"/>
                <w:szCs w:val="18"/>
              </w:rPr>
            </w:pPr>
            <w:r>
              <w:rPr>
                <w:rFonts w:ascii="宋体" w:hAnsi="宋体" w:cs="宋体" w:eastAsia="宋体" w:hint="default"/>
                <w:sz w:val="18"/>
                <w:szCs w:val="18"/>
              </w:rPr>
              <w:t>归还银行贷款（如有）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685"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19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left="35" w:right="0"/>
              <w:jc w:val="center"/>
              <w:rPr>
                <w:rFonts w:ascii="宋体" w:hAnsi="宋体" w:cs="宋体" w:eastAsia="宋体" w:hint="default"/>
                <w:sz w:val="18"/>
                <w:szCs w:val="18"/>
              </w:rPr>
            </w:pPr>
            <w:r>
              <w:rPr>
                <w:rFonts w:ascii="宋体" w:hAnsi="宋体" w:cs="宋体" w:eastAsia="宋体" w:hint="default"/>
                <w:sz w:val="18"/>
                <w:szCs w:val="18"/>
              </w:rPr>
              <w:t>补充流动资金（如有）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685"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3" w:hRule="exact"/>
        </w:trPr>
        <w:tc>
          <w:tcPr>
            <w:tcW w:w="19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超募资金投向小计</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85"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19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47,290.22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47,290.22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31,351.45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42,920.32</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7,907.33</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684"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1570" w:hRule="exact"/>
        </w:trPr>
        <w:tc>
          <w:tcPr>
            <w:tcW w:w="6300" w:type="dxa"/>
            <w:gridSpan w:val="5"/>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895" w:right="0"/>
              <w:jc w:val="left"/>
              <w:rPr>
                <w:rFonts w:ascii="宋体" w:hAnsi="宋体" w:cs="宋体" w:eastAsia="宋体" w:hint="default"/>
                <w:sz w:val="18"/>
                <w:szCs w:val="18"/>
              </w:rPr>
            </w:pPr>
            <w:r>
              <w:rPr>
                <w:rFonts w:ascii="宋体" w:hAnsi="宋体" w:cs="宋体" w:eastAsia="宋体" w:hint="default"/>
                <w:sz w:val="18"/>
                <w:szCs w:val="18"/>
              </w:rPr>
              <w:t>未达到计划进度或预计收益的情况和原因（分具体项目）</w:t>
            </w:r>
          </w:p>
        </w:tc>
        <w:tc>
          <w:tcPr>
            <w:tcW w:w="8640" w:type="dxa"/>
            <w:gridSpan w:val="6"/>
            <w:tcBorders>
              <w:top w:val="single" w:sz="4" w:space="0" w:color="000000"/>
              <w:left w:val="single" w:sz="4" w:space="0" w:color="000000"/>
              <w:bottom w:val="single" w:sz="4" w:space="0" w:color="000000"/>
              <w:right w:val="single" w:sz="4" w:space="0" w:color="000000"/>
            </w:tcBorders>
          </w:tcPr>
          <w:p>
            <w:pPr>
              <w:pStyle w:val="TableParagraph"/>
              <w:spacing w:line="300" w:lineRule="auto" w:before="10"/>
              <w:ind w:left="103" w:right="101" w:firstLine="360"/>
              <w:jc w:val="both"/>
              <w:rPr>
                <w:rFonts w:ascii="宋体" w:hAnsi="宋体" w:cs="宋体" w:eastAsia="宋体" w:hint="default"/>
                <w:sz w:val="18"/>
                <w:szCs w:val="18"/>
              </w:rPr>
            </w:pPr>
            <w:r>
              <w:rPr>
                <w:rFonts w:ascii="宋体" w:hAnsi="宋体" w:cs="宋体" w:eastAsia="宋体" w:hint="default"/>
                <w:sz w:val="18"/>
                <w:szCs w:val="18"/>
              </w:rPr>
              <w:t>合作运营</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ATM</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网络建设项目未达到预计效益的主要原因是为了创造更好的</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ATM</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使用安全环境，公司 对</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ATM</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网点选址、网点评估、工程验收及公安验收等环节更加严谨，延长了部分</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ATM</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网点投入使用的时 间，致使效益低于预期。</w:t>
            </w:r>
          </w:p>
          <w:p>
            <w:pPr>
              <w:pStyle w:val="TableParagraph"/>
              <w:spacing w:line="300" w:lineRule="auto" w:before="31"/>
              <w:ind w:left="103" w:right="99"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ATM</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融资租赁运营服务项目未达到预计效益的主要原因是该项目正处于建设布放阶段，效益需逐步释 放。</w:t>
            </w:r>
          </w:p>
        </w:tc>
      </w:tr>
      <w:tr>
        <w:trPr>
          <w:trHeight w:val="323" w:hRule="exact"/>
        </w:trPr>
        <w:tc>
          <w:tcPr>
            <w:tcW w:w="6300" w:type="dxa"/>
            <w:gridSpan w:val="5"/>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left="1705" w:right="0"/>
              <w:jc w:val="left"/>
              <w:rPr>
                <w:rFonts w:ascii="宋体" w:hAnsi="宋体" w:cs="宋体" w:eastAsia="宋体" w:hint="default"/>
                <w:sz w:val="18"/>
                <w:szCs w:val="18"/>
              </w:rPr>
            </w:pPr>
            <w:r>
              <w:rPr>
                <w:rFonts w:ascii="宋体" w:hAnsi="宋体" w:cs="宋体" w:eastAsia="宋体" w:hint="default"/>
                <w:sz w:val="18"/>
                <w:szCs w:val="18"/>
              </w:rPr>
              <w:t>项目可行性发生重大变化的情况说明</w:t>
            </w:r>
          </w:p>
        </w:tc>
        <w:tc>
          <w:tcPr>
            <w:tcW w:w="8640"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未发生重大变化</w:t>
            </w:r>
          </w:p>
        </w:tc>
      </w:tr>
      <w:tr>
        <w:trPr>
          <w:trHeight w:val="322" w:hRule="exact"/>
        </w:trPr>
        <w:tc>
          <w:tcPr>
            <w:tcW w:w="6300" w:type="dxa"/>
            <w:gridSpan w:val="5"/>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left="1615" w:right="0"/>
              <w:jc w:val="left"/>
              <w:rPr>
                <w:rFonts w:ascii="宋体" w:hAnsi="宋体" w:cs="宋体" w:eastAsia="宋体" w:hint="default"/>
                <w:sz w:val="18"/>
                <w:szCs w:val="18"/>
              </w:rPr>
            </w:pPr>
            <w:r>
              <w:rPr>
                <w:rFonts w:ascii="宋体" w:hAnsi="宋体" w:cs="宋体" w:eastAsia="宋体" w:hint="default"/>
                <w:sz w:val="18"/>
                <w:szCs w:val="18"/>
              </w:rPr>
              <w:t>超募资金的金额、用途及使用进展情况</w:t>
            </w:r>
          </w:p>
        </w:tc>
        <w:tc>
          <w:tcPr>
            <w:tcW w:w="8640"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23" w:hRule="exact"/>
        </w:trPr>
        <w:tc>
          <w:tcPr>
            <w:tcW w:w="6300" w:type="dxa"/>
            <w:gridSpan w:val="5"/>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left="1705" w:right="0"/>
              <w:jc w:val="left"/>
              <w:rPr>
                <w:rFonts w:ascii="宋体" w:hAnsi="宋体" w:cs="宋体" w:eastAsia="宋体" w:hint="default"/>
                <w:sz w:val="18"/>
                <w:szCs w:val="18"/>
              </w:rPr>
            </w:pPr>
            <w:r>
              <w:rPr>
                <w:rFonts w:ascii="宋体" w:hAnsi="宋体" w:cs="宋体" w:eastAsia="宋体" w:hint="default"/>
                <w:sz w:val="18"/>
                <w:szCs w:val="18"/>
              </w:rPr>
              <w:t>募集资金投资项目实施地点变更情况</w:t>
            </w:r>
          </w:p>
        </w:tc>
        <w:tc>
          <w:tcPr>
            <w:tcW w:w="8640"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headerReference w:type="default" r:id="rId18"/>
          <w:footerReference w:type="default" r:id="rId19"/>
          <w:pgSz w:w="16840" w:h="11910" w:orient="landscape"/>
          <w:pgMar w:header="867" w:footer="1045" w:top="1060" w:bottom="1240" w:left="1300" w:right="340"/>
          <w:pgNumType w:start="58"/>
        </w:sectPr>
      </w:pPr>
    </w:p>
    <w:p>
      <w:pPr>
        <w:spacing w:line="240" w:lineRule="auto" w:before="12"/>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6300"/>
        <w:gridCol w:w="8640"/>
      </w:tblGrid>
      <w:tr>
        <w:trPr>
          <w:trHeight w:val="329" w:hRule="exact"/>
        </w:trPr>
        <w:tc>
          <w:tcPr>
            <w:tcW w:w="6300" w:type="dxa"/>
            <w:tcBorders>
              <w:top w:val="single" w:sz="10"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募集资金投资项目实施方式调整情况</w:t>
            </w:r>
          </w:p>
        </w:tc>
        <w:tc>
          <w:tcPr>
            <w:tcW w:w="864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23" w:hRule="exact"/>
        </w:trPr>
        <w:tc>
          <w:tcPr>
            <w:tcW w:w="63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募集资金投资项目先期投入及置换情况</w:t>
            </w:r>
          </w:p>
        </w:tc>
        <w:tc>
          <w:tcPr>
            <w:tcW w:w="8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46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17" w:hRule="exact"/>
        </w:trPr>
        <w:tc>
          <w:tcPr>
            <w:tcW w:w="6300" w:type="dxa"/>
            <w:tcBorders>
              <w:top w:val="single" w:sz="4" w:space="0" w:color="000000"/>
              <w:left w:val="single" w:sz="4" w:space="0" w:color="000000"/>
              <w:bottom w:val="nil" w:sz="6" w:space="0" w:color="auto"/>
              <w:right w:val="single" w:sz="4" w:space="0" w:color="000000"/>
            </w:tcBorders>
            <w:shd w:val="clear" w:color="auto" w:fill="C0C0C0"/>
          </w:tcPr>
          <w:p>
            <w:pPr/>
          </w:p>
        </w:tc>
        <w:tc>
          <w:tcPr>
            <w:tcW w:w="86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pacing w:val="-3"/>
                <w:sz w:val="18"/>
                <w:szCs w:val="18"/>
              </w:rPr>
              <w:t>御银股份第三届董事会第五次会议审议通过了《关于使用部分闲置募集资金暂时补充流动资金的议案》，</w:t>
            </w:r>
          </w:p>
        </w:tc>
      </w:tr>
      <w:tr>
        <w:trPr>
          <w:trHeight w:val="317"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并经公司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年第二次临时股东大会审议通过，于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11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日起用部分闲置的募集资金暂时用于补</w:t>
            </w:r>
          </w:p>
        </w:tc>
      </w:tr>
      <w:tr>
        <w:trPr>
          <w:trHeight w:val="312"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充流动资金，总额为人民币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236,450,000.00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元，使用期限不超过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个月，预计还款时间为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12"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之前，公司于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日将借用的资金归还至募集资金专用账户。</w:t>
            </w:r>
          </w:p>
        </w:tc>
      </w:tr>
      <w:tr>
        <w:trPr>
          <w:trHeight w:val="307"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pacing w:val="2"/>
                <w:sz w:val="18"/>
                <w:szCs w:val="18"/>
              </w:rPr>
              <w:t>御银股份第三届董事会第十一次会议审议通过了《关于使用部分闲置募集资金暂时补充流动资金的议</w:t>
            </w:r>
          </w:p>
        </w:tc>
      </w:tr>
      <w:tr>
        <w:trPr>
          <w:trHeight w:val="317"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案》，并经公司</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年第二次临时股东大会审议通过，于</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日起用部分闲置的募集资金暂时</w:t>
            </w:r>
          </w:p>
        </w:tc>
      </w:tr>
      <w:tr>
        <w:trPr>
          <w:trHeight w:val="312"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补充公司流动资金，总额为人民币</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236,450,000.00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元，使用期限不超过</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个月，预计还款日期为</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11</w:t>
            </w:r>
          </w:p>
        </w:tc>
      </w:tr>
      <w:tr>
        <w:trPr>
          <w:trHeight w:val="312"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日之前，公司于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日将借用的资金归还至募集资金专用账户。</w:t>
            </w:r>
          </w:p>
        </w:tc>
      </w:tr>
      <w:tr>
        <w:trPr>
          <w:trHeight w:val="307"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pacing w:val="2"/>
                <w:sz w:val="18"/>
                <w:szCs w:val="18"/>
              </w:rPr>
              <w:t>御银股份第三届董事会第十四次会议审议通过了《关于使用部分闲置募集资金暂时补充流动资金的议</w:t>
            </w:r>
          </w:p>
        </w:tc>
      </w:tr>
      <w:tr>
        <w:trPr>
          <w:trHeight w:val="629"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用闲置募集资金暂时补充流动资金情况</w:t>
            </w: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案》，并经公司</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年第四次临时股东大会审议通过，于</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日起用部分闲置的募集资金暂时</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补充公司流动资金，总额为人民币 </w:t>
            </w:r>
            <w:r>
              <w:rPr>
                <w:rFonts w:ascii="Times New Roman" w:hAnsi="Times New Roman" w:cs="Times New Roman" w:eastAsia="Times New Roman" w:hint="default"/>
                <w:sz w:val="18"/>
                <w:szCs w:val="18"/>
              </w:rPr>
              <w:t>236,450,000.00 </w:t>
            </w:r>
            <w:r>
              <w:rPr>
                <w:rFonts w:ascii="宋体" w:hAnsi="宋体" w:cs="宋体" w:eastAsia="宋体" w:hint="default"/>
                <w:sz w:val="18"/>
                <w:szCs w:val="18"/>
              </w:rPr>
              <w:t>元，使用期限不超过 </w:t>
            </w:r>
            <w:r>
              <w:rPr>
                <w:rFonts w:ascii="Times New Roman" w:hAnsi="Times New Roman" w:cs="Times New Roman" w:eastAsia="Times New Roman" w:hint="default"/>
                <w:sz w:val="18"/>
                <w:szCs w:val="18"/>
              </w:rPr>
              <w:t>6 </w:t>
            </w:r>
            <w:r>
              <w:rPr>
                <w:rFonts w:ascii="宋体" w:hAnsi="宋体" w:cs="宋体" w:eastAsia="宋体" w:hint="default"/>
                <w:sz w:val="18"/>
                <w:szCs w:val="18"/>
              </w:rPr>
              <w:t>个月，预计还款日期为 </w:t>
            </w: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6</w:t>
            </w:r>
          </w:p>
        </w:tc>
      </w:tr>
      <w:tr>
        <w:trPr>
          <w:trHeight w:val="312"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日之前，公司于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日将借用的资金归还至募集资金专用账户。</w:t>
            </w:r>
          </w:p>
        </w:tc>
      </w:tr>
      <w:tr>
        <w:trPr>
          <w:trHeight w:val="307"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pacing w:val="2"/>
                <w:sz w:val="18"/>
                <w:szCs w:val="18"/>
              </w:rPr>
              <w:t>御银股份第三届董事会第十九次会议审议通过了《关于使用部分闲置募集资金暂时补充流动资金的议</w:t>
            </w:r>
          </w:p>
        </w:tc>
      </w:tr>
      <w:tr>
        <w:trPr>
          <w:trHeight w:val="317"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案》，并经公司</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年第二次临时股东大会审议通过，于</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日起用部分闲置的募集资金暂时</w:t>
            </w:r>
          </w:p>
        </w:tc>
      </w:tr>
      <w:tr>
        <w:trPr>
          <w:trHeight w:val="312"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补充公司流动资金，总额为人民币</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200,000,000.00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元，使用期限不超过</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个月，预计还款日期为</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11</w:t>
            </w:r>
          </w:p>
        </w:tc>
      </w:tr>
      <w:tr>
        <w:trPr>
          <w:trHeight w:val="312"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日之前，公司于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日将借用的资金归还至募集资金专用账户。</w:t>
            </w:r>
          </w:p>
        </w:tc>
      </w:tr>
      <w:tr>
        <w:trPr>
          <w:trHeight w:val="307"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御银股份第三届董事会第二十六次会议审议通过了《关于使用部分闲置募集资金暂时补充流动资金的议</w:t>
            </w:r>
          </w:p>
        </w:tc>
      </w:tr>
      <w:tr>
        <w:trPr>
          <w:trHeight w:val="317"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4"/>
                <w:sz w:val="18"/>
                <w:szCs w:val="18"/>
              </w:rPr>
              <w:t>案》，并经公司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年第五次临时股东大会审议通过，于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日起用部分闲置的募集资金暂时</w:t>
            </w:r>
          </w:p>
        </w:tc>
      </w:tr>
      <w:tr>
        <w:trPr>
          <w:trHeight w:val="312" w:hRule="exact"/>
        </w:trPr>
        <w:tc>
          <w:tcPr>
            <w:tcW w:w="6300" w:type="dxa"/>
            <w:tcBorders>
              <w:top w:val="nil" w:sz="6" w:space="0" w:color="auto"/>
              <w:left w:val="single" w:sz="4" w:space="0" w:color="000000"/>
              <w:bottom w:val="nil" w:sz="6" w:space="0" w:color="auto"/>
              <w:right w:val="single" w:sz="4" w:space="0" w:color="000000"/>
            </w:tcBorders>
            <w:shd w:val="clear" w:color="auto" w:fill="C0C0C0"/>
          </w:tcPr>
          <w:p>
            <w:pPr/>
          </w:p>
        </w:tc>
        <w:tc>
          <w:tcPr>
            <w:tcW w:w="86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补充公司流动资金，总额为人民币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70,000,000.00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元，使用期限不超过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个月，预计还款日期为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r>
      <w:tr>
        <w:trPr>
          <w:trHeight w:val="312" w:hRule="exact"/>
        </w:trPr>
        <w:tc>
          <w:tcPr>
            <w:tcW w:w="6300" w:type="dxa"/>
            <w:tcBorders>
              <w:top w:val="nil" w:sz="6" w:space="0" w:color="auto"/>
              <w:left w:val="single" w:sz="4" w:space="0" w:color="000000"/>
              <w:bottom w:val="single" w:sz="4" w:space="0" w:color="000000"/>
              <w:right w:val="single" w:sz="4" w:space="0" w:color="000000"/>
            </w:tcBorders>
            <w:shd w:val="clear" w:color="auto" w:fill="C0C0C0"/>
          </w:tcPr>
          <w:p>
            <w:pPr/>
          </w:p>
        </w:tc>
        <w:tc>
          <w:tcPr>
            <w:tcW w:w="864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日之前，截至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日已归还</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24,500,000.00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元，尚未归还</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45,500,000.00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tc>
      </w:tr>
      <w:tr>
        <w:trPr>
          <w:trHeight w:val="322" w:hRule="exact"/>
        </w:trPr>
        <w:tc>
          <w:tcPr>
            <w:tcW w:w="63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项目实施出现募集资金结余的金额及原因</w:t>
            </w:r>
          </w:p>
        </w:tc>
        <w:tc>
          <w:tcPr>
            <w:tcW w:w="8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22" w:hRule="exact"/>
        </w:trPr>
        <w:tc>
          <w:tcPr>
            <w:tcW w:w="63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尚未使用的募集资金用途及去向</w:t>
            </w:r>
          </w:p>
        </w:tc>
        <w:tc>
          <w:tcPr>
            <w:tcW w:w="8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尚未使用的募集资金将继续用于募投项目建设，存放于银行募集资金专用账户。</w:t>
            </w:r>
          </w:p>
        </w:tc>
      </w:tr>
      <w:tr>
        <w:trPr>
          <w:trHeight w:val="410" w:hRule="exact"/>
        </w:trPr>
        <w:tc>
          <w:tcPr>
            <w:tcW w:w="63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5"/>
              <w:ind w:right="0"/>
              <w:jc w:val="center"/>
              <w:rPr>
                <w:rFonts w:ascii="宋体" w:hAnsi="宋体" w:cs="宋体" w:eastAsia="宋体" w:hint="default"/>
                <w:sz w:val="18"/>
                <w:szCs w:val="18"/>
              </w:rPr>
            </w:pPr>
            <w:r>
              <w:rPr>
                <w:rFonts w:ascii="宋体" w:hAnsi="宋体" w:cs="宋体" w:eastAsia="宋体" w:hint="default"/>
                <w:sz w:val="18"/>
                <w:szCs w:val="18"/>
              </w:rPr>
              <w:t>募集资金是使用及披露中存在的问题或及其他情况</w:t>
            </w:r>
          </w:p>
        </w:tc>
        <w:tc>
          <w:tcPr>
            <w:tcW w:w="8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6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2"/>
          <w:szCs w:val="22"/>
        </w:rPr>
      </w:pPr>
    </w:p>
    <w:p>
      <w:pPr>
        <w:pStyle w:val="BodyText"/>
        <w:spacing w:line="240" w:lineRule="auto" w:before="26"/>
        <w:ind w:left="659" w:right="0"/>
        <w:jc w:val="left"/>
      </w:pPr>
      <w:r>
        <w:rPr>
          <w:rFonts w:ascii="Times New Roman" w:hAnsi="Times New Roman" w:cs="Times New Roman" w:eastAsia="Times New Roman" w:hint="default"/>
        </w:rPr>
        <w:t>2</w:t>
      </w:r>
      <w:r>
        <w:rPr/>
        <w:t>、变更募集资金投资情况表</w:t>
      </w:r>
    </w:p>
    <w:p>
      <w:pPr>
        <w:spacing w:before="136"/>
        <w:ind w:left="0" w:right="1980" w:firstLine="0"/>
        <w:jc w:val="right"/>
        <w:rPr>
          <w:rFonts w:ascii="宋体" w:hAnsi="宋体" w:cs="宋体" w:eastAsia="宋体" w:hint="default"/>
          <w:sz w:val="18"/>
          <w:szCs w:val="18"/>
        </w:rPr>
      </w:pPr>
      <w:r>
        <w:rPr>
          <w:rFonts w:ascii="宋体" w:hAnsi="宋体" w:cs="宋体" w:eastAsia="宋体" w:hint="default"/>
          <w:sz w:val="18"/>
          <w:szCs w:val="18"/>
        </w:rPr>
        <w:t>单位：（人民币）万元</w:t>
      </w:r>
    </w:p>
    <w:p>
      <w:pPr>
        <w:spacing w:after="0"/>
        <w:jc w:val="right"/>
        <w:rPr>
          <w:rFonts w:ascii="宋体" w:hAnsi="宋体" w:cs="宋体" w:eastAsia="宋体" w:hint="default"/>
          <w:sz w:val="18"/>
          <w:szCs w:val="18"/>
        </w:rPr>
        <w:sectPr>
          <w:pgSz w:w="16840" w:h="11910" w:orient="landscape"/>
          <w:pgMar w:header="867" w:footer="1045" w:top="1060" w:bottom="1240" w:left="1320" w:right="340"/>
        </w:sectPr>
      </w:pPr>
    </w:p>
    <w:p>
      <w:pPr>
        <w:spacing w:line="240" w:lineRule="auto" w:before="4"/>
        <w:rPr>
          <w:rFonts w:ascii="Times New Roman" w:hAnsi="Times New Roman" w:cs="Times New Roman" w:eastAsia="Times New Roman"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2340"/>
        <w:gridCol w:w="1980"/>
        <w:gridCol w:w="1470"/>
        <w:gridCol w:w="1410"/>
        <w:gridCol w:w="1440"/>
        <w:gridCol w:w="1260"/>
        <w:gridCol w:w="1620"/>
        <w:gridCol w:w="1080"/>
        <w:gridCol w:w="916"/>
        <w:gridCol w:w="1424"/>
      </w:tblGrid>
      <w:tr>
        <w:trPr>
          <w:trHeight w:val="324" w:hRule="exact"/>
        </w:trPr>
        <w:tc>
          <w:tcPr>
            <w:tcW w:w="2340" w:type="dxa"/>
            <w:tcBorders>
              <w:top w:val="single" w:sz="10" w:space="0" w:color="000000"/>
              <w:left w:val="single" w:sz="4" w:space="0" w:color="000000"/>
              <w:bottom w:val="nil" w:sz="6" w:space="0" w:color="auto"/>
              <w:right w:val="single" w:sz="4" w:space="0" w:color="000000"/>
            </w:tcBorders>
            <w:shd w:val="clear" w:color="auto" w:fill="C0C0C0"/>
          </w:tcPr>
          <w:p>
            <w:pPr/>
          </w:p>
        </w:tc>
        <w:tc>
          <w:tcPr>
            <w:tcW w:w="1980" w:type="dxa"/>
            <w:vMerge w:val="restart"/>
            <w:tcBorders>
              <w:top w:val="single" w:sz="10" w:space="0" w:color="000000"/>
              <w:left w:val="single" w:sz="4" w:space="0" w:color="000000"/>
              <w:right w:val="single" w:sz="4" w:space="0" w:color="000000"/>
            </w:tcBorders>
            <w:shd w:val="clear" w:color="auto" w:fill="C0C0C0"/>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63" w:right="0"/>
              <w:jc w:val="left"/>
              <w:rPr>
                <w:rFonts w:ascii="宋体" w:hAnsi="宋体" w:cs="宋体" w:eastAsia="宋体" w:hint="default"/>
                <w:sz w:val="18"/>
                <w:szCs w:val="18"/>
              </w:rPr>
            </w:pPr>
            <w:r>
              <w:rPr>
                <w:rFonts w:ascii="宋体" w:hAnsi="宋体" w:cs="宋体" w:eastAsia="宋体" w:hint="default"/>
                <w:sz w:val="18"/>
                <w:szCs w:val="18"/>
              </w:rPr>
              <w:t>对应的原承诺项目</w:t>
            </w:r>
          </w:p>
        </w:tc>
        <w:tc>
          <w:tcPr>
            <w:tcW w:w="1470" w:type="dxa"/>
            <w:vMerge w:val="restart"/>
            <w:tcBorders>
              <w:top w:val="single" w:sz="10" w:space="0" w:color="000000"/>
              <w:left w:val="single" w:sz="4" w:space="0" w:color="000000"/>
              <w:right w:val="single" w:sz="4" w:space="0" w:color="000000"/>
            </w:tcBorders>
            <w:shd w:val="clear" w:color="auto" w:fill="C0C0C0"/>
          </w:tcPr>
          <w:p>
            <w:pPr>
              <w:pStyle w:val="TableParagraph"/>
              <w:spacing w:line="316" w:lineRule="auto" w:before="10"/>
              <w:ind w:left="99" w:right="98"/>
              <w:jc w:val="center"/>
              <w:rPr>
                <w:rFonts w:ascii="宋体" w:hAnsi="宋体" w:cs="宋体" w:eastAsia="宋体" w:hint="default"/>
                <w:sz w:val="18"/>
                <w:szCs w:val="18"/>
              </w:rPr>
            </w:pPr>
            <w:r>
              <w:rPr>
                <w:rFonts w:ascii="宋体" w:hAnsi="宋体" w:cs="宋体" w:eastAsia="宋体" w:hint="default"/>
                <w:sz w:val="18"/>
                <w:szCs w:val="18"/>
              </w:rPr>
              <w:t>变更后项目拟投 入募集资金总额</w:t>
            </w:r>
          </w:p>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1410" w:type="dxa"/>
            <w:vMerge w:val="restart"/>
            <w:tcBorders>
              <w:top w:val="single" w:sz="10" w:space="0" w:color="000000"/>
              <w:left w:val="single" w:sz="4" w:space="0" w:color="000000"/>
              <w:right w:val="single" w:sz="4" w:space="0" w:color="000000"/>
            </w:tcBorders>
            <w:shd w:val="clear" w:color="auto" w:fill="C0C0C0"/>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316" w:lineRule="auto"/>
              <w:ind w:left="519" w:right="68" w:hanging="450"/>
              <w:jc w:val="left"/>
              <w:rPr>
                <w:rFonts w:ascii="宋体" w:hAnsi="宋体" w:cs="宋体" w:eastAsia="宋体" w:hint="default"/>
                <w:sz w:val="18"/>
                <w:szCs w:val="18"/>
              </w:rPr>
            </w:pPr>
            <w:r>
              <w:rPr>
                <w:rFonts w:ascii="宋体" w:hAnsi="宋体" w:cs="宋体" w:eastAsia="宋体" w:hint="default"/>
                <w:sz w:val="18"/>
                <w:szCs w:val="18"/>
              </w:rPr>
              <w:t>本年度实际投入 金额</w:t>
            </w:r>
          </w:p>
        </w:tc>
        <w:tc>
          <w:tcPr>
            <w:tcW w:w="1440" w:type="dxa"/>
            <w:vMerge w:val="restart"/>
            <w:tcBorders>
              <w:top w:val="single" w:sz="10" w:space="0" w:color="000000"/>
              <w:left w:val="single" w:sz="4" w:space="0" w:color="000000"/>
              <w:right w:val="single" w:sz="4" w:space="0" w:color="000000"/>
            </w:tcBorders>
            <w:shd w:val="clear" w:color="auto" w:fill="C0C0C0"/>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316" w:lineRule="auto"/>
              <w:ind w:left="159" w:right="84" w:hanging="76"/>
              <w:jc w:val="left"/>
              <w:rPr>
                <w:rFonts w:ascii="Times New Roman" w:hAnsi="Times New Roman" w:cs="Times New Roman" w:eastAsia="Times New Roman" w:hint="default"/>
                <w:sz w:val="18"/>
                <w:szCs w:val="18"/>
              </w:rPr>
            </w:pPr>
            <w:r>
              <w:rPr>
                <w:rFonts w:ascii="宋体" w:hAnsi="宋体" w:cs="宋体" w:eastAsia="宋体" w:hint="default"/>
                <w:sz w:val="18"/>
                <w:szCs w:val="18"/>
              </w:rPr>
              <w:t>截至期末实际累 计投入金额</w:t>
            </w:r>
            <w:r>
              <w:rPr>
                <w:rFonts w:ascii="Times New Roman" w:hAnsi="Times New Roman" w:cs="Times New Roman" w:eastAsia="Times New Roman" w:hint="default"/>
                <w:sz w:val="18"/>
                <w:szCs w:val="18"/>
              </w:rPr>
              <w:t>(2)</w:t>
            </w:r>
          </w:p>
        </w:tc>
        <w:tc>
          <w:tcPr>
            <w:tcW w:w="1260" w:type="dxa"/>
            <w:vMerge w:val="restart"/>
            <w:tcBorders>
              <w:top w:val="single" w:sz="10" w:space="0" w:color="000000"/>
              <w:left w:val="single" w:sz="4" w:space="0" w:color="000000"/>
              <w:right w:val="single" w:sz="4" w:space="0" w:color="000000"/>
            </w:tcBorders>
            <w:shd w:val="clear" w:color="auto" w:fill="C0C0C0"/>
          </w:tcPr>
          <w:p>
            <w:pPr>
              <w:pStyle w:val="TableParagraph"/>
              <w:spacing w:line="328" w:lineRule="auto" w:before="10"/>
              <w:ind w:left="84" w:right="84"/>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截至期末投资 进度（</w:t>
            </w:r>
            <w:r>
              <w:rPr>
                <w:rFonts w:ascii="Times New Roman" w:hAnsi="Times New Roman" w:cs="Times New Roman" w:eastAsia="Times New Roman" w:hint="default"/>
                <w:sz w:val="18"/>
                <w:szCs w:val="18"/>
              </w:rPr>
              <w:t>%</w:t>
            </w:r>
            <w:r>
              <w:rPr>
                <w:rFonts w:ascii="宋体" w:hAnsi="宋体" w:cs="宋体" w:eastAsia="宋体" w:hint="default"/>
                <w:sz w:val="18"/>
                <w:szCs w:val="18"/>
              </w:rPr>
              <w:t>） </w:t>
            </w:r>
            <w:r>
              <w:rPr>
                <w:rFonts w:ascii="Times New Roman" w:hAnsi="Times New Roman" w:cs="Times New Roman" w:eastAsia="Times New Roman" w:hint="default"/>
                <w:sz w:val="18"/>
                <w:szCs w:val="18"/>
              </w:rPr>
              <w:t>(3)=(2)/(1)</w:t>
            </w:r>
          </w:p>
        </w:tc>
        <w:tc>
          <w:tcPr>
            <w:tcW w:w="1620" w:type="dxa"/>
            <w:vMerge w:val="restart"/>
            <w:tcBorders>
              <w:top w:val="single" w:sz="10" w:space="0" w:color="000000"/>
              <w:left w:val="single" w:sz="4" w:space="0" w:color="000000"/>
              <w:right w:val="single" w:sz="4" w:space="0" w:color="000000"/>
            </w:tcBorders>
            <w:shd w:val="clear" w:color="auto" w:fill="C0C0C0"/>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316" w:lineRule="auto"/>
              <w:ind w:left="480" w:right="138" w:hanging="450"/>
              <w:jc w:val="left"/>
              <w:rPr>
                <w:rFonts w:ascii="宋体" w:hAnsi="宋体" w:cs="宋体" w:eastAsia="宋体" w:hint="default"/>
                <w:sz w:val="18"/>
                <w:szCs w:val="18"/>
              </w:rPr>
            </w:pPr>
            <w:r>
              <w:rPr>
                <w:rFonts w:ascii="宋体" w:hAnsi="宋体" w:cs="宋体" w:eastAsia="宋体" w:hint="default"/>
                <w:sz w:val="18"/>
                <w:szCs w:val="18"/>
              </w:rPr>
              <w:t>项目达到预定可使 状态日期</w:t>
            </w:r>
          </w:p>
        </w:tc>
        <w:tc>
          <w:tcPr>
            <w:tcW w:w="1080" w:type="dxa"/>
            <w:vMerge w:val="restart"/>
            <w:tcBorders>
              <w:top w:val="single" w:sz="10" w:space="0" w:color="000000"/>
              <w:left w:val="single" w:sz="4" w:space="0" w:color="000000"/>
              <w:right w:val="single" w:sz="4" w:space="0" w:color="000000"/>
            </w:tcBorders>
            <w:shd w:val="clear" w:color="auto" w:fill="C0C0C0"/>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50" w:right="0"/>
              <w:jc w:val="left"/>
              <w:rPr>
                <w:rFonts w:ascii="宋体" w:hAnsi="宋体" w:cs="宋体" w:eastAsia="宋体" w:hint="default"/>
                <w:sz w:val="18"/>
                <w:szCs w:val="18"/>
              </w:rPr>
            </w:pPr>
            <w:r>
              <w:rPr>
                <w:rFonts w:ascii="宋体" w:hAnsi="宋体" w:cs="宋体" w:eastAsia="宋体" w:hint="default"/>
                <w:sz w:val="18"/>
                <w:szCs w:val="18"/>
              </w:rPr>
              <w:t>用</w:t>
            </w:r>
            <w:r>
              <w:rPr>
                <w:rFonts w:ascii="宋体" w:hAnsi="宋体" w:cs="宋体" w:eastAsia="宋体" w:hint="default"/>
                <w:spacing w:val="-36"/>
                <w:sz w:val="18"/>
                <w:szCs w:val="18"/>
              </w:rPr>
              <w:t> </w:t>
            </w:r>
            <w:r>
              <w:rPr>
                <w:rFonts w:ascii="宋体" w:hAnsi="宋体" w:cs="宋体" w:eastAsia="宋体" w:hint="default"/>
                <w:sz w:val="18"/>
                <w:szCs w:val="18"/>
              </w:rPr>
              <w:t>本年度实现</w:t>
            </w:r>
          </w:p>
          <w:p>
            <w:pPr>
              <w:pStyle w:val="TableParagraph"/>
              <w:spacing w:line="240" w:lineRule="auto" w:before="76"/>
              <w:ind w:left="264" w:right="0"/>
              <w:jc w:val="left"/>
              <w:rPr>
                <w:rFonts w:ascii="宋体" w:hAnsi="宋体" w:cs="宋体" w:eastAsia="宋体" w:hint="default"/>
                <w:sz w:val="18"/>
                <w:szCs w:val="18"/>
              </w:rPr>
            </w:pPr>
            <w:r>
              <w:rPr>
                <w:rFonts w:ascii="宋体" w:hAnsi="宋体" w:cs="宋体" w:eastAsia="宋体" w:hint="default"/>
                <w:sz w:val="18"/>
                <w:szCs w:val="18"/>
              </w:rPr>
              <w:t>的效益</w:t>
            </w:r>
          </w:p>
        </w:tc>
        <w:tc>
          <w:tcPr>
            <w:tcW w:w="916" w:type="dxa"/>
            <w:vMerge w:val="restart"/>
            <w:tcBorders>
              <w:top w:val="single" w:sz="10" w:space="0" w:color="000000"/>
              <w:left w:val="single" w:sz="4" w:space="0" w:color="000000"/>
              <w:right w:val="single" w:sz="4" w:space="0" w:color="000000"/>
            </w:tcBorders>
            <w:shd w:val="clear" w:color="auto" w:fill="C0C0C0"/>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316" w:lineRule="auto"/>
              <w:ind w:left="92" w:right="91"/>
              <w:jc w:val="left"/>
              <w:rPr>
                <w:rFonts w:ascii="宋体" w:hAnsi="宋体" w:cs="宋体" w:eastAsia="宋体" w:hint="default"/>
                <w:sz w:val="18"/>
                <w:szCs w:val="18"/>
              </w:rPr>
            </w:pPr>
            <w:r>
              <w:rPr>
                <w:rFonts w:ascii="宋体" w:hAnsi="宋体" w:cs="宋体" w:eastAsia="宋体" w:hint="default"/>
                <w:sz w:val="18"/>
                <w:szCs w:val="18"/>
              </w:rPr>
              <w:t>是否达到 预计效益</w:t>
            </w:r>
          </w:p>
        </w:tc>
        <w:tc>
          <w:tcPr>
            <w:tcW w:w="1424" w:type="dxa"/>
            <w:vMerge w:val="restart"/>
            <w:tcBorders>
              <w:top w:val="single" w:sz="10" w:space="0" w:color="000000"/>
              <w:left w:val="single" w:sz="4" w:space="0" w:color="000000"/>
              <w:right w:val="single" w:sz="4" w:space="0" w:color="000000"/>
            </w:tcBorders>
            <w:shd w:val="clear" w:color="auto" w:fill="C0C0C0"/>
          </w:tcPr>
          <w:p>
            <w:pPr>
              <w:pStyle w:val="TableParagraph"/>
              <w:spacing w:line="316" w:lineRule="auto" w:before="10"/>
              <w:ind w:left="76" w:right="77"/>
              <w:jc w:val="center"/>
              <w:rPr>
                <w:rFonts w:ascii="宋体" w:hAnsi="宋体" w:cs="宋体" w:eastAsia="宋体" w:hint="default"/>
                <w:sz w:val="18"/>
                <w:szCs w:val="18"/>
              </w:rPr>
            </w:pPr>
            <w:r>
              <w:rPr>
                <w:rFonts w:ascii="宋体" w:hAnsi="宋体" w:cs="宋体" w:eastAsia="宋体" w:hint="default"/>
                <w:sz w:val="18"/>
                <w:szCs w:val="18"/>
              </w:rPr>
              <w:t>变更后的项目可 行性是否发生重 大变化</w:t>
            </w:r>
          </w:p>
        </w:tc>
      </w:tr>
      <w:tr>
        <w:trPr>
          <w:trHeight w:val="312" w:hRule="exact"/>
        </w:trPr>
        <w:tc>
          <w:tcPr>
            <w:tcW w:w="2340" w:type="dxa"/>
            <w:tcBorders>
              <w:top w:val="nil" w:sz="6" w:space="0" w:color="auto"/>
              <w:left w:val="single" w:sz="4" w:space="0" w:color="000000"/>
              <w:bottom w:val="nil" w:sz="6" w:space="0" w:color="auto"/>
              <w:right w:val="single" w:sz="4" w:space="0" w:color="000000"/>
            </w:tcBorders>
          </w:tcPr>
          <w:p>
            <w:pPr>
              <w:pStyle w:val="TableParagraph"/>
              <w:tabs>
                <w:tab w:pos="623" w:val="left" w:leader="none"/>
                <w:tab w:pos="2307" w:val="left" w:leader="none"/>
              </w:tabs>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C0C0C0" w:color="auto" w:val="clear"/>
              </w:rPr>
              <w:t> </w:t>
              <w:tab/>
            </w:r>
            <w:r>
              <w:rPr>
                <w:rFonts w:ascii="宋体" w:hAnsi="宋体" w:cs="宋体" w:eastAsia="宋体" w:hint="default"/>
                <w:sz w:val="18"/>
                <w:szCs w:val="18"/>
                <w:shd w:fill="C0C0C0" w:color="auto" w:val="clear"/>
              </w:rPr>
              <w:t>变更后的项目</w:t>
              <w:tab/>
            </w:r>
            <w:r>
              <w:rPr>
                <w:rFonts w:ascii="宋体" w:hAnsi="宋体" w:cs="宋体" w:eastAsia="宋体" w:hint="default"/>
                <w:sz w:val="18"/>
                <w:szCs w:val="18"/>
              </w:rPr>
            </w:r>
          </w:p>
        </w:tc>
        <w:tc>
          <w:tcPr>
            <w:tcW w:w="1980" w:type="dxa"/>
            <w:vMerge/>
            <w:tcBorders>
              <w:left w:val="single" w:sz="4" w:space="0" w:color="000000"/>
              <w:right w:val="single" w:sz="4" w:space="0" w:color="000000"/>
            </w:tcBorders>
            <w:shd w:val="clear" w:color="auto" w:fill="C0C0C0"/>
          </w:tcPr>
          <w:p>
            <w:pPr/>
          </w:p>
        </w:tc>
        <w:tc>
          <w:tcPr>
            <w:tcW w:w="1470" w:type="dxa"/>
            <w:vMerge/>
            <w:tcBorders>
              <w:left w:val="single" w:sz="4" w:space="0" w:color="000000"/>
              <w:right w:val="single" w:sz="4" w:space="0" w:color="000000"/>
            </w:tcBorders>
            <w:shd w:val="clear" w:color="auto" w:fill="C0C0C0"/>
          </w:tcPr>
          <w:p>
            <w:pPr/>
          </w:p>
        </w:tc>
        <w:tc>
          <w:tcPr>
            <w:tcW w:w="1410" w:type="dxa"/>
            <w:vMerge/>
            <w:tcBorders>
              <w:left w:val="single" w:sz="4" w:space="0" w:color="000000"/>
              <w:right w:val="single" w:sz="4" w:space="0" w:color="000000"/>
            </w:tcBorders>
            <w:shd w:val="clear" w:color="auto" w:fill="C0C0C0"/>
          </w:tcPr>
          <w:p>
            <w:pPr/>
          </w:p>
        </w:tc>
        <w:tc>
          <w:tcPr>
            <w:tcW w:w="1440" w:type="dxa"/>
            <w:vMerge/>
            <w:tcBorders>
              <w:left w:val="single" w:sz="4" w:space="0" w:color="000000"/>
              <w:right w:val="single" w:sz="4" w:space="0" w:color="000000"/>
            </w:tcBorders>
            <w:shd w:val="clear" w:color="auto" w:fill="C0C0C0"/>
          </w:tcPr>
          <w:p>
            <w:pPr/>
          </w:p>
        </w:tc>
        <w:tc>
          <w:tcPr>
            <w:tcW w:w="1260" w:type="dxa"/>
            <w:vMerge/>
            <w:tcBorders>
              <w:left w:val="single" w:sz="4" w:space="0" w:color="000000"/>
              <w:right w:val="single" w:sz="4" w:space="0" w:color="000000"/>
            </w:tcBorders>
            <w:shd w:val="clear" w:color="auto" w:fill="C0C0C0"/>
          </w:tcPr>
          <w:p>
            <w:pPr/>
          </w:p>
        </w:tc>
        <w:tc>
          <w:tcPr>
            <w:tcW w:w="1620" w:type="dxa"/>
            <w:vMerge/>
            <w:tcBorders>
              <w:left w:val="single" w:sz="4" w:space="0" w:color="000000"/>
              <w:right w:val="single" w:sz="4" w:space="0" w:color="000000"/>
            </w:tcBorders>
            <w:shd w:val="clear" w:color="auto" w:fill="C0C0C0"/>
          </w:tcPr>
          <w:p>
            <w:pPr/>
          </w:p>
        </w:tc>
        <w:tc>
          <w:tcPr>
            <w:tcW w:w="1080" w:type="dxa"/>
            <w:vMerge/>
            <w:tcBorders>
              <w:left w:val="single" w:sz="4" w:space="0" w:color="000000"/>
              <w:right w:val="single" w:sz="4" w:space="0" w:color="000000"/>
            </w:tcBorders>
            <w:shd w:val="clear" w:color="auto" w:fill="C0C0C0"/>
          </w:tcPr>
          <w:p>
            <w:pPr/>
          </w:p>
        </w:tc>
        <w:tc>
          <w:tcPr>
            <w:tcW w:w="916" w:type="dxa"/>
            <w:vMerge/>
            <w:tcBorders>
              <w:left w:val="single" w:sz="4" w:space="0" w:color="000000"/>
              <w:right w:val="single" w:sz="4" w:space="0" w:color="000000"/>
            </w:tcBorders>
            <w:shd w:val="clear" w:color="auto" w:fill="C0C0C0"/>
          </w:tcPr>
          <w:p>
            <w:pPr/>
          </w:p>
        </w:tc>
        <w:tc>
          <w:tcPr>
            <w:tcW w:w="1424" w:type="dxa"/>
            <w:vMerge/>
            <w:tcBorders>
              <w:left w:val="single" w:sz="4" w:space="0" w:color="000000"/>
              <w:right w:val="single" w:sz="4" w:space="0" w:color="000000"/>
            </w:tcBorders>
            <w:shd w:val="clear" w:color="auto" w:fill="C0C0C0"/>
          </w:tcPr>
          <w:p>
            <w:pPr/>
          </w:p>
        </w:tc>
      </w:tr>
      <w:tr>
        <w:trPr>
          <w:trHeight w:val="317" w:hRule="exact"/>
        </w:trPr>
        <w:tc>
          <w:tcPr>
            <w:tcW w:w="2340" w:type="dxa"/>
            <w:tcBorders>
              <w:top w:val="nil" w:sz="6" w:space="0" w:color="auto"/>
              <w:left w:val="single" w:sz="4" w:space="0" w:color="000000"/>
              <w:bottom w:val="single" w:sz="4" w:space="0" w:color="000000"/>
              <w:right w:val="single" w:sz="4" w:space="0" w:color="000000"/>
            </w:tcBorders>
            <w:shd w:val="clear" w:color="auto" w:fill="C0C0C0"/>
          </w:tcPr>
          <w:p>
            <w:pPr/>
          </w:p>
        </w:tc>
        <w:tc>
          <w:tcPr>
            <w:tcW w:w="1980" w:type="dxa"/>
            <w:vMerge/>
            <w:tcBorders>
              <w:left w:val="single" w:sz="4" w:space="0" w:color="000000"/>
              <w:bottom w:val="single" w:sz="4" w:space="0" w:color="000000"/>
              <w:right w:val="single" w:sz="4" w:space="0" w:color="000000"/>
            </w:tcBorders>
            <w:shd w:val="clear" w:color="auto" w:fill="C0C0C0"/>
          </w:tcPr>
          <w:p>
            <w:pPr/>
          </w:p>
        </w:tc>
        <w:tc>
          <w:tcPr>
            <w:tcW w:w="1470" w:type="dxa"/>
            <w:vMerge/>
            <w:tcBorders>
              <w:left w:val="single" w:sz="4" w:space="0" w:color="000000"/>
              <w:bottom w:val="single" w:sz="4" w:space="0" w:color="000000"/>
              <w:right w:val="single" w:sz="4" w:space="0" w:color="000000"/>
            </w:tcBorders>
            <w:shd w:val="clear" w:color="auto" w:fill="C0C0C0"/>
          </w:tcPr>
          <w:p>
            <w:pPr/>
          </w:p>
        </w:tc>
        <w:tc>
          <w:tcPr>
            <w:tcW w:w="1410" w:type="dxa"/>
            <w:vMerge/>
            <w:tcBorders>
              <w:left w:val="single" w:sz="4" w:space="0" w:color="000000"/>
              <w:bottom w:val="single" w:sz="4" w:space="0" w:color="000000"/>
              <w:right w:val="single" w:sz="4" w:space="0" w:color="000000"/>
            </w:tcBorders>
            <w:shd w:val="clear" w:color="auto" w:fill="C0C0C0"/>
          </w:tcPr>
          <w:p>
            <w:pPr/>
          </w:p>
        </w:tc>
        <w:tc>
          <w:tcPr>
            <w:tcW w:w="1440" w:type="dxa"/>
            <w:vMerge/>
            <w:tcBorders>
              <w:left w:val="single" w:sz="4" w:space="0" w:color="000000"/>
              <w:bottom w:val="single" w:sz="4" w:space="0" w:color="000000"/>
              <w:right w:val="single" w:sz="4" w:space="0" w:color="000000"/>
            </w:tcBorders>
            <w:shd w:val="clear" w:color="auto" w:fill="C0C0C0"/>
          </w:tcPr>
          <w:p>
            <w:pPr/>
          </w:p>
        </w:tc>
        <w:tc>
          <w:tcPr>
            <w:tcW w:w="1260" w:type="dxa"/>
            <w:vMerge/>
            <w:tcBorders>
              <w:left w:val="single" w:sz="4" w:space="0" w:color="000000"/>
              <w:bottom w:val="single" w:sz="4" w:space="0" w:color="000000"/>
              <w:right w:val="single" w:sz="4" w:space="0" w:color="000000"/>
            </w:tcBorders>
            <w:shd w:val="clear" w:color="auto" w:fill="C0C0C0"/>
          </w:tcPr>
          <w:p>
            <w:pPr/>
          </w:p>
        </w:tc>
        <w:tc>
          <w:tcPr>
            <w:tcW w:w="1620" w:type="dxa"/>
            <w:vMerge/>
            <w:tcBorders>
              <w:left w:val="single" w:sz="4" w:space="0" w:color="000000"/>
              <w:bottom w:val="single" w:sz="4" w:space="0" w:color="000000"/>
              <w:right w:val="single" w:sz="4" w:space="0" w:color="000000"/>
            </w:tcBorders>
            <w:shd w:val="clear" w:color="auto" w:fill="C0C0C0"/>
          </w:tcPr>
          <w:p>
            <w:pPr/>
          </w:p>
        </w:tc>
        <w:tc>
          <w:tcPr>
            <w:tcW w:w="1080" w:type="dxa"/>
            <w:vMerge/>
            <w:tcBorders>
              <w:left w:val="single" w:sz="4" w:space="0" w:color="000000"/>
              <w:bottom w:val="single" w:sz="4" w:space="0" w:color="000000"/>
              <w:right w:val="single" w:sz="4" w:space="0" w:color="000000"/>
            </w:tcBorders>
            <w:shd w:val="clear" w:color="auto" w:fill="C0C0C0"/>
          </w:tcPr>
          <w:p>
            <w:pPr/>
          </w:p>
        </w:tc>
        <w:tc>
          <w:tcPr>
            <w:tcW w:w="916" w:type="dxa"/>
            <w:vMerge/>
            <w:tcBorders>
              <w:left w:val="single" w:sz="4" w:space="0" w:color="000000"/>
              <w:bottom w:val="single" w:sz="4" w:space="0" w:color="000000"/>
              <w:right w:val="single" w:sz="4" w:space="0" w:color="000000"/>
            </w:tcBorders>
            <w:shd w:val="clear" w:color="auto" w:fill="C0C0C0"/>
          </w:tcPr>
          <w:p>
            <w:pPr/>
          </w:p>
        </w:tc>
        <w:tc>
          <w:tcPr>
            <w:tcW w:w="1424" w:type="dxa"/>
            <w:vMerge/>
            <w:tcBorders>
              <w:left w:val="single" w:sz="4" w:space="0" w:color="000000"/>
              <w:bottom w:val="single" w:sz="4" w:space="0" w:color="000000"/>
              <w:right w:val="single" w:sz="4" w:space="0" w:color="000000"/>
            </w:tcBorders>
            <w:shd w:val="clear" w:color="auto" w:fill="C0C0C0"/>
          </w:tcPr>
          <w:p>
            <w:pPr/>
          </w:p>
        </w:tc>
      </w:tr>
      <w:tr>
        <w:trPr>
          <w:trHeight w:val="162" w:hRule="exact"/>
        </w:trPr>
        <w:tc>
          <w:tcPr>
            <w:tcW w:w="2340" w:type="dxa"/>
            <w:tcBorders>
              <w:top w:val="single" w:sz="4" w:space="0" w:color="000000"/>
              <w:left w:val="single" w:sz="4" w:space="0" w:color="000000"/>
              <w:bottom w:val="nil" w:sz="6" w:space="0" w:color="auto"/>
              <w:right w:val="single" w:sz="4" w:space="0" w:color="000000"/>
            </w:tcBorders>
            <w:shd w:val="clear" w:color="auto" w:fill="C0C0C0"/>
          </w:tcPr>
          <w:p>
            <w:pPr/>
          </w:p>
        </w:tc>
        <w:tc>
          <w:tcPr>
            <w:tcW w:w="1980" w:type="dxa"/>
            <w:vMerge w:val="restart"/>
            <w:tcBorders>
              <w:top w:val="single" w:sz="4" w:space="0" w:color="000000"/>
              <w:left w:val="single" w:sz="4" w:space="0" w:color="000000"/>
              <w:right w:val="single" w:sz="4" w:space="0" w:color="000000"/>
            </w:tcBorders>
          </w:tcPr>
          <w:p>
            <w:pPr>
              <w:pStyle w:val="TableParagraph"/>
              <w:spacing w:line="300" w:lineRule="auto" w:before="11"/>
              <w:ind w:left="22" w:right="35"/>
              <w:jc w:val="left"/>
              <w:rPr>
                <w:rFonts w:ascii="宋体" w:hAnsi="宋体" w:cs="宋体" w:eastAsia="宋体" w:hint="default"/>
                <w:sz w:val="18"/>
                <w:szCs w:val="18"/>
              </w:rPr>
            </w:pPr>
            <w:r>
              <w:rPr>
                <w:rFonts w:ascii="宋体" w:hAnsi="宋体" w:cs="宋体" w:eastAsia="宋体" w:hint="default"/>
                <w:sz w:val="18"/>
                <w:szCs w:val="18"/>
              </w:rPr>
              <w:t>合作运营</w:t>
            </w:r>
            <w:r>
              <w:rPr>
                <w:rFonts w:ascii="宋体" w:hAnsi="宋体" w:cs="宋体" w:eastAsia="宋体" w:hint="default"/>
                <w:spacing w:val="-46"/>
                <w:sz w:val="18"/>
                <w:szCs w:val="18"/>
              </w:rPr>
              <w:t> </w:t>
            </w: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z w:val="18"/>
                <w:szCs w:val="18"/>
              </w:rPr>
              <w:t> </w:t>
            </w:r>
            <w:r>
              <w:rPr>
                <w:rFonts w:ascii="宋体" w:hAnsi="宋体" w:cs="宋体" w:eastAsia="宋体" w:hint="default"/>
                <w:sz w:val="18"/>
                <w:szCs w:val="18"/>
              </w:rPr>
              <w:t>网络建设 项目</w:t>
            </w:r>
          </w:p>
        </w:tc>
        <w:tc>
          <w:tcPr>
            <w:tcW w:w="147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716" w:right="0"/>
              <w:jc w:val="left"/>
              <w:rPr>
                <w:rFonts w:ascii="Times New Roman" w:hAnsi="Times New Roman" w:cs="Times New Roman" w:eastAsia="Times New Roman" w:hint="default"/>
                <w:sz w:val="18"/>
                <w:szCs w:val="18"/>
              </w:rPr>
            </w:pPr>
            <w:r>
              <w:rPr>
                <w:rFonts w:ascii="Times New Roman"/>
                <w:sz w:val="18"/>
              </w:rPr>
              <w:t>27,889.00</w:t>
            </w:r>
          </w:p>
        </w:tc>
        <w:tc>
          <w:tcPr>
            <w:tcW w:w="141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656" w:right="0"/>
              <w:jc w:val="left"/>
              <w:rPr>
                <w:rFonts w:ascii="Times New Roman" w:hAnsi="Times New Roman" w:cs="Times New Roman" w:eastAsia="Times New Roman" w:hint="default"/>
                <w:sz w:val="18"/>
                <w:szCs w:val="18"/>
              </w:rPr>
            </w:pPr>
            <w:r>
              <w:rPr>
                <w:rFonts w:ascii="Times New Roman"/>
                <w:sz w:val="18"/>
              </w:rPr>
              <w:t>22,424.62</w:t>
            </w:r>
          </w:p>
        </w:tc>
        <w:tc>
          <w:tcPr>
            <w:tcW w:w="144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686" w:right="0"/>
              <w:jc w:val="left"/>
              <w:rPr>
                <w:rFonts w:ascii="Times New Roman" w:hAnsi="Times New Roman" w:cs="Times New Roman" w:eastAsia="Times New Roman" w:hint="default"/>
                <w:sz w:val="18"/>
                <w:szCs w:val="18"/>
              </w:rPr>
            </w:pPr>
            <w:r>
              <w:rPr>
                <w:rFonts w:ascii="Times New Roman"/>
                <w:sz w:val="18"/>
              </w:rPr>
              <w:t>23,519.10</w:t>
            </w:r>
          </w:p>
        </w:tc>
        <w:tc>
          <w:tcPr>
            <w:tcW w:w="126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84.33</w:t>
            </w:r>
          </w:p>
        </w:tc>
        <w:tc>
          <w:tcPr>
            <w:tcW w:w="162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403" w:right="0"/>
              <w:jc w:val="left"/>
              <w:rPr>
                <w:rFonts w:ascii="Times New Roman" w:hAnsi="Times New Roman" w:cs="Times New Roman" w:eastAsia="Times New Roman" w:hint="default"/>
                <w:sz w:val="18"/>
                <w:szCs w:val="18"/>
              </w:rPr>
            </w:pPr>
            <w:r>
              <w:rPr>
                <w:rFonts w:ascii="Times New Roman"/>
                <w:sz w:val="18"/>
              </w:rPr>
              <w:t>2012.11.30</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416" w:right="0"/>
              <w:jc w:val="left"/>
              <w:rPr>
                <w:rFonts w:ascii="Times New Roman" w:hAnsi="Times New Roman" w:cs="Times New Roman" w:eastAsia="Times New Roman" w:hint="default"/>
                <w:sz w:val="18"/>
                <w:szCs w:val="18"/>
              </w:rPr>
            </w:pPr>
            <w:r>
              <w:rPr>
                <w:rFonts w:ascii="Times New Roman"/>
                <w:sz w:val="18"/>
              </w:rPr>
              <w:t>6,633.85</w:t>
            </w:r>
          </w:p>
        </w:tc>
        <w:tc>
          <w:tcPr>
            <w:tcW w:w="916"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424"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23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w w:val="99"/>
                <w:sz w:val="18"/>
                <w:szCs w:val="18"/>
              </w:rPr>
            </w:r>
            <w:r>
              <w:rPr>
                <w:rFonts w:ascii="Times New Roman" w:hAnsi="Times New Roman" w:cs="Times New Roman" w:eastAsia="Times New Roman" w:hint="default"/>
                <w:spacing w:val="-7"/>
                <w:sz w:val="18"/>
                <w:szCs w:val="18"/>
                <w:shd w:fill="C0C0C0" w:color="auto" w:val="clear"/>
              </w:rPr>
              <w:t>ATM</w:t>
            </w:r>
            <w:r>
              <w:rPr>
                <w:rFonts w:ascii="Times New Roman" w:hAnsi="Times New Roman" w:cs="Times New Roman" w:eastAsia="Times New Roman" w:hint="default"/>
                <w:spacing w:val="-2"/>
                <w:sz w:val="18"/>
                <w:szCs w:val="18"/>
                <w:shd w:fill="C0C0C0" w:color="auto" w:val="clear"/>
              </w:rPr>
              <w:t> </w:t>
            </w:r>
            <w:r>
              <w:rPr>
                <w:rFonts w:ascii="宋体" w:hAnsi="宋体" w:cs="宋体" w:eastAsia="宋体" w:hint="default"/>
                <w:sz w:val="18"/>
                <w:szCs w:val="18"/>
                <w:shd w:fill="C0C0C0" w:color="auto" w:val="clear"/>
              </w:rPr>
              <w:t>融资租赁运营服务项目</w:t>
            </w:r>
            <w:r>
              <w:rPr>
                <w:rFonts w:ascii="宋体" w:hAnsi="宋体" w:cs="宋体" w:eastAsia="宋体" w:hint="default"/>
                <w:sz w:val="18"/>
                <w:szCs w:val="18"/>
              </w:rPr>
            </w:r>
          </w:p>
        </w:tc>
        <w:tc>
          <w:tcPr>
            <w:tcW w:w="1980" w:type="dxa"/>
            <w:vMerge/>
            <w:tcBorders>
              <w:left w:val="single" w:sz="4" w:space="0" w:color="000000"/>
              <w:right w:val="single" w:sz="4" w:space="0" w:color="000000"/>
            </w:tcBorders>
          </w:tcPr>
          <w:p>
            <w:pPr/>
          </w:p>
        </w:tc>
        <w:tc>
          <w:tcPr>
            <w:tcW w:w="1470" w:type="dxa"/>
            <w:vMerge/>
            <w:tcBorders>
              <w:left w:val="single" w:sz="4" w:space="0" w:color="000000"/>
              <w:right w:val="single" w:sz="4" w:space="0" w:color="000000"/>
            </w:tcBorders>
          </w:tcPr>
          <w:p>
            <w:pPr/>
          </w:p>
        </w:tc>
        <w:tc>
          <w:tcPr>
            <w:tcW w:w="1410" w:type="dxa"/>
            <w:vMerge/>
            <w:tcBorders>
              <w:left w:val="single" w:sz="4" w:space="0" w:color="000000"/>
              <w:right w:val="single" w:sz="4" w:space="0" w:color="000000"/>
            </w:tcBorders>
          </w:tcPr>
          <w:p>
            <w:pPr/>
          </w:p>
        </w:tc>
        <w:tc>
          <w:tcPr>
            <w:tcW w:w="1440"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c>
          <w:tcPr>
            <w:tcW w:w="162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916" w:type="dxa"/>
            <w:vMerge/>
            <w:tcBorders>
              <w:left w:val="single" w:sz="4" w:space="0" w:color="000000"/>
              <w:right w:val="single" w:sz="4" w:space="0" w:color="000000"/>
            </w:tcBorders>
          </w:tcPr>
          <w:p>
            <w:pPr/>
          </w:p>
        </w:tc>
        <w:tc>
          <w:tcPr>
            <w:tcW w:w="1424" w:type="dxa"/>
            <w:vMerge/>
            <w:tcBorders>
              <w:left w:val="single" w:sz="4" w:space="0" w:color="000000"/>
              <w:right w:val="single" w:sz="4" w:space="0" w:color="000000"/>
            </w:tcBorders>
          </w:tcPr>
          <w:p>
            <w:pPr/>
          </w:p>
        </w:tc>
      </w:tr>
      <w:tr>
        <w:trPr>
          <w:trHeight w:val="161" w:hRule="exact"/>
        </w:trPr>
        <w:tc>
          <w:tcPr>
            <w:tcW w:w="2340" w:type="dxa"/>
            <w:tcBorders>
              <w:top w:val="nil" w:sz="6" w:space="0" w:color="auto"/>
              <w:left w:val="single" w:sz="4" w:space="0" w:color="000000"/>
              <w:bottom w:val="single" w:sz="4" w:space="0" w:color="000000"/>
              <w:right w:val="single" w:sz="4" w:space="0" w:color="000000"/>
            </w:tcBorders>
            <w:shd w:val="clear" w:color="auto" w:fill="C0C0C0"/>
          </w:tcPr>
          <w:p>
            <w:pPr/>
          </w:p>
        </w:tc>
        <w:tc>
          <w:tcPr>
            <w:tcW w:w="1980" w:type="dxa"/>
            <w:vMerge/>
            <w:tcBorders>
              <w:left w:val="single" w:sz="4" w:space="0" w:color="000000"/>
              <w:bottom w:val="single" w:sz="4" w:space="0" w:color="000000"/>
              <w:right w:val="single" w:sz="4" w:space="0" w:color="000000"/>
            </w:tcBorders>
          </w:tcPr>
          <w:p>
            <w:pPr/>
          </w:p>
        </w:tc>
        <w:tc>
          <w:tcPr>
            <w:tcW w:w="1470" w:type="dxa"/>
            <w:vMerge/>
            <w:tcBorders>
              <w:left w:val="single" w:sz="4" w:space="0" w:color="000000"/>
              <w:bottom w:val="single" w:sz="4" w:space="0" w:color="000000"/>
              <w:right w:val="single" w:sz="4" w:space="0" w:color="000000"/>
            </w:tcBorders>
          </w:tcPr>
          <w:p>
            <w:pPr/>
          </w:p>
        </w:tc>
        <w:tc>
          <w:tcPr>
            <w:tcW w:w="1410" w:type="dxa"/>
            <w:vMerge/>
            <w:tcBorders>
              <w:left w:val="single" w:sz="4" w:space="0" w:color="000000"/>
              <w:bottom w:val="single" w:sz="4" w:space="0" w:color="000000"/>
              <w:right w:val="single" w:sz="4" w:space="0" w:color="000000"/>
            </w:tcBorders>
          </w:tcPr>
          <w:p>
            <w:pPr/>
          </w:p>
        </w:tc>
        <w:tc>
          <w:tcPr>
            <w:tcW w:w="1440" w:type="dxa"/>
            <w:vMerge/>
            <w:tcBorders>
              <w:left w:val="single" w:sz="4" w:space="0" w:color="000000"/>
              <w:bottom w:val="single" w:sz="4" w:space="0" w:color="000000"/>
              <w:right w:val="single" w:sz="4" w:space="0" w:color="000000"/>
            </w:tcBorders>
          </w:tcPr>
          <w:p>
            <w:pPr/>
          </w:p>
        </w:tc>
        <w:tc>
          <w:tcPr>
            <w:tcW w:w="1260" w:type="dxa"/>
            <w:vMerge/>
            <w:tcBorders>
              <w:left w:val="single" w:sz="4" w:space="0" w:color="000000"/>
              <w:bottom w:val="single" w:sz="4" w:space="0" w:color="000000"/>
              <w:right w:val="single" w:sz="4" w:space="0" w:color="000000"/>
            </w:tcBorders>
          </w:tcPr>
          <w:p>
            <w:pPr/>
          </w:p>
        </w:tc>
        <w:tc>
          <w:tcPr>
            <w:tcW w:w="162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916" w:type="dxa"/>
            <w:vMerge/>
            <w:tcBorders>
              <w:left w:val="single" w:sz="4" w:space="0" w:color="000000"/>
              <w:bottom w:val="single" w:sz="4" w:space="0" w:color="000000"/>
              <w:right w:val="single" w:sz="4" w:space="0" w:color="000000"/>
            </w:tcBorders>
          </w:tcPr>
          <w:p>
            <w:pPr/>
          </w:p>
        </w:tc>
        <w:tc>
          <w:tcPr>
            <w:tcW w:w="1424" w:type="dxa"/>
            <w:vMerge/>
            <w:tcBorders>
              <w:left w:val="single" w:sz="4" w:space="0" w:color="000000"/>
              <w:bottom w:val="single" w:sz="4" w:space="0" w:color="000000"/>
              <w:right w:val="single" w:sz="4" w:space="0" w:color="000000"/>
            </w:tcBorders>
          </w:tcPr>
          <w:p>
            <w:pPr/>
          </w:p>
        </w:tc>
      </w:tr>
      <w:tr>
        <w:trPr>
          <w:trHeight w:val="340" w:hRule="exact"/>
        </w:trPr>
        <w:tc>
          <w:tcPr>
            <w:tcW w:w="2340" w:type="dxa"/>
            <w:tcBorders>
              <w:top w:val="single" w:sz="7" w:space="0" w:color="000000"/>
              <w:left w:val="single" w:sz="4" w:space="0" w:color="000000"/>
              <w:bottom w:val="single" w:sz="8" w:space="0" w:color="000000"/>
              <w:right w:val="single" w:sz="4" w:space="0" w:color="000000"/>
            </w:tcBorders>
          </w:tcPr>
          <w:p>
            <w:pPr>
              <w:pStyle w:val="TableParagraph"/>
              <w:tabs>
                <w:tab w:pos="983" w:val="left" w:leader="none"/>
                <w:tab w:pos="2307" w:val="left" w:leader="none"/>
              </w:tabs>
              <w:spacing w:line="240" w:lineRule="auto" w:before="1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C0C0C0" w:color="auto" w:val="clear"/>
              </w:rPr>
              <w:t> </w:t>
              <w:tab/>
            </w:r>
            <w:r>
              <w:rPr>
                <w:rFonts w:ascii="宋体" w:hAnsi="宋体" w:cs="宋体" w:eastAsia="宋体" w:hint="default"/>
                <w:sz w:val="18"/>
                <w:szCs w:val="18"/>
                <w:shd w:fill="C0C0C0" w:color="auto" w:val="clear"/>
              </w:rPr>
              <w:t>合计</w:t>
              <w:tab/>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716" w:right="0"/>
              <w:jc w:val="left"/>
              <w:rPr>
                <w:rFonts w:ascii="Times New Roman" w:hAnsi="Times New Roman" w:cs="Times New Roman" w:eastAsia="Times New Roman" w:hint="default"/>
                <w:sz w:val="18"/>
                <w:szCs w:val="18"/>
              </w:rPr>
            </w:pPr>
            <w:r>
              <w:rPr>
                <w:rFonts w:ascii="Times New Roman"/>
                <w:sz w:val="18"/>
              </w:rPr>
              <w:t>27,889.00</w:t>
            </w:r>
          </w:p>
        </w:tc>
        <w:tc>
          <w:tcPr>
            <w:tcW w:w="1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656" w:right="0"/>
              <w:jc w:val="left"/>
              <w:rPr>
                <w:rFonts w:ascii="Times New Roman" w:hAnsi="Times New Roman" w:cs="Times New Roman" w:eastAsia="Times New Roman" w:hint="default"/>
                <w:sz w:val="18"/>
                <w:szCs w:val="18"/>
              </w:rPr>
            </w:pPr>
            <w:r>
              <w:rPr>
                <w:rFonts w:ascii="Times New Roman"/>
                <w:sz w:val="18"/>
              </w:rPr>
              <w:t>22,424.62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685" w:right="0"/>
              <w:jc w:val="left"/>
              <w:rPr>
                <w:rFonts w:ascii="Times New Roman" w:hAnsi="Times New Roman" w:cs="Times New Roman" w:eastAsia="Times New Roman" w:hint="default"/>
                <w:sz w:val="18"/>
                <w:szCs w:val="18"/>
              </w:rPr>
            </w:pPr>
            <w:r>
              <w:rPr>
                <w:rFonts w:ascii="Times New Roman"/>
                <w:sz w:val="18"/>
              </w:rPr>
              <w:t>23,519.10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416" w:right="0"/>
              <w:jc w:val="left"/>
              <w:rPr>
                <w:rFonts w:ascii="Times New Roman" w:hAnsi="Times New Roman" w:cs="Times New Roman" w:eastAsia="Times New Roman" w:hint="default"/>
                <w:sz w:val="18"/>
                <w:szCs w:val="18"/>
              </w:rPr>
            </w:pPr>
            <w:r>
              <w:rPr>
                <w:rFonts w:ascii="Times New Roman"/>
                <w:sz w:val="18"/>
              </w:rPr>
              <w:t>6,633.85</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33" w:hRule="exact"/>
        </w:trPr>
        <w:tc>
          <w:tcPr>
            <w:tcW w:w="2340" w:type="dxa"/>
            <w:tcBorders>
              <w:top w:val="single" w:sz="4" w:space="0" w:color="000000"/>
              <w:left w:val="single" w:sz="4" w:space="0" w:color="000000"/>
              <w:bottom w:val="nil" w:sz="6" w:space="0" w:color="auto"/>
              <w:right w:val="single" w:sz="4" w:space="0" w:color="000000"/>
            </w:tcBorders>
            <w:shd w:val="clear" w:color="auto" w:fill="C0C0C0"/>
          </w:tcPr>
          <w:p>
            <w:pPr/>
          </w:p>
        </w:tc>
        <w:tc>
          <w:tcPr>
            <w:tcW w:w="12600" w:type="dxa"/>
            <w:gridSpan w:val="9"/>
            <w:vMerge w:val="restart"/>
            <w:tcBorders>
              <w:top w:val="single" w:sz="4" w:space="0" w:color="000000"/>
              <w:left w:val="single" w:sz="4" w:space="0" w:color="000000"/>
              <w:right w:val="single" w:sz="4" w:space="0" w:color="000000"/>
            </w:tcBorders>
          </w:tcPr>
          <w:p>
            <w:pPr>
              <w:pStyle w:val="TableParagraph"/>
              <w:spacing w:line="304" w:lineRule="auto" w:before="70"/>
              <w:ind w:left="22" w:right="21"/>
              <w:jc w:val="left"/>
              <w:rPr>
                <w:rFonts w:ascii="宋体" w:hAnsi="宋体" w:cs="宋体" w:eastAsia="宋体" w:hint="default"/>
                <w:sz w:val="18"/>
                <w:szCs w:val="18"/>
              </w:rPr>
            </w:pPr>
            <w:r>
              <w:rPr>
                <w:rFonts w:ascii="宋体" w:hAnsi="宋体" w:cs="宋体" w:eastAsia="宋体" w:hint="default"/>
                <w:spacing w:val="-1"/>
                <w:sz w:val="18"/>
                <w:szCs w:val="18"/>
              </w:rPr>
              <w:t>由于中国及全球经济环境的不稳定因素的影响，以及原募集资金投资项目的网点选址、网点评估、网点建设验收条件等诸方面要求更加严格，致使公司原募投项</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目进展低于预期进度，募集资金的使用效率较低。为了提高募集资金使用效率，降低市场风险，提高</w:t>
            </w:r>
            <w:r>
              <w:rPr>
                <w:rFonts w:ascii="宋体" w:hAnsi="宋体" w:cs="宋体" w:eastAsia="宋体" w:hint="default"/>
                <w:spacing w:val="-55"/>
                <w:sz w:val="18"/>
                <w:szCs w:val="18"/>
              </w:rPr>
              <w:t> </w:t>
            </w: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运营服务整体收益，公司于</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日召开的</w:t>
            </w:r>
            <w:r>
              <w:rPr>
                <w:rFonts w:ascii="宋体" w:hAnsi="宋体" w:cs="宋体" w:eastAsia="宋体" w:hint="default"/>
                <w:spacing w:val="1"/>
                <w:sz w:val="18"/>
                <w:szCs w:val="18"/>
              </w:rPr>
              <w:t> </w:t>
            </w:r>
            <w:r>
              <w:rPr>
                <w:rFonts w:ascii="宋体" w:hAnsi="宋体" w:cs="宋体" w:eastAsia="宋体" w:hint="default"/>
                <w:spacing w:val="-3"/>
                <w:sz w:val="18"/>
                <w:szCs w:val="18"/>
              </w:rPr>
              <w:t>第三届董事会第十四次会议审议通过《关于变更部分募集资金投向的议案》，并提交公司</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年第四次临时股东大会审议批准。变更项目的名称为“</w:t>
            </w:r>
            <w:r>
              <w:rPr>
                <w:rFonts w:ascii="Times New Roman" w:hAnsi="Times New Roman" w:cs="Times New Roman" w:eastAsia="Times New Roman" w:hint="default"/>
                <w:sz w:val="18"/>
                <w:szCs w:val="18"/>
              </w:rPr>
              <w:t>8,000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台合</w:t>
            </w:r>
            <w:r>
              <w:rPr>
                <w:rFonts w:ascii="宋体" w:hAnsi="宋体" w:cs="宋体" w:eastAsia="宋体" w:hint="default"/>
                <w:spacing w:val="-83"/>
                <w:sz w:val="18"/>
                <w:szCs w:val="18"/>
              </w:rPr>
              <w:t> </w:t>
            </w:r>
            <w:r>
              <w:rPr>
                <w:rFonts w:ascii="宋体" w:hAnsi="宋体" w:cs="宋体" w:eastAsia="宋体" w:hint="default"/>
                <w:sz w:val="18"/>
                <w:szCs w:val="18"/>
              </w:rPr>
              <w:t>作运营</w:t>
            </w:r>
            <w:r>
              <w:rPr>
                <w:rFonts w:ascii="宋体" w:hAnsi="宋体" w:cs="宋体" w:eastAsia="宋体" w:hint="default"/>
                <w:spacing w:val="-43"/>
                <w:sz w:val="18"/>
                <w:szCs w:val="18"/>
              </w:rPr>
              <w:t> </w:t>
            </w:r>
            <w:r>
              <w:rPr>
                <w:rFonts w:ascii="Times New Roman" w:hAnsi="Times New Roman" w:cs="Times New Roman" w:eastAsia="Times New Roman" w:hint="default"/>
                <w:spacing w:val="-7"/>
                <w:w w:val="99"/>
                <w:sz w:val="18"/>
                <w:szCs w:val="18"/>
              </w:rPr>
              <w:t>ATM</w:t>
            </w:r>
            <w:r>
              <w:rPr>
                <w:rFonts w:ascii="Times New Roman" w:hAnsi="Times New Roman" w:cs="Times New Roman" w:eastAsia="Times New Roman" w:hint="default"/>
                <w:w w:val="99"/>
                <w:sz w:val="18"/>
                <w:szCs w:val="18"/>
              </w:rPr>
              <w:t> </w:t>
            </w:r>
            <w:r>
              <w:rPr>
                <w:rFonts w:ascii="宋体" w:hAnsi="宋体" w:cs="宋体" w:eastAsia="宋体" w:hint="default"/>
                <w:spacing w:val="-12"/>
                <w:sz w:val="18"/>
                <w:szCs w:val="18"/>
              </w:rPr>
              <w:t>网络建设项目”，</w:t>
            </w:r>
            <w:r>
              <w:rPr>
                <w:rFonts w:ascii="宋体" w:hAnsi="宋体" w:cs="宋体" w:eastAsia="宋体" w:hint="default"/>
                <w:spacing w:val="6"/>
                <w:sz w:val="18"/>
                <w:szCs w:val="18"/>
              </w:rPr>
              <w:t> </w:t>
            </w:r>
            <w:r>
              <w:rPr>
                <w:rFonts w:ascii="宋体" w:hAnsi="宋体" w:cs="宋体" w:eastAsia="宋体" w:hint="default"/>
                <w:sz w:val="18"/>
                <w:szCs w:val="18"/>
              </w:rPr>
              <w:t>变更项目涉及的总金额为</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27,889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万元，新项目的名称为</w:t>
            </w:r>
            <w:r>
              <w:rPr>
                <w:rFonts w:ascii="宋体" w:hAnsi="宋体" w:cs="宋体" w:eastAsia="宋体" w:hint="default"/>
                <w:spacing w:val="6"/>
                <w:sz w:val="18"/>
                <w:szCs w:val="18"/>
              </w:rPr>
              <w:t> </w:t>
            </w:r>
            <w:r>
              <w:rPr>
                <w:rFonts w:ascii="宋体" w:hAnsi="宋体" w:cs="宋体" w:eastAsia="宋体" w:hint="default"/>
                <w:spacing w:val="-6"/>
                <w:w w:val="99"/>
                <w:sz w:val="18"/>
                <w:szCs w:val="18"/>
              </w:rPr>
              <w:t>“</w:t>
            </w:r>
            <w:r>
              <w:rPr>
                <w:rFonts w:ascii="Times New Roman" w:hAnsi="Times New Roman" w:cs="Times New Roman" w:eastAsia="Times New Roman" w:hint="default"/>
                <w:spacing w:val="-6"/>
                <w:w w:val="99"/>
                <w:sz w:val="18"/>
                <w:szCs w:val="18"/>
              </w:rPr>
              <w:t>ATM</w:t>
            </w:r>
            <w:r>
              <w:rPr>
                <w:rFonts w:ascii="Times New Roman" w:hAnsi="Times New Roman" w:cs="Times New Roman" w:eastAsia="Times New Roman" w:hint="default"/>
                <w:w w:val="99"/>
                <w:sz w:val="18"/>
                <w:szCs w:val="18"/>
              </w:rPr>
              <w:t> </w:t>
            </w:r>
            <w:r>
              <w:rPr>
                <w:rFonts w:ascii="宋体" w:hAnsi="宋体" w:cs="宋体" w:eastAsia="宋体" w:hint="default"/>
                <w:spacing w:val="-4"/>
                <w:sz w:val="18"/>
                <w:szCs w:val="18"/>
              </w:rPr>
              <w:t>融资租赁运营服务项目”，此次募集资金投资项目变更不构成关</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联交易。</w:t>
            </w:r>
          </w:p>
        </w:tc>
      </w:tr>
      <w:tr>
        <w:trPr>
          <w:trHeight w:val="624" w:hRule="exact"/>
        </w:trPr>
        <w:tc>
          <w:tcPr>
            <w:tcW w:w="2340" w:type="dxa"/>
            <w:tcBorders>
              <w:top w:val="nil" w:sz="6" w:space="0" w:color="auto"/>
              <w:left w:val="single" w:sz="4" w:space="0" w:color="000000"/>
              <w:bottom w:val="nil" w:sz="6" w:space="0" w:color="auto"/>
              <w:right w:val="single" w:sz="4" w:space="0" w:color="000000"/>
            </w:tcBorders>
            <w:shd w:val="clear" w:color="auto" w:fill="C0C0C0"/>
          </w:tcPr>
          <w:p>
            <w:pPr>
              <w:pStyle w:val="TableParagraph"/>
              <w:spacing w:line="316" w:lineRule="auto" w:before="10"/>
              <w:ind w:left="83" w:right="22" w:hanging="62"/>
              <w:jc w:val="left"/>
              <w:rPr>
                <w:rFonts w:ascii="宋体" w:hAnsi="宋体" w:cs="宋体" w:eastAsia="宋体" w:hint="default"/>
                <w:sz w:val="18"/>
                <w:szCs w:val="18"/>
              </w:rPr>
            </w:pPr>
            <w:r>
              <w:rPr>
                <w:rFonts w:ascii="宋体" w:hAnsi="宋体" w:cs="宋体" w:eastAsia="宋体" w:hint="default"/>
                <w:spacing w:val="-5"/>
                <w:sz w:val="18"/>
                <w:szCs w:val="18"/>
              </w:rPr>
              <w:t>变更原因、决策程序及信息披</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露情况说明（分具体项目）</w:t>
            </w:r>
          </w:p>
        </w:tc>
        <w:tc>
          <w:tcPr>
            <w:tcW w:w="12600" w:type="dxa"/>
            <w:gridSpan w:val="9"/>
            <w:vMerge/>
            <w:tcBorders>
              <w:left w:val="single" w:sz="4" w:space="0" w:color="000000"/>
              <w:right w:val="single" w:sz="4" w:space="0" w:color="000000"/>
            </w:tcBorders>
          </w:tcPr>
          <w:p>
            <w:pPr/>
          </w:p>
        </w:tc>
      </w:tr>
      <w:tr>
        <w:trPr>
          <w:trHeight w:val="533" w:hRule="exact"/>
        </w:trPr>
        <w:tc>
          <w:tcPr>
            <w:tcW w:w="2340" w:type="dxa"/>
            <w:tcBorders>
              <w:top w:val="nil" w:sz="6" w:space="0" w:color="auto"/>
              <w:left w:val="single" w:sz="4" w:space="0" w:color="000000"/>
              <w:bottom w:val="single" w:sz="4" w:space="0" w:color="000000"/>
              <w:right w:val="single" w:sz="4" w:space="0" w:color="000000"/>
            </w:tcBorders>
            <w:shd w:val="clear" w:color="auto" w:fill="C0C0C0"/>
          </w:tcPr>
          <w:p>
            <w:pPr/>
          </w:p>
        </w:tc>
        <w:tc>
          <w:tcPr>
            <w:tcW w:w="12600" w:type="dxa"/>
            <w:gridSpan w:val="9"/>
            <w:vMerge/>
            <w:tcBorders>
              <w:left w:val="single" w:sz="4" w:space="0" w:color="000000"/>
              <w:bottom w:val="single" w:sz="4" w:space="0" w:color="000000"/>
              <w:right w:val="single" w:sz="4" w:space="0" w:color="000000"/>
            </w:tcBorders>
          </w:tcPr>
          <w:p>
            <w:pPr/>
          </w:p>
        </w:tc>
      </w:tr>
      <w:tr>
        <w:trPr>
          <w:trHeight w:val="635" w:hRule="exact"/>
        </w:trPr>
        <w:tc>
          <w:tcPr>
            <w:tcW w:w="23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1"/>
              <w:ind w:left="22" w:right="-33" w:firstLine="61"/>
              <w:jc w:val="left"/>
              <w:rPr>
                <w:rFonts w:ascii="宋体" w:hAnsi="宋体" w:cs="宋体" w:eastAsia="宋体" w:hint="default"/>
                <w:sz w:val="18"/>
                <w:szCs w:val="18"/>
              </w:rPr>
            </w:pPr>
            <w:r>
              <w:rPr>
                <w:rFonts w:ascii="宋体" w:hAnsi="宋体" w:cs="宋体" w:eastAsia="宋体" w:hint="default"/>
                <w:sz w:val="18"/>
                <w:szCs w:val="18"/>
              </w:rPr>
              <w:t>未达到计划进度或预计收益 的情况和原因（分具体项目）</w:t>
            </w:r>
          </w:p>
        </w:tc>
        <w:tc>
          <w:tcPr>
            <w:tcW w:w="12600" w:type="dxa"/>
            <w:gridSpan w:val="9"/>
            <w:tcBorders>
              <w:top w:val="single" w:sz="4" w:space="0" w:color="000000"/>
              <w:left w:val="single" w:sz="9" w:space="0" w:color="C0C0C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6" w:right="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融资租赁运营服务项目未达到预计效益的主要原因是该项目正处于初期布放阶段，效益需逐步释放。</w:t>
            </w:r>
          </w:p>
        </w:tc>
      </w:tr>
      <w:tr>
        <w:trPr>
          <w:trHeight w:val="634" w:hRule="exact"/>
        </w:trPr>
        <w:tc>
          <w:tcPr>
            <w:tcW w:w="23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16" w:lineRule="auto" w:before="10"/>
              <w:ind w:left="443" w:right="84" w:hanging="360"/>
              <w:jc w:val="left"/>
              <w:rPr>
                <w:rFonts w:ascii="宋体" w:hAnsi="宋体" w:cs="宋体" w:eastAsia="宋体" w:hint="default"/>
                <w:sz w:val="18"/>
                <w:szCs w:val="18"/>
              </w:rPr>
            </w:pPr>
            <w:r>
              <w:rPr>
                <w:rFonts w:ascii="宋体" w:hAnsi="宋体" w:cs="宋体" w:eastAsia="宋体" w:hint="default"/>
                <w:sz w:val="18"/>
                <w:szCs w:val="18"/>
              </w:rPr>
              <w:t>变更后的项目可行性发生重 大变化的情况说明</w:t>
            </w:r>
          </w:p>
        </w:tc>
        <w:tc>
          <w:tcPr>
            <w:tcW w:w="12600" w:type="dxa"/>
            <w:gridSpan w:val="9"/>
            <w:tcBorders>
              <w:top w:val="single" w:sz="4" w:space="0" w:color="000000"/>
              <w:left w:val="single" w:sz="9" w:space="0" w:color="C0C0C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pgSz w:w="16840" w:h="11910" w:orient="landscape"/>
          <w:pgMar w:header="867" w:footer="1045" w:top="1060" w:bottom="1240" w:left="1320" w:right="340"/>
        </w:sectPr>
      </w:pPr>
    </w:p>
    <w:p>
      <w:pPr>
        <w:spacing w:line="240" w:lineRule="auto" w:before="0"/>
        <w:rPr>
          <w:rFonts w:ascii="Times New Roman" w:hAnsi="Times New Roman" w:cs="Times New Roman" w:eastAsia="Times New Roman" w:hint="default"/>
          <w:sz w:val="20"/>
          <w:szCs w:val="20"/>
        </w:rPr>
      </w:pPr>
    </w:p>
    <w:p>
      <w:pPr>
        <w:pStyle w:val="BodyText"/>
        <w:spacing w:line="240" w:lineRule="auto" w:before="182"/>
        <w:ind w:left="634" w:right="103"/>
        <w:jc w:val="left"/>
      </w:pPr>
      <w:r>
        <w:rPr>
          <w:rFonts w:ascii="Times New Roman" w:hAnsi="Times New Roman" w:cs="Times New Roman" w:eastAsia="Times New Roman" w:hint="default"/>
        </w:rPr>
        <w:t>3</w:t>
      </w:r>
      <w:r>
        <w:rPr/>
        <w:t>、变更募集资金投资项目的资金使用情况</w:t>
      </w:r>
    </w:p>
    <w:p>
      <w:pPr>
        <w:pStyle w:val="BodyText"/>
        <w:spacing w:line="240" w:lineRule="auto" w:before="134"/>
        <w:ind w:left="574" w:right="103"/>
        <w:jc w:val="left"/>
      </w:pPr>
      <w:r>
        <w:rPr/>
        <w:t>公司于</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11</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22</w:t>
      </w:r>
      <w:r>
        <w:rPr>
          <w:rFonts w:ascii="Times New Roman" w:hAnsi="Times New Roman" w:cs="Times New Roman" w:eastAsia="Times New Roman" w:hint="default"/>
          <w:spacing w:val="2"/>
        </w:rPr>
        <w:t> </w:t>
      </w:r>
      <w:r>
        <w:rPr>
          <w:spacing w:val="-3"/>
        </w:rPr>
        <w:t>日召开的第三届董事会第十四次会议审议通过《关于变更部分</w:t>
      </w:r>
    </w:p>
    <w:p>
      <w:pPr>
        <w:pStyle w:val="BodyText"/>
        <w:spacing w:line="338" w:lineRule="auto" w:before="134"/>
        <w:ind w:left="153" w:right="103"/>
        <w:jc w:val="left"/>
      </w:pPr>
      <w:r>
        <w:rPr/>
        <w:t>募集资金投向的议案》，并提交公司 </w:t>
      </w:r>
      <w:r>
        <w:rPr>
          <w:rFonts w:ascii="Times New Roman" w:hAnsi="Times New Roman" w:cs="Times New Roman" w:eastAsia="Times New Roman" w:hint="default"/>
        </w:rPr>
        <w:t>2010</w:t>
      </w:r>
      <w:r>
        <w:rPr>
          <w:rFonts w:ascii="Times New Roman" w:hAnsi="Times New Roman" w:cs="Times New Roman" w:eastAsia="Times New Roman" w:hint="default"/>
          <w:spacing w:val="54"/>
        </w:rPr>
        <w:t> </w:t>
      </w:r>
      <w:r>
        <w:rPr/>
        <w:t>年第四次临时股东大会审议批准。变更项目的 名称为“</w:t>
      </w:r>
      <w:r>
        <w:rPr>
          <w:rFonts w:ascii="Times New Roman" w:hAnsi="Times New Roman" w:cs="Times New Roman" w:eastAsia="Times New Roman" w:hint="default"/>
        </w:rPr>
        <w:t>8,000</w:t>
      </w:r>
      <w:r>
        <w:rPr>
          <w:rFonts w:ascii="Times New Roman" w:hAnsi="Times New Roman" w:cs="Times New Roman" w:eastAsia="Times New Roman" w:hint="default"/>
          <w:spacing w:val="-1"/>
        </w:rPr>
        <w:t> </w:t>
      </w:r>
      <w:r>
        <w:rPr/>
        <w:t>台合作运营</w:t>
      </w:r>
      <w:r>
        <w:rPr>
          <w:spacing w:val="-61"/>
        </w:rPr>
        <w:t> </w:t>
      </w:r>
      <w:r>
        <w:rPr>
          <w:rFonts w:ascii="Times New Roman" w:hAnsi="Times New Roman" w:cs="Times New Roman" w:eastAsia="Times New Roman" w:hint="default"/>
        </w:rPr>
        <w:t>ATM</w:t>
      </w:r>
      <w:r>
        <w:rPr>
          <w:rFonts w:ascii="Times New Roman" w:hAnsi="Times New Roman" w:cs="Times New Roman" w:eastAsia="Times New Roman" w:hint="default"/>
          <w:spacing w:val="-1"/>
        </w:rPr>
        <w:t> </w:t>
      </w:r>
      <w:r>
        <w:rPr/>
        <w:t>网络建设项目”，变更项目涉及的总金额为</w:t>
      </w:r>
      <w:r>
        <w:rPr>
          <w:spacing w:val="-61"/>
        </w:rPr>
        <w:t> </w:t>
      </w:r>
      <w:r>
        <w:rPr>
          <w:rFonts w:ascii="Times New Roman" w:hAnsi="Times New Roman" w:cs="Times New Roman" w:eastAsia="Times New Roman" w:hint="default"/>
        </w:rPr>
        <w:t>27,889</w:t>
      </w:r>
      <w:r>
        <w:rPr>
          <w:rFonts w:ascii="Times New Roman" w:hAnsi="Times New Roman" w:cs="Times New Roman" w:eastAsia="Times New Roman" w:hint="default"/>
          <w:spacing w:val="-1"/>
        </w:rPr>
        <w:t> </w:t>
      </w:r>
      <w:r>
        <w:rPr/>
        <w:t>万元， </w:t>
      </w:r>
      <w:r>
        <w:rPr>
          <w:spacing w:val="-4"/>
        </w:rPr>
        <w:t>新项目的名称为“</w:t>
      </w:r>
      <w:r>
        <w:rPr>
          <w:rFonts w:ascii="Times New Roman" w:hAnsi="Times New Roman" w:cs="Times New Roman" w:eastAsia="Times New Roman" w:hint="default"/>
          <w:spacing w:val="-4"/>
        </w:rPr>
        <w:t>ATM </w:t>
      </w:r>
      <w:r>
        <w:rPr>
          <w:spacing w:val="-3"/>
        </w:rPr>
        <w:t>融资租赁运营服务项目”，此次募集资金投资项目变更不构成关联</w:t>
      </w:r>
      <w:r>
        <w:rPr>
          <w:spacing w:val="-105"/>
        </w:rPr>
        <w:t> </w:t>
      </w:r>
      <w:r>
        <w:rPr>
          <w:spacing w:val="-105"/>
        </w:rPr>
      </w:r>
      <w:r>
        <w:rPr/>
        <w:t>交易。</w:t>
      </w:r>
    </w:p>
    <w:p>
      <w:pPr>
        <w:pStyle w:val="BodyText"/>
        <w:spacing w:line="357" w:lineRule="auto" w:before="54"/>
        <w:ind w:left="153" w:right="232" w:firstLine="420"/>
        <w:jc w:val="both"/>
      </w:pPr>
      <w:r>
        <w:rPr/>
        <w:t>公司自募投项目变更后，便根据市场紧迫需求积极开展融资租赁设备的生产、发机等 </w:t>
      </w:r>
      <w:r>
        <w:rPr>
          <w:spacing w:val="-1"/>
        </w:rPr>
        <w:t>工作，充分提高了募集资金的使用效率。按目前市场需求及公司的布放效率，预计本项目</w:t>
      </w:r>
      <w:r>
        <w:rPr>
          <w:spacing w:val="-1"/>
        </w:rPr>
        <w:t> </w:t>
      </w:r>
      <w:r>
        <w:rPr/>
        <w:t>的完成时间将大大提前，并提前实现项目效益。</w:t>
      </w:r>
    </w:p>
    <w:p>
      <w:pPr>
        <w:spacing w:line="240" w:lineRule="auto" w:before="4"/>
        <w:rPr>
          <w:rFonts w:ascii="宋体" w:hAnsi="宋体" w:cs="宋体" w:eastAsia="宋体" w:hint="default"/>
          <w:sz w:val="34"/>
          <w:szCs w:val="34"/>
        </w:rPr>
      </w:pPr>
    </w:p>
    <w:p>
      <w:pPr>
        <w:pStyle w:val="BodyText"/>
        <w:spacing w:line="338" w:lineRule="auto" w:before="0"/>
        <w:ind w:left="633" w:right="103"/>
        <w:jc w:val="left"/>
        <w:rPr>
          <w:rFonts w:ascii="Times New Roman" w:hAnsi="Times New Roman" w:cs="Times New Roman" w:eastAsia="Times New Roman" w:hint="default"/>
        </w:rPr>
      </w:pPr>
      <w:r>
        <w:rPr>
          <w:rFonts w:ascii="Times New Roman" w:hAnsi="Times New Roman" w:cs="Times New Roman" w:eastAsia="Times New Roman" w:hint="default"/>
        </w:rPr>
        <w:t>4</w:t>
      </w:r>
      <w:r>
        <w:rPr/>
        <w:t>、会计师事务所对募集资金使用情况的专项审核意见 </w:t>
      </w:r>
      <w:r>
        <w:rPr>
          <w:spacing w:val="-5"/>
        </w:rPr>
        <w:t>立信会计师事务所（特殊普通合伙）对公司募集资金使用情况出具了信会师报字</w:t>
      </w:r>
      <w:r>
        <w:rPr>
          <w:rFonts w:ascii="Times New Roman" w:hAnsi="Times New Roman" w:cs="Times New Roman" w:eastAsia="Times New Roman" w:hint="default"/>
          <w:spacing w:val="-5"/>
        </w:rPr>
        <w:t>[2012]</w:t>
      </w:r>
      <w:r>
        <w:rPr>
          <w:rFonts w:ascii="Times New Roman" w:hAnsi="Times New Roman" w:cs="Times New Roman" w:eastAsia="Times New Roman" w:hint="default"/>
        </w:rPr>
      </w:r>
    </w:p>
    <w:p>
      <w:pPr>
        <w:pStyle w:val="BodyText"/>
        <w:spacing w:line="343" w:lineRule="auto" w:before="25"/>
        <w:ind w:left="153" w:right="106"/>
        <w:jc w:val="left"/>
      </w:pPr>
      <w:r>
        <w:rPr>
          <w:spacing w:val="-3"/>
        </w:rPr>
        <w:t>第</w:t>
      </w:r>
      <w:r>
        <w:rPr>
          <w:rFonts w:ascii="Times New Roman" w:hAnsi="Times New Roman" w:cs="Times New Roman" w:eastAsia="Times New Roman" w:hint="default"/>
          <w:spacing w:val="-3"/>
        </w:rPr>
        <w:t>310033</w:t>
      </w:r>
      <w:r>
        <w:rPr>
          <w:spacing w:val="-3"/>
        </w:rPr>
        <w:t>号《广州御银科技股份有限公司募集资金</w:t>
      </w:r>
      <w:r>
        <w:rPr>
          <w:rFonts w:ascii="Times New Roman" w:hAnsi="Times New Roman" w:cs="Times New Roman" w:eastAsia="Times New Roman" w:hint="default"/>
          <w:spacing w:val="-3"/>
        </w:rPr>
        <w:t>2011</w:t>
      </w:r>
      <w:r>
        <w:rPr>
          <w:spacing w:val="-3"/>
        </w:rPr>
        <w:t>年度存放与使用情况的鉴证报告》，</w:t>
      </w:r>
      <w:r>
        <w:rPr>
          <w:spacing w:val="-111"/>
        </w:rPr>
        <w:t> </w:t>
      </w:r>
      <w:r>
        <w:rPr>
          <w:spacing w:val="-111"/>
        </w:rPr>
      </w:r>
      <w:r>
        <w:rPr/>
        <w:t>认为御银股份董事会编制的</w:t>
      </w:r>
      <w:r>
        <w:rPr>
          <w:rFonts w:ascii="Times New Roman" w:hAnsi="Times New Roman" w:cs="Times New Roman" w:eastAsia="Times New Roman" w:hint="default"/>
        </w:rPr>
        <w:t>2011</w:t>
      </w:r>
      <w:r>
        <w:rPr/>
        <w:t>年度《关于公司募集资金存放与使用情况的专项报告》符 合《深圳证券交易所中小企业板上市公司规范运作指引》及相关格式指引的规定，如实反</w:t>
      </w:r>
      <w:r>
        <w:rPr>
          <w:spacing w:val="-1"/>
        </w:rPr>
        <w:t> </w:t>
      </w:r>
      <w:r>
        <w:rPr/>
        <w:t>映了御银股份募集资金</w:t>
      </w:r>
      <w:r>
        <w:rPr>
          <w:rFonts w:ascii="Times New Roman" w:hAnsi="Times New Roman" w:cs="Times New Roman" w:eastAsia="Times New Roman" w:hint="default"/>
        </w:rPr>
        <w:t>2011</w:t>
      </w:r>
      <w:r>
        <w:rPr/>
        <w:t>年度实际存放与使用情况。</w:t>
      </w:r>
    </w:p>
    <w:p>
      <w:pPr>
        <w:spacing w:line="240" w:lineRule="auto" w:before="2"/>
        <w:rPr>
          <w:rFonts w:ascii="宋体" w:hAnsi="宋体" w:cs="宋体" w:eastAsia="宋体" w:hint="default"/>
          <w:sz w:val="33"/>
          <w:szCs w:val="33"/>
        </w:rPr>
      </w:pPr>
    </w:p>
    <w:p>
      <w:pPr>
        <w:pStyle w:val="BodyText"/>
        <w:spacing w:line="240" w:lineRule="auto" w:before="0"/>
        <w:ind w:left="633" w:right="103"/>
        <w:jc w:val="left"/>
      </w:pPr>
      <w:r>
        <w:rPr/>
        <w:t>（四）非募集资金投资情况</w:t>
      </w:r>
    </w:p>
    <w:p>
      <w:pPr>
        <w:pStyle w:val="BodyText"/>
        <w:spacing w:line="240" w:lineRule="auto" w:before="152"/>
        <w:ind w:left="633" w:right="103"/>
        <w:jc w:val="left"/>
      </w:pPr>
      <w:r>
        <w:rPr>
          <w:rFonts w:ascii="Times New Roman" w:hAnsi="Times New Roman" w:cs="Times New Roman" w:eastAsia="Times New Roman" w:hint="default"/>
        </w:rPr>
        <w:t>1</w:t>
      </w:r>
      <w:r>
        <w:rPr/>
        <w:t>、参股广州花都稠州村镇银行股份有限公司</w:t>
      </w:r>
    </w:p>
    <w:p>
      <w:pPr>
        <w:pStyle w:val="BodyText"/>
        <w:spacing w:line="338" w:lineRule="auto" w:before="134"/>
        <w:ind w:left="153" w:right="230" w:firstLine="480"/>
        <w:jc w:val="both"/>
      </w:pP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12</w:t>
      </w:r>
      <w:r>
        <w:rPr>
          <w:spacing w:val="-2"/>
        </w:rPr>
        <w:t>月，公司以现金出资</w:t>
      </w:r>
      <w:r>
        <w:rPr>
          <w:rFonts w:ascii="Times New Roman" w:hAnsi="Times New Roman" w:cs="Times New Roman" w:eastAsia="Times New Roman" w:hint="default"/>
          <w:spacing w:val="-2"/>
        </w:rPr>
        <w:t>2,500</w:t>
      </w:r>
      <w:r>
        <w:rPr>
          <w:spacing w:val="-2"/>
        </w:rPr>
        <w:t>万元与浙江稠州商业银行股份有限公司等法人及自</w:t>
      </w:r>
      <w:r>
        <w:rPr/>
        <w:t> 然人发起设立广州花都稠州村镇银行股份有限公司。公司持有</w:t>
      </w:r>
      <w:r>
        <w:rPr>
          <w:rFonts w:ascii="Times New Roman" w:hAnsi="Times New Roman" w:cs="Times New Roman" w:eastAsia="Times New Roman" w:hint="default"/>
        </w:rPr>
        <w:t>10%</w:t>
      </w:r>
      <w:r>
        <w:rPr/>
        <w:t>的股权。村镇银行注册</w:t>
      </w:r>
      <w:r>
        <w:rPr>
          <w:spacing w:val="-96"/>
        </w:rPr>
        <w:t> </w:t>
      </w:r>
      <w:r>
        <w:rPr/>
        <w:t>资本暨实收资本</w:t>
      </w:r>
      <w:r>
        <w:rPr>
          <w:rFonts w:ascii="Times New Roman" w:hAnsi="Times New Roman" w:cs="Times New Roman" w:eastAsia="Times New Roman" w:hint="default"/>
        </w:rPr>
        <w:t>25,000</w:t>
      </w:r>
      <w:r>
        <w:rPr/>
        <w:t>万元，主要从事存贷款、国内结算、票据承兑与贴现、同业拆借、</w:t>
      </w:r>
      <w:r>
        <w:rPr>
          <w:spacing w:val="-83"/>
        </w:rPr>
        <w:t> </w:t>
      </w:r>
      <w:r>
        <w:rPr>
          <w:spacing w:val="-3"/>
        </w:rPr>
        <w:t>银行卡（借记卡）等业务。该投资可以延伸公司</w:t>
      </w:r>
      <w:r>
        <w:rPr>
          <w:rFonts w:ascii="Times New Roman" w:hAnsi="Times New Roman" w:cs="Times New Roman" w:eastAsia="Times New Roman" w:hint="default"/>
          <w:spacing w:val="-3"/>
        </w:rPr>
        <w:t>ATM</w:t>
      </w:r>
      <w:r>
        <w:rPr>
          <w:spacing w:val="-3"/>
        </w:rPr>
        <w:t>业务产业链，进一步融洽公司</w:t>
      </w:r>
      <w:r>
        <w:rPr>
          <w:rFonts w:ascii="Times New Roman" w:hAnsi="Times New Roman" w:cs="Times New Roman" w:eastAsia="Times New Roman" w:hint="default"/>
          <w:spacing w:val="-3"/>
        </w:rPr>
        <w:t>ATM</w:t>
      </w:r>
      <w:r>
        <w:rPr>
          <w:spacing w:val="-3"/>
        </w:rPr>
        <w:t>业</w:t>
      </w:r>
      <w:r>
        <w:rPr>
          <w:spacing w:val="-114"/>
        </w:rPr>
        <w:t> </w:t>
      </w:r>
      <w:r>
        <w:rPr/>
        <w:t>务与新型农村金融服务之间的关系，为</w:t>
      </w:r>
      <w:r>
        <w:rPr>
          <w:rFonts w:ascii="Times New Roman" w:hAnsi="Times New Roman" w:cs="Times New Roman" w:eastAsia="Times New Roman" w:hint="default"/>
        </w:rPr>
        <w:t>ATM</w:t>
      </w:r>
      <w:r>
        <w:rPr/>
        <w:t>业务的持续发展创造有利条件。</w:t>
      </w:r>
    </w:p>
    <w:p>
      <w:pPr>
        <w:pStyle w:val="BodyText"/>
        <w:spacing w:line="240" w:lineRule="auto" w:before="25"/>
        <w:ind w:left="634" w:right="103"/>
        <w:jc w:val="left"/>
      </w:pPr>
      <w:r>
        <w:rPr>
          <w:rFonts w:ascii="Times New Roman" w:hAnsi="Times New Roman" w:cs="Times New Roman" w:eastAsia="Times New Roman" w:hint="default"/>
        </w:rPr>
        <w:t>2</w:t>
      </w:r>
      <w:r>
        <w:rPr/>
        <w:t>、设立广州御银先端电子科技有限公司</w:t>
      </w:r>
    </w:p>
    <w:p>
      <w:pPr>
        <w:pStyle w:val="BodyText"/>
        <w:spacing w:line="343" w:lineRule="auto" w:before="134"/>
        <w:ind w:left="154" w:right="203" w:firstLine="480"/>
        <w:jc w:val="both"/>
      </w:pP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12</w:t>
      </w:r>
      <w:r>
        <w:rPr>
          <w:spacing w:val="-2"/>
        </w:rPr>
        <w:t>月，公司以现金出资</w:t>
      </w:r>
      <w:r>
        <w:rPr>
          <w:rFonts w:ascii="Times New Roman" w:hAnsi="Times New Roman" w:cs="Times New Roman" w:eastAsia="Times New Roman" w:hint="default"/>
          <w:spacing w:val="-2"/>
        </w:rPr>
        <w:t>2,000</w:t>
      </w:r>
      <w:r>
        <w:rPr>
          <w:spacing w:val="-2"/>
        </w:rPr>
        <w:t>万元设立广州御银先端电子科技有限公司，公司持</w:t>
      </w:r>
      <w:r>
        <w:rPr/>
        <w:t> 有其</w:t>
      </w:r>
      <w:r>
        <w:rPr>
          <w:rFonts w:ascii="Times New Roman" w:hAnsi="Times New Roman" w:cs="Times New Roman" w:eastAsia="Times New Roman" w:hint="default"/>
        </w:rPr>
        <w:t>100%</w:t>
      </w:r>
      <w:r>
        <w:rPr/>
        <w:t>股权。先端科技注册资本暨实收资本</w:t>
      </w:r>
      <w:r>
        <w:rPr>
          <w:rFonts w:ascii="Times New Roman" w:hAnsi="Times New Roman" w:cs="Times New Roman" w:eastAsia="Times New Roman" w:hint="default"/>
        </w:rPr>
        <w:t>2,000</w:t>
      </w:r>
      <w:r>
        <w:rPr/>
        <w:t>万元，主要从事电子通讯产品、金融</w:t>
      </w:r>
      <w:r>
        <w:rPr>
          <w:spacing w:val="-49"/>
        </w:rPr>
        <w:t> </w:t>
      </w:r>
      <w:r>
        <w:rPr/>
        <w:t>机具网络、自动柜员机及自助金融终端机的研究、开发、运行维护等业务。该公司的设立</w:t>
      </w:r>
      <w:r>
        <w:rPr>
          <w:spacing w:val="-1"/>
        </w:rPr>
        <w:t> 有利于推动公司在</w:t>
      </w:r>
      <w:r>
        <w:rPr>
          <w:rFonts w:ascii="Times New Roman" w:hAnsi="Times New Roman" w:cs="Times New Roman" w:eastAsia="Times New Roman" w:hint="default"/>
          <w:spacing w:val="-1"/>
        </w:rPr>
        <w:t>ATM</w:t>
      </w:r>
      <w:r>
        <w:rPr>
          <w:spacing w:val="-1"/>
        </w:rPr>
        <w:t>行业的战略发展规划，丰富公司的产品链，提升公司整体竞争力。</w:t>
      </w:r>
    </w:p>
    <w:p>
      <w:pPr>
        <w:spacing w:after="0" w:line="343" w:lineRule="auto"/>
        <w:jc w:val="both"/>
        <w:sectPr>
          <w:headerReference w:type="default" r:id="rId20"/>
          <w:footerReference w:type="default" r:id="rId21"/>
          <w:pgSz w:w="11910" w:h="16840"/>
          <w:pgMar w:header="747" w:footer="984" w:top="980" w:bottom="1180" w:left="980" w:right="1180"/>
          <w:pgNumType w:start="61"/>
        </w:sectPr>
      </w:pPr>
    </w:p>
    <w:p>
      <w:pPr>
        <w:spacing w:line="240" w:lineRule="auto" w:before="7"/>
        <w:rPr>
          <w:rFonts w:ascii="宋体" w:hAnsi="宋体" w:cs="宋体" w:eastAsia="宋体" w:hint="default"/>
          <w:sz w:val="29"/>
          <w:szCs w:val="29"/>
        </w:rPr>
      </w:pPr>
    </w:p>
    <w:p>
      <w:pPr>
        <w:pStyle w:val="BodyText"/>
        <w:spacing w:line="240" w:lineRule="auto" w:before="26"/>
        <w:ind w:left="634" w:right="103"/>
        <w:jc w:val="left"/>
      </w:pPr>
      <w:r>
        <w:rPr/>
        <w:t>四、公司董事会日常工作情况</w:t>
      </w:r>
    </w:p>
    <w:p>
      <w:pPr>
        <w:pStyle w:val="BodyText"/>
        <w:spacing w:line="357" w:lineRule="auto" w:before="152"/>
        <w:ind w:left="693" w:right="227" w:hanging="60"/>
        <w:jc w:val="left"/>
      </w:pPr>
      <w:r>
        <w:rPr/>
        <w:t>（一）报告期内董事会会议情况及决议内容 </w:t>
      </w:r>
      <w:r>
        <w:rPr>
          <w:spacing w:val="-2"/>
        </w:rPr>
        <w:t>报告期内，公司召开了</w:t>
      </w:r>
      <w:r>
        <w:rPr>
          <w:rFonts w:ascii="Times New Roman" w:hAnsi="Times New Roman" w:cs="Times New Roman" w:eastAsia="Times New Roman" w:hint="default"/>
          <w:spacing w:val="-2"/>
        </w:rPr>
        <w:t>13</w:t>
      </w:r>
      <w:r>
        <w:rPr>
          <w:spacing w:val="-2"/>
        </w:rPr>
        <w:t>次董事会会议。会议的通知、召集、召开和表决程序均符合</w:t>
      </w:r>
    </w:p>
    <w:p>
      <w:pPr>
        <w:pStyle w:val="BodyText"/>
        <w:spacing w:line="240" w:lineRule="auto" w:before="4"/>
        <w:ind w:left="153" w:right="103"/>
        <w:jc w:val="left"/>
      </w:pPr>
      <w:r>
        <w:rPr/>
        <w:t>有关法律法规和《公司章程》的规定，具体情况如下：</w:t>
      </w:r>
    </w:p>
    <w:p>
      <w:pPr>
        <w:pStyle w:val="BodyText"/>
        <w:spacing w:line="338" w:lineRule="auto" w:before="152"/>
        <w:ind w:left="153" w:right="103" w:firstLine="540"/>
        <w:jc w:val="left"/>
      </w:pPr>
      <w:r>
        <w:rPr>
          <w:rFonts w:ascii="Times New Roman" w:hAnsi="Times New Roman" w:cs="Times New Roman" w:eastAsia="Times New Roman" w:hint="default"/>
          <w:spacing w:val="-2"/>
        </w:rPr>
        <w:t>1</w:t>
      </w:r>
      <w:r>
        <w:rPr>
          <w:spacing w:val="-2"/>
        </w:rPr>
        <w:t>、公司于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2</w:t>
      </w:r>
      <w:r>
        <w:rPr>
          <w:spacing w:val="-2"/>
        </w:rPr>
        <w:t>月</w:t>
      </w:r>
      <w:r>
        <w:rPr>
          <w:rFonts w:ascii="Times New Roman" w:hAnsi="Times New Roman" w:cs="Times New Roman" w:eastAsia="Times New Roman" w:hint="default"/>
          <w:spacing w:val="-2"/>
        </w:rPr>
        <w:t>24</w:t>
      </w:r>
      <w:r>
        <w:rPr>
          <w:spacing w:val="-2"/>
        </w:rPr>
        <w:t>日召开了第三届董事会第十六次会议，会议审议并通过了如下</w:t>
      </w:r>
      <w:r>
        <w:rPr/>
        <w:t> 事项：</w:t>
      </w:r>
    </w:p>
    <w:p>
      <w:pPr>
        <w:pStyle w:val="BodyText"/>
        <w:spacing w:line="240" w:lineRule="auto" w:before="54"/>
        <w:ind w:left="633" w:right="103"/>
        <w:jc w:val="left"/>
      </w:pPr>
      <w:r>
        <w:rPr/>
        <w:t>（</w:t>
      </w:r>
      <w:r>
        <w:rPr>
          <w:rFonts w:ascii="Times New Roman" w:hAnsi="Times New Roman" w:cs="Times New Roman" w:eastAsia="Times New Roman" w:hint="default"/>
        </w:rPr>
        <w:t>1</w:t>
      </w:r>
      <w:r>
        <w:rPr/>
        <w:t>）审议《公司</w:t>
      </w:r>
      <w:r>
        <w:rPr>
          <w:rFonts w:ascii="Times New Roman" w:hAnsi="Times New Roman" w:cs="Times New Roman" w:eastAsia="Times New Roman" w:hint="default"/>
        </w:rPr>
        <w:t>2010</w:t>
      </w:r>
      <w:r>
        <w:rPr/>
        <w:t>年度董事会工作报告的议案》；</w:t>
      </w:r>
    </w:p>
    <w:p>
      <w:pPr>
        <w:pStyle w:val="BodyText"/>
        <w:spacing w:line="240" w:lineRule="auto" w:before="134"/>
        <w:ind w:left="633" w:right="103"/>
        <w:jc w:val="left"/>
      </w:pPr>
      <w:r>
        <w:rPr/>
        <w:t>（</w:t>
      </w:r>
      <w:r>
        <w:rPr>
          <w:rFonts w:ascii="Times New Roman" w:hAnsi="Times New Roman" w:cs="Times New Roman" w:eastAsia="Times New Roman" w:hint="default"/>
        </w:rPr>
        <w:t>2</w:t>
      </w:r>
      <w:r>
        <w:rPr/>
        <w:t>）审议《公司</w:t>
      </w:r>
      <w:r>
        <w:rPr>
          <w:rFonts w:ascii="Times New Roman" w:hAnsi="Times New Roman" w:cs="Times New Roman" w:eastAsia="Times New Roman" w:hint="default"/>
        </w:rPr>
        <w:t>2010</w:t>
      </w:r>
      <w:r>
        <w:rPr/>
        <w:t>年度财务决算报告的议案》；</w:t>
      </w:r>
    </w:p>
    <w:p>
      <w:pPr>
        <w:pStyle w:val="BodyText"/>
        <w:spacing w:line="240" w:lineRule="auto"/>
        <w:ind w:left="633" w:right="103"/>
        <w:jc w:val="left"/>
      </w:pPr>
      <w:r>
        <w:rPr/>
        <w:t>（</w:t>
      </w:r>
      <w:r>
        <w:rPr>
          <w:rFonts w:ascii="Times New Roman" w:hAnsi="Times New Roman" w:cs="Times New Roman" w:eastAsia="Times New Roman" w:hint="default"/>
        </w:rPr>
        <w:t>3</w:t>
      </w:r>
      <w:r>
        <w:rPr/>
        <w:t>）审议《公司</w:t>
      </w:r>
      <w:r>
        <w:rPr>
          <w:rFonts w:ascii="Times New Roman" w:hAnsi="Times New Roman" w:cs="Times New Roman" w:eastAsia="Times New Roman" w:hint="default"/>
        </w:rPr>
        <w:t>2010</w:t>
      </w:r>
      <w:r>
        <w:rPr/>
        <w:t>年度利润分配及资本公积金转增股本预案的议案》；</w:t>
      </w:r>
    </w:p>
    <w:p>
      <w:pPr>
        <w:pStyle w:val="BodyText"/>
        <w:spacing w:line="240" w:lineRule="auto" w:before="134"/>
        <w:ind w:left="633" w:right="103"/>
        <w:jc w:val="left"/>
      </w:pPr>
      <w:r>
        <w:rPr/>
        <w:t>（</w:t>
      </w:r>
      <w:r>
        <w:rPr>
          <w:rFonts w:ascii="Times New Roman" w:hAnsi="Times New Roman" w:cs="Times New Roman" w:eastAsia="Times New Roman" w:hint="default"/>
        </w:rPr>
        <w:t>4</w:t>
      </w:r>
      <w:r>
        <w:rPr/>
        <w:t>）审议《关于批准报出</w:t>
      </w:r>
      <w:r>
        <w:rPr>
          <w:rFonts w:ascii="Times New Roman" w:hAnsi="Times New Roman" w:cs="Times New Roman" w:eastAsia="Times New Roman" w:hint="default"/>
        </w:rPr>
        <w:t>2010</w:t>
      </w:r>
      <w:r>
        <w:rPr/>
        <w:t>年度报告及摘要的议案》；</w:t>
      </w:r>
    </w:p>
    <w:p>
      <w:pPr>
        <w:pStyle w:val="BodyText"/>
        <w:spacing w:line="240" w:lineRule="auto" w:before="134"/>
        <w:ind w:left="633" w:right="103"/>
        <w:jc w:val="left"/>
      </w:pPr>
      <w:r>
        <w:rPr/>
        <w:t>（</w:t>
      </w:r>
      <w:r>
        <w:rPr>
          <w:rFonts w:ascii="Times New Roman" w:hAnsi="Times New Roman" w:cs="Times New Roman" w:eastAsia="Times New Roman" w:hint="default"/>
        </w:rPr>
        <w:t>5</w:t>
      </w:r>
      <w:r>
        <w:rPr/>
        <w:t>）审议《关于募集资金</w:t>
      </w:r>
      <w:r>
        <w:rPr>
          <w:rFonts w:ascii="Times New Roman" w:hAnsi="Times New Roman" w:cs="Times New Roman" w:eastAsia="Times New Roman" w:hint="default"/>
        </w:rPr>
        <w:t>2010</w:t>
      </w:r>
      <w:r>
        <w:rPr/>
        <w:t>年度存放与使用情况专项报告的议案》；</w:t>
      </w:r>
    </w:p>
    <w:p>
      <w:pPr>
        <w:pStyle w:val="BodyText"/>
        <w:spacing w:line="240" w:lineRule="auto" w:before="134"/>
        <w:ind w:left="633" w:right="103"/>
        <w:jc w:val="left"/>
      </w:pPr>
      <w:r>
        <w:rPr/>
        <w:t>（</w:t>
      </w:r>
      <w:r>
        <w:rPr>
          <w:rFonts w:ascii="Times New Roman" w:hAnsi="Times New Roman" w:cs="Times New Roman" w:eastAsia="Times New Roman" w:hint="default"/>
        </w:rPr>
        <w:t>6</w:t>
      </w:r>
      <w:r>
        <w:rPr/>
        <w:t>）审议《关于公司</w:t>
      </w:r>
      <w:r>
        <w:rPr>
          <w:rFonts w:ascii="Times New Roman" w:hAnsi="Times New Roman" w:cs="Times New Roman" w:eastAsia="Times New Roman" w:hint="default"/>
        </w:rPr>
        <w:t>2010</w:t>
      </w:r>
      <w:r>
        <w:rPr/>
        <w:t>年度内部控制自我评价报告的议案》；</w:t>
      </w:r>
    </w:p>
    <w:p>
      <w:pPr>
        <w:pStyle w:val="BodyText"/>
        <w:spacing w:line="338" w:lineRule="auto" w:before="134"/>
        <w:ind w:left="154" w:right="103" w:firstLine="480"/>
        <w:jc w:val="left"/>
      </w:pPr>
      <w:r>
        <w:rPr>
          <w:spacing w:val="2"/>
        </w:rPr>
        <w:t>（</w:t>
      </w:r>
      <w:r>
        <w:rPr>
          <w:rFonts w:ascii="Times New Roman" w:hAnsi="Times New Roman" w:cs="Times New Roman" w:eastAsia="Times New Roman" w:hint="default"/>
          <w:spacing w:val="2"/>
        </w:rPr>
        <w:t>7</w:t>
      </w:r>
      <w:r>
        <w:rPr>
          <w:spacing w:val="2"/>
        </w:rPr>
        <w:t>）审议《关于聘请立信大华会计师事务所有限公司为公司</w:t>
      </w:r>
      <w:r>
        <w:rPr>
          <w:rFonts w:ascii="Times New Roman" w:hAnsi="Times New Roman" w:cs="Times New Roman" w:eastAsia="Times New Roman" w:hint="default"/>
          <w:spacing w:val="2"/>
        </w:rPr>
        <w:t>2011</w:t>
      </w:r>
      <w:r>
        <w:rPr>
          <w:spacing w:val="2"/>
        </w:rPr>
        <w:t>年度财务审计机构</w:t>
      </w:r>
      <w:r>
        <w:rPr>
          <w:spacing w:val="3"/>
        </w:rPr>
        <w:t> </w:t>
      </w:r>
      <w:r>
        <w:rPr/>
        <w:t>的议案》；</w:t>
      </w:r>
    </w:p>
    <w:p>
      <w:pPr>
        <w:pStyle w:val="BodyText"/>
        <w:spacing w:line="240" w:lineRule="auto" w:before="54"/>
        <w:ind w:left="634" w:right="103"/>
        <w:jc w:val="left"/>
      </w:pPr>
      <w:r>
        <w:rPr/>
        <w:t>（</w:t>
      </w:r>
      <w:r>
        <w:rPr>
          <w:rFonts w:ascii="Times New Roman" w:hAnsi="Times New Roman" w:cs="Times New Roman" w:eastAsia="Times New Roman" w:hint="default"/>
        </w:rPr>
        <w:t>8</w:t>
      </w:r>
      <w:r>
        <w:rPr/>
        <w:t>）审议《关于聘任公司审计部负责人的议案》；</w:t>
      </w:r>
    </w:p>
    <w:p>
      <w:pPr>
        <w:pStyle w:val="BodyText"/>
        <w:spacing w:line="240" w:lineRule="auto" w:before="134"/>
        <w:ind w:left="634" w:right="0"/>
        <w:jc w:val="left"/>
      </w:pPr>
      <w:r>
        <w:rPr/>
        <w:t>（</w:t>
      </w:r>
      <w:r>
        <w:rPr>
          <w:rFonts w:ascii="Times New Roman" w:hAnsi="Times New Roman" w:cs="Times New Roman" w:eastAsia="Times New Roman" w:hint="default"/>
        </w:rPr>
        <w:t>9</w:t>
      </w:r>
      <w:r>
        <w:rPr/>
        <w:t>）审议《关于公司与广州基准机械电子科技有限公司签订加工采购合同的议案》；</w:t>
      </w:r>
    </w:p>
    <w:p>
      <w:pPr>
        <w:pStyle w:val="BodyText"/>
        <w:spacing w:line="240" w:lineRule="auto" w:before="134"/>
        <w:ind w:left="633" w:right="103"/>
        <w:jc w:val="left"/>
      </w:pPr>
      <w:r>
        <w:rPr/>
        <w:t>（</w:t>
      </w:r>
      <w:r>
        <w:rPr>
          <w:rFonts w:ascii="Times New Roman" w:hAnsi="Times New Roman" w:cs="Times New Roman" w:eastAsia="Times New Roman" w:hint="default"/>
        </w:rPr>
        <w:t>10</w:t>
      </w:r>
      <w:r>
        <w:rPr/>
        <w:t>）审议《关于修订</w:t>
      </w:r>
      <w:r>
        <w:rPr>
          <w:rFonts w:ascii="Times New Roman" w:hAnsi="Times New Roman" w:cs="Times New Roman" w:eastAsia="Times New Roman" w:hint="default"/>
        </w:rPr>
        <w:t>&lt;</w:t>
      </w:r>
      <w:r>
        <w:rPr/>
        <w:t>股东大会议事规则</w:t>
      </w:r>
      <w:r>
        <w:rPr>
          <w:rFonts w:ascii="Times New Roman" w:hAnsi="Times New Roman" w:cs="Times New Roman" w:eastAsia="Times New Roman" w:hint="default"/>
        </w:rPr>
        <w:t>&gt;</w:t>
      </w:r>
      <w:r>
        <w:rPr/>
        <w:t>的议案》；</w:t>
      </w:r>
    </w:p>
    <w:p>
      <w:pPr>
        <w:pStyle w:val="BodyText"/>
        <w:spacing w:line="240" w:lineRule="auto" w:before="134"/>
        <w:ind w:left="633" w:right="103"/>
        <w:jc w:val="left"/>
      </w:pPr>
      <w:r>
        <w:rPr/>
        <w:t>（</w:t>
      </w:r>
      <w:r>
        <w:rPr>
          <w:rFonts w:ascii="Times New Roman" w:hAnsi="Times New Roman" w:cs="Times New Roman" w:eastAsia="Times New Roman" w:hint="default"/>
        </w:rPr>
        <w:t>11</w:t>
      </w:r>
      <w:r>
        <w:rPr/>
        <w:t>）审议《关于修订</w:t>
      </w:r>
      <w:r>
        <w:rPr>
          <w:rFonts w:ascii="Times New Roman" w:hAnsi="Times New Roman" w:cs="Times New Roman" w:eastAsia="Times New Roman" w:hint="default"/>
        </w:rPr>
        <w:t>&lt;</w:t>
      </w:r>
      <w:r>
        <w:rPr/>
        <w:t>公司章程</w:t>
      </w:r>
      <w:r>
        <w:rPr>
          <w:rFonts w:ascii="Times New Roman" w:hAnsi="Times New Roman" w:cs="Times New Roman" w:eastAsia="Times New Roman" w:hint="default"/>
        </w:rPr>
        <w:t>&gt;</w:t>
      </w:r>
      <w:r>
        <w:rPr/>
        <w:t>的议案》；</w:t>
      </w:r>
    </w:p>
    <w:p>
      <w:pPr>
        <w:pStyle w:val="BodyText"/>
        <w:spacing w:line="240" w:lineRule="auto" w:before="134"/>
        <w:ind w:left="633" w:right="103"/>
        <w:jc w:val="left"/>
      </w:pPr>
      <w:r>
        <w:rPr/>
        <w:t>（</w:t>
      </w:r>
      <w:r>
        <w:rPr>
          <w:rFonts w:ascii="Times New Roman" w:hAnsi="Times New Roman" w:cs="Times New Roman" w:eastAsia="Times New Roman" w:hint="default"/>
        </w:rPr>
        <w:t>12</w:t>
      </w:r>
      <w:r>
        <w:rPr/>
        <w:t>）审议《关于修订</w:t>
      </w:r>
      <w:r>
        <w:rPr>
          <w:rFonts w:ascii="Times New Roman" w:hAnsi="Times New Roman" w:cs="Times New Roman" w:eastAsia="Times New Roman" w:hint="default"/>
        </w:rPr>
        <w:t>&lt;</w:t>
      </w:r>
      <w:r>
        <w:rPr/>
        <w:t>募集资金专款使用管理细则</w:t>
      </w:r>
      <w:r>
        <w:rPr>
          <w:rFonts w:ascii="Times New Roman" w:hAnsi="Times New Roman" w:cs="Times New Roman" w:eastAsia="Times New Roman" w:hint="default"/>
        </w:rPr>
        <w:t>&gt;</w:t>
      </w:r>
      <w:r>
        <w:rPr/>
        <w:t>的议案》；</w:t>
      </w:r>
    </w:p>
    <w:p>
      <w:pPr>
        <w:pStyle w:val="BodyText"/>
        <w:spacing w:line="338" w:lineRule="auto" w:before="134"/>
        <w:ind w:left="633" w:right="103"/>
        <w:jc w:val="left"/>
      </w:pPr>
      <w:r>
        <w:rPr/>
        <w:t>（</w:t>
      </w:r>
      <w:r>
        <w:rPr>
          <w:rFonts w:ascii="Times New Roman" w:hAnsi="Times New Roman" w:cs="Times New Roman" w:eastAsia="Times New Roman" w:hint="default"/>
        </w:rPr>
        <w:t>13</w:t>
      </w:r>
      <w:r>
        <w:rPr/>
        <w:t>）审议《关于召开公司</w:t>
      </w:r>
      <w:r>
        <w:rPr>
          <w:rFonts w:ascii="Times New Roman" w:hAnsi="Times New Roman" w:cs="Times New Roman" w:eastAsia="Times New Roman" w:hint="default"/>
        </w:rPr>
        <w:t>2010</w:t>
      </w:r>
      <w:r>
        <w:rPr/>
        <w:t>年度股东大会的议案》。 </w:t>
      </w:r>
      <w:r>
        <w:rPr>
          <w:spacing w:val="2"/>
        </w:rPr>
        <w:t>第三届董事会第十六次会议决议公告刊登在</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2</w:t>
      </w:r>
      <w:r>
        <w:rPr>
          <w:spacing w:val="2"/>
        </w:rPr>
        <w:t>月</w:t>
      </w:r>
      <w:r>
        <w:rPr>
          <w:rFonts w:ascii="Times New Roman" w:hAnsi="Times New Roman" w:cs="Times New Roman" w:eastAsia="Times New Roman" w:hint="default"/>
          <w:spacing w:val="2"/>
        </w:rPr>
        <w:t>25</w:t>
      </w:r>
      <w:r>
        <w:rPr>
          <w:spacing w:val="2"/>
        </w:rPr>
        <w:t>日的《证券时报》和巨潮资</w:t>
      </w:r>
      <w:r>
        <w:rPr/>
      </w:r>
    </w:p>
    <w:p>
      <w:pPr>
        <w:pStyle w:val="BodyText"/>
        <w:spacing w:line="240" w:lineRule="auto" w:before="25"/>
        <w:ind w:left="154" w:right="103"/>
        <w:jc w:val="left"/>
      </w:pPr>
      <w:r>
        <w:rPr/>
        <w:t>讯网（</w:t>
      </w:r>
      <w:hyperlink r:id="rId11">
        <w:r>
          <w:rPr>
            <w:rFonts w:ascii="Times New Roman" w:hAnsi="Times New Roman" w:cs="Times New Roman" w:eastAsia="Times New Roman" w:hint="default"/>
          </w:rPr>
          <w:t>http://www.cninfo.com.cn/</w:t>
        </w:r>
      </w:hyperlink>
      <w:r>
        <w:rPr/>
        <w:t>）上。</w:t>
      </w:r>
    </w:p>
    <w:p>
      <w:pPr>
        <w:pStyle w:val="BodyText"/>
        <w:spacing w:line="338" w:lineRule="auto" w:before="134"/>
        <w:ind w:left="154" w:right="217" w:firstLine="540"/>
        <w:jc w:val="left"/>
      </w:pPr>
      <w:r>
        <w:rPr>
          <w:rFonts w:ascii="Times New Roman" w:hAnsi="Times New Roman" w:cs="Times New Roman" w:eastAsia="Times New Roman" w:hint="default"/>
        </w:rPr>
        <w:t>2</w:t>
      </w:r>
      <w:r>
        <w:rPr/>
        <w:t>、公司于</w:t>
      </w:r>
      <w:r>
        <w:rPr>
          <w:spacing w:val="-5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9"/>
        </w:rPr>
        <w:t> </w:t>
      </w:r>
      <w:r>
        <w:rPr/>
        <w:t>年</w:t>
      </w:r>
      <w:r>
        <w:rPr>
          <w:spacing w:val="-51"/>
        </w:rPr>
        <w:t> </w:t>
      </w:r>
      <w:r>
        <w:rPr>
          <w:rFonts w:ascii="Times New Roman" w:hAnsi="Times New Roman" w:cs="Times New Roman" w:eastAsia="Times New Roman" w:hint="default"/>
        </w:rPr>
        <w:t>3</w:t>
      </w:r>
      <w:r>
        <w:rPr>
          <w:rFonts w:ascii="Times New Roman" w:hAnsi="Times New Roman" w:cs="Times New Roman" w:eastAsia="Times New Roman" w:hint="default"/>
          <w:spacing w:val="8"/>
        </w:rPr>
        <w:t> </w:t>
      </w:r>
      <w:r>
        <w:rPr/>
        <w:t>月</w:t>
      </w:r>
      <w:r>
        <w:rPr>
          <w:spacing w:val="-51"/>
        </w:rPr>
        <w:t> </w:t>
      </w:r>
      <w:r>
        <w:rPr>
          <w:rFonts w:ascii="Times New Roman" w:hAnsi="Times New Roman" w:cs="Times New Roman" w:eastAsia="Times New Roman" w:hint="default"/>
        </w:rPr>
        <w:t>27</w:t>
      </w:r>
      <w:r>
        <w:rPr>
          <w:rFonts w:ascii="Times New Roman" w:hAnsi="Times New Roman" w:cs="Times New Roman" w:eastAsia="Times New Roman" w:hint="default"/>
          <w:spacing w:val="9"/>
        </w:rPr>
        <w:t> </w:t>
      </w:r>
      <w:r>
        <w:rPr/>
        <w:t>日召开了第三届董事会第十七次会议，会议审议并通过了 如下事项：</w:t>
      </w:r>
    </w:p>
    <w:p>
      <w:pPr>
        <w:pStyle w:val="BodyText"/>
        <w:spacing w:line="338" w:lineRule="auto" w:before="55"/>
        <w:ind w:left="154" w:right="103" w:firstLine="480"/>
        <w:jc w:val="left"/>
      </w:pPr>
      <w:r>
        <w:rPr>
          <w:spacing w:val="2"/>
        </w:rPr>
        <w:t>（</w:t>
      </w:r>
      <w:r>
        <w:rPr>
          <w:rFonts w:ascii="Times New Roman" w:hAnsi="Times New Roman" w:cs="Times New Roman" w:eastAsia="Times New Roman" w:hint="default"/>
          <w:spacing w:val="2"/>
        </w:rPr>
        <w:t>1</w:t>
      </w:r>
      <w:r>
        <w:rPr>
          <w:spacing w:val="2"/>
        </w:rPr>
        <w:t>）审议《关于同意广州御银科技股份有限公司及其子公司向中国工商银行股份有</w:t>
      </w:r>
      <w:r>
        <w:rPr>
          <w:spacing w:val="3"/>
        </w:rPr>
        <w:t> </w:t>
      </w:r>
      <w:r>
        <w:rPr/>
        <w:t>限公司广州工业大道支行办理最高不超过两亿元融资业务的议案》；</w:t>
      </w:r>
    </w:p>
    <w:p>
      <w:pPr>
        <w:pStyle w:val="BodyText"/>
        <w:spacing w:line="348" w:lineRule="auto" w:before="54"/>
        <w:ind w:left="154" w:right="221" w:firstLine="480"/>
        <w:jc w:val="both"/>
      </w:pPr>
      <w:r>
        <w:rPr>
          <w:spacing w:val="2"/>
        </w:rPr>
        <w:t>（</w:t>
      </w:r>
      <w:r>
        <w:rPr>
          <w:rFonts w:ascii="Times New Roman" w:hAnsi="Times New Roman" w:cs="Times New Roman" w:eastAsia="Times New Roman" w:hint="default"/>
          <w:spacing w:val="2"/>
        </w:rPr>
        <w:t>2</w:t>
      </w:r>
      <w:r>
        <w:rPr>
          <w:spacing w:val="2"/>
        </w:rPr>
        <w:t>）审议《关于同意广州御银科技股份有限公司为子公司御银科技（香港）有限公</w:t>
      </w:r>
      <w:r>
        <w:rPr>
          <w:spacing w:val="3"/>
        </w:rPr>
        <w:t> </w:t>
      </w:r>
      <w:r>
        <w:rPr>
          <w:spacing w:val="13"/>
        </w:rPr>
        <w:t>司在中国工商银行股份有限公司广州工业大道支行办理的银行融资业务提供担保的议</w:t>
      </w:r>
      <w:r>
        <w:rPr>
          <w:spacing w:val="13"/>
        </w:rPr>
        <w:t> </w:t>
      </w:r>
      <w:r>
        <w:rPr/>
        <w:t>案》；</w:t>
      </w:r>
    </w:p>
    <w:p>
      <w:pPr>
        <w:pStyle w:val="BodyText"/>
        <w:spacing w:line="240" w:lineRule="auto" w:before="44"/>
        <w:ind w:left="634" w:right="103"/>
        <w:jc w:val="left"/>
      </w:pPr>
      <w:r>
        <w:rPr>
          <w:spacing w:val="2"/>
        </w:rPr>
        <w:t>（</w:t>
      </w:r>
      <w:r>
        <w:rPr>
          <w:rFonts w:ascii="Times New Roman" w:hAnsi="Times New Roman" w:cs="Times New Roman" w:eastAsia="Times New Roman" w:hint="default"/>
          <w:spacing w:val="2"/>
        </w:rPr>
        <w:t>3</w:t>
      </w:r>
      <w:r>
        <w:rPr>
          <w:spacing w:val="2"/>
        </w:rPr>
        <w:t>）审议《关于同意广州御银科技股份有限公司为子公司御银科技（香港）有限公</w:t>
      </w:r>
      <w:r>
        <w:rPr/>
      </w:r>
    </w:p>
    <w:p>
      <w:pPr>
        <w:spacing w:after="0" w:line="240" w:lineRule="auto"/>
        <w:jc w:val="left"/>
        <w:sectPr>
          <w:pgSz w:w="11910" w:h="16840"/>
          <w:pgMar w:header="747" w:footer="984" w:top="980" w:bottom="1180" w:left="980" w:right="1180"/>
        </w:sectPr>
      </w:pPr>
    </w:p>
    <w:p>
      <w:pPr>
        <w:spacing w:line="240" w:lineRule="auto" w:before="7"/>
        <w:rPr>
          <w:rFonts w:ascii="宋体" w:hAnsi="宋体" w:cs="宋体" w:eastAsia="宋体" w:hint="default"/>
          <w:sz w:val="29"/>
          <w:szCs w:val="29"/>
        </w:rPr>
      </w:pPr>
    </w:p>
    <w:p>
      <w:pPr>
        <w:pStyle w:val="BodyText"/>
        <w:spacing w:line="357" w:lineRule="auto" w:before="26"/>
        <w:ind w:left="154" w:right="89"/>
        <w:jc w:val="left"/>
      </w:pPr>
      <w:r>
        <w:rPr>
          <w:spacing w:val="13"/>
        </w:rPr>
        <w:t>司在中国农业银行股份有限公司广东省分行营业部办理的银行融资业务提供担保的议 </w:t>
      </w:r>
      <w:r>
        <w:rPr/>
        <w:t>案》；</w:t>
      </w:r>
    </w:p>
    <w:p>
      <w:pPr>
        <w:pStyle w:val="BodyText"/>
        <w:spacing w:line="338" w:lineRule="auto" w:before="35"/>
        <w:ind w:left="633" w:right="89"/>
        <w:jc w:val="left"/>
      </w:pPr>
      <w:r>
        <w:rPr/>
        <w:t>（</w:t>
      </w:r>
      <w:r>
        <w:rPr>
          <w:rFonts w:ascii="Times New Roman" w:hAnsi="Times New Roman" w:cs="Times New Roman" w:eastAsia="Times New Roman" w:hint="default"/>
        </w:rPr>
        <w:t>4</w:t>
      </w:r>
      <w:r>
        <w:rPr/>
        <w:t>）审议《关于召开</w:t>
      </w:r>
      <w:r>
        <w:rPr>
          <w:rFonts w:ascii="Times New Roman" w:hAnsi="Times New Roman" w:cs="Times New Roman" w:eastAsia="Times New Roman" w:hint="default"/>
        </w:rPr>
        <w:t>2011</w:t>
      </w:r>
      <w:r>
        <w:rPr/>
        <w:t>年第一次临时股东大会的议案》。 </w:t>
      </w:r>
      <w:r>
        <w:rPr>
          <w:spacing w:val="2"/>
        </w:rPr>
        <w:t>第三届董事会第十七次会议决议公告刊登在</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29</w:t>
      </w:r>
      <w:r>
        <w:rPr>
          <w:spacing w:val="2"/>
        </w:rPr>
        <w:t>日的《证券时报》和巨潮资</w:t>
      </w:r>
      <w:r>
        <w:rPr/>
      </w:r>
    </w:p>
    <w:p>
      <w:pPr>
        <w:pStyle w:val="BodyText"/>
        <w:spacing w:line="240" w:lineRule="auto" w:before="25"/>
        <w:ind w:left="154" w:right="89"/>
        <w:jc w:val="left"/>
      </w:pPr>
      <w:r>
        <w:rPr/>
        <w:t>讯网（</w:t>
      </w:r>
      <w:hyperlink r:id="rId11">
        <w:r>
          <w:rPr>
            <w:rFonts w:ascii="Times New Roman" w:hAnsi="Times New Roman" w:cs="Times New Roman" w:eastAsia="Times New Roman" w:hint="default"/>
          </w:rPr>
          <w:t>http://www.cninfo.com.cn/</w:t>
        </w:r>
      </w:hyperlink>
      <w:r>
        <w:rPr/>
        <w:t>）上。</w:t>
      </w:r>
    </w:p>
    <w:p>
      <w:pPr>
        <w:pStyle w:val="BodyText"/>
        <w:spacing w:line="338" w:lineRule="auto" w:before="134"/>
        <w:ind w:left="154" w:right="89" w:firstLine="480"/>
        <w:jc w:val="left"/>
      </w:pPr>
      <w:r>
        <w:rPr>
          <w:rFonts w:ascii="Times New Roman" w:hAnsi="Times New Roman" w:cs="Times New Roman" w:eastAsia="Times New Roman" w:hint="default"/>
          <w:spacing w:val="-1"/>
        </w:rPr>
        <w:t>3</w:t>
      </w:r>
      <w:r>
        <w:rPr>
          <w:spacing w:val="-1"/>
        </w:rPr>
        <w:t>、公司于</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25</w:t>
      </w:r>
      <w:r>
        <w:rPr>
          <w:spacing w:val="-1"/>
        </w:rPr>
        <w:t>日召开了第三届董事会第十八次会议，会议审议并通过了《关 </w:t>
      </w:r>
      <w:r>
        <w:rPr/>
        <w:t>于御银股份</w:t>
      </w:r>
      <w:r>
        <w:rPr>
          <w:rFonts w:ascii="Times New Roman" w:hAnsi="Times New Roman" w:cs="Times New Roman" w:eastAsia="Times New Roman" w:hint="default"/>
        </w:rPr>
        <w:t>2011</w:t>
      </w:r>
      <w:r>
        <w:rPr/>
        <w:t>年第一季度报告的议案》。</w:t>
      </w:r>
    </w:p>
    <w:p>
      <w:pPr>
        <w:pStyle w:val="BodyText"/>
        <w:spacing w:line="338" w:lineRule="auto" w:before="25"/>
        <w:ind w:left="154" w:right="89" w:firstLine="480"/>
        <w:jc w:val="left"/>
      </w:pPr>
      <w:r>
        <w:rPr>
          <w:rFonts w:ascii="Times New Roman" w:hAnsi="Times New Roman" w:cs="Times New Roman" w:eastAsia="Times New Roman" w:hint="default"/>
          <w:spacing w:val="2"/>
        </w:rPr>
        <w:t>4</w:t>
      </w:r>
      <w:r>
        <w:rPr>
          <w:spacing w:val="2"/>
        </w:rPr>
        <w:t>、公司于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6</w:t>
      </w:r>
      <w:r>
        <w:rPr>
          <w:spacing w:val="2"/>
        </w:rPr>
        <w:t>日召开了第三届董事会第十九次会议，会议审议并通过了如下</w:t>
      </w:r>
      <w:r>
        <w:rPr>
          <w:spacing w:val="3"/>
        </w:rPr>
        <w:t> </w:t>
      </w:r>
      <w:r>
        <w:rPr/>
        <w:t>事项：</w:t>
      </w:r>
    </w:p>
    <w:p>
      <w:pPr>
        <w:pStyle w:val="BodyText"/>
        <w:spacing w:line="240" w:lineRule="auto" w:before="54"/>
        <w:ind w:left="634" w:right="89"/>
        <w:jc w:val="left"/>
      </w:pPr>
      <w:r>
        <w:rPr/>
        <w:t>（</w:t>
      </w:r>
      <w:r>
        <w:rPr>
          <w:rFonts w:ascii="Times New Roman" w:hAnsi="Times New Roman" w:cs="Times New Roman" w:eastAsia="Times New Roman" w:hint="default"/>
        </w:rPr>
        <w:t>1</w:t>
      </w:r>
      <w:r>
        <w:rPr/>
        <w:t>）审议《关于使用部分闲置募集资金暂时补充流动资金的议案》；</w:t>
      </w:r>
    </w:p>
    <w:p>
      <w:pPr>
        <w:pStyle w:val="BodyText"/>
        <w:spacing w:line="338" w:lineRule="auto" w:before="134"/>
        <w:ind w:left="634" w:right="90"/>
        <w:jc w:val="left"/>
      </w:pPr>
      <w:r>
        <w:rPr/>
        <w:t>（</w:t>
      </w:r>
      <w:r>
        <w:rPr>
          <w:rFonts w:ascii="Times New Roman" w:hAnsi="Times New Roman" w:cs="Times New Roman" w:eastAsia="Times New Roman" w:hint="default"/>
        </w:rPr>
        <w:t>2</w:t>
      </w:r>
      <w:r>
        <w:rPr/>
        <w:t>）审议《关于召开</w:t>
      </w:r>
      <w:r>
        <w:rPr>
          <w:rFonts w:ascii="Times New Roman" w:hAnsi="Times New Roman" w:cs="Times New Roman" w:eastAsia="Times New Roman" w:hint="default"/>
        </w:rPr>
        <w:t>2011</w:t>
      </w:r>
      <w:r>
        <w:rPr/>
        <w:t>年第二次临时股东大会的议案》。 第三届董事会第十九次会议决议公告刊登在</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7</w:t>
      </w:r>
      <w:r>
        <w:rPr/>
        <w:t>日的《证券时报》和巨潮资讯</w:t>
      </w:r>
    </w:p>
    <w:p>
      <w:pPr>
        <w:pStyle w:val="BodyText"/>
        <w:spacing w:line="240" w:lineRule="auto" w:before="25"/>
        <w:ind w:left="154" w:right="89"/>
        <w:jc w:val="left"/>
      </w:pPr>
      <w:r>
        <w:rPr/>
        <w:t>网（</w:t>
      </w:r>
      <w:hyperlink r:id="rId11">
        <w:r>
          <w:rPr>
            <w:rFonts w:ascii="Times New Roman" w:hAnsi="Times New Roman" w:cs="Times New Roman" w:eastAsia="Times New Roman" w:hint="default"/>
          </w:rPr>
          <w:t>http://www.cninfo.com.cn/</w:t>
        </w:r>
      </w:hyperlink>
      <w:r>
        <w:rPr/>
        <w:t>）上。</w:t>
      </w:r>
    </w:p>
    <w:p>
      <w:pPr>
        <w:pStyle w:val="BodyText"/>
        <w:spacing w:line="338" w:lineRule="auto" w:before="134"/>
        <w:ind w:left="154" w:right="89" w:firstLine="480"/>
        <w:jc w:val="left"/>
      </w:pPr>
      <w:r>
        <w:rPr>
          <w:rFonts w:ascii="Times New Roman" w:hAnsi="Times New Roman" w:cs="Times New Roman" w:eastAsia="Times New Roman" w:hint="default"/>
        </w:rPr>
        <w:t>5</w:t>
      </w:r>
      <w:r>
        <w:rPr/>
        <w:t>、公司于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30</w:t>
      </w:r>
      <w:r>
        <w:rPr/>
        <w:t>日召开了第三届董事会第二十次会议，会议审议并通过了如下 事项：</w:t>
      </w:r>
    </w:p>
    <w:p>
      <w:pPr>
        <w:pStyle w:val="BodyText"/>
        <w:spacing w:line="240" w:lineRule="auto" w:before="54"/>
        <w:ind w:left="634" w:right="89"/>
        <w:jc w:val="left"/>
      </w:pPr>
      <w:r>
        <w:rPr/>
        <w:t>（</w:t>
      </w:r>
      <w:r>
        <w:rPr>
          <w:rFonts w:ascii="Times New Roman" w:hAnsi="Times New Roman" w:cs="Times New Roman" w:eastAsia="Times New Roman" w:hint="default"/>
        </w:rPr>
        <w:t>1</w:t>
      </w:r>
      <w:r>
        <w:rPr/>
        <w:t>）审议《关于聘任王志杰先生为公司副总经理的议案》；</w:t>
      </w:r>
    </w:p>
    <w:p>
      <w:pPr>
        <w:pStyle w:val="BodyText"/>
        <w:spacing w:line="240" w:lineRule="auto" w:before="134"/>
        <w:ind w:left="634" w:right="89"/>
        <w:jc w:val="left"/>
      </w:pPr>
      <w:r>
        <w:rPr/>
        <w:t>（</w:t>
      </w:r>
      <w:r>
        <w:rPr>
          <w:rFonts w:ascii="Times New Roman" w:hAnsi="Times New Roman" w:cs="Times New Roman" w:eastAsia="Times New Roman" w:hint="default"/>
        </w:rPr>
        <w:t>2</w:t>
      </w:r>
      <w:r>
        <w:rPr/>
        <w:t>）审议《关于聘任高永坚先生为公司副总经理的议案》；</w:t>
      </w:r>
    </w:p>
    <w:p>
      <w:pPr>
        <w:pStyle w:val="BodyText"/>
        <w:spacing w:line="240" w:lineRule="auto" w:before="134"/>
        <w:ind w:left="634" w:right="89"/>
        <w:jc w:val="left"/>
      </w:pPr>
      <w:r>
        <w:rPr/>
        <w:t>（</w:t>
      </w:r>
      <w:r>
        <w:rPr>
          <w:rFonts w:ascii="Times New Roman" w:hAnsi="Times New Roman" w:cs="Times New Roman" w:eastAsia="Times New Roman" w:hint="default"/>
        </w:rPr>
        <w:t>3</w:t>
      </w:r>
      <w:r>
        <w:rPr/>
        <w:t>）审议《关于聘任谭骅先生为公司副总经理兼董事会秘书的议案》；</w:t>
      </w:r>
    </w:p>
    <w:p>
      <w:pPr>
        <w:pStyle w:val="BodyText"/>
        <w:spacing w:line="240" w:lineRule="auto" w:before="134"/>
        <w:ind w:left="634" w:right="89"/>
        <w:jc w:val="left"/>
      </w:pPr>
      <w:r>
        <w:rPr/>
        <w:t>（</w:t>
      </w:r>
      <w:r>
        <w:rPr>
          <w:rFonts w:ascii="Times New Roman" w:hAnsi="Times New Roman" w:cs="Times New Roman" w:eastAsia="Times New Roman" w:hint="default"/>
        </w:rPr>
        <w:t>4</w:t>
      </w:r>
      <w:r>
        <w:rPr/>
        <w:t>）审议《关于</w:t>
      </w:r>
      <w:r>
        <w:rPr>
          <w:rFonts w:ascii="Times New Roman" w:hAnsi="Times New Roman" w:cs="Times New Roman" w:eastAsia="Times New Roman" w:hint="default"/>
        </w:rPr>
        <w:t>&lt;</w:t>
      </w:r>
      <w:r>
        <w:rPr/>
        <w:t>股票期权激励计划（草案）修订稿</w:t>
      </w:r>
      <w:r>
        <w:rPr>
          <w:rFonts w:ascii="Times New Roman" w:hAnsi="Times New Roman" w:cs="Times New Roman" w:eastAsia="Times New Roman" w:hint="default"/>
        </w:rPr>
        <w:t>&gt;</w:t>
      </w:r>
      <w:r>
        <w:rPr/>
        <w:t>的议案》；</w:t>
      </w:r>
    </w:p>
    <w:p>
      <w:pPr>
        <w:pStyle w:val="BodyText"/>
        <w:spacing w:line="240" w:lineRule="auto" w:before="134"/>
        <w:ind w:left="633" w:right="89"/>
        <w:jc w:val="left"/>
      </w:pPr>
      <w:r>
        <w:rPr/>
        <w:t>（</w:t>
      </w:r>
      <w:r>
        <w:rPr>
          <w:rFonts w:ascii="Times New Roman" w:hAnsi="Times New Roman" w:cs="Times New Roman" w:eastAsia="Times New Roman" w:hint="default"/>
        </w:rPr>
        <w:t>5</w:t>
      </w:r>
      <w:r>
        <w:rPr/>
        <w:t>）审议《关于修订</w:t>
      </w:r>
      <w:r>
        <w:rPr>
          <w:rFonts w:ascii="Times New Roman" w:hAnsi="Times New Roman" w:cs="Times New Roman" w:eastAsia="Times New Roman" w:hint="default"/>
        </w:rPr>
        <w:t>&lt;</w:t>
      </w:r>
      <w:r>
        <w:rPr/>
        <w:t>股票期权激励计划实施考核办法</w:t>
      </w:r>
      <w:r>
        <w:rPr>
          <w:rFonts w:ascii="Times New Roman" w:hAnsi="Times New Roman" w:cs="Times New Roman" w:eastAsia="Times New Roman" w:hint="default"/>
        </w:rPr>
        <w:t>&gt;</w:t>
      </w:r>
      <w:r>
        <w:rPr/>
        <w:t>的议案》；</w:t>
      </w:r>
    </w:p>
    <w:p>
      <w:pPr>
        <w:pStyle w:val="BodyText"/>
        <w:spacing w:line="338" w:lineRule="auto" w:before="134"/>
        <w:ind w:left="633" w:right="89"/>
        <w:jc w:val="left"/>
      </w:pPr>
      <w:r>
        <w:rPr/>
        <w:t>（</w:t>
      </w:r>
      <w:r>
        <w:rPr>
          <w:rFonts w:ascii="Times New Roman" w:hAnsi="Times New Roman" w:cs="Times New Roman" w:eastAsia="Times New Roman" w:hint="default"/>
        </w:rPr>
        <w:t>6</w:t>
      </w:r>
      <w:r>
        <w:rPr/>
        <w:t>）审议《关于召开</w:t>
      </w:r>
      <w:r>
        <w:rPr>
          <w:rFonts w:ascii="Times New Roman" w:hAnsi="Times New Roman" w:cs="Times New Roman" w:eastAsia="Times New Roman" w:hint="default"/>
        </w:rPr>
        <w:t>2011</w:t>
      </w:r>
      <w:r>
        <w:rPr/>
        <w:t>年第三次临时股东大会的议案》。 </w:t>
      </w:r>
      <w:r>
        <w:rPr>
          <w:spacing w:val="2"/>
        </w:rPr>
        <w:t>第三届董事会第二十次会议决议公告刊登在</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31</w:t>
      </w:r>
      <w:r>
        <w:rPr>
          <w:spacing w:val="2"/>
        </w:rPr>
        <w:t>日的《证券时报》和巨潮资</w:t>
      </w:r>
      <w:r>
        <w:rPr/>
      </w:r>
    </w:p>
    <w:p>
      <w:pPr>
        <w:pStyle w:val="BodyText"/>
        <w:spacing w:line="240" w:lineRule="auto" w:before="25"/>
        <w:ind w:left="154" w:right="89"/>
        <w:jc w:val="left"/>
      </w:pPr>
      <w:r>
        <w:rPr/>
        <w:t>讯网（</w:t>
      </w:r>
      <w:hyperlink r:id="rId11">
        <w:r>
          <w:rPr>
            <w:rFonts w:ascii="Times New Roman" w:hAnsi="Times New Roman" w:cs="Times New Roman" w:eastAsia="Times New Roman" w:hint="default"/>
          </w:rPr>
          <w:t>http://www.cninfo.com.cn/</w:t>
        </w:r>
      </w:hyperlink>
      <w:r>
        <w:rPr/>
        <w:t>）上。</w:t>
      </w:r>
    </w:p>
    <w:p>
      <w:pPr>
        <w:pStyle w:val="BodyText"/>
        <w:spacing w:line="338" w:lineRule="auto" w:before="134"/>
        <w:ind w:left="154" w:right="102" w:firstLine="480"/>
        <w:jc w:val="left"/>
      </w:pPr>
      <w:r>
        <w:rPr>
          <w:rFonts w:ascii="Times New Roman" w:hAnsi="Times New Roman" w:cs="Times New Roman" w:eastAsia="Times New Roman" w:hint="default"/>
          <w:spacing w:val="-6"/>
        </w:rPr>
        <w:t>6</w:t>
      </w:r>
      <w:r>
        <w:rPr>
          <w:spacing w:val="-6"/>
        </w:rPr>
        <w:t>、公司于</w:t>
      </w:r>
      <w:r>
        <w:rPr>
          <w:rFonts w:ascii="Times New Roman" w:hAnsi="Times New Roman" w:cs="Times New Roman" w:eastAsia="Times New Roman" w:hint="default"/>
          <w:spacing w:val="-6"/>
        </w:rPr>
        <w:t>2011</w:t>
      </w:r>
      <w:r>
        <w:rPr>
          <w:spacing w:val="-6"/>
        </w:rPr>
        <w:t>年</w:t>
      </w:r>
      <w:r>
        <w:rPr>
          <w:rFonts w:ascii="Times New Roman" w:hAnsi="Times New Roman" w:cs="Times New Roman" w:eastAsia="Times New Roman" w:hint="default"/>
          <w:spacing w:val="-6"/>
        </w:rPr>
        <w:t>6</w:t>
      </w:r>
      <w:r>
        <w:rPr>
          <w:spacing w:val="-6"/>
        </w:rPr>
        <w:t>月</w:t>
      </w:r>
      <w:r>
        <w:rPr>
          <w:rFonts w:ascii="Times New Roman" w:hAnsi="Times New Roman" w:cs="Times New Roman" w:eastAsia="Times New Roman" w:hint="default"/>
          <w:spacing w:val="-6"/>
        </w:rPr>
        <w:t>15</w:t>
      </w:r>
      <w:r>
        <w:rPr>
          <w:spacing w:val="-6"/>
        </w:rPr>
        <w:t>日召开了第三届董事会第二十一次会议，会议审议并通过了《关</w:t>
      </w:r>
      <w:r>
        <w:rPr/>
        <w:t> 于确定公司股票期权激励计划首次授予日的议案》。</w:t>
      </w:r>
    </w:p>
    <w:p>
      <w:pPr>
        <w:pStyle w:val="BodyText"/>
        <w:spacing w:line="338" w:lineRule="auto" w:before="54"/>
        <w:ind w:left="154" w:right="89" w:firstLine="480"/>
        <w:jc w:val="left"/>
      </w:pPr>
      <w:r>
        <w:rPr>
          <w:spacing w:val="2"/>
        </w:rPr>
        <w:t>第三届董事会第二十一次会议决议公告刊登在</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16</w:t>
      </w:r>
      <w:r>
        <w:rPr>
          <w:spacing w:val="2"/>
        </w:rPr>
        <w:t>日的《证券时报》和巨潮</w:t>
      </w:r>
      <w:r>
        <w:rPr>
          <w:spacing w:val="3"/>
        </w:rPr>
        <w:t> </w:t>
      </w:r>
      <w:r>
        <w:rPr/>
        <w:t>资讯网（</w:t>
      </w:r>
      <w:hyperlink r:id="rId11">
        <w:r>
          <w:rPr>
            <w:rFonts w:ascii="Times New Roman" w:hAnsi="Times New Roman" w:cs="Times New Roman" w:eastAsia="Times New Roman" w:hint="default"/>
          </w:rPr>
          <w:t>http://www.cninfo.com.cn/</w:t>
        </w:r>
      </w:hyperlink>
      <w:r>
        <w:rPr/>
        <w:t>）上。</w:t>
      </w:r>
    </w:p>
    <w:p>
      <w:pPr>
        <w:pStyle w:val="BodyText"/>
        <w:spacing w:line="338" w:lineRule="auto" w:before="25"/>
        <w:ind w:left="154" w:right="89" w:firstLine="480"/>
        <w:jc w:val="left"/>
      </w:pPr>
      <w:r>
        <w:rPr>
          <w:rFonts w:ascii="Times New Roman" w:hAnsi="Times New Roman" w:cs="Times New Roman" w:eastAsia="Times New Roman" w:hint="default"/>
        </w:rPr>
        <w:t>7</w:t>
      </w:r>
      <w:r>
        <w:rPr/>
        <w:t>、公司于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12</w:t>
      </w:r>
      <w:r>
        <w:rPr/>
        <w:t>日召开了第三届董事会第二十二次会议，会议审议并通过了如 下议案：</w:t>
      </w:r>
    </w:p>
    <w:p>
      <w:pPr>
        <w:pStyle w:val="BodyText"/>
        <w:spacing w:line="240" w:lineRule="auto" w:before="54"/>
        <w:ind w:left="634" w:right="89"/>
        <w:jc w:val="left"/>
      </w:pPr>
      <w:r>
        <w:rPr/>
        <w:t>（</w:t>
      </w:r>
      <w:r>
        <w:rPr>
          <w:rFonts w:ascii="Times New Roman" w:hAnsi="Times New Roman" w:cs="Times New Roman" w:eastAsia="Times New Roman" w:hint="default"/>
        </w:rPr>
        <w:t>1</w:t>
      </w:r>
      <w:r>
        <w:rPr/>
        <w:t>）审议《关于参与发行</w:t>
      </w:r>
      <w:r>
        <w:rPr>
          <w:rFonts w:ascii="Times New Roman" w:hAnsi="Times New Roman" w:cs="Times New Roman" w:eastAsia="Times New Roman" w:hint="default"/>
        </w:rPr>
        <w:t>2011</w:t>
      </w:r>
      <w:r>
        <w:rPr/>
        <w:t>年招商银行第一期中小企业集合中期票据的议案》；</w:t>
      </w:r>
    </w:p>
    <w:p>
      <w:pPr>
        <w:spacing w:after="0" w:line="240" w:lineRule="auto"/>
        <w:jc w:val="left"/>
        <w:sectPr>
          <w:pgSz w:w="11910" w:h="16840"/>
          <w:pgMar w:header="747" w:footer="984" w:top="980" w:bottom="1180" w:left="980" w:right="1300"/>
        </w:sectPr>
      </w:pPr>
    </w:p>
    <w:p>
      <w:pPr>
        <w:spacing w:line="240" w:lineRule="auto" w:before="7"/>
        <w:rPr>
          <w:rFonts w:ascii="宋体" w:hAnsi="宋体" w:cs="宋体" w:eastAsia="宋体" w:hint="default"/>
          <w:sz w:val="29"/>
          <w:szCs w:val="29"/>
        </w:rPr>
      </w:pPr>
    </w:p>
    <w:p>
      <w:pPr>
        <w:pStyle w:val="BodyText"/>
        <w:spacing w:line="338" w:lineRule="auto" w:before="26"/>
        <w:ind w:left="633" w:right="89"/>
        <w:jc w:val="left"/>
      </w:pPr>
      <w:r>
        <w:rPr/>
        <w:t>（</w:t>
      </w:r>
      <w:r>
        <w:rPr>
          <w:rFonts w:ascii="Times New Roman" w:hAnsi="Times New Roman" w:cs="Times New Roman" w:eastAsia="Times New Roman" w:hint="default"/>
        </w:rPr>
        <w:t>2</w:t>
      </w:r>
      <w:r>
        <w:rPr/>
        <w:t>）审议《关于提请召开</w:t>
      </w:r>
      <w:r>
        <w:rPr>
          <w:rFonts w:ascii="Times New Roman" w:hAnsi="Times New Roman" w:cs="Times New Roman" w:eastAsia="Times New Roman" w:hint="default"/>
        </w:rPr>
        <w:t>2011</w:t>
      </w:r>
      <w:r>
        <w:rPr/>
        <w:t>年第四次临时股东大会的议案》。 </w:t>
      </w:r>
      <w:r>
        <w:rPr>
          <w:spacing w:val="2"/>
        </w:rPr>
        <w:t>第三届董事会第二十二次会议决议公告刊登在</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13</w:t>
      </w:r>
      <w:r>
        <w:rPr>
          <w:spacing w:val="2"/>
        </w:rPr>
        <w:t>日的《证券时报》和巨潮</w:t>
      </w:r>
      <w:r>
        <w:rPr/>
      </w:r>
    </w:p>
    <w:p>
      <w:pPr>
        <w:pStyle w:val="BodyText"/>
        <w:spacing w:line="240" w:lineRule="auto" w:before="25"/>
        <w:ind w:left="153" w:right="89"/>
        <w:jc w:val="left"/>
      </w:pPr>
      <w:r>
        <w:rPr/>
        <w:t>资讯网（</w:t>
      </w:r>
      <w:hyperlink r:id="rId11">
        <w:r>
          <w:rPr>
            <w:rFonts w:ascii="Times New Roman" w:hAnsi="Times New Roman" w:cs="Times New Roman" w:eastAsia="Times New Roman" w:hint="default"/>
          </w:rPr>
          <w:t>http://www.cninfo.com.cn/</w:t>
        </w:r>
      </w:hyperlink>
      <w:r>
        <w:rPr/>
        <w:t>）上。</w:t>
      </w:r>
    </w:p>
    <w:p>
      <w:pPr>
        <w:pStyle w:val="BodyText"/>
        <w:spacing w:line="338" w:lineRule="auto" w:before="134"/>
        <w:ind w:left="153" w:right="89" w:firstLine="480"/>
        <w:jc w:val="left"/>
      </w:pPr>
      <w:r>
        <w:rPr>
          <w:rFonts w:ascii="Times New Roman" w:hAnsi="Times New Roman" w:cs="Times New Roman" w:eastAsia="Times New Roman" w:hint="default"/>
        </w:rPr>
        <w:t>8</w:t>
      </w:r>
      <w:r>
        <w:rPr/>
        <w:t>、公司于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28</w:t>
      </w:r>
      <w:r>
        <w:rPr/>
        <w:t>日召开了第三届董事会第二十三次会议，会议审议并通过了如 下议案：</w:t>
      </w:r>
    </w:p>
    <w:p>
      <w:pPr>
        <w:pStyle w:val="BodyText"/>
        <w:spacing w:line="240" w:lineRule="auto" w:before="54"/>
        <w:ind w:left="633" w:right="89"/>
        <w:jc w:val="left"/>
      </w:pPr>
      <w:r>
        <w:rPr/>
        <w:t>（</w:t>
      </w:r>
      <w:r>
        <w:rPr>
          <w:rFonts w:ascii="Times New Roman" w:hAnsi="Times New Roman" w:cs="Times New Roman" w:eastAsia="Times New Roman" w:hint="default"/>
        </w:rPr>
        <w:t>1</w:t>
      </w:r>
      <w:r>
        <w:rPr/>
        <w:t>）审议《关于</w:t>
      </w:r>
      <w:r>
        <w:rPr>
          <w:rFonts w:ascii="Times New Roman" w:hAnsi="Times New Roman" w:cs="Times New Roman" w:eastAsia="Times New Roman" w:hint="default"/>
        </w:rPr>
        <w:t>2011</w:t>
      </w:r>
      <w:r>
        <w:rPr/>
        <w:t>年半年度报告及其摘要的议案》；</w:t>
      </w:r>
    </w:p>
    <w:p>
      <w:pPr>
        <w:pStyle w:val="BodyText"/>
        <w:spacing w:line="240" w:lineRule="auto" w:before="134"/>
        <w:ind w:left="633" w:right="89"/>
        <w:jc w:val="left"/>
      </w:pPr>
      <w:r>
        <w:rPr/>
        <w:t>（</w:t>
      </w:r>
      <w:r>
        <w:rPr>
          <w:rFonts w:ascii="Times New Roman" w:hAnsi="Times New Roman" w:cs="Times New Roman" w:eastAsia="Times New Roman" w:hint="default"/>
        </w:rPr>
        <w:t>2</w:t>
      </w:r>
      <w:r>
        <w:rPr/>
        <w:t>）审议《关于加强财务管理信息系统建设的实施方案的议案》；</w:t>
      </w:r>
    </w:p>
    <w:p>
      <w:pPr>
        <w:pStyle w:val="BodyText"/>
        <w:spacing w:line="240" w:lineRule="auto" w:before="134"/>
        <w:ind w:left="633" w:right="89"/>
        <w:jc w:val="left"/>
      </w:pPr>
      <w:r>
        <w:rPr/>
        <w:t>（</w:t>
      </w:r>
      <w:r>
        <w:rPr>
          <w:rFonts w:ascii="Times New Roman" w:hAnsi="Times New Roman" w:cs="Times New Roman" w:eastAsia="Times New Roman" w:hint="default"/>
        </w:rPr>
        <w:t>3</w:t>
      </w:r>
      <w:r>
        <w:rPr/>
        <w:t>）审议《关于投资入股广东花都稠州村镇银行股份有限公司的议案》；</w:t>
      </w:r>
    </w:p>
    <w:p>
      <w:pPr>
        <w:pStyle w:val="BodyText"/>
        <w:spacing w:line="338" w:lineRule="auto"/>
        <w:ind w:left="633" w:right="89"/>
        <w:jc w:val="left"/>
      </w:pPr>
      <w:r>
        <w:rPr/>
        <w:t>（</w:t>
      </w:r>
      <w:r>
        <w:rPr>
          <w:rFonts w:ascii="Times New Roman" w:hAnsi="Times New Roman" w:cs="Times New Roman" w:eastAsia="Times New Roman" w:hint="default"/>
        </w:rPr>
        <w:t>4</w:t>
      </w:r>
      <w:r>
        <w:rPr/>
        <w:t>）审议《关于受让广州天河软件园高唐新建区土地使用权的议案》。 </w:t>
      </w:r>
      <w:r>
        <w:rPr>
          <w:spacing w:val="2"/>
        </w:rPr>
        <w:t>第三届董事会第二十三次会议决议公告刊登在</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29</w:t>
      </w:r>
      <w:r>
        <w:rPr>
          <w:spacing w:val="2"/>
        </w:rPr>
        <w:t>日的《证券时报》和巨潮</w:t>
      </w:r>
      <w:r>
        <w:rPr/>
      </w:r>
    </w:p>
    <w:p>
      <w:pPr>
        <w:pStyle w:val="BodyText"/>
        <w:spacing w:line="240" w:lineRule="auto" w:before="25"/>
        <w:ind w:left="153" w:right="89"/>
        <w:jc w:val="left"/>
      </w:pPr>
      <w:r>
        <w:rPr/>
        <w:t>资讯网（</w:t>
      </w:r>
      <w:hyperlink r:id="rId11">
        <w:r>
          <w:rPr>
            <w:rFonts w:ascii="Times New Roman" w:hAnsi="Times New Roman" w:cs="Times New Roman" w:eastAsia="Times New Roman" w:hint="default"/>
          </w:rPr>
          <w:t>http://www.cninfo.com.cn/</w:t>
        </w:r>
      </w:hyperlink>
      <w:r>
        <w:rPr/>
        <w:t>）上。</w:t>
      </w:r>
    </w:p>
    <w:p>
      <w:pPr>
        <w:pStyle w:val="BodyText"/>
        <w:spacing w:line="338" w:lineRule="auto" w:before="134"/>
        <w:ind w:left="154" w:right="89" w:firstLine="480"/>
        <w:jc w:val="left"/>
      </w:pPr>
      <w:r>
        <w:rPr>
          <w:rFonts w:ascii="Times New Roman" w:hAnsi="Times New Roman" w:cs="Times New Roman" w:eastAsia="Times New Roman" w:hint="default"/>
          <w:spacing w:val="2"/>
        </w:rPr>
        <w:t>9</w:t>
      </w:r>
      <w:r>
        <w:rPr>
          <w:spacing w:val="2"/>
        </w:rPr>
        <w:t>、公司于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9</w:t>
      </w:r>
      <w:r>
        <w:rPr>
          <w:spacing w:val="2"/>
        </w:rPr>
        <w:t>月</w:t>
      </w:r>
      <w:r>
        <w:rPr>
          <w:rFonts w:ascii="Times New Roman" w:hAnsi="Times New Roman" w:cs="Times New Roman" w:eastAsia="Times New Roman" w:hint="default"/>
          <w:spacing w:val="2"/>
        </w:rPr>
        <w:t>7</w:t>
      </w:r>
      <w:r>
        <w:rPr>
          <w:spacing w:val="2"/>
        </w:rPr>
        <w:t>日召开了第三届董事会第二十四次会议，会议审议并通过了如</w:t>
      </w:r>
      <w:r>
        <w:rPr>
          <w:spacing w:val="3"/>
        </w:rPr>
        <w:t> </w:t>
      </w:r>
      <w:r>
        <w:rPr/>
        <w:t>下议案：</w:t>
      </w:r>
    </w:p>
    <w:p>
      <w:pPr>
        <w:pStyle w:val="BodyText"/>
        <w:spacing w:line="240" w:lineRule="auto" w:before="54"/>
        <w:ind w:left="634" w:right="89"/>
        <w:jc w:val="left"/>
      </w:pPr>
      <w:r>
        <w:rPr/>
        <w:t>（</w:t>
      </w:r>
      <w:r>
        <w:rPr>
          <w:rFonts w:ascii="Times New Roman" w:hAnsi="Times New Roman" w:cs="Times New Roman" w:eastAsia="Times New Roman" w:hint="default"/>
        </w:rPr>
        <w:t>1</w:t>
      </w:r>
      <w:r>
        <w:rPr/>
        <w:t>）审议《关于中小企业板上市公司内控规则落实自查表的议案》；</w:t>
      </w:r>
    </w:p>
    <w:p>
      <w:pPr>
        <w:pStyle w:val="BodyText"/>
        <w:spacing w:line="240" w:lineRule="auto" w:before="134"/>
        <w:ind w:left="634" w:right="89"/>
        <w:jc w:val="left"/>
      </w:pPr>
      <w:r>
        <w:rPr/>
        <w:t>（</w:t>
      </w:r>
      <w:r>
        <w:rPr>
          <w:rFonts w:ascii="Times New Roman" w:hAnsi="Times New Roman" w:cs="Times New Roman" w:eastAsia="Times New Roman" w:hint="default"/>
        </w:rPr>
        <w:t>2</w:t>
      </w:r>
      <w:r>
        <w:rPr/>
        <w:t>）审议《关于内控规则的整改计划的议案》；</w:t>
      </w:r>
    </w:p>
    <w:p>
      <w:pPr>
        <w:pStyle w:val="BodyText"/>
        <w:spacing w:line="338" w:lineRule="auto" w:before="134"/>
        <w:ind w:left="633" w:right="91"/>
        <w:jc w:val="left"/>
      </w:pPr>
      <w:r>
        <w:rPr/>
        <w:t>（</w:t>
      </w:r>
      <w:r>
        <w:rPr>
          <w:rFonts w:ascii="Times New Roman" w:hAnsi="Times New Roman" w:cs="Times New Roman" w:eastAsia="Times New Roman" w:hint="default"/>
        </w:rPr>
        <w:t>3</w:t>
      </w:r>
      <w:r>
        <w:rPr/>
        <w:t>）审议《关于修订</w:t>
      </w:r>
      <w:r>
        <w:rPr>
          <w:rFonts w:ascii="Times New Roman" w:hAnsi="Times New Roman" w:cs="Times New Roman" w:eastAsia="Times New Roman" w:hint="default"/>
        </w:rPr>
        <w:t>&lt;</w:t>
      </w:r>
      <w:r>
        <w:rPr/>
        <w:t>投资者关系管理制度〉的议案》。 第三届董事会第二十四次会议决议公告刊登在</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8</w:t>
      </w:r>
      <w:r>
        <w:rPr/>
        <w:t>日的《证券时报》和巨潮资</w:t>
      </w:r>
    </w:p>
    <w:p>
      <w:pPr>
        <w:pStyle w:val="BodyText"/>
        <w:spacing w:line="240" w:lineRule="auto" w:before="25"/>
        <w:ind w:left="153" w:right="89"/>
        <w:jc w:val="left"/>
      </w:pPr>
      <w:r>
        <w:rPr/>
        <w:t>讯网（</w:t>
      </w:r>
      <w:hyperlink r:id="rId11">
        <w:r>
          <w:rPr>
            <w:rFonts w:ascii="Times New Roman" w:hAnsi="Times New Roman" w:cs="Times New Roman" w:eastAsia="Times New Roman" w:hint="default"/>
          </w:rPr>
          <w:t>http://www.cninfo.com.cn/</w:t>
        </w:r>
      </w:hyperlink>
      <w:r>
        <w:rPr/>
        <w:t>）上。</w:t>
      </w:r>
    </w:p>
    <w:p>
      <w:pPr>
        <w:pStyle w:val="BodyText"/>
        <w:spacing w:line="240" w:lineRule="auto" w:before="134"/>
        <w:ind w:left="634" w:right="0"/>
        <w:jc w:val="left"/>
      </w:pPr>
      <w:r>
        <w:rPr>
          <w:rFonts w:ascii="Times New Roman" w:hAnsi="Times New Roman" w:cs="Times New Roman" w:eastAsia="Times New Roman" w:hint="default"/>
        </w:rPr>
        <w:t>10</w:t>
      </w:r>
      <w:r>
        <w:rPr/>
        <w:t>、公司于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13</w:t>
      </w:r>
      <w:r>
        <w:rPr/>
        <w:t>日召开了第三届董事会第二十五次会议，会议审议并通过了</w:t>
      </w:r>
    </w:p>
    <w:p>
      <w:pPr>
        <w:pStyle w:val="BodyText"/>
        <w:spacing w:line="240" w:lineRule="auto" w:before="134"/>
        <w:ind w:left="154" w:right="89"/>
        <w:jc w:val="left"/>
      </w:pPr>
      <w:r>
        <w:rPr/>
        <w:t>《关于御银股份</w:t>
      </w:r>
      <w:r>
        <w:rPr>
          <w:rFonts w:ascii="Times New Roman" w:hAnsi="Times New Roman" w:cs="Times New Roman" w:eastAsia="Times New Roman" w:hint="default"/>
        </w:rPr>
        <w:t>2011</w:t>
      </w:r>
      <w:r>
        <w:rPr/>
        <w:t>年第三季度报告的议案》。</w:t>
      </w:r>
    </w:p>
    <w:p>
      <w:pPr>
        <w:pStyle w:val="BodyText"/>
        <w:spacing w:line="338" w:lineRule="auto" w:before="134"/>
        <w:ind w:left="154" w:right="89" w:firstLine="480"/>
        <w:jc w:val="left"/>
      </w:pPr>
      <w:r>
        <w:rPr>
          <w:rFonts w:ascii="Times New Roman" w:hAnsi="Times New Roman" w:cs="Times New Roman" w:eastAsia="Times New Roman" w:hint="default"/>
          <w:spacing w:val="2"/>
        </w:rPr>
        <w:t>11</w:t>
      </w:r>
      <w:r>
        <w:rPr>
          <w:spacing w:val="2"/>
        </w:rPr>
        <w:t>、公司于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2</w:t>
      </w:r>
      <w:r>
        <w:rPr>
          <w:spacing w:val="2"/>
        </w:rPr>
        <w:t>日召开了第三届董事会第二十六次会议，会议审议并通过了</w:t>
      </w:r>
      <w:r>
        <w:rPr>
          <w:spacing w:val="3"/>
        </w:rPr>
        <w:t> </w:t>
      </w:r>
      <w:r>
        <w:rPr/>
        <w:t>如下议案：</w:t>
      </w:r>
    </w:p>
    <w:p>
      <w:pPr>
        <w:pStyle w:val="BodyText"/>
        <w:spacing w:line="240" w:lineRule="auto" w:before="54"/>
        <w:ind w:left="634" w:right="89"/>
        <w:jc w:val="left"/>
      </w:pPr>
      <w:r>
        <w:rPr/>
        <w:t>（</w:t>
      </w:r>
      <w:r>
        <w:rPr>
          <w:rFonts w:ascii="Times New Roman" w:hAnsi="Times New Roman" w:cs="Times New Roman" w:eastAsia="Times New Roman" w:hint="default"/>
        </w:rPr>
        <w:t>1</w:t>
      </w:r>
      <w:r>
        <w:rPr/>
        <w:t>）审议《关于使用部分闲置募集资金暂时补充流动资金的议案》；</w:t>
      </w:r>
    </w:p>
    <w:p>
      <w:pPr>
        <w:pStyle w:val="BodyText"/>
        <w:spacing w:line="338" w:lineRule="auto" w:before="134"/>
        <w:ind w:left="154" w:right="89" w:firstLine="480"/>
        <w:jc w:val="left"/>
      </w:pPr>
      <w:r>
        <w:rPr>
          <w:spacing w:val="2"/>
        </w:rPr>
        <w:t>（</w:t>
      </w:r>
      <w:r>
        <w:rPr>
          <w:rFonts w:ascii="Times New Roman" w:hAnsi="Times New Roman" w:cs="Times New Roman" w:eastAsia="Times New Roman" w:hint="default"/>
          <w:spacing w:val="2"/>
        </w:rPr>
        <w:t>2</w:t>
      </w:r>
      <w:r>
        <w:rPr>
          <w:spacing w:val="2"/>
        </w:rPr>
        <w:t>）审议《关于公司向中国银行股份有限公司广州天河支行申请综合授信额度的议</w:t>
      </w:r>
      <w:r>
        <w:rPr>
          <w:spacing w:val="3"/>
        </w:rPr>
        <w:t> </w:t>
      </w:r>
      <w:r>
        <w:rPr/>
        <w:t>案》；</w:t>
      </w:r>
    </w:p>
    <w:p>
      <w:pPr>
        <w:pStyle w:val="BodyText"/>
        <w:spacing w:line="240" w:lineRule="auto" w:before="54"/>
        <w:ind w:left="634" w:right="89"/>
        <w:jc w:val="left"/>
      </w:pPr>
      <w:r>
        <w:rPr/>
        <w:t>（</w:t>
      </w:r>
      <w:r>
        <w:rPr>
          <w:rFonts w:ascii="Times New Roman" w:hAnsi="Times New Roman" w:cs="Times New Roman" w:eastAsia="Times New Roman" w:hint="default"/>
        </w:rPr>
        <w:t>3</w:t>
      </w:r>
      <w:r>
        <w:rPr/>
        <w:t>）审议《关于修订</w:t>
      </w:r>
      <w:r>
        <w:rPr>
          <w:rFonts w:ascii="Times New Roman" w:hAnsi="Times New Roman" w:cs="Times New Roman" w:eastAsia="Times New Roman" w:hint="default"/>
        </w:rPr>
        <w:t>&lt;</w:t>
      </w:r>
      <w:r>
        <w:rPr/>
        <w:t>公司章程</w:t>
      </w:r>
      <w:r>
        <w:rPr>
          <w:rFonts w:ascii="Times New Roman" w:hAnsi="Times New Roman" w:cs="Times New Roman" w:eastAsia="Times New Roman" w:hint="default"/>
        </w:rPr>
        <w:t>&gt;  </w:t>
      </w:r>
      <w:r>
        <w:rPr/>
        <w:t>的议案》；</w:t>
      </w:r>
    </w:p>
    <w:p>
      <w:pPr>
        <w:pStyle w:val="BodyText"/>
        <w:spacing w:line="338" w:lineRule="auto" w:before="134"/>
        <w:ind w:left="634" w:right="89"/>
        <w:jc w:val="left"/>
      </w:pPr>
      <w:r>
        <w:rPr/>
        <w:t>（</w:t>
      </w:r>
      <w:r>
        <w:rPr>
          <w:rFonts w:ascii="Times New Roman" w:hAnsi="Times New Roman" w:cs="Times New Roman" w:eastAsia="Times New Roman" w:hint="default"/>
        </w:rPr>
        <w:t>4</w:t>
      </w:r>
      <w:r>
        <w:rPr/>
        <w:t>）审议《关于召开</w:t>
      </w:r>
      <w:r>
        <w:rPr>
          <w:rFonts w:ascii="Times New Roman" w:hAnsi="Times New Roman" w:cs="Times New Roman" w:eastAsia="Times New Roman" w:hint="default"/>
        </w:rPr>
        <w:t>2011</w:t>
      </w:r>
      <w:r>
        <w:rPr/>
        <w:t>年第五次临时股东大会的议案》。 </w:t>
      </w:r>
      <w:r>
        <w:rPr>
          <w:spacing w:val="2"/>
        </w:rPr>
        <w:t>第三届董事会第二十六次会议决议公告刊登在</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3</w:t>
      </w:r>
      <w:r>
        <w:rPr>
          <w:spacing w:val="2"/>
        </w:rPr>
        <w:t>日的《证券时报》、《中</w:t>
      </w:r>
      <w:r>
        <w:rPr/>
      </w:r>
    </w:p>
    <w:p>
      <w:pPr>
        <w:pStyle w:val="BodyText"/>
        <w:spacing w:line="240" w:lineRule="auto" w:before="25"/>
        <w:ind w:left="154" w:right="89"/>
        <w:jc w:val="left"/>
      </w:pPr>
      <w:r>
        <w:rPr/>
        <w:t>国证券报》、《上海证券报》和巨潮资讯网（</w:t>
      </w:r>
      <w:hyperlink r:id="rId11">
        <w:r>
          <w:rPr>
            <w:rFonts w:ascii="Times New Roman" w:hAnsi="Times New Roman" w:cs="Times New Roman" w:eastAsia="Times New Roman" w:hint="default"/>
          </w:rPr>
          <w:t>http://www.cninfo.com.cn/</w:t>
        </w:r>
      </w:hyperlink>
      <w:r>
        <w:rPr/>
        <w:t>）上。</w:t>
      </w:r>
    </w:p>
    <w:p>
      <w:pPr>
        <w:pStyle w:val="BodyText"/>
        <w:spacing w:line="240" w:lineRule="auto" w:before="134"/>
        <w:ind w:left="633" w:right="0"/>
        <w:jc w:val="left"/>
      </w:pPr>
      <w:r>
        <w:rPr>
          <w:rFonts w:ascii="Times New Roman" w:hAnsi="Times New Roman" w:cs="Times New Roman" w:eastAsia="Times New Roman" w:hint="default"/>
        </w:rPr>
        <w:t>12</w:t>
      </w:r>
      <w:r>
        <w:rPr/>
        <w:t>、公司于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22</w:t>
      </w:r>
      <w:r>
        <w:rPr/>
        <w:t>日召开了第三届董事会第二十七次会议，会议审议并通过了</w:t>
      </w:r>
    </w:p>
    <w:p>
      <w:pPr>
        <w:spacing w:after="0" w:line="240" w:lineRule="auto"/>
        <w:jc w:val="left"/>
        <w:sectPr>
          <w:pgSz w:w="11910" w:h="16840"/>
          <w:pgMar w:header="747" w:footer="984" w:top="980" w:bottom="1180" w:left="980" w:right="1300"/>
        </w:sectPr>
      </w:pPr>
    </w:p>
    <w:p>
      <w:pPr>
        <w:spacing w:line="240" w:lineRule="auto" w:before="7"/>
        <w:rPr>
          <w:rFonts w:ascii="宋体" w:hAnsi="宋体" w:cs="宋体" w:eastAsia="宋体" w:hint="default"/>
          <w:sz w:val="29"/>
          <w:szCs w:val="29"/>
        </w:rPr>
      </w:pPr>
    </w:p>
    <w:p>
      <w:pPr>
        <w:pStyle w:val="BodyText"/>
        <w:spacing w:line="240" w:lineRule="auto" w:before="26"/>
        <w:ind w:left="154" w:right="103"/>
        <w:jc w:val="left"/>
      </w:pPr>
      <w:r>
        <w:rPr/>
        <w:t>如下议案：</w:t>
      </w:r>
    </w:p>
    <w:p>
      <w:pPr>
        <w:pStyle w:val="BodyText"/>
        <w:spacing w:line="338" w:lineRule="auto" w:before="152"/>
        <w:ind w:left="153" w:right="103" w:firstLine="480"/>
        <w:jc w:val="left"/>
      </w:pPr>
      <w:r>
        <w:rPr>
          <w:spacing w:val="2"/>
        </w:rPr>
        <w:t>（</w:t>
      </w:r>
      <w:r>
        <w:rPr>
          <w:rFonts w:ascii="Times New Roman" w:hAnsi="Times New Roman" w:cs="Times New Roman" w:eastAsia="Times New Roman" w:hint="default"/>
          <w:spacing w:val="2"/>
        </w:rPr>
        <w:t>1</w:t>
      </w:r>
      <w:r>
        <w:rPr>
          <w:spacing w:val="2"/>
        </w:rPr>
        <w:t>）审议《关于聘任立信会计师事务所（特殊普通合伙）为公司</w:t>
      </w:r>
      <w:r>
        <w:rPr>
          <w:rFonts w:ascii="Times New Roman" w:hAnsi="Times New Roman" w:cs="Times New Roman" w:eastAsia="Times New Roman" w:hint="default"/>
          <w:spacing w:val="2"/>
        </w:rPr>
        <w:t>2011</w:t>
      </w:r>
      <w:r>
        <w:rPr>
          <w:spacing w:val="2"/>
        </w:rPr>
        <w:t>年度财务审计</w:t>
      </w:r>
      <w:r>
        <w:rPr>
          <w:spacing w:val="3"/>
        </w:rPr>
        <w:t> </w:t>
      </w:r>
      <w:r>
        <w:rPr/>
        <w:t>机构的议案》；</w:t>
      </w:r>
    </w:p>
    <w:p>
      <w:pPr>
        <w:pStyle w:val="BodyText"/>
        <w:spacing w:line="240" w:lineRule="auto" w:before="54"/>
        <w:ind w:left="633" w:right="103"/>
        <w:jc w:val="left"/>
      </w:pPr>
      <w:r>
        <w:rPr/>
        <w:t>（</w:t>
      </w:r>
      <w:r>
        <w:rPr>
          <w:rFonts w:ascii="Times New Roman" w:hAnsi="Times New Roman" w:cs="Times New Roman" w:eastAsia="Times New Roman" w:hint="default"/>
        </w:rPr>
        <w:t>2</w:t>
      </w:r>
      <w:r>
        <w:rPr/>
        <w:t>）审议《关于修订</w:t>
      </w:r>
      <w:r>
        <w:rPr>
          <w:rFonts w:ascii="Times New Roman" w:hAnsi="Times New Roman" w:cs="Times New Roman" w:eastAsia="Times New Roman" w:hint="default"/>
        </w:rPr>
        <w:t>&lt;</w:t>
      </w:r>
      <w:r>
        <w:rPr/>
        <w:t>内幕信息知情人报备制度</w:t>
      </w:r>
      <w:r>
        <w:rPr>
          <w:rFonts w:ascii="Times New Roman" w:hAnsi="Times New Roman" w:cs="Times New Roman" w:eastAsia="Times New Roman" w:hint="default"/>
        </w:rPr>
        <w:t>&gt;</w:t>
      </w:r>
      <w:r>
        <w:rPr/>
        <w:t>的议案》；</w:t>
      </w:r>
    </w:p>
    <w:p>
      <w:pPr>
        <w:pStyle w:val="BodyText"/>
        <w:spacing w:line="338" w:lineRule="auto" w:before="134"/>
        <w:ind w:left="633" w:right="103"/>
        <w:jc w:val="left"/>
      </w:pPr>
      <w:r>
        <w:rPr/>
        <w:t>（</w:t>
      </w:r>
      <w:r>
        <w:rPr>
          <w:rFonts w:ascii="Times New Roman" w:hAnsi="Times New Roman" w:cs="Times New Roman" w:eastAsia="Times New Roman" w:hint="default"/>
        </w:rPr>
        <w:t>3</w:t>
      </w:r>
      <w:r>
        <w:rPr/>
        <w:t>）审议《关于召开</w:t>
      </w:r>
      <w:r>
        <w:rPr>
          <w:rFonts w:ascii="Times New Roman" w:hAnsi="Times New Roman" w:cs="Times New Roman" w:eastAsia="Times New Roman" w:hint="default"/>
        </w:rPr>
        <w:t>2011</w:t>
      </w:r>
      <w:r>
        <w:rPr/>
        <w:t>年第六次临时股东大会的议案》。 </w:t>
      </w:r>
      <w:r>
        <w:rPr>
          <w:spacing w:val="-1"/>
        </w:rPr>
        <w:t>第三届董事会第二十七次会议决议公告刊登在</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23</w:t>
      </w:r>
      <w:r>
        <w:rPr>
          <w:spacing w:val="-1"/>
        </w:rPr>
        <w:t>的《证券时报》、《中国</w:t>
      </w:r>
      <w:r>
        <w:rPr/>
      </w:r>
    </w:p>
    <w:p>
      <w:pPr>
        <w:pStyle w:val="BodyText"/>
        <w:spacing w:line="240" w:lineRule="auto" w:before="25"/>
        <w:ind w:left="153" w:right="103"/>
        <w:jc w:val="left"/>
      </w:pPr>
      <w:r>
        <w:rPr/>
        <w:t>证券报》、《上海证券报》和巨潮资讯网（</w:t>
      </w:r>
      <w:hyperlink r:id="rId11">
        <w:r>
          <w:rPr>
            <w:rFonts w:ascii="Times New Roman" w:hAnsi="Times New Roman" w:cs="Times New Roman" w:eastAsia="Times New Roman" w:hint="default"/>
          </w:rPr>
          <w:t>http://www.cninfo.com.cn/</w:t>
        </w:r>
      </w:hyperlink>
      <w:r>
        <w:rPr/>
        <w:t>）上。</w:t>
      </w:r>
    </w:p>
    <w:p>
      <w:pPr>
        <w:pStyle w:val="BodyText"/>
        <w:spacing w:line="338" w:lineRule="auto" w:before="134"/>
        <w:ind w:left="154" w:right="103" w:firstLine="480"/>
        <w:jc w:val="left"/>
      </w:pPr>
      <w:r>
        <w:rPr>
          <w:rFonts w:ascii="Times New Roman" w:hAnsi="Times New Roman" w:cs="Times New Roman" w:eastAsia="Times New Roman" w:hint="default"/>
          <w:spacing w:val="2"/>
        </w:rPr>
        <w:t>13</w:t>
      </w:r>
      <w:r>
        <w:rPr>
          <w:spacing w:val="2"/>
        </w:rPr>
        <w:t>、公司于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5</w:t>
      </w:r>
      <w:r>
        <w:rPr>
          <w:spacing w:val="2"/>
        </w:rPr>
        <w:t>日召开了第三届董事会第二十八次会议，会议审议并通过了</w:t>
      </w:r>
      <w:r>
        <w:rPr>
          <w:spacing w:val="3"/>
        </w:rPr>
        <w:t> </w:t>
      </w:r>
      <w:r>
        <w:rPr/>
        <w:t>如下议案：</w:t>
      </w:r>
    </w:p>
    <w:p>
      <w:pPr>
        <w:pStyle w:val="BodyText"/>
        <w:spacing w:line="240" w:lineRule="auto" w:before="54"/>
        <w:ind w:left="634" w:right="103"/>
        <w:jc w:val="left"/>
      </w:pPr>
      <w:r>
        <w:rPr/>
        <w:t>（</w:t>
      </w:r>
      <w:r>
        <w:rPr>
          <w:rFonts w:ascii="Times New Roman" w:hAnsi="Times New Roman" w:cs="Times New Roman" w:eastAsia="Times New Roman" w:hint="default"/>
        </w:rPr>
        <w:t>1</w:t>
      </w:r>
      <w:r>
        <w:rPr/>
        <w:t>）审议《关于聘任庞泰松先生为公司副总经理的议案》；</w:t>
      </w:r>
    </w:p>
    <w:p>
      <w:pPr>
        <w:pStyle w:val="BodyText"/>
        <w:spacing w:line="338" w:lineRule="auto" w:before="134"/>
        <w:ind w:left="634" w:right="103"/>
        <w:jc w:val="left"/>
      </w:pPr>
      <w:r>
        <w:rPr/>
        <w:t>（</w:t>
      </w:r>
      <w:r>
        <w:rPr>
          <w:rFonts w:ascii="Times New Roman" w:hAnsi="Times New Roman" w:cs="Times New Roman" w:eastAsia="Times New Roman" w:hint="default"/>
        </w:rPr>
        <w:t>2</w:t>
      </w:r>
      <w:r>
        <w:rPr/>
        <w:t>）审议《关于设立全资子公司广州御银先端电子科技有限公司的议案》。 </w:t>
      </w:r>
      <w:r>
        <w:rPr>
          <w:spacing w:val="2"/>
        </w:rPr>
        <w:t>第三届董事会第二十八次会议决议公告刊登在</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6</w:t>
      </w:r>
      <w:r>
        <w:rPr>
          <w:spacing w:val="2"/>
        </w:rPr>
        <w:t>日的《证券时报》、《中</w:t>
      </w:r>
      <w:r>
        <w:rPr/>
      </w:r>
    </w:p>
    <w:p>
      <w:pPr>
        <w:pStyle w:val="BodyText"/>
        <w:spacing w:line="240" w:lineRule="auto" w:before="25"/>
        <w:ind w:left="154" w:right="103"/>
        <w:jc w:val="left"/>
      </w:pPr>
      <w:r>
        <w:rPr/>
        <w:t>国证券报》、《上海证券报》和巨潮资讯网（</w:t>
      </w:r>
      <w:hyperlink r:id="rId11">
        <w:r>
          <w:rPr>
            <w:rFonts w:ascii="Times New Roman" w:hAnsi="Times New Roman" w:cs="Times New Roman" w:eastAsia="Times New Roman" w:hint="default"/>
          </w:rPr>
          <w:t>http://www.cninfo.com.cn/</w:t>
        </w:r>
      </w:hyperlink>
      <w:r>
        <w:rPr/>
        <w:t>）上。</w:t>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17"/>
          <w:szCs w:val="17"/>
        </w:rPr>
      </w:pPr>
    </w:p>
    <w:p>
      <w:pPr>
        <w:pStyle w:val="BodyText"/>
        <w:spacing w:line="240" w:lineRule="auto" w:before="0"/>
        <w:ind w:left="634" w:right="103"/>
        <w:jc w:val="left"/>
      </w:pPr>
      <w:r>
        <w:rPr/>
        <w:t>（二）董事会对股东大会决议的执行情况</w:t>
      </w:r>
    </w:p>
    <w:p>
      <w:pPr>
        <w:pStyle w:val="BodyText"/>
        <w:spacing w:line="240" w:lineRule="auto" w:before="152"/>
        <w:ind w:left="634" w:right="103"/>
        <w:jc w:val="left"/>
      </w:pPr>
      <w:r>
        <w:rPr>
          <w:rFonts w:ascii="Times New Roman" w:hAnsi="Times New Roman" w:cs="Times New Roman" w:eastAsia="Times New Roman" w:hint="default"/>
        </w:rPr>
        <w:t>1</w:t>
      </w:r>
      <w:r>
        <w:rPr/>
        <w:t>、执行募集资金合作运营</w:t>
      </w:r>
      <w:r>
        <w:rPr>
          <w:spacing w:val="-62"/>
        </w:rPr>
        <w:t> </w:t>
      </w:r>
      <w:r>
        <w:rPr>
          <w:rFonts w:ascii="Times New Roman" w:hAnsi="Times New Roman" w:cs="Times New Roman" w:eastAsia="Times New Roman" w:hint="default"/>
        </w:rPr>
        <w:t>ATM</w:t>
      </w:r>
      <w:r>
        <w:rPr>
          <w:rFonts w:ascii="Times New Roman" w:hAnsi="Times New Roman" w:cs="Times New Roman" w:eastAsia="Times New Roman" w:hint="default"/>
          <w:spacing w:val="-2"/>
        </w:rPr>
        <w:t> </w:t>
      </w:r>
      <w:r>
        <w:rPr/>
        <w:t>网络建设项目、</w:t>
      </w:r>
      <w:r>
        <w:rPr>
          <w:rFonts w:ascii="Times New Roman" w:hAnsi="Times New Roman" w:cs="Times New Roman" w:eastAsia="Times New Roman" w:hint="default"/>
        </w:rPr>
        <w:t>ATM</w:t>
      </w:r>
      <w:r>
        <w:rPr>
          <w:rFonts w:ascii="Times New Roman" w:hAnsi="Times New Roman" w:cs="Times New Roman" w:eastAsia="Times New Roman" w:hint="default"/>
          <w:spacing w:val="-2"/>
        </w:rPr>
        <w:t> </w:t>
      </w:r>
      <w:r>
        <w:rPr/>
        <w:t>融资租赁运营服务项目。</w:t>
      </w:r>
    </w:p>
    <w:p>
      <w:pPr>
        <w:pStyle w:val="BodyText"/>
        <w:spacing w:line="240" w:lineRule="auto" w:before="134"/>
        <w:ind w:left="634" w:right="103"/>
        <w:jc w:val="left"/>
      </w:pPr>
      <w:r>
        <w:rPr>
          <w:rFonts w:ascii="Times New Roman" w:hAnsi="Times New Roman" w:cs="Times New Roman" w:eastAsia="Times New Roman" w:hint="default"/>
        </w:rPr>
        <w:t>2</w:t>
      </w:r>
      <w:r>
        <w:rPr/>
        <w:t>、完成股票期权激励计划的备案工作，并向激励对象授予期权和办理登记手续。</w:t>
      </w:r>
    </w:p>
    <w:p>
      <w:pPr>
        <w:pStyle w:val="BodyText"/>
        <w:spacing w:line="240" w:lineRule="auto" w:before="134"/>
        <w:ind w:left="634" w:right="103"/>
        <w:jc w:val="left"/>
      </w:pPr>
      <w:r>
        <w:rPr>
          <w:rFonts w:ascii="Times New Roman" w:hAnsi="Times New Roman" w:cs="Times New Roman" w:eastAsia="Times New Roman" w:hint="default"/>
        </w:rPr>
        <w:t>3</w:t>
      </w:r>
      <w:r>
        <w:rPr/>
        <w:t>、完成立信会计师事务所（特殊普通合伙）担任公司财务审计机构的聘任工作。</w:t>
      </w:r>
    </w:p>
    <w:p>
      <w:pPr>
        <w:pStyle w:val="BodyText"/>
        <w:spacing w:line="240" w:lineRule="auto" w:before="134"/>
        <w:ind w:left="634" w:right="103"/>
        <w:jc w:val="left"/>
      </w:pPr>
      <w:r>
        <w:rPr>
          <w:rFonts w:ascii="Times New Roman" w:hAnsi="Times New Roman" w:cs="Times New Roman" w:eastAsia="Times New Roman" w:hint="default"/>
        </w:rPr>
        <w:t>4</w:t>
      </w:r>
      <w:r>
        <w:rPr/>
        <w:t>、完成运用部分闲置募集资金补充流动资金的借出及归还工作。</w:t>
      </w:r>
    </w:p>
    <w:p>
      <w:pPr>
        <w:pStyle w:val="BodyText"/>
        <w:spacing w:line="348" w:lineRule="auto" w:before="134"/>
        <w:ind w:left="154" w:right="233" w:firstLine="480"/>
        <w:jc w:val="both"/>
      </w:pPr>
      <w:r>
        <w:rPr>
          <w:rFonts w:ascii="Times New Roman" w:hAnsi="Times New Roman" w:cs="Times New Roman" w:eastAsia="Times New Roman" w:hint="default"/>
          <w:spacing w:val="-17"/>
        </w:rPr>
        <w:t>5</w:t>
      </w:r>
      <w:r>
        <w:rPr>
          <w:spacing w:val="-17"/>
        </w:rPr>
        <w:t>、因实施 </w:t>
      </w:r>
      <w:r>
        <w:rPr>
          <w:rFonts w:ascii="Times New Roman" w:hAnsi="Times New Roman" w:cs="Times New Roman" w:eastAsia="Times New Roman" w:hint="default"/>
        </w:rPr>
        <w:t>2010</w:t>
      </w:r>
      <w:r>
        <w:rPr>
          <w:rFonts w:ascii="Times New Roman" w:hAnsi="Times New Roman" w:cs="Times New Roman" w:eastAsia="Times New Roman" w:hint="default"/>
          <w:spacing w:val="-20"/>
        </w:rPr>
        <w:t> </w:t>
      </w:r>
      <w:r>
        <w:rPr>
          <w:spacing w:val="-6"/>
        </w:rPr>
        <w:t>年度利润分配及公积金转增股本方案导致公司注册资金增加，根据《公</w:t>
      </w:r>
      <w:r>
        <w:rPr/>
        <w:t> </w:t>
      </w:r>
      <w:r>
        <w:rPr>
          <w:spacing w:val="-1"/>
        </w:rPr>
        <w:t>司法》、《上市公司章程指引》等有关规定，对《公司章程》有关条款进行了修改并办理</w:t>
      </w:r>
      <w:r>
        <w:rPr>
          <w:spacing w:val="-107"/>
        </w:rPr>
        <w:t> </w:t>
      </w:r>
      <w:r>
        <w:rPr>
          <w:spacing w:val="-107"/>
        </w:rPr>
      </w:r>
      <w:r>
        <w:rPr/>
        <w:t>工商变更。</w:t>
      </w:r>
    </w:p>
    <w:p>
      <w:pPr>
        <w:pStyle w:val="BodyText"/>
        <w:spacing w:line="348" w:lineRule="auto" w:before="44"/>
        <w:ind w:left="154" w:right="229" w:firstLine="480"/>
        <w:jc w:val="both"/>
      </w:pPr>
      <w:r>
        <w:rPr>
          <w:rFonts w:ascii="Times New Roman" w:hAnsi="Times New Roman" w:cs="Times New Roman" w:eastAsia="Times New Roman" w:hint="default"/>
          <w:spacing w:val="3"/>
        </w:rPr>
        <w:t>6</w:t>
      </w:r>
      <w:r>
        <w:rPr>
          <w:spacing w:val="3"/>
        </w:rPr>
        <w:t>、为了维护广大投资者尤其是中小投资者的合法权益，增加投资者的信息来源，根 </w:t>
      </w:r>
      <w:r>
        <w:rPr>
          <w:spacing w:val="-1"/>
        </w:rPr>
        <w:t>据《公司法》、《上市公司章程指引》等有关规定，对《公司章程》有关公司信息披露媒</w:t>
      </w:r>
      <w:r>
        <w:rPr>
          <w:spacing w:val="-1"/>
        </w:rPr>
        <w:t> </w:t>
      </w:r>
      <w:r>
        <w:rPr/>
        <w:t>体的条款进行了修改。</w:t>
      </w:r>
    </w:p>
    <w:p>
      <w:pPr>
        <w:spacing w:line="240" w:lineRule="auto" w:before="1"/>
        <w:rPr>
          <w:rFonts w:ascii="宋体" w:hAnsi="宋体" w:cs="宋体" w:eastAsia="宋体" w:hint="default"/>
          <w:sz w:val="35"/>
          <w:szCs w:val="35"/>
        </w:rPr>
      </w:pPr>
    </w:p>
    <w:p>
      <w:pPr>
        <w:pStyle w:val="BodyText"/>
        <w:spacing w:line="240" w:lineRule="auto" w:before="0"/>
        <w:ind w:left="634" w:right="103"/>
        <w:jc w:val="left"/>
      </w:pPr>
      <w:r>
        <w:rPr/>
        <w:t>（三）董事会下设的专门委员会的履职情况</w:t>
      </w:r>
    </w:p>
    <w:p>
      <w:pPr>
        <w:pStyle w:val="BodyText"/>
        <w:spacing w:line="338" w:lineRule="auto" w:before="154"/>
        <w:ind w:left="633" w:right="103"/>
        <w:jc w:val="left"/>
      </w:pPr>
      <w:r>
        <w:rPr>
          <w:rFonts w:ascii="Times New Roman" w:hAnsi="Times New Roman" w:cs="Times New Roman" w:eastAsia="Times New Roman" w:hint="default"/>
        </w:rPr>
        <w:t>1</w:t>
      </w:r>
      <w:r>
        <w:rPr/>
        <w:t>、提名委员会履职情况 </w:t>
      </w:r>
      <w:r>
        <w:rPr>
          <w:spacing w:val="2"/>
        </w:rPr>
        <w:t>董事会下设提名委员会，由</w:t>
      </w:r>
      <w:r>
        <w:rPr>
          <w:rFonts w:ascii="Times New Roman" w:hAnsi="Times New Roman" w:cs="Times New Roman" w:eastAsia="Times New Roman" w:hint="default"/>
          <w:spacing w:val="2"/>
        </w:rPr>
        <w:t>3</w:t>
      </w:r>
      <w:r>
        <w:rPr>
          <w:spacing w:val="2"/>
        </w:rPr>
        <w:t>名董事组成，其中</w:t>
      </w:r>
      <w:r>
        <w:rPr>
          <w:rFonts w:ascii="Times New Roman" w:hAnsi="Times New Roman" w:cs="Times New Roman" w:eastAsia="Times New Roman" w:hint="default"/>
          <w:spacing w:val="2"/>
        </w:rPr>
        <w:t>2</w:t>
      </w:r>
      <w:r>
        <w:rPr>
          <w:spacing w:val="2"/>
        </w:rPr>
        <w:t>名为独立董事，并由</w:t>
      </w:r>
      <w:r>
        <w:rPr>
          <w:rFonts w:ascii="Times New Roman" w:hAnsi="Times New Roman" w:cs="Times New Roman" w:eastAsia="Times New Roman" w:hint="default"/>
          <w:spacing w:val="2"/>
        </w:rPr>
        <w:t>1</w:t>
      </w:r>
      <w:r>
        <w:rPr>
          <w:spacing w:val="2"/>
        </w:rPr>
        <w:t>名独立董事担</w:t>
      </w:r>
      <w:r>
        <w:rPr/>
      </w:r>
    </w:p>
    <w:p>
      <w:pPr>
        <w:pStyle w:val="BodyText"/>
        <w:spacing w:line="240" w:lineRule="auto" w:before="25"/>
        <w:ind w:left="153" w:right="103"/>
        <w:jc w:val="left"/>
      </w:pPr>
      <w:r>
        <w:rPr>
          <w:spacing w:val="-4"/>
        </w:rPr>
        <w:t>任召集人，主要负责对公司董事、经理人员的人选、选择标准和程序进行审核并提出建议。</w:t>
      </w:r>
    </w:p>
    <w:p>
      <w:pPr>
        <w:spacing w:after="0" w:line="240" w:lineRule="auto"/>
        <w:jc w:val="left"/>
        <w:sectPr>
          <w:pgSz w:w="11910" w:h="16840"/>
          <w:pgMar w:header="747" w:footer="984" w:top="980" w:bottom="1180" w:left="980" w:right="1180"/>
        </w:sectPr>
      </w:pPr>
    </w:p>
    <w:p>
      <w:pPr>
        <w:spacing w:line="240" w:lineRule="auto" w:before="7"/>
        <w:rPr>
          <w:rFonts w:ascii="宋体" w:hAnsi="宋体" w:cs="宋体" w:eastAsia="宋体" w:hint="default"/>
          <w:sz w:val="29"/>
          <w:szCs w:val="29"/>
        </w:rPr>
      </w:pPr>
    </w:p>
    <w:p>
      <w:pPr>
        <w:pStyle w:val="BodyText"/>
        <w:spacing w:line="357" w:lineRule="auto" w:before="26"/>
        <w:ind w:left="153" w:right="233"/>
        <w:jc w:val="both"/>
      </w:pPr>
      <w:r>
        <w:rPr>
          <w:spacing w:val="-1"/>
        </w:rPr>
        <w:t>报告期内，公司提名委员会依照《提名委员会工作细则》等规定，召开了两次会议，审核</w:t>
      </w:r>
      <w:r>
        <w:rPr>
          <w:spacing w:val="-107"/>
        </w:rPr>
        <w:t> </w:t>
      </w:r>
      <w:r>
        <w:rPr>
          <w:spacing w:val="-107"/>
        </w:rPr>
      </w:r>
      <w:r>
        <w:rPr>
          <w:spacing w:val="-2"/>
        </w:rPr>
        <w:t>通过了《关于提名王志杰先生为公司副总经理的议案》、《关于提名谭骅先生为公司副总</w:t>
      </w:r>
      <w:r>
        <w:rPr>
          <w:spacing w:val="-83"/>
        </w:rPr>
        <w:t> </w:t>
      </w:r>
      <w:r>
        <w:rPr>
          <w:spacing w:val="-83"/>
        </w:rPr>
      </w:r>
      <w:r>
        <w:rPr>
          <w:spacing w:val="-2"/>
        </w:rPr>
        <w:t>经理兼董事会秘书的议案》、《关于提名高永坚先生为公司副总经理的议案》以及《关于</w:t>
      </w:r>
      <w:r>
        <w:rPr>
          <w:spacing w:val="-82"/>
        </w:rPr>
        <w:t> </w:t>
      </w:r>
      <w:r>
        <w:rPr>
          <w:spacing w:val="-82"/>
        </w:rPr>
      </w:r>
      <w:r>
        <w:rPr/>
        <w:t>提名庞泰松先生为公司副总经理的议案》，并同意提请董事会审议。</w:t>
      </w:r>
    </w:p>
    <w:p>
      <w:pPr>
        <w:pStyle w:val="BodyText"/>
        <w:spacing w:line="338" w:lineRule="auto" w:before="35"/>
        <w:ind w:left="693" w:right="103"/>
        <w:jc w:val="left"/>
      </w:pPr>
      <w:r>
        <w:rPr>
          <w:rFonts w:ascii="Times New Roman" w:hAnsi="Times New Roman" w:cs="Times New Roman" w:eastAsia="Times New Roman" w:hint="default"/>
        </w:rPr>
        <w:t>2</w:t>
      </w:r>
      <w:r>
        <w:rPr/>
        <w:t>、审计委员会履职情况 董事会下设审计委员会，由</w:t>
      </w:r>
      <w:r>
        <w:rPr>
          <w:rFonts w:ascii="Times New Roman" w:hAnsi="Times New Roman" w:cs="Times New Roman" w:eastAsia="Times New Roman" w:hint="default"/>
        </w:rPr>
        <w:t>3</w:t>
      </w:r>
      <w:r>
        <w:rPr/>
        <w:t>名董事组成，其中</w:t>
      </w:r>
      <w:r>
        <w:rPr>
          <w:rFonts w:ascii="Times New Roman" w:hAnsi="Times New Roman" w:cs="Times New Roman" w:eastAsia="Times New Roman" w:hint="default"/>
        </w:rPr>
        <w:t>2</w:t>
      </w:r>
      <w:r>
        <w:rPr/>
        <w:t>名为独立董事，</w:t>
      </w:r>
      <w:r>
        <w:rPr>
          <w:rFonts w:ascii="Times New Roman" w:hAnsi="Times New Roman" w:cs="Times New Roman" w:eastAsia="Times New Roman" w:hint="default"/>
        </w:rPr>
        <w:t>1</w:t>
      </w:r>
      <w:r>
        <w:rPr/>
        <w:t>名独立董事为专业</w:t>
      </w:r>
    </w:p>
    <w:p>
      <w:pPr>
        <w:pStyle w:val="BodyText"/>
        <w:spacing w:line="357" w:lineRule="auto" w:before="25"/>
        <w:ind w:left="154" w:right="233"/>
        <w:jc w:val="both"/>
      </w:pPr>
      <w:r>
        <w:rPr>
          <w:spacing w:val="-1"/>
        </w:rPr>
        <w:t>会计人士并担任召集人，主要负责公司内部审计、外部审计的沟通、监督和检查工作。报 </w:t>
      </w:r>
      <w:r>
        <w:rPr>
          <w:spacing w:val="-8"/>
        </w:rPr>
        <w:t>告期，审计委员会按照《年报审计工作规程》、《董事会审计委员会工作细则》等规定和要</w:t>
      </w:r>
      <w:r>
        <w:rPr>
          <w:spacing w:val="-81"/>
        </w:rPr>
        <w:t> </w:t>
      </w:r>
      <w:r>
        <w:rPr>
          <w:spacing w:val="-81"/>
        </w:rPr>
      </w:r>
      <w:r>
        <w:rPr/>
        <w:t>求，勤勉尽责的履行了以下工作职责：</w:t>
      </w:r>
    </w:p>
    <w:p>
      <w:pPr>
        <w:pStyle w:val="BodyText"/>
        <w:spacing w:line="338" w:lineRule="auto" w:before="35"/>
        <w:ind w:left="634" w:right="103" w:firstLine="60"/>
        <w:jc w:val="left"/>
      </w:pPr>
      <w:r>
        <w:rPr/>
        <w:t>（</w:t>
      </w:r>
      <w:r>
        <w:rPr>
          <w:rFonts w:ascii="Times New Roman" w:hAnsi="Times New Roman" w:cs="Times New Roman" w:eastAsia="Times New Roman" w:hint="default"/>
        </w:rPr>
        <w:t>1</w:t>
      </w:r>
      <w:r>
        <w:rPr/>
        <w:t>）召开例会情况 </w:t>
      </w:r>
      <w:r>
        <w:rPr>
          <w:spacing w:val="-1"/>
        </w:rPr>
        <w:t>报告期内，审计委员会共召开了四次会议，会议审议了《募集资金</w:t>
      </w:r>
      <w:r>
        <w:rPr>
          <w:rFonts w:ascii="Times New Roman" w:hAnsi="Times New Roman" w:cs="Times New Roman" w:eastAsia="Times New Roman" w:hint="default"/>
          <w:spacing w:val="-1"/>
        </w:rPr>
        <w:t>2010</w:t>
      </w:r>
      <w:r>
        <w:rPr>
          <w:spacing w:val="-1"/>
        </w:rPr>
        <w:t>年度使用情况</w:t>
      </w:r>
    </w:p>
    <w:p>
      <w:pPr>
        <w:pStyle w:val="BodyText"/>
        <w:spacing w:line="240" w:lineRule="auto" w:before="25"/>
        <w:ind w:left="154" w:right="0"/>
        <w:jc w:val="both"/>
      </w:pPr>
      <w:r>
        <w:rPr>
          <w:spacing w:val="-5"/>
        </w:rPr>
        <w:t>专项报告》、《关于</w:t>
      </w:r>
      <w:r>
        <w:rPr>
          <w:rFonts w:ascii="Times New Roman" w:hAnsi="Times New Roman" w:cs="Times New Roman" w:eastAsia="Times New Roman" w:hint="default"/>
          <w:spacing w:val="-5"/>
        </w:rPr>
        <w:t>2010</w:t>
      </w:r>
      <w:r>
        <w:rPr>
          <w:spacing w:val="-5"/>
        </w:rPr>
        <w:t>年度</w:t>
      </w:r>
      <w:r>
        <w:rPr>
          <w:rFonts w:ascii="Times New Roman" w:hAnsi="Times New Roman" w:cs="Times New Roman" w:eastAsia="Times New Roman" w:hint="default"/>
          <w:spacing w:val="-5"/>
        </w:rPr>
        <w:t>ATM</w:t>
      </w:r>
      <w:r>
        <w:rPr>
          <w:spacing w:val="-5"/>
        </w:rPr>
        <w:t>网点土建工程的专项审计》、《存货盘点的后续审计》、</w:t>
      </w:r>
    </w:p>
    <w:p>
      <w:pPr>
        <w:pStyle w:val="BodyText"/>
        <w:spacing w:line="240" w:lineRule="auto" w:before="134"/>
        <w:ind w:left="154" w:right="0"/>
        <w:jc w:val="both"/>
      </w:pPr>
      <w:r>
        <w:rPr>
          <w:spacing w:val="-4"/>
        </w:rPr>
        <w:t>《关于公司对外担保提供的专项审计》、《关于</w:t>
      </w:r>
      <w:r>
        <w:rPr>
          <w:rFonts w:ascii="Times New Roman" w:hAnsi="Times New Roman" w:cs="Times New Roman" w:eastAsia="Times New Roman" w:hint="default"/>
          <w:spacing w:val="-4"/>
        </w:rPr>
        <w:t>2011</w:t>
      </w:r>
      <w:r>
        <w:rPr>
          <w:spacing w:val="-4"/>
        </w:rPr>
        <w:t>年度经理级别例会情况的专项审计》、</w:t>
      </w:r>
    </w:p>
    <w:p>
      <w:pPr>
        <w:pStyle w:val="BodyText"/>
        <w:spacing w:line="343" w:lineRule="auto" w:before="134"/>
        <w:ind w:left="154" w:right="103"/>
        <w:jc w:val="left"/>
      </w:pPr>
      <w:r>
        <w:rPr/>
        <w:t>《关于</w:t>
      </w:r>
      <w:r>
        <w:rPr>
          <w:rFonts w:ascii="Times New Roman" w:hAnsi="Times New Roman" w:cs="Times New Roman" w:eastAsia="Times New Roman" w:hint="default"/>
        </w:rPr>
        <w:t>2010</w:t>
      </w:r>
      <w:r>
        <w:rPr/>
        <w:t>年第三季度至</w:t>
      </w:r>
      <w:r>
        <w:rPr>
          <w:rFonts w:ascii="Times New Roman" w:hAnsi="Times New Roman" w:cs="Times New Roman" w:eastAsia="Times New Roman" w:hint="default"/>
        </w:rPr>
        <w:t>2011</w:t>
      </w:r>
      <w:r>
        <w:rPr/>
        <w:t>年第二季度控股股东及其关联方占用资金情况的审计报 </w:t>
      </w:r>
      <w:r>
        <w:rPr>
          <w:spacing w:val="-1"/>
        </w:rPr>
        <w:t>告》、《关于</w:t>
      </w:r>
      <w:r>
        <w:rPr>
          <w:rFonts w:ascii="Times New Roman" w:hAnsi="Times New Roman" w:cs="Times New Roman" w:eastAsia="Times New Roman" w:hint="default"/>
          <w:spacing w:val="-1"/>
        </w:rPr>
        <w:t>2010</w:t>
      </w:r>
      <w:r>
        <w:rPr>
          <w:spacing w:val="-1"/>
        </w:rPr>
        <w:t>年第三季度至</w:t>
      </w:r>
      <w:r>
        <w:rPr>
          <w:rFonts w:ascii="Times New Roman" w:hAnsi="Times New Roman" w:cs="Times New Roman" w:eastAsia="Times New Roman" w:hint="default"/>
          <w:spacing w:val="-1"/>
        </w:rPr>
        <w:t>2011</w:t>
      </w:r>
      <w:r>
        <w:rPr>
          <w:spacing w:val="-1"/>
        </w:rPr>
        <w:t>年第二季度关联交易情况的审计报告》、《关于</w:t>
      </w:r>
      <w:r>
        <w:rPr>
          <w:rFonts w:ascii="Times New Roman" w:hAnsi="Times New Roman" w:cs="Times New Roman" w:eastAsia="Times New Roman" w:hint="default"/>
          <w:spacing w:val="-1"/>
        </w:rPr>
        <w:t>2011</w:t>
      </w:r>
      <w:r>
        <w:rPr>
          <w:rFonts w:ascii="Times New Roman" w:hAnsi="Times New Roman" w:cs="Times New Roman" w:eastAsia="Times New Roman" w:hint="default"/>
          <w:spacing w:val="-39"/>
        </w:rPr>
        <w:t> </w:t>
      </w:r>
      <w:r>
        <w:rPr>
          <w:spacing w:val="-2"/>
        </w:rPr>
        <w:t>年度预算管理的专项审计报告》、《募集资金使用情况专项审计报告》、《采购与付款流</w:t>
      </w:r>
      <w:r>
        <w:rPr>
          <w:spacing w:val="-83"/>
        </w:rPr>
        <w:t> </w:t>
      </w:r>
      <w:r>
        <w:rPr>
          <w:spacing w:val="-83"/>
        </w:rPr>
      </w:r>
      <w:r>
        <w:rPr>
          <w:spacing w:val="-2"/>
        </w:rPr>
        <w:t>程专项审计报告》、《</w:t>
      </w:r>
      <w:r>
        <w:rPr>
          <w:rFonts w:ascii="Times New Roman" w:hAnsi="Times New Roman" w:cs="Times New Roman" w:eastAsia="Times New Roman" w:hint="default"/>
          <w:spacing w:val="-2"/>
        </w:rPr>
        <w:t>ATM</w:t>
      </w:r>
      <w:r>
        <w:rPr>
          <w:spacing w:val="-2"/>
        </w:rPr>
        <w:t>机物流运输情况专项审计报告》以及</w:t>
      </w:r>
      <w:r>
        <w:rPr>
          <w:rFonts w:ascii="Times New Roman" w:hAnsi="Times New Roman" w:cs="Times New Roman" w:eastAsia="Times New Roman" w:hint="default"/>
          <w:spacing w:val="-2"/>
        </w:rPr>
        <w:t>2011</w:t>
      </w:r>
      <w:r>
        <w:rPr>
          <w:spacing w:val="-2"/>
        </w:rPr>
        <w:t>年季度、半年度业绩</w:t>
      </w:r>
      <w:r>
        <w:rPr>
          <w:spacing w:val="-98"/>
        </w:rPr>
        <w:t> </w:t>
      </w:r>
      <w:r>
        <w:rPr>
          <w:spacing w:val="-98"/>
        </w:rPr>
      </w:r>
      <w:r>
        <w:rPr/>
        <w:t>快报的审计情况等事项，并于每次会议后形成专项工作报告报董事会。</w:t>
      </w:r>
    </w:p>
    <w:p>
      <w:pPr>
        <w:pStyle w:val="BodyText"/>
        <w:spacing w:line="338" w:lineRule="auto" w:before="49"/>
        <w:ind w:left="634" w:right="210"/>
        <w:jc w:val="left"/>
      </w:pPr>
      <w:r>
        <w:rPr/>
        <w:t>（</w:t>
      </w:r>
      <w:r>
        <w:rPr>
          <w:rFonts w:ascii="Times New Roman" w:hAnsi="Times New Roman" w:cs="Times New Roman" w:eastAsia="Times New Roman" w:hint="default"/>
        </w:rPr>
        <w:t>2</w:t>
      </w:r>
      <w:r>
        <w:rPr/>
        <w:t>）公司年度财务报告审计情况 在年审注册会计师进场审计前，董事会审计委员会与立信会计师事务所（特殊普通合</w:t>
      </w:r>
    </w:p>
    <w:p>
      <w:pPr>
        <w:pStyle w:val="BodyText"/>
        <w:spacing w:line="352" w:lineRule="auto" w:before="54"/>
        <w:ind w:left="154" w:right="233"/>
        <w:jc w:val="both"/>
      </w:pPr>
      <w:r>
        <w:rPr/>
        <w:t>伙）经过沟通协商，确定了公司</w:t>
      </w:r>
      <w:r>
        <w:rPr>
          <w:spacing w:val="-68"/>
        </w:rPr>
        <w:t> </w:t>
      </w:r>
      <w:r>
        <w:rPr>
          <w:rFonts w:ascii="Times New Roman" w:hAnsi="Times New Roman" w:cs="Times New Roman" w:eastAsia="Times New Roman" w:hint="default"/>
        </w:rPr>
        <w:t>2011</w:t>
      </w:r>
      <w:r>
        <w:rPr>
          <w:rFonts w:ascii="Times New Roman" w:hAnsi="Times New Roman" w:cs="Times New Roman" w:eastAsia="Times New Roman" w:hint="default"/>
          <w:spacing w:val="-7"/>
        </w:rPr>
        <w:t> </w:t>
      </w:r>
      <w:r>
        <w:rPr/>
        <w:t>年度审计计划，并认真审阅了公司编制的</w:t>
      </w:r>
      <w:r>
        <w:rPr>
          <w:spacing w:val="-67"/>
        </w:rPr>
        <w:t> </w:t>
      </w:r>
      <w:r>
        <w:rPr>
          <w:rFonts w:ascii="Times New Roman" w:hAnsi="Times New Roman" w:cs="Times New Roman" w:eastAsia="Times New Roman" w:hint="default"/>
        </w:rPr>
        <w:t>2011</w:t>
      </w:r>
      <w:r>
        <w:rPr>
          <w:rFonts w:ascii="Times New Roman" w:hAnsi="Times New Roman" w:cs="Times New Roman" w:eastAsia="Times New Roman" w:hint="default"/>
          <w:spacing w:val="-7"/>
        </w:rPr>
        <w:t> </w:t>
      </w:r>
      <w:r>
        <w:rPr/>
        <w:t>年度 财务会计报表，出具了《御银股份审计委员会在年审注册会计师进场前审阅公司财务报表 </w:t>
      </w:r>
      <w:r>
        <w:rPr>
          <w:spacing w:val="-1"/>
        </w:rPr>
        <w:t>的书面意见》，认为：公司管理层能够按照《企业会计准则》的规定设计、实施和维护财</w:t>
      </w:r>
      <w:r>
        <w:rPr>
          <w:spacing w:val="-1"/>
        </w:rPr>
        <w:t> 务报表，选择和运用恰当的会计政策、会计估计来编制财务报表，在所有重大方面公允反 </w:t>
      </w:r>
      <w:r>
        <w:rPr/>
        <w:t>映了公司</w:t>
      </w:r>
      <w:r>
        <w:rPr>
          <w:spacing w:val="-6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日的财务状况、</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年度的经营成果和现金流量。</w:t>
      </w:r>
    </w:p>
    <w:p>
      <w:pPr>
        <w:pStyle w:val="BodyText"/>
        <w:spacing w:line="352" w:lineRule="auto" w:before="9"/>
        <w:ind w:left="154" w:right="103" w:firstLine="480"/>
        <w:jc w:val="left"/>
      </w:pPr>
      <w:r>
        <w:rPr/>
        <w:t>在年审注册会计师出具了审计报告（征求意见稿）后，经各委员审核与沟通后，出具</w:t>
      </w:r>
      <w:r>
        <w:rPr>
          <w:spacing w:val="-1"/>
        </w:rPr>
        <w:t> </w:t>
      </w:r>
      <w:r>
        <w:rPr>
          <w:spacing w:val="-4"/>
        </w:rPr>
        <w:t>了《御银股份审计委员会审阅年审注册会计师出具审计报告（征求意见稿）的书面意见》，</w:t>
      </w:r>
      <w:r>
        <w:rPr>
          <w:spacing w:val="-88"/>
        </w:rPr>
        <w:t> </w:t>
      </w:r>
      <w:r>
        <w:rPr>
          <w:spacing w:val="-88"/>
        </w:rPr>
      </w:r>
      <w:r>
        <w:rPr/>
        <w:t>认为：公司管理层能够按照企业会计准则的规定设计、实施和维护财务报表，选择和运用</w:t>
      </w:r>
      <w:r>
        <w:rPr>
          <w:spacing w:val="-1"/>
        </w:rPr>
        <w:t> </w:t>
      </w:r>
      <w:r>
        <w:rPr/>
        <w:t>恰当的会计政策、会计估计来编制财务报表，在所有重大方面公允反映了公司 </w:t>
      </w:r>
      <w:r>
        <w:rPr>
          <w:rFonts w:ascii="Times New Roman" w:hAnsi="Times New Roman" w:cs="Times New Roman" w:eastAsia="Times New Roman" w:hint="default"/>
          <w:spacing w:val="-3"/>
        </w:rPr>
        <w:t>2011 </w:t>
      </w:r>
      <w:r>
        <w:rPr/>
        <w:t>年</w:t>
      </w:r>
      <w:r>
        <w:rPr>
          <w:spacing w:val="-52"/>
        </w:rPr>
        <w:t> </w:t>
      </w:r>
      <w:r>
        <w:rPr>
          <w:rFonts w:ascii="Times New Roman" w:hAnsi="Times New Roman" w:cs="Times New Roman" w:eastAsia="Times New Roman" w:hint="default"/>
        </w:rPr>
        <w:t>12 </w:t>
      </w:r>
      <w:r>
        <w:rPr/>
        <w:t>月</w:t>
      </w:r>
      <w:r>
        <w:rPr>
          <w:spacing w:val="-63"/>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日的财务状况、</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年度的经营成果和现金流量状况。</w:t>
      </w:r>
    </w:p>
    <w:p>
      <w:pPr>
        <w:spacing w:after="0" w:line="352" w:lineRule="auto"/>
        <w:jc w:val="left"/>
        <w:sectPr>
          <w:pgSz w:w="11910" w:h="16840"/>
          <w:pgMar w:header="747" w:footer="984" w:top="980" w:bottom="1180" w:left="980" w:right="1180"/>
        </w:sectPr>
      </w:pPr>
    </w:p>
    <w:p>
      <w:pPr>
        <w:spacing w:line="240" w:lineRule="auto" w:before="7"/>
        <w:rPr>
          <w:rFonts w:ascii="宋体" w:hAnsi="宋体" w:cs="宋体" w:eastAsia="宋体" w:hint="default"/>
          <w:sz w:val="29"/>
          <w:szCs w:val="29"/>
        </w:rPr>
      </w:pPr>
    </w:p>
    <w:p>
      <w:pPr>
        <w:pStyle w:val="BodyText"/>
        <w:spacing w:line="357" w:lineRule="auto" w:before="26"/>
        <w:ind w:left="154" w:right="103" w:firstLine="480"/>
        <w:jc w:val="left"/>
      </w:pPr>
      <w:r>
        <w:rPr>
          <w:spacing w:val="-1"/>
        </w:rPr>
        <w:t>立信会计师事务所（特殊普通合伙）按照审计计划如期完成了审计报告，并出具了相 </w:t>
      </w:r>
      <w:r>
        <w:rPr/>
        <w:t>关的专项审核报告。</w:t>
      </w:r>
    </w:p>
    <w:p>
      <w:pPr>
        <w:pStyle w:val="BodyText"/>
        <w:spacing w:line="338" w:lineRule="auto" w:before="35"/>
        <w:ind w:left="633" w:right="211"/>
        <w:jc w:val="left"/>
      </w:pPr>
      <w:r>
        <w:rPr/>
        <w:t>（</w:t>
      </w:r>
      <w:r>
        <w:rPr>
          <w:rFonts w:ascii="Times New Roman" w:hAnsi="Times New Roman" w:cs="Times New Roman" w:eastAsia="Times New Roman" w:hint="default"/>
        </w:rPr>
        <w:t>3</w:t>
      </w:r>
      <w:r>
        <w:rPr/>
        <w:t>）下年度续聘会计师事务所情况 审计公司</w:t>
      </w:r>
      <w:r>
        <w:rPr>
          <w:rFonts w:ascii="Times New Roman" w:hAnsi="Times New Roman" w:cs="Times New Roman" w:eastAsia="Times New Roman" w:hint="default"/>
        </w:rPr>
        <w:t>2010</w:t>
      </w:r>
      <w:r>
        <w:rPr/>
        <w:t>年年报的立信大华会计师事务所按照财政部统一部署进行了改制，改制</w:t>
      </w:r>
    </w:p>
    <w:p>
      <w:pPr>
        <w:pStyle w:val="BodyText"/>
        <w:spacing w:line="348" w:lineRule="auto" w:before="25"/>
        <w:ind w:left="153" w:right="103"/>
        <w:jc w:val="left"/>
      </w:pPr>
      <w:r>
        <w:rPr>
          <w:spacing w:val="-4"/>
        </w:rPr>
        <w:t>后分别成立了立信会计师事务所（特殊普通合伙）和大华会计师事务所（特殊普通合伙），</w:t>
      </w:r>
      <w:r>
        <w:rPr>
          <w:spacing w:val="-118"/>
        </w:rPr>
        <w:t> </w:t>
      </w:r>
      <w:r>
        <w:rPr>
          <w:spacing w:val="-118"/>
        </w:rPr>
      </w:r>
      <w:r>
        <w:rPr/>
        <w:t>原负责公司审计的合伙人和专业人员交换进入了立信会计师事务所，公司通过股东大会审</w:t>
      </w:r>
      <w:r>
        <w:rPr/>
        <w:t> 议决定聘任立信会计师事务所为公司</w:t>
      </w:r>
      <w:r>
        <w:rPr>
          <w:rFonts w:ascii="Times New Roman" w:hAnsi="Times New Roman" w:cs="Times New Roman" w:eastAsia="Times New Roman" w:hint="default"/>
        </w:rPr>
        <w:t>2011</w:t>
      </w:r>
      <w:r>
        <w:rPr/>
        <w:t>年年度财务报告的审计机构。鉴于立信会计师事 务所在</w:t>
      </w:r>
      <w:r>
        <w:rPr>
          <w:rFonts w:ascii="Times New Roman" w:hAnsi="Times New Roman" w:cs="Times New Roman" w:eastAsia="Times New Roman" w:hint="default"/>
        </w:rPr>
        <w:t>2011</w:t>
      </w:r>
      <w:r>
        <w:rPr/>
        <w:t>年年度财务报告审计过程中认真履行各项职责，坚持以公允、客观的态度独立 审计，体现了良好的职业道德和操守，具备较高的专业水平，为保证公司审计业务的连续</w:t>
      </w:r>
      <w:r>
        <w:rPr>
          <w:spacing w:val="-1"/>
        </w:rPr>
        <w:t> </w:t>
      </w:r>
      <w:r>
        <w:rPr/>
        <w:t>性，建议聘任立信会计师事务所为公司</w:t>
      </w:r>
      <w:r>
        <w:rPr>
          <w:rFonts w:ascii="Times New Roman" w:hAnsi="Times New Roman" w:cs="Times New Roman" w:eastAsia="Times New Roman" w:hint="default"/>
        </w:rPr>
        <w:t>2012</w:t>
      </w:r>
      <w:r>
        <w:rPr/>
        <w:t>年年度财务报告的审计机构。</w:t>
      </w:r>
    </w:p>
    <w:p>
      <w:pPr>
        <w:pStyle w:val="BodyText"/>
        <w:spacing w:line="338" w:lineRule="auto" w:before="15"/>
        <w:ind w:left="634" w:right="330"/>
        <w:jc w:val="left"/>
      </w:pPr>
      <w:r>
        <w:rPr>
          <w:rFonts w:ascii="Times New Roman" w:hAnsi="Times New Roman" w:cs="Times New Roman" w:eastAsia="Times New Roman" w:hint="default"/>
        </w:rPr>
        <w:t>3</w:t>
      </w:r>
      <w:r>
        <w:rPr/>
        <w:t>、薪酬与考核委员会履职情况 董事会下设薪酬与考核委员会，由</w:t>
      </w:r>
      <w:r>
        <w:rPr>
          <w:rFonts w:ascii="Times New Roman" w:hAnsi="Times New Roman" w:cs="Times New Roman" w:eastAsia="Times New Roman" w:hint="default"/>
        </w:rPr>
        <w:t>3</w:t>
      </w:r>
      <w:r>
        <w:rPr/>
        <w:t>名董事组成，其中</w:t>
      </w:r>
      <w:r>
        <w:rPr>
          <w:rFonts w:ascii="Times New Roman" w:hAnsi="Times New Roman" w:cs="Times New Roman" w:eastAsia="Times New Roman" w:hint="default"/>
        </w:rPr>
        <w:t>2</w:t>
      </w:r>
      <w:r>
        <w:rPr/>
        <w:t>名为独立董事，并由1名独立</w:t>
      </w:r>
    </w:p>
    <w:p>
      <w:pPr>
        <w:pStyle w:val="BodyText"/>
        <w:spacing w:line="348" w:lineRule="auto" w:before="25"/>
        <w:ind w:left="153" w:right="233"/>
        <w:jc w:val="both"/>
      </w:pPr>
      <w:r>
        <w:rPr/>
        <w:t>董事担任召集人，主要负责制定公司董事及经理人员的考核标准并进行考核、制定和审查 </w:t>
      </w:r>
      <w:r>
        <w:rPr>
          <w:spacing w:val="-1"/>
        </w:rPr>
        <w:t>公司董事及经理人员的薪酬政策与方案等。根据《薪酬与考核委员会工作细则》及</w:t>
      </w:r>
      <w:r>
        <w:rPr>
          <w:rFonts w:ascii="Times New Roman" w:hAnsi="Times New Roman" w:cs="Times New Roman" w:eastAsia="Times New Roman" w:hint="default"/>
          <w:spacing w:val="-1"/>
        </w:rPr>
        <w:t>2011</w:t>
      </w:r>
      <w:r>
        <w:rPr>
          <w:spacing w:val="-1"/>
        </w:rPr>
        <w:t>年</w:t>
      </w:r>
      <w:r>
        <w:rPr>
          <w:spacing w:val="-115"/>
        </w:rPr>
        <w:t> </w:t>
      </w:r>
      <w:r>
        <w:rPr/>
        <w:t>度公司经营情况等，第三届董事会薪酬与考核委员会对公司董事、监事和高级管理人员的</w:t>
      </w:r>
      <w:r>
        <w:rPr/>
        <w:t> 薪酬发放进行了审核，认为</w:t>
      </w:r>
      <w:r>
        <w:rPr>
          <w:rFonts w:ascii="Times New Roman" w:hAnsi="Times New Roman" w:cs="Times New Roman" w:eastAsia="Times New Roman" w:hint="default"/>
        </w:rPr>
        <w:t>2011</w:t>
      </w:r>
      <w:r>
        <w:rPr/>
        <w:t>年度在公司领取薪酬的董事、监事和高级管理人员的薪酬 发放符合公司绩效考核指标及相关规定。</w:t>
      </w:r>
    </w:p>
    <w:p>
      <w:pPr>
        <w:pStyle w:val="BodyText"/>
        <w:spacing w:line="338" w:lineRule="auto" w:before="44"/>
        <w:ind w:left="633" w:right="103"/>
        <w:jc w:val="left"/>
      </w:pPr>
      <w:r>
        <w:rPr>
          <w:rFonts w:ascii="Times New Roman" w:hAnsi="Times New Roman" w:cs="Times New Roman" w:eastAsia="Times New Roman" w:hint="default"/>
        </w:rPr>
        <w:t>4</w:t>
      </w:r>
      <w:r>
        <w:rPr/>
        <w:t>、战略委员会履职情况 </w:t>
      </w:r>
      <w:r>
        <w:rPr>
          <w:spacing w:val="-1"/>
        </w:rPr>
        <w:t>董事会下设战略委员会，由</w:t>
      </w:r>
      <w:r>
        <w:rPr>
          <w:rFonts w:ascii="Times New Roman" w:hAnsi="Times New Roman" w:cs="Times New Roman" w:eastAsia="Times New Roman" w:hint="default"/>
          <w:spacing w:val="-1"/>
        </w:rPr>
        <w:t>3</w:t>
      </w:r>
      <w:r>
        <w:rPr>
          <w:spacing w:val="-1"/>
        </w:rPr>
        <w:t>名董事组成，其中</w:t>
      </w:r>
      <w:r>
        <w:rPr>
          <w:rFonts w:ascii="Times New Roman" w:hAnsi="Times New Roman" w:cs="Times New Roman" w:eastAsia="Times New Roman" w:hint="default"/>
          <w:spacing w:val="-1"/>
        </w:rPr>
        <w:t>2</w:t>
      </w:r>
      <w:r>
        <w:rPr>
          <w:spacing w:val="-1"/>
        </w:rPr>
        <w:t>名为独立董事，主要负责公司长期发</w:t>
      </w:r>
      <w:r>
        <w:rPr/>
      </w:r>
    </w:p>
    <w:p>
      <w:pPr>
        <w:pStyle w:val="BodyText"/>
        <w:spacing w:line="357" w:lineRule="auto" w:before="25"/>
        <w:ind w:left="153" w:right="103"/>
        <w:jc w:val="left"/>
      </w:pPr>
      <w:r>
        <w:rPr>
          <w:spacing w:val="-1"/>
        </w:rPr>
        <w:t>展战略和重大投资决策研究并提出建议。报告期内，战略委员会严格按照《战略委员会工 作细则》的规定履行职责，通过对宏观经营环境、行业发展趋势的深入研究结合公司的实 </w:t>
      </w:r>
      <w:r>
        <w:rPr/>
        <w:t>际经营情况和发展需要审议通过了《广州御银自动柜员机技术有限公司扩大ATM设备产能</w:t>
      </w:r>
      <w:r>
        <w:rPr/>
        <w:t> </w:t>
      </w:r>
      <w:r>
        <w:rPr>
          <w:spacing w:val="-2"/>
        </w:rPr>
        <w:t>投资项目》、《投资入股广州花都稠州村镇银行股份有限公司的议案》和《设立全资子公</w:t>
      </w:r>
      <w:r>
        <w:rPr>
          <w:spacing w:val="-83"/>
        </w:rPr>
        <w:t> </w:t>
      </w:r>
      <w:r>
        <w:rPr>
          <w:spacing w:val="-83"/>
        </w:rPr>
      </w:r>
      <w:r>
        <w:rPr/>
        <w:t>司广州御银先端电子科技有限公司的议案》，并同意提请董事会审议。</w:t>
      </w:r>
    </w:p>
    <w:p>
      <w:pPr>
        <w:spacing w:line="240" w:lineRule="auto" w:before="4"/>
        <w:rPr>
          <w:rFonts w:ascii="宋体" w:hAnsi="宋体" w:cs="宋体" w:eastAsia="宋体" w:hint="default"/>
          <w:sz w:val="34"/>
          <w:szCs w:val="34"/>
        </w:rPr>
      </w:pPr>
    </w:p>
    <w:p>
      <w:pPr>
        <w:pStyle w:val="BodyText"/>
        <w:spacing w:line="240" w:lineRule="auto" w:before="0"/>
        <w:ind w:left="633" w:right="103"/>
        <w:jc w:val="left"/>
      </w:pPr>
      <w:r>
        <w:rPr/>
        <w:t>五、公司利润分配政策、利润分配及资本公积金转增股本预案</w:t>
      </w:r>
    </w:p>
    <w:p>
      <w:pPr>
        <w:pStyle w:val="BodyText"/>
        <w:spacing w:line="338" w:lineRule="auto" w:before="154"/>
        <w:ind w:left="633" w:right="211"/>
        <w:jc w:val="left"/>
      </w:pPr>
      <w:r>
        <w:rPr/>
        <w:t>（一）</w:t>
      </w:r>
      <w:r>
        <w:rPr>
          <w:rFonts w:ascii="Times New Roman" w:hAnsi="Times New Roman" w:cs="Times New Roman" w:eastAsia="Times New Roman" w:hint="default"/>
        </w:rPr>
        <w:t>2011</w:t>
      </w:r>
      <w:r>
        <w:rPr/>
        <w:t>年公司利润分配政策的制定、执行情况 公司重视对投资者特别是中小投资者的合理投资回报，制定了持续、稳定的利润分配</w:t>
      </w:r>
    </w:p>
    <w:p>
      <w:pPr>
        <w:pStyle w:val="BodyText"/>
        <w:spacing w:line="357" w:lineRule="auto" w:before="54"/>
        <w:ind w:left="153" w:right="103"/>
        <w:jc w:val="left"/>
      </w:pPr>
      <w:r>
        <w:rPr>
          <w:spacing w:val="-1"/>
        </w:rPr>
        <w:t>政策。公司董事会负责制定利润分配方案，并提交股东大会审议。公司股东大会对利润分 配方案作出决议后，公司董事会须在股东大会召开后二个月内完成股利（或股份）的派发</w:t>
      </w:r>
      <w:r>
        <w:rPr/>
      </w:r>
    </w:p>
    <w:p>
      <w:pPr>
        <w:spacing w:after="0" w:line="357" w:lineRule="auto"/>
        <w:jc w:val="left"/>
        <w:sectPr>
          <w:pgSz w:w="11910" w:h="16840"/>
          <w:pgMar w:header="747" w:footer="984" w:top="980" w:bottom="1180" w:left="980" w:right="1180"/>
        </w:sectPr>
      </w:pPr>
    </w:p>
    <w:p>
      <w:pPr>
        <w:spacing w:line="240" w:lineRule="auto" w:before="7"/>
        <w:rPr>
          <w:rFonts w:ascii="宋体" w:hAnsi="宋体" w:cs="宋体" w:eastAsia="宋体" w:hint="default"/>
          <w:sz w:val="29"/>
          <w:szCs w:val="29"/>
        </w:rPr>
      </w:pPr>
    </w:p>
    <w:p>
      <w:pPr>
        <w:pStyle w:val="BodyText"/>
        <w:spacing w:line="357" w:lineRule="auto" w:before="26"/>
        <w:ind w:left="0" w:right="108"/>
        <w:jc w:val="right"/>
      </w:pPr>
      <w:r>
        <w:rPr>
          <w:spacing w:val="-1"/>
        </w:rPr>
        <w:t>事项。公司可以采用现金或股票方式分配股利，可以进行中期现金分红。公司董事会未做 </w:t>
      </w:r>
      <w:r>
        <w:rPr/>
        <w:t>出现金利润分配方案的，应当在定期报告中披露原因，独立董事应当对此发表独立意见。</w:t>
      </w:r>
      <w:r>
        <w:rPr/>
        <w:t> </w:t>
      </w:r>
      <w:r>
        <w:rPr>
          <w:spacing w:val="-1"/>
        </w:rPr>
        <w:t>报告期内，公司利润分配政策符合公司章程及审议程序的规定，充分保护了中小投资</w:t>
      </w:r>
    </w:p>
    <w:p>
      <w:pPr>
        <w:pStyle w:val="BodyText"/>
        <w:spacing w:line="240" w:lineRule="auto" w:before="35"/>
        <w:ind w:left="153" w:right="89"/>
        <w:jc w:val="left"/>
      </w:pPr>
      <w:r>
        <w:rPr/>
        <w:t>者的合法权益，并由独立董事发表了独立意见。</w:t>
      </w:r>
    </w:p>
    <w:p>
      <w:pPr>
        <w:pStyle w:val="BodyText"/>
        <w:spacing w:line="240" w:lineRule="auto" w:before="152"/>
        <w:ind w:left="633" w:right="89"/>
        <w:jc w:val="left"/>
      </w:pPr>
      <w:r>
        <w:rPr/>
        <w:t>（二）公司近三年的利润分配及资本公积金转增股本方案或预案</w:t>
      </w:r>
    </w:p>
    <w:p>
      <w:pPr>
        <w:pStyle w:val="BodyText"/>
        <w:spacing w:line="240" w:lineRule="auto" w:before="152"/>
        <w:ind w:left="633" w:right="89"/>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2011</w:t>
      </w:r>
      <w:r>
        <w:rPr/>
        <w:t>年度利润分配及资本公积金转增股本预案</w:t>
      </w:r>
    </w:p>
    <w:p>
      <w:pPr>
        <w:pStyle w:val="BodyText"/>
        <w:spacing w:line="240" w:lineRule="auto" w:before="134"/>
        <w:ind w:left="633" w:right="0"/>
        <w:jc w:val="left"/>
        <w:rPr>
          <w:rFonts w:ascii="Times New Roman" w:hAnsi="Times New Roman" w:cs="Times New Roman" w:eastAsia="Times New Roman" w:hint="default"/>
        </w:rPr>
      </w:pPr>
      <w:r>
        <w:rPr>
          <w:rFonts w:ascii="Times New Roman" w:hAnsi="Times New Roman" w:cs="Times New Roman" w:eastAsia="Times New Roman" w:hint="default"/>
          <w:spacing w:val="-3"/>
        </w:rPr>
        <w:t>2011 </w:t>
      </w:r>
      <w:r>
        <w:rPr>
          <w:spacing w:val="-4"/>
        </w:rPr>
        <w:t>年度经营情况经立信会计师事务所（特殊普通合伙）有限公司审计，母公司</w:t>
      </w:r>
      <w:r>
        <w:rPr>
          <w:spacing w:val="-39"/>
        </w:rPr>
        <w:t> </w:t>
      </w:r>
      <w:r>
        <w:rPr>
          <w:rFonts w:ascii="Times New Roman" w:hAnsi="Times New Roman" w:cs="Times New Roman" w:eastAsia="Times New Roman" w:hint="default"/>
        </w:rPr>
        <w:t>2011</w:t>
      </w:r>
    </w:p>
    <w:p>
      <w:pPr>
        <w:pStyle w:val="BodyText"/>
        <w:spacing w:line="240" w:lineRule="auto" w:before="134"/>
        <w:ind w:left="153" w:right="0"/>
        <w:jc w:val="left"/>
      </w:pPr>
      <w:r>
        <w:rPr/>
        <w:t>年度实现净利润</w:t>
      </w:r>
      <w:r>
        <w:rPr>
          <w:spacing w:val="-60"/>
        </w:rPr>
        <w:t> </w:t>
      </w:r>
      <w:r>
        <w:rPr>
          <w:rFonts w:ascii="Times New Roman" w:hAnsi="Times New Roman" w:cs="Times New Roman" w:eastAsia="Times New Roman" w:hint="default"/>
        </w:rPr>
        <w:t>6,604.26 </w:t>
      </w:r>
      <w:r>
        <w:rPr>
          <w:spacing w:val="-4"/>
        </w:rPr>
        <w:t>万元，按母公司净利润的</w:t>
      </w:r>
      <w:r>
        <w:rPr>
          <w:spacing w:val="-60"/>
        </w:rPr>
        <w:t> </w:t>
      </w:r>
      <w:r>
        <w:rPr>
          <w:rFonts w:ascii="Times New Roman" w:hAnsi="Times New Roman" w:cs="Times New Roman" w:eastAsia="Times New Roman" w:hint="default"/>
        </w:rPr>
        <w:t>10%</w:t>
      </w:r>
      <w:r>
        <w:rPr/>
        <w:t>提取法定盈余公积</w:t>
      </w:r>
      <w:r>
        <w:rPr>
          <w:spacing w:val="-60"/>
        </w:rPr>
        <w:t> </w:t>
      </w:r>
      <w:r>
        <w:rPr>
          <w:rFonts w:ascii="Times New Roman" w:hAnsi="Times New Roman" w:cs="Times New Roman" w:eastAsia="Times New Roman" w:hint="default"/>
        </w:rPr>
        <w:t>660.43 </w:t>
      </w:r>
      <w:r>
        <w:rPr>
          <w:spacing w:val="-11"/>
        </w:rPr>
        <w:t>万元，加</w:t>
      </w:r>
    </w:p>
    <w:p>
      <w:pPr>
        <w:pStyle w:val="BodyText"/>
        <w:spacing w:line="338" w:lineRule="auto"/>
        <w:ind w:left="153" w:right="100"/>
        <w:jc w:val="left"/>
      </w:pPr>
      <w:r>
        <w:rPr/>
        <w:t>年初未分配利润</w:t>
      </w:r>
      <w:r>
        <w:rPr>
          <w:spacing w:val="-59"/>
        </w:rPr>
        <w:t> </w:t>
      </w:r>
      <w:r>
        <w:rPr>
          <w:rFonts w:ascii="Times New Roman" w:hAnsi="Times New Roman" w:cs="Times New Roman" w:eastAsia="Times New Roman" w:hint="default"/>
        </w:rPr>
        <w:t>15,527.90</w:t>
      </w:r>
      <w:r>
        <w:rPr>
          <w:rFonts w:ascii="Times New Roman" w:hAnsi="Times New Roman" w:cs="Times New Roman" w:eastAsia="Times New Roman" w:hint="default"/>
          <w:spacing w:val="1"/>
        </w:rPr>
        <w:t> </w:t>
      </w:r>
      <w:r>
        <w:rPr>
          <w:spacing w:val="-3"/>
        </w:rPr>
        <w:t>万元，可供股东分配的利润为</w:t>
      </w:r>
      <w:r>
        <w:rPr>
          <w:spacing w:val="-59"/>
        </w:rPr>
        <w:t> </w:t>
      </w:r>
      <w:r>
        <w:rPr>
          <w:rFonts w:ascii="Times New Roman" w:hAnsi="Times New Roman" w:cs="Times New Roman" w:eastAsia="Times New Roman" w:hint="default"/>
        </w:rPr>
        <w:t>21,471.73</w:t>
      </w:r>
      <w:r>
        <w:rPr>
          <w:rFonts w:ascii="Times New Roman" w:hAnsi="Times New Roman" w:cs="Times New Roman" w:eastAsia="Times New Roman" w:hint="default"/>
          <w:spacing w:val="1"/>
        </w:rPr>
        <w:t> </w:t>
      </w:r>
      <w:r>
        <w:rPr>
          <w:spacing w:val="-5"/>
        </w:rPr>
        <w:t>万元。</w:t>
      </w:r>
      <w:r>
        <w:rPr>
          <w:rFonts w:ascii="Times New Roman" w:hAnsi="Times New Roman" w:cs="Times New Roman" w:eastAsia="Times New Roman" w:hint="default"/>
          <w:spacing w:val="-5"/>
        </w:rPr>
        <w:t>2011</w:t>
      </w:r>
      <w:r>
        <w:rPr>
          <w:rFonts w:ascii="Times New Roman" w:hAnsi="Times New Roman" w:cs="Times New Roman" w:eastAsia="Times New Roman" w:hint="default"/>
          <w:spacing w:val="1"/>
        </w:rPr>
        <w:t> </w:t>
      </w:r>
      <w:r>
        <w:rPr/>
        <w:t>年度利润分 配及资本公积金转增预案如下：</w:t>
      </w:r>
    </w:p>
    <w:p>
      <w:pPr>
        <w:pStyle w:val="BodyText"/>
        <w:spacing w:line="240" w:lineRule="auto" w:before="54"/>
        <w:ind w:left="633" w:right="89"/>
        <w:jc w:val="left"/>
      </w:pPr>
      <w:r>
        <w:rPr/>
        <w:t>（</w:t>
      </w:r>
      <w:r>
        <w:rPr>
          <w:rFonts w:ascii="Times New Roman" w:hAnsi="Times New Roman" w:cs="Times New Roman" w:eastAsia="Times New Roman" w:hint="default"/>
        </w:rPr>
        <w:t>1</w:t>
      </w:r>
      <w:r>
        <w:rPr/>
        <w:t>）利润分配预案：以</w:t>
      </w:r>
      <w:r>
        <w:rPr>
          <w:spacing w:val="-63"/>
        </w:rPr>
        <w:t> </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w:t>
      </w:r>
      <w:r>
        <w:rPr>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63"/>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日的总股本</w:t>
      </w:r>
      <w:r>
        <w:rPr>
          <w:spacing w:val="-63"/>
        </w:rPr>
        <w:t> </w:t>
      </w:r>
      <w:r>
        <w:rPr>
          <w:rFonts w:ascii="Times New Roman" w:hAnsi="Times New Roman" w:cs="Times New Roman" w:eastAsia="Times New Roman" w:hint="default"/>
        </w:rPr>
        <w:t>34,443.045</w:t>
      </w:r>
      <w:r>
        <w:rPr>
          <w:rFonts w:ascii="Times New Roman" w:hAnsi="Times New Roman" w:cs="Times New Roman" w:eastAsia="Times New Roman" w:hint="default"/>
          <w:spacing w:val="-3"/>
        </w:rPr>
        <w:t> </w:t>
      </w:r>
      <w:r>
        <w:rPr/>
        <w:t>万股为基数，拟按每</w:t>
      </w:r>
    </w:p>
    <w:p>
      <w:pPr>
        <w:pStyle w:val="BodyText"/>
        <w:spacing w:line="240" w:lineRule="auto" w:before="134"/>
        <w:ind w:left="153" w:right="89"/>
        <w:jc w:val="left"/>
      </w:pPr>
      <w:r>
        <w:rPr>
          <w:rFonts w:ascii="Times New Roman" w:hAnsi="Times New Roman" w:cs="Times New Roman" w:eastAsia="Times New Roman" w:hint="default"/>
        </w:rPr>
        <w:t>10 </w:t>
      </w:r>
      <w:r>
        <w:rPr/>
        <w:t>股派发现金股利</w:t>
      </w:r>
      <w:r>
        <w:rPr>
          <w:spacing w:val="-60"/>
        </w:rPr>
        <w:t> </w:t>
      </w:r>
      <w:r>
        <w:rPr>
          <w:rFonts w:ascii="Times New Roman" w:hAnsi="Times New Roman" w:cs="Times New Roman" w:eastAsia="Times New Roman" w:hint="default"/>
        </w:rPr>
        <w:t>0.50 </w:t>
      </w:r>
      <w:r>
        <w:rPr/>
        <w:t>元（含税），共计</w:t>
      </w:r>
      <w:r>
        <w:rPr>
          <w:spacing w:val="-60"/>
        </w:rPr>
        <w:t> </w:t>
      </w:r>
      <w:r>
        <w:rPr>
          <w:rFonts w:ascii="Times New Roman" w:hAnsi="Times New Roman" w:cs="Times New Roman" w:eastAsia="Times New Roman" w:hint="default"/>
        </w:rPr>
        <w:t>17,221,522.50 </w:t>
      </w:r>
      <w:r>
        <w:rPr/>
        <w:t>元；</w:t>
      </w:r>
    </w:p>
    <w:p>
      <w:pPr>
        <w:pStyle w:val="BodyText"/>
        <w:spacing w:line="240" w:lineRule="auto" w:before="134"/>
        <w:ind w:left="633" w:right="89"/>
        <w:jc w:val="left"/>
      </w:pPr>
      <w:r>
        <w:rPr/>
        <w:t>（</w:t>
      </w:r>
      <w:r>
        <w:rPr>
          <w:rFonts w:ascii="Times New Roman" w:hAnsi="Times New Roman" w:cs="Times New Roman" w:eastAsia="Times New Roman" w:hint="default"/>
        </w:rPr>
        <w:t>2</w:t>
      </w:r>
      <w:r>
        <w:rPr/>
        <w:t>）资本公积金转增股本预案：以</w:t>
      </w:r>
      <w:r>
        <w:rPr>
          <w:spacing w:val="-66"/>
        </w:rPr>
        <w:t> </w:t>
      </w:r>
      <w:r>
        <w:rPr>
          <w:rFonts w:ascii="Times New Roman" w:hAnsi="Times New Roman" w:cs="Times New Roman" w:eastAsia="Times New Roman" w:hint="default"/>
        </w:rPr>
        <w:t>2011</w:t>
      </w:r>
      <w:r>
        <w:rPr>
          <w:rFonts w:ascii="Times New Roman" w:hAnsi="Times New Roman" w:cs="Times New Roman" w:eastAsia="Times New Roman" w:hint="default"/>
          <w:spacing w:val="-6"/>
        </w:rPr>
        <w:t> </w:t>
      </w:r>
      <w:r>
        <w:rPr/>
        <w:t>年年末总股本</w:t>
      </w:r>
      <w:r>
        <w:rPr>
          <w:spacing w:val="-66"/>
        </w:rPr>
        <w:t> </w:t>
      </w:r>
      <w:r>
        <w:rPr>
          <w:rFonts w:ascii="Times New Roman" w:hAnsi="Times New Roman" w:cs="Times New Roman" w:eastAsia="Times New Roman" w:hint="default"/>
        </w:rPr>
        <w:t>34,443.045</w:t>
      </w:r>
      <w:r>
        <w:rPr>
          <w:rFonts w:ascii="Times New Roman" w:hAnsi="Times New Roman" w:cs="Times New Roman" w:eastAsia="Times New Roman" w:hint="default"/>
          <w:spacing w:val="-6"/>
        </w:rPr>
        <w:t> </w:t>
      </w:r>
      <w:r>
        <w:rPr/>
        <w:t>万股为基数，拟以</w:t>
      </w:r>
    </w:p>
    <w:p>
      <w:pPr>
        <w:pStyle w:val="BodyText"/>
        <w:spacing w:line="240" w:lineRule="auto" w:before="134"/>
        <w:ind w:left="153" w:right="89"/>
        <w:jc w:val="left"/>
      </w:pPr>
      <w:r>
        <w:rPr/>
        <w:t>资本公积金向全体股东每</w:t>
      </w:r>
      <w:r>
        <w:rPr>
          <w:spacing w:val="-60"/>
        </w:rPr>
        <w:t> </w:t>
      </w:r>
      <w:r>
        <w:rPr>
          <w:rFonts w:ascii="Times New Roman" w:hAnsi="Times New Roman" w:cs="Times New Roman" w:eastAsia="Times New Roman" w:hint="default"/>
        </w:rPr>
        <w:t>10 </w:t>
      </w:r>
      <w:r>
        <w:rPr/>
        <w:t>股转增</w:t>
      </w:r>
      <w:r>
        <w:rPr>
          <w:spacing w:val="-60"/>
        </w:rPr>
        <w:t> </w:t>
      </w:r>
      <w:r>
        <w:rPr>
          <w:rFonts w:ascii="Times New Roman" w:hAnsi="Times New Roman" w:cs="Times New Roman" w:eastAsia="Times New Roman" w:hint="default"/>
        </w:rPr>
        <w:t>7 </w:t>
      </w:r>
      <w:r>
        <w:rPr/>
        <w:t>股。</w:t>
      </w:r>
    </w:p>
    <w:p>
      <w:pPr>
        <w:pStyle w:val="BodyText"/>
        <w:spacing w:line="338" w:lineRule="auto" w:before="134"/>
        <w:ind w:left="153" w:right="89" w:firstLine="480"/>
        <w:jc w:val="left"/>
      </w:pPr>
      <w:r>
        <w:rPr>
          <w:rFonts w:ascii="Times New Roman" w:hAnsi="Times New Roman" w:cs="Times New Roman" w:eastAsia="Times New Roman" w:hint="default"/>
          <w:spacing w:val="-3"/>
        </w:rPr>
        <w:t>2011 </w:t>
      </w:r>
      <w:r>
        <w:rPr/>
        <w:t>年度利润分配及资本公积金转增股本预案须提请公司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4"/>
        </w:rPr>
        <w:t> </w:t>
      </w:r>
      <w:r>
        <w:rPr/>
        <w:t>年度股东大会审议批</w:t>
      </w:r>
      <w:r>
        <w:rPr>
          <w:spacing w:val="-1"/>
        </w:rPr>
        <w:t> </w:t>
      </w:r>
      <w:r>
        <w:rPr/>
        <w:t>准后实施。</w:t>
      </w:r>
    </w:p>
    <w:p>
      <w:pPr>
        <w:pStyle w:val="BodyText"/>
        <w:spacing w:line="240" w:lineRule="auto" w:before="54"/>
        <w:ind w:left="633" w:right="89"/>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2010</w:t>
      </w:r>
      <w:r>
        <w:rPr/>
        <w:t>年度利润分配及资本公积金转增股本方案</w:t>
      </w:r>
    </w:p>
    <w:p>
      <w:pPr>
        <w:pStyle w:val="BodyText"/>
        <w:spacing w:line="240" w:lineRule="auto" w:before="134"/>
        <w:ind w:left="633" w:right="0"/>
        <w:jc w:val="left"/>
      </w:pPr>
      <w:r>
        <w:rPr>
          <w:rFonts w:ascii="Times New Roman" w:hAnsi="Times New Roman" w:cs="Times New Roman" w:eastAsia="Times New Roman" w:hint="default"/>
        </w:rPr>
        <w:t>2010 </w:t>
      </w:r>
      <w:r>
        <w:rPr/>
        <w:t>年度经营情况业经立信大华会计师事务所有限公司审计，母公司 </w:t>
      </w:r>
      <w:r>
        <w:rPr>
          <w:rFonts w:ascii="Times New Roman" w:hAnsi="Times New Roman" w:cs="Times New Roman" w:eastAsia="Times New Roman" w:hint="default"/>
        </w:rPr>
        <w:t>2010</w:t>
      </w:r>
      <w:r>
        <w:rPr>
          <w:rFonts w:ascii="Times New Roman" w:hAnsi="Times New Roman" w:cs="Times New Roman" w:eastAsia="Times New Roman" w:hint="default"/>
          <w:spacing w:val="-7"/>
        </w:rPr>
        <w:t> </w:t>
      </w:r>
      <w:r>
        <w:rPr/>
        <w:t>年度实现</w:t>
      </w:r>
    </w:p>
    <w:p>
      <w:pPr>
        <w:pStyle w:val="BodyText"/>
        <w:spacing w:line="240" w:lineRule="auto" w:before="134"/>
        <w:ind w:left="153" w:right="0"/>
        <w:jc w:val="left"/>
      </w:pPr>
      <w:r>
        <w:rPr/>
        <w:t>净利润</w:t>
      </w:r>
      <w:r>
        <w:rPr>
          <w:spacing w:val="-59"/>
        </w:rPr>
        <w:t> </w:t>
      </w:r>
      <w:r>
        <w:rPr>
          <w:rFonts w:ascii="Times New Roman" w:hAnsi="Times New Roman" w:cs="Times New Roman" w:eastAsia="Times New Roman" w:hint="default"/>
        </w:rPr>
        <w:t>3,470.03</w:t>
      </w:r>
      <w:r>
        <w:rPr>
          <w:rFonts w:ascii="Times New Roman" w:hAnsi="Times New Roman" w:cs="Times New Roman" w:eastAsia="Times New Roman" w:hint="default"/>
          <w:spacing w:val="1"/>
        </w:rPr>
        <w:t> </w:t>
      </w:r>
      <w:r>
        <w:rPr>
          <w:spacing w:val="-4"/>
        </w:rPr>
        <w:t>万元，按母公司净利润的</w:t>
      </w:r>
      <w:r>
        <w:rPr>
          <w:spacing w:val="-59"/>
        </w:rPr>
        <w:t> </w:t>
      </w:r>
      <w:r>
        <w:rPr>
          <w:rFonts w:ascii="Times New Roman" w:hAnsi="Times New Roman" w:cs="Times New Roman" w:eastAsia="Times New Roman" w:hint="default"/>
        </w:rPr>
        <w:t>10%</w:t>
      </w:r>
      <w:r>
        <w:rPr/>
        <w:t>提取法定盈余公积</w:t>
      </w:r>
      <w:r>
        <w:rPr>
          <w:spacing w:val="-59"/>
        </w:rPr>
        <w:t> </w:t>
      </w:r>
      <w:r>
        <w:rPr>
          <w:rFonts w:ascii="Times New Roman" w:hAnsi="Times New Roman" w:cs="Times New Roman" w:eastAsia="Times New Roman" w:hint="default"/>
        </w:rPr>
        <w:t>347.00</w:t>
      </w:r>
      <w:r>
        <w:rPr>
          <w:rFonts w:ascii="Times New Roman" w:hAnsi="Times New Roman" w:cs="Times New Roman" w:eastAsia="Times New Roman" w:hint="default"/>
          <w:spacing w:val="1"/>
        </w:rPr>
        <w:t> </w:t>
      </w:r>
      <w:r>
        <w:rPr>
          <w:spacing w:val="-6"/>
        </w:rPr>
        <w:t>万元，加年初未分</w:t>
      </w:r>
    </w:p>
    <w:p>
      <w:pPr>
        <w:pStyle w:val="BodyText"/>
        <w:spacing w:line="338" w:lineRule="auto" w:before="134"/>
        <w:ind w:left="153" w:right="100"/>
        <w:jc w:val="left"/>
      </w:pPr>
      <w:r>
        <w:rPr/>
        <w:t>配利润</w:t>
      </w:r>
      <w:r>
        <w:rPr>
          <w:spacing w:val="-59"/>
        </w:rPr>
        <w:t> </w:t>
      </w:r>
      <w:r>
        <w:rPr>
          <w:rFonts w:ascii="Times New Roman" w:hAnsi="Times New Roman" w:cs="Times New Roman" w:eastAsia="Times New Roman" w:hint="default"/>
        </w:rPr>
        <w:t>12,404.88</w:t>
      </w:r>
      <w:r>
        <w:rPr>
          <w:rFonts w:ascii="Times New Roman" w:hAnsi="Times New Roman" w:cs="Times New Roman" w:eastAsia="Times New Roman" w:hint="default"/>
          <w:spacing w:val="1"/>
        </w:rPr>
        <w:t> </w:t>
      </w:r>
      <w:r>
        <w:rPr>
          <w:spacing w:val="-3"/>
        </w:rPr>
        <w:t>万元，可供股东分配的利润为</w:t>
      </w:r>
      <w:r>
        <w:rPr>
          <w:spacing w:val="-59"/>
        </w:rPr>
        <w:t> </w:t>
      </w:r>
      <w:r>
        <w:rPr>
          <w:rFonts w:ascii="Times New Roman" w:hAnsi="Times New Roman" w:cs="Times New Roman" w:eastAsia="Times New Roman" w:hint="default"/>
        </w:rPr>
        <w:t>15,527.90</w:t>
      </w:r>
      <w:r>
        <w:rPr>
          <w:rFonts w:ascii="Times New Roman" w:hAnsi="Times New Roman" w:cs="Times New Roman" w:eastAsia="Times New Roman" w:hint="default"/>
          <w:spacing w:val="1"/>
        </w:rPr>
        <w:t> </w:t>
      </w:r>
      <w:r>
        <w:rPr>
          <w:spacing w:val="-5"/>
        </w:rPr>
        <w:t>万元。</w:t>
      </w:r>
      <w:r>
        <w:rPr>
          <w:rFonts w:ascii="Times New Roman" w:hAnsi="Times New Roman" w:cs="Times New Roman" w:eastAsia="Times New Roman" w:hint="default"/>
          <w:spacing w:val="-5"/>
        </w:rPr>
        <w:t>2010</w:t>
      </w:r>
      <w:r>
        <w:rPr>
          <w:rFonts w:ascii="Times New Roman" w:hAnsi="Times New Roman" w:cs="Times New Roman" w:eastAsia="Times New Roman" w:hint="default"/>
          <w:spacing w:val="1"/>
        </w:rPr>
        <w:t> </w:t>
      </w:r>
      <w:r>
        <w:rPr/>
        <w:t>年度利润分配及资本 公积金转增方案如下：</w:t>
      </w:r>
    </w:p>
    <w:p>
      <w:pPr>
        <w:pStyle w:val="BodyText"/>
        <w:spacing w:line="240" w:lineRule="auto" w:before="54"/>
        <w:ind w:left="633" w:right="89"/>
        <w:jc w:val="left"/>
      </w:pPr>
      <w:r>
        <w:rPr/>
        <w:t>（</w:t>
      </w:r>
      <w:r>
        <w:rPr>
          <w:rFonts w:ascii="Times New Roman" w:hAnsi="Times New Roman" w:cs="Times New Roman" w:eastAsia="Times New Roman" w:hint="default"/>
        </w:rPr>
        <w:t>1</w:t>
      </w:r>
      <w:r>
        <w:rPr/>
        <w:t>）利润分配方案：本年度不分配利润，留待以后年度分配。</w:t>
      </w:r>
    </w:p>
    <w:p>
      <w:pPr>
        <w:pStyle w:val="BodyText"/>
        <w:spacing w:line="240" w:lineRule="auto" w:before="134"/>
        <w:ind w:left="633" w:right="0"/>
        <w:jc w:val="left"/>
      </w:pPr>
      <w:r>
        <w:rPr/>
        <w:t>（</w:t>
      </w:r>
      <w:r>
        <w:rPr>
          <w:rFonts w:ascii="Times New Roman" w:hAnsi="Times New Roman" w:cs="Times New Roman" w:eastAsia="Times New Roman" w:hint="default"/>
        </w:rPr>
        <w:t>2</w:t>
      </w:r>
      <w:r>
        <w:rPr/>
        <w:t>）资本公积金转增股本方案：以 </w:t>
      </w:r>
      <w:r>
        <w:rPr>
          <w:rFonts w:ascii="Times New Roman" w:hAnsi="Times New Roman" w:cs="Times New Roman" w:eastAsia="Times New Roman" w:hint="default"/>
        </w:rPr>
        <w:t>2010 </w:t>
      </w:r>
      <w:r>
        <w:rPr/>
        <w:t>年年末总股本 </w:t>
      </w:r>
      <w:r>
        <w:rPr>
          <w:rFonts w:ascii="Times New Roman" w:hAnsi="Times New Roman" w:cs="Times New Roman" w:eastAsia="Times New Roman" w:hint="default"/>
        </w:rPr>
        <w:t>26,494.65</w:t>
      </w:r>
      <w:r>
        <w:rPr>
          <w:rFonts w:ascii="Times New Roman" w:hAnsi="Times New Roman" w:cs="Times New Roman" w:eastAsia="Times New Roman" w:hint="default"/>
          <w:spacing w:val="-8"/>
        </w:rPr>
        <w:t> </w:t>
      </w:r>
      <w:r>
        <w:rPr/>
        <w:t>万股为基数，向全</w:t>
      </w:r>
    </w:p>
    <w:p>
      <w:pPr>
        <w:pStyle w:val="BodyText"/>
        <w:spacing w:line="240" w:lineRule="auto" w:before="134"/>
        <w:ind w:left="153" w:right="89"/>
        <w:jc w:val="left"/>
      </w:pPr>
      <w:r>
        <w:rPr/>
        <w:t>体股东以资本公积金每</w:t>
      </w:r>
      <w:r>
        <w:rPr>
          <w:spacing w:val="-60"/>
        </w:rPr>
        <w:t> </w:t>
      </w:r>
      <w:r>
        <w:rPr>
          <w:rFonts w:ascii="Times New Roman" w:hAnsi="Times New Roman" w:cs="Times New Roman" w:eastAsia="Times New Roman" w:hint="default"/>
        </w:rPr>
        <w:t>10 </w:t>
      </w:r>
      <w:r>
        <w:rPr/>
        <w:t>股转增</w:t>
      </w:r>
      <w:r>
        <w:rPr>
          <w:spacing w:val="-60"/>
        </w:rPr>
        <w:t> </w:t>
      </w:r>
      <w:r>
        <w:rPr>
          <w:rFonts w:ascii="Times New Roman" w:hAnsi="Times New Roman" w:cs="Times New Roman" w:eastAsia="Times New Roman" w:hint="default"/>
        </w:rPr>
        <w:t>3 </w:t>
      </w:r>
      <w:r>
        <w:rPr/>
        <w:t>股。</w:t>
      </w:r>
    </w:p>
    <w:p>
      <w:pPr>
        <w:pStyle w:val="BodyText"/>
        <w:spacing w:line="240" w:lineRule="auto"/>
        <w:ind w:left="633" w:right="89"/>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2009 </w:t>
      </w:r>
      <w:r>
        <w:rPr/>
        <w:t>年度利润分配及资本公积金转增股本方案</w:t>
      </w:r>
    </w:p>
    <w:p>
      <w:pPr>
        <w:pStyle w:val="BodyText"/>
        <w:spacing w:line="240" w:lineRule="auto" w:before="134"/>
        <w:ind w:left="633" w:right="0"/>
        <w:jc w:val="left"/>
      </w:pPr>
      <w:r>
        <w:rPr>
          <w:rFonts w:ascii="Times New Roman" w:hAnsi="Times New Roman" w:cs="Times New Roman" w:eastAsia="Times New Roman" w:hint="default"/>
        </w:rPr>
        <w:t>2009  </w:t>
      </w:r>
      <w:r>
        <w:rPr>
          <w:spacing w:val="-3"/>
        </w:rPr>
        <w:t>年度经营情况业经立信大华会计师事务所有限公司审计，母公司 </w:t>
      </w:r>
      <w:r>
        <w:rPr>
          <w:rFonts w:ascii="Times New Roman" w:hAnsi="Times New Roman" w:cs="Times New Roman" w:eastAsia="Times New Roman" w:hint="default"/>
        </w:rPr>
        <w:t>2009</w:t>
      </w:r>
      <w:r>
        <w:rPr>
          <w:rFonts w:ascii="Times New Roman" w:hAnsi="Times New Roman" w:cs="Times New Roman" w:eastAsia="Times New Roman" w:hint="default"/>
          <w:spacing w:val="23"/>
        </w:rPr>
        <w:t> </w:t>
      </w:r>
      <w:r>
        <w:rPr/>
        <w:t>年度实现</w:t>
      </w:r>
    </w:p>
    <w:p>
      <w:pPr>
        <w:pStyle w:val="BodyText"/>
        <w:spacing w:line="240" w:lineRule="auto" w:before="134"/>
        <w:ind w:left="153" w:right="0"/>
        <w:jc w:val="left"/>
      </w:pPr>
      <w:r>
        <w:rPr/>
        <w:t>净利润</w:t>
      </w:r>
      <w:r>
        <w:rPr>
          <w:spacing w:val="-48"/>
        </w:rPr>
        <w:t> </w:t>
      </w:r>
      <w:r>
        <w:rPr>
          <w:rFonts w:ascii="Times New Roman" w:hAnsi="Times New Roman" w:cs="Times New Roman" w:eastAsia="Times New Roman" w:hint="default"/>
        </w:rPr>
        <w:t>8,233.20  </w:t>
      </w:r>
      <w:r>
        <w:rPr/>
        <w:t>万元，按母公司净利润的</w:t>
      </w:r>
      <w:r>
        <w:rPr>
          <w:spacing w:val="-48"/>
        </w:rPr>
        <w:t> </w:t>
      </w:r>
      <w:r>
        <w:rPr>
          <w:rFonts w:ascii="Times New Roman" w:hAnsi="Times New Roman" w:cs="Times New Roman" w:eastAsia="Times New Roman" w:hint="default"/>
        </w:rPr>
        <w:t>10%</w:t>
      </w:r>
      <w:r>
        <w:rPr/>
        <w:t>提取法定盈余公积</w:t>
      </w:r>
      <w:r>
        <w:rPr>
          <w:spacing w:val="-48"/>
        </w:rPr>
        <w:t> </w:t>
      </w:r>
      <w:r>
        <w:rPr>
          <w:rFonts w:ascii="Times New Roman" w:hAnsi="Times New Roman" w:cs="Times New Roman" w:eastAsia="Times New Roman" w:hint="default"/>
        </w:rPr>
        <w:t>823.32  </w:t>
      </w:r>
      <w:r>
        <w:rPr/>
        <w:t>万元，加年初未</w:t>
      </w:r>
    </w:p>
    <w:p>
      <w:pPr>
        <w:pStyle w:val="BodyText"/>
        <w:spacing w:line="338" w:lineRule="auto" w:before="134"/>
        <w:ind w:left="153" w:right="89"/>
        <w:jc w:val="left"/>
      </w:pPr>
      <w:r>
        <w:rPr/>
        <w:t>分配利润 </w:t>
      </w:r>
      <w:r>
        <w:rPr>
          <w:rFonts w:ascii="Times New Roman" w:hAnsi="Times New Roman" w:cs="Times New Roman" w:eastAsia="Times New Roman" w:hint="default"/>
        </w:rPr>
        <w:t>4,995.00 </w:t>
      </w:r>
      <w:r>
        <w:rPr/>
        <w:t>万元，可供股东分配的利润为 </w:t>
      </w:r>
      <w:r>
        <w:rPr>
          <w:rFonts w:ascii="Times New Roman" w:hAnsi="Times New Roman" w:cs="Times New Roman" w:eastAsia="Times New Roman" w:hint="default"/>
        </w:rPr>
        <w:t>12,404.88 </w:t>
      </w:r>
      <w:r>
        <w:rPr/>
        <w:t>万元。</w:t>
      </w:r>
      <w:r>
        <w:rPr>
          <w:rFonts w:ascii="Times New Roman" w:hAnsi="Times New Roman" w:cs="Times New Roman" w:eastAsia="Times New Roman" w:hint="default"/>
        </w:rPr>
        <w:t>2009</w:t>
      </w:r>
      <w:r>
        <w:rPr>
          <w:rFonts w:ascii="Times New Roman" w:hAnsi="Times New Roman" w:cs="Times New Roman" w:eastAsia="Times New Roman" w:hint="default"/>
          <w:spacing w:val="54"/>
        </w:rPr>
        <w:t> </w:t>
      </w:r>
      <w:r>
        <w:rPr/>
        <w:t>年度利润分配及 资本公积金转增方案如下：本年度不分配不转增。</w:t>
      </w:r>
    </w:p>
    <w:p>
      <w:pPr>
        <w:spacing w:after="0" w:line="338" w:lineRule="auto"/>
        <w:jc w:val="left"/>
        <w:sectPr>
          <w:pgSz w:w="11910" w:h="16840"/>
          <w:pgMar w:header="747" w:footer="984" w:top="980" w:bottom="1180" w:left="980" w:right="1300"/>
        </w:sectPr>
      </w:pPr>
    </w:p>
    <w:p>
      <w:pPr>
        <w:spacing w:line="240" w:lineRule="auto" w:before="7"/>
        <w:rPr>
          <w:rFonts w:ascii="宋体" w:hAnsi="宋体" w:cs="宋体" w:eastAsia="宋体" w:hint="default"/>
          <w:sz w:val="29"/>
          <w:szCs w:val="29"/>
        </w:rPr>
      </w:pPr>
    </w:p>
    <w:p>
      <w:pPr>
        <w:pStyle w:val="BodyText"/>
        <w:spacing w:line="240" w:lineRule="auto" w:before="26"/>
        <w:ind w:left="634" w:right="103"/>
        <w:jc w:val="left"/>
      </w:pPr>
      <w:r>
        <w:rPr/>
        <w:t>公司前三年现金分红情况</w:t>
      </w:r>
    </w:p>
    <w:p>
      <w:pPr>
        <w:spacing w:line="240" w:lineRule="auto" w:before="12"/>
        <w:rPr>
          <w:rFonts w:ascii="宋体" w:hAnsi="宋体" w:cs="宋体" w:eastAsia="宋体" w:hint="default"/>
          <w:sz w:val="8"/>
          <w:szCs w:val="8"/>
        </w:rPr>
      </w:pPr>
    </w:p>
    <w:p>
      <w:pPr>
        <w:spacing w:before="44"/>
        <w:ind w:left="0" w:right="1043"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90"/>
          <w:sz w:val="18"/>
          <w:szCs w:val="18"/>
        </w:rPr>
        <w:t>：</w:t>
      </w:r>
      <w:r>
        <w:rPr>
          <w:rFonts w:ascii="宋体" w:hAnsi="宋体" w:cs="宋体" w:eastAsia="宋体" w:hint="default"/>
          <w:sz w:val="18"/>
          <w:szCs w:val="18"/>
        </w:rPr>
        <w:t>（人民币）元</w:t>
      </w:r>
    </w:p>
    <w:p>
      <w:pPr>
        <w:spacing w:line="240" w:lineRule="auto" w:before="3"/>
        <w:rPr>
          <w:rFonts w:ascii="宋体" w:hAnsi="宋体" w:cs="宋体" w:eastAsia="宋体" w:hint="default"/>
          <w:sz w:val="2"/>
          <w:szCs w:val="2"/>
        </w:rPr>
      </w:pPr>
    </w:p>
    <w:tbl>
      <w:tblPr>
        <w:tblW w:w="0" w:type="auto"/>
        <w:jc w:val="left"/>
        <w:tblInd w:w="149" w:type="dxa"/>
        <w:tblLayout w:type="fixed"/>
        <w:tblCellMar>
          <w:top w:w="0" w:type="dxa"/>
          <w:left w:w="0" w:type="dxa"/>
          <w:bottom w:w="0" w:type="dxa"/>
          <w:right w:w="0" w:type="dxa"/>
        </w:tblCellMar>
        <w:tblLook w:val="01E0"/>
      </w:tblPr>
      <w:tblGrid>
        <w:gridCol w:w="1440"/>
        <w:gridCol w:w="1800"/>
        <w:gridCol w:w="1980"/>
        <w:gridCol w:w="2152"/>
        <w:gridCol w:w="1661"/>
      </w:tblGrid>
      <w:tr>
        <w:trPr>
          <w:trHeight w:val="970" w:hRule="exact"/>
        </w:trPr>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0"/>
              <w:jc w:val="center"/>
              <w:rPr>
                <w:rFonts w:ascii="宋体" w:hAnsi="宋体" w:cs="宋体" w:eastAsia="宋体" w:hint="default"/>
                <w:sz w:val="18"/>
                <w:szCs w:val="18"/>
              </w:rPr>
            </w:pPr>
            <w:r>
              <w:rPr>
                <w:rFonts w:ascii="宋体" w:hAnsi="宋体" w:cs="宋体" w:eastAsia="宋体" w:hint="default"/>
                <w:sz w:val="18"/>
                <w:szCs w:val="18"/>
              </w:rPr>
              <w:t>分红年度</w:t>
            </w:r>
          </w:p>
        </w:tc>
        <w:tc>
          <w:tcPr>
            <w:tcW w:w="18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33"/>
              <w:jc w:val="right"/>
              <w:rPr>
                <w:rFonts w:ascii="宋体" w:hAnsi="宋体" w:cs="宋体" w:eastAsia="宋体" w:hint="default"/>
                <w:sz w:val="18"/>
                <w:szCs w:val="18"/>
              </w:rPr>
            </w:pPr>
            <w:r>
              <w:rPr>
                <w:rFonts w:ascii="宋体" w:hAnsi="宋体" w:cs="宋体" w:eastAsia="宋体" w:hint="default"/>
                <w:sz w:val="18"/>
                <w:szCs w:val="18"/>
              </w:rPr>
              <w:t>现金分红金额（含税）</w:t>
            </w:r>
          </w:p>
        </w:tc>
        <w:tc>
          <w:tcPr>
            <w:tcW w:w="19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326" w:lineRule="auto" w:before="56"/>
              <w:ind w:left="83" w:right="84"/>
              <w:jc w:val="center"/>
              <w:rPr>
                <w:rFonts w:ascii="宋体" w:hAnsi="宋体" w:cs="宋体" w:eastAsia="宋体" w:hint="default"/>
                <w:sz w:val="18"/>
                <w:szCs w:val="18"/>
              </w:rPr>
            </w:pPr>
            <w:r>
              <w:rPr>
                <w:rFonts w:ascii="宋体" w:hAnsi="宋体" w:cs="宋体" w:eastAsia="宋体" w:hint="default"/>
                <w:sz w:val="18"/>
                <w:szCs w:val="18"/>
              </w:rPr>
              <w:t>分红年度合并报表中归 属于上市公司股东的净 利润</w:t>
            </w:r>
          </w:p>
        </w:tc>
        <w:tc>
          <w:tcPr>
            <w:tcW w:w="215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6"/>
              <w:ind w:right="0"/>
              <w:jc w:val="left"/>
              <w:rPr>
                <w:rFonts w:ascii="宋体" w:hAnsi="宋体" w:cs="宋体" w:eastAsia="宋体" w:hint="default"/>
                <w:sz w:val="16"/>
                <w:szCs w:val="16"/>
              </w:rPr>
            </w:pPr>
          </w:p>
          <w:p>
            <w:pPr>
              <w:pStyle w:val="TableParagraph"/>
              <w:spacing w:line="326" w:lineRule="auto"/>
              <w:ind w:left="80" w:right="79"/>
              <w:jc w:val="left"/>
              <w:rPr>
                <w:rFonts w:ascii="宋体" w:hAnsi="宋体" w:cs="宋体" w:eastAsia="宋体" w:hint="default"/>
                <w:sz w:val="18"/>
                <w:szCs w:val="18"/>
              </w:rPr>
            </w:pPr>
            <w:r>
              <w:rPr>
                <w:rFonts w:ascii="宋体" w:hAnsi="宋体" w:cs="宋体" w:eastAsia="宋体" w:hint="default"/>
                <w:sz w:val="18"/>
                <w:szCs w:val="18"/>
              </w:rPr>
              <w:t>占合并报表中归属于上市 公司股东的净利润的比率</w:t>
            </w:r>
          </w:p>
        </w:tc>
        <w:tc>
          <w:tcPr>
            <w:tcW w:w="166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left="195" w:right="0"/>
              <w:jc w:val="left"/>
              <w:rPr>
                <w:rFonts w:ascii="宋体" w:hAnsi="宋体" w:cs="宋体" w:eastAsia="宋体" w:hint="default"/>
                <w:sz w:val="18"/>
                <w:szCs w:val="18"/>
              </w:rPr>
            </w:pPr>
            <w:r>
              <w:rPr>
                <w:rFonts w:ascii="宋体" w:hAnsi="宋体" w:cs="宋体" w:eastAsia="宋体" w:hint="default"/>
                <w:sz w:val="18"/>
                <w:szCs w:val="18"/>
              </w:rPr>
              <w:t>年度可分配利润</w:t>
            </w:r>
          </w:p>
        </w:tc>
      </w:tr>
      <w:tr>
        <w:trPr>
          <w:trHeight w:val="330" w:hRule="exact"/>
        </w:trPr>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z w:val="18"/>
              </w:rPr>
              <w:t>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94,047,869.79</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z w:val="18"/>
              </w:rPr>
              <w:t>0.00%</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94,047,869.79</w:t>
            </w:r>
          </w:p>
        </w:tc>
      </w:tr>
      <w:tr>
        <w:trPr>
          <w:trHeight w:val="330" w:hRule="exact"/>
        </w:trPr>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z w:val="18"/>
              </w:rPr>
              <w:t>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90,815,103.05</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z w:val="18"/>
              </w:rPr>
              <w:t>0.00%</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90,815,103.05</w:t>
            </w:r>
          </w:p>
        </w:tc>
      </w:tr>
      <w:tr>
        <w:trPr>
          <w:trHeight w:val="330" w:hRule="exact"/>
        </w:trPr>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z w:val="18"/>
              </w:rPr>
              <w:t>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60,402,811.09</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60,402,811.09</w:t>
            </w:r>
          </w:p>
        </w:tc>
      </w:tr>
      <w:tr>
        <w:trPr>
          <w:trHeight w:val="330" w:hRule="exact"/>
        </w:trPr>
        <w:tc>
          <w:tcPr>
            <w:tcW w:w="5220" w:type="dxa"/>
            <w:gridSpan w:val="3"/>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279" w:right="0"/>
              <w:jc w:val="left"/>
              <w:rPr>
                <w:rFonts w:ascii="宋体" w:hAnsi="宋体" w:cs="宋体" w:eastAsia="宋体" w:hint="default"/>
                <w:sz w:val="18"/>
                <w:szCs w:val="18"/>
              </w:rPr>
            </w:pPr>
            <w:r>
              <w:rPr>
                <w:rFonts w:ascii="宋体" w:hAnsi="宋体" w:cs="宋体" w:eastAsia="宋体" w:hint="default"/>
                <w:sz w:val="18"/>
                <w:szCs w:val="18"/>
              </w:rPr>
              <w:t>最近三年累计现金分红金额占最近年均净利润的比例（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38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9"/>
        <w:rPr>
          <w:rFonts w:ascii="宋体" w:hAnsi="宋体" w:cs="宋体" w:eastAsia="宋体" w:hint="default"/>
          <w:sz w:val="26"/>
          <w:szCs w:val="26"/>
        </w:rPr>
      </w:pPr>
    </w:p>
    <w:p>
      <w:pPr>
        <w:pStyle w:val="BodyText"/>
        <w:spacing w:line="357" w:lineRule="auto" w:before="26"/>
        <w:ind w:left="633" w:right="211"/>
        <w:jc w:val="left"/>
      </w:pPr>
      <w:r>
        <w:rPr/>
        <w:t>六、内幕信息知情人登记管理制度的建立和执行情况 报告期内，公司严格执行中国证监会和深圳证券交易所的相关规定，并根据广东证监</w:t>
      </w:r>
    </w:p>
    <w:p>
      <w:pPr>
        <w:pStyle w:val="BodyText"/>
        <w:spacing w:line="352" w:lineRule="auto" w:before="35"/>
        <w:ind w:left="153" w:right="103"/>
        <w:jc w:val="left"/>
      </w:pPr>
      <w:r>
        <w:rPr>
          <w:rFonts w:ascii="Times New Roman" w:hAnsi="Times New Roman" w:cs="Times New Roman" w:eastAsia="Times New Roman" w:hint="default"/>
          <w:spacing w:val="-4"/>
        </w:rPr>
        <w:t>[2011]170</w:t>
      </w:r>
      <w:r>
        <w:rPr>
          <w:spacing w:val="-4"/>
        </w:rPr>
        <w:t>号《通知》的要求，对公司内幕信息管理制度的建设情况和执行情况进行了自查，</w:t>
      </w:r>
      <w:r>
        <w:rPr>
          <w:spacing w:val="-114"/>
        </w:rPr>
        <w:t> </w:t>
      </w:r>
      <w:r>
        <w:rPr>
          <w:spacing w:val="-114"/>
        </w:rPr>
      </w:r>
      <w:r>
        <w:rPr/>
        <w:t>并对公司内幕信息知情人是否涉及内幕交易进行了排查。为了加强内幕信息管理，做好内</w:t>
      </w:r>
      <w:r>
        <w:rPr>
          <w:w w:val="99"/>
        </w:rPr>
        <w:t> </w:t>
      </w:r>
      <w:r>
        <w:rPr>
          <w:spacing w:val="-7"/>
        </w:rPr>
        <w:t>幕信息保密工作，有效防范内幕信息知情人员进行内幕交易，公司根据有关法律法规对《信</w:t>
      </w:r>
      <w:r>
        <w:rPr>
          <w:spacing w:val="-87"/>
        </w:rPr>
        <w:t> </w:t>
      </w:r>
      <w:r>
        <w:rPr>
          <w:spacing w:val="-87"/>
        </w:rPr>
      </w:r>
      <w:r>
        <w:rPr/>
        <w:t>息披露管理制度》、《内幕信息知情人报备制度》及《投资者关系管理制度》等制度进行</w:t>
      </w:r>
      <w:r>
        <w:rPr>
          <w:spacing w:val="-1"/>
          <w:w w:val="99"/>
        </w:rPr>
        <w:t> </w:t>
      </w:r>
      <w:r>
        <w:rPr>
          <w:spacing w:val="-4"/>
        </w:rPr>
        <w:t>了修订和完善，加强保密措施，落实信息披露的归口管理责任，完善信息流程和控制机制，</w:t>
      </w:r>
      <w:r>
        <w:rPr>
          <w:spacing w:val="-84"/>
        </w:rPr>
        <w:t> </w:t>
      </w:r>
      <w:r>
        <w:rPr>
          <w:spacing w:val="-84"/>
        </w:rPr>
      </w:r>
      <w:r>
        <w:rPr/>
        <w:t>并组织内部相关人员认真学习相关规定制度、提高认识，定期如实登记报备内幕信息知情</w:t>
      </w:r>
      <w:r>
        <w:rPr>
          <w:w w:val="99"/>
        </w:rPr>
        <w:t> </w:t>
      </w:r>
      <w:r>
        <w:rPr/>
        <w:t>人的相关情况。</w:t>
      </w:r>
    </w:p>
    <w:p>
      <w:pPr>
        <w:pStyle w:val="BodyText"/>
        <w:spacing w:line="357" w:lineRule="auto" w:before="40"/>
        <w:ind w:left="154" w:right="103" w:firstLine="480"/>
        <w:jc w:val="left"/>
      </w:pPr>
      <w:r>
        <w:rPr/>
        <w:t>报告期内，公司按照《信息披露管理制度》等的相关规定，严格执行信息外报流程的</w:t>
      </w:r>
      <w:r>
        <w:rPr>
          <w:spacing w:val="-1"/>
        </w:rPr>
        <w:t> </w:t>
      </w:r>
      <w:r>
        <w:rPr/>
        <w:t>审批程序，所有信息必须经公司董事会秘书批准后方可对外报送，同时向接收人员提供保</w:t>
      </w:r>
      <w:r>
        <w:rPr/>
        <w:t> 密提示函，并要求对方接收人员签署回执，回执中同时列明使用所报送信息的人员情况， </w:t>
      </w:r>
      <w:r>
        <w:rPr>
          <w:spacing w:val="-4"/>
        </w:rPr>
        <w:t>并交由公司证券部保留存档，证券部将外部单位相关人员作为内幕知情人登记备查。同时，</w:t>
      </w:r>
      <w:r>
        <w:rPr>
          <w:spacing w:val="-86"/>
        </w:rPr>
        <w:t> </w:t>
      </w:r>
      <w:r>
        <w:rPr>
          <w:spacing w:val="-86"/>
        </w:rPr>
      </w:r>
      <w:r>
        <w:rPr/>
        <w:t>公司积极做好投资者来访调研、媒体采访的接待安排和保密工作，进行直接沟通前，要求</w:t>
      </w:r>
      <w:r>
        <w:rPr>
          <w:spacing w:val="-1"/>
        </w:rPr>
        <w:t> </w:t>
      </w:r>
      <w:r>
        <w:rPr/>
        <w:t>对方签署承诺书。</w:t>
      </w:r>
    </w:p>
    <w:p>
      <w:pPr>
        <w:pStyle w:val="BodyText"/>
        <w:spacing w:line="240" w:lineRule="auto" w:before="35"/>
        <w:ind w:left="634" w:right="103"/>
        <w:jc w:val="left"/>
      </w:pPr>
      <w:r>
        <w:rPr/>
        <w:t>报告期内，公司无内幕信息知情人违规买卖公司股票的情形发生，无监管处罚记录。</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19"/>
          <w:szCs w:val="19"/>
        </w:rPr>
      </w:pPr>
    </w:p>
    <w:p>
      <w:pPr>
        <w:pStyle w:val="BodyText"/>
        <w:spacing w:line="240" w:lineRule="auto" w:before="0"/>
        <w:ind w:left="693" w:right="103"/>
        <w:jc w:val="left"/>
      </w:pPr>
      <w:r>
        <w:rPr/>
        <w:t>七、其他需要披露的事项</w:t>
      </w:r>
    </w:p>
    <w:p>
      <w:pPr>
        <w:pStyle w:val="BodyText"/>
        <w:spacing w:line="357" w:lineRule="auto" w:before="152"/>
        <w:ind w:left="693" w:right="225" w:hanging="60"/>
        <w:jc w:val="left"/>
      </w:pPr>
      <w:r>
        <w:rPr/>
        <w:t>（一）公司投资者关系管理 </w:t>
      </w:r>
      <w:r>
        <w:rPr>
          <w:spacing w:val="-2"/>
        </w:rPr>
        <w:t>报告期内，公司继续加强投资者关系管理工作，通过多种方式与投资者进行有效交流</w:t>
      </w:r>
    </w:p>
    <w:p>
      <w:pPr>
        <w:pStyle w:val="BodyText"/>
        <w:spacing w:line="240" w:lineRule="auto" w:before="35"/>
        <w:ind w:left="153" w:right="103"/>
        <w:jc w:val="left"/>
      </w:pPr>
      <w:r>
        <w:rPr/>
        <w:t>和沟通，公平、公正对待全体投资者的知情权，维护公司与投资者之间的良好互动关系。</w:t>
      </w:r>
    </w:p>
    <w:p>
      <w:pPr>
        <w:pStyle w:val="BodyText"/>
        <w:spacing w:line="338" w:lineRule="auto" w:before="152"/>
        <w:ind w:left="153" w:right="331" w:firstLine="480"/>
        <w:jc w:val="left"/>
      </w:pPr>
      <w:r>
        <w:rPr>
          <w:rFonts w:ascii="Times New Roman" w:hAnsi="Times New Roman" w:cs="Times New Roman" w:eastAsia="Times New Roman" w:hint="default"/>
        </w:rPr>
        <w:t>1</w:t>
      </w:r>
      <w:r>
        <w:rPr/>
        <w:t>、公司指定董事会秘书负责投资者关系管理工作，安排专人做好投资者来访接待工 作，并做好各次接待的资料存档工作。公司证券部负责投资者关系管理的日常事务。</w:t>
      </w:r>
    </w:p>
    <w:p>
      <w:pPr>
        <w:spacing w:after="0" w:line="338" w:lineRule="auto"/>
        <w:jc w:val="left"/>
        <w:sectPr>
          <w:pgSz w:w="11910" w:h="16840"/>
          <w:pgMar w:header="747" w:footer="984" w:top="980" w:bottom="1180" w:left="980" w:right="1180"/>
        </w:sectPr>
      </w:pPr>
    </w:p>
    <w:p>
      <w:pPr>
        <w:spacing w:line="240" w:lineRule="auto" w:before="7"/>
        <w:rPr>
          <w:rFonts w:ascii="宋体" w:hAnsi="宋体" w:cs="宋体" w:eastAsia="宋体" w:hint="default"/>
          <w:sz w:val="29"/>
          <w:szCs w:val="29"/>
        </w:rPr>
      </w:pPr>
    </w:p>
    <w:p>
      <w:pPr>
        <w:pStyle w:val="BodyText"/>
        <w:spacing w:line="352" w:lineRule="auto" w:before="26"/>
        <w:ind w:left="153" w:right="108" w:firstLine="480"/>
        <w:jc w:val="both"/>
      </w:pPr>
      <w:r>
        <w:rPr>
          <w:rFonts w:ascii="Times New Roman" w:hAnsi="Times New Roman" w:cs="Times New Roman" w:eastAsia="Times New Roman" w:hint="default"/>
          <w:spacing w:val="3"/>
        </w:rPr>
        <w:t>2</w:t>
      </w:r>
      <w:r>
        <w:rPr>
          <w:spacing w:val="3"/>
        </w:rPr>
        <w:t>、公司高度重视投资者关系管理工作，严格按照相关法律法规、规章制度的要求， </w:t>
      </w:r>
      <w:r>
        <w:rPr>
          <w:spacing w:val="-1"/>
        </w:rPr>
        <w:t>及时、真实、准确的向投资者披露公司的相关信息。公司规范接待投资者的实地调研，在</w:t>
      </w:r>
      <w:r>
        <w:rPr>
          <w:spacing w:val="-1"/>
        </w:rPr>
        <w:t> </w:t>
      </w:r>
      <w:r>
        <w:rPr/>
        <w:t>不违反公平披露的原则下解答相关问题，加强了投资者对公司的认识，增进了投资者对公</w:t>
      </w:r>
      <w:r>
        <w:rPr/>
        <w:t> </w:t>
      </w:r>
      <w:r>
        <w:rPr>
          <w:spacing w:val="-1"/>
        </w:rPr>
        <w:t>司的了解和信心；通过公司网站、投资者关系管理热线电话、电子信箱、传真、巨潮资讯</w:t>
      </w:r>
      <w:r>
        <w:rPr>
          <w:spacing w:val="-1"/>
        </w:rPr>
        <w:t> 网等多种渠道与投资者加强沟通，解答投资者的疑问，加强与投资者交流和沟通，确保所 </w:t>
      </w:r>
      <w:r>
        <w:rPr/>
        <w:t>有投资者公平地获得公司信息；积极维护投资者关系管理平台，详细回答投资者的问询，</w:t>
      </w:r>
      <w:r>
        <w:rPr/>
        <w:t> 定期将投资者提出的问题和建议整理、汇总报送给公司管理层。</w:t>
      </w:r>
    </w:p>
    <w:p>
      <w:pPr>
        <w:pStyle w:val="BodyText"/>
        <w:spacing w:line="343" w:lineRule="auto" w:before="40"/>
        <w:ind w:left="153" w:right="108" w:firstLine="480"/>
        <w:jc w:val="both"/>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7</w:t>
      </w:r>
      <w:r>
        <w:rPr/>
        <w:t>日，公司通过全景网投资者关系互动平台（</w:t>
      </w:r>
      <w:hyperlink r:id="rId22">
        <w:r>
          <w:rPr>
            <w:rFonts w:ascii="Times New Roman" w:hAnsi="Times New Roman" w:cs="Times New Roman" w:eastAsia="Times New Roman" w:hint="default"/>
          </w:rPr>
          <w:t>http://irm.p5w.net</w:t>
        </w:r>
      </w:hyperlink>
      <w:r>
        <w:rPr/>
        <w:t>）举行了</w:t>
      </w:r>
      <w:r>
        <w:rPr>
          <w:spacing w:val="2"/>
        </w:rPr>
        <w:t> </w:t>
      </w:r>
      <w:r>
        <w:rPr>
          <w:spacing w:val="-1"/>
        </w:rPr>
        <w:t>投资者交流会，董事长、总经理、财务总监、董事会秘书、独立董事及保荐代表人就</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56"/>
        </w:rPr>
        <w:t> </w:t>
      </w:r>
      <w:r>
        <w:rPr/>
        <w:t>年度公司业绩与广大投资者进行了坦诚友好的交流，并回答了投资者提出的问题，认真听 取了投资者提出的宝贵意见和建议，使投资者增强了对公司的了解和认知度。</w:t>
      </w:r>
    </w:p>
    <w:p>
      <w:pPr>
        <w:pStyle w:val="BodyText"/>
        <w:spacing w:line="338" w:lineRule="auto" w:before="49"/>
        <w:ind w:left="154" w:right="113" w:firstLine="540"/>
        <w:jc w:val="both"/>
      </w:pPr>
      <w:r>
        <w:rPr>
          <w:rFonts w:ascii="Times New Roman" w:hAnsi="Times New Roman" w:cs="Times New Roman" w:eastAsia="Times New Roman" w:hint="default"/>
        </w:rPr>
        <w:t>4</w:t>
      </w:r>
      <w:r>
        <w:rPr/>
        <w:t>、公司严格按照相关法律法规及规章制度的要求，积极主动的采用网络投票方式召 开股东大会，有效的维护了公司及股东尤其是中小股东的利益。</w:t>
      </w:r>
    </w:p>
    <w:p>
      <w:pPr>
        <w:spacing w:line="240" w:lineRule="auto" w:before="10"/>
        <w:rPr>
          <w:rFonts w:ascii="宋体" w:hAnsi="宋体" w:cs="宋体" w:eastAsia="宋体" w:hint="default"/>
          <w:sz w:val="35"/>
          <w:szCs w:val="35"/>
        </w:rPr>
      </w:pPr>
    </w:p>
    <w:p>
      <w:pPr>
        <w:pStyle w:val="BodyText"/>
        <w:spacing w:line="357" w:lineRule="auto" w:before="0"/>
        <w:ind w:left="634" w:right="4650"/>
        <w:jc w:val="left"/>
      </w:pPr>
      <w:r>
        <w:rPr/>
        <w:t>（二）报告期内披露的重要事项索引 报告期内已披露的重要事项索引如下表：</w:t>
      </w:r>
    </w:p>
    <w:p>
      <w:pPr>
        <w:spacing w:line="240" w:lineRule="auto" w:before="9"/>
        <w:rPr>
          <w:rFonts w:ascii="宋体" w:hAnsi="宋体" w:cs="宋体" w:eastAsia="宋体" w:hint="default"/>
          <w:sz w:val="5"/>
          <w:szCs w:val="5"/>
        </w:rPr>
      </w:pPr>
    </w:p>
    <w:tbl>
      <w:tblPr>
        <w:tblW w:w="0" w:type="auto"/>
        <w:jc w:val="left"/>
        <w:tblInd w:w="329" w:type="dxa"/>
        <w:tblLayout w:type="fixed"/>
        <w:tblCellMar>
          <w:top w:w="0" w:type="dxa"/>
          <w:left w:w="0" w:type="dxa"/>
          <w:bottom w:w="0" w:type="dxa"/>
          <w:right w:w="0" w:type="dxa"/>
        </w:tblCellMar>
        <w:tblLook w:val="01E0"/>
      </w:tblPr>
      <w:tblGrid>
        <w:gridCol w:w="1080"/>
        <w:gridCol w:w="1080"/>
        <w:gridCol w:w="4860"/>
        <w:gridCol w:w="1732"/>
      </w:tblGrid>
      <w:tr>
        <w:trPr>
          <w:trHeight w:val="330" w:hRule="exact"/>
        </w:trPr>
        <w:tc>
          <w:tcPr>
            <w:tcW w:w="10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公告编号</w:t>
            </w:r>
          </w:p>
        </w:tc>
        <w:tc>
          <w:tcPr>
            <w:tcW w:w="10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486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公告内容</w:t>
            </w:r>
          </w:p>
        </w:tc>
        <w:tc>
          <w:tcPr>
            <w:tcW w:w="173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披露报纸</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2011-001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2011-1-11</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中标通知公告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2011-002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2011-1-22</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高管购买公司股票情况公告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2011-003</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2011-1-27</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年度利润分配及资本公积金转增股份预案的公告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2011-004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2011-2-25</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第三届董事会第十六次会议决议公告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2011-005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2011-2-25</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第三届监事会第十次会议决议公告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2011-006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2011-2-25</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年度报告摘要</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2011-007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2011-2-25</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年度存放与使用情况专项报告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2011-008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2011-2-25</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日常关联交易预计公告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65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2011-009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2011-2-25</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pacing w:val="13"/>
                <w:sz w:val="18"/>
                <w:szCs w:val="18"/>
              </w:rPr>
              <w:t>关于控股子公司广州御银自动柜员机技术有限公司扩大</w:t>
            </w:r>
            <w:r>
              <w:rPr>
                <w:rFonts w:ascii="宋体" w:hAnsi="宋体" w:cs="宋体" w:eastAsia="宋体" w:hint="default"/>
                <w:sz w:val="18"/>
                <w:szCs w:val="18"/>
              </w:rPr>
            </w:r>
          </w:p>
          <w:p>
            <w:pPr>
              <w:pStyle w:val="TableParagraph"/>
              <w:spacing w:line="240" w:lineRule="auto" w:before="85"/>
              <w:ind w:left="103" w:right="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设备产能投资项目的公告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2011-010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2011-2-25</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年度股东大会的通知</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2011-011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2011-2-25</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关于举行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年度报告网上说明会的通知</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2011-012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2011-2-26</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关于被认定国家规划布局内重点软件企业的公告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2011-013</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2011-3-19</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2011-014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2011-3-25</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关于控股股东减持股份的公告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2011-015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2011-3-29</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第三届董事会第十七次会议决议公告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2011-016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2011-3-29</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对外担保的公告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2011-017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2011-3-29</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年第一次临时股东大会的通知</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bl>
    <w:p>
      <w:pPr>
        <w:spacing w:after="0" w:line="240" w:lineRule="auto"/>
        <w:jc w:val="left"/>
        <w:rPr>
          <w:rFonts w:ascii="宋体" w:hAnsi="宋体" w:cs="宋体" w:eastAsia="宋体" w:hint="default"/>
          <w:sz w:val="18"/>
          <w:szCs w:val="18"/>
        </w:rPr>
        <w:sectPr>
          <w:pgSz w:w="11910" w:h="16840"/>
          <w:pgMar w:header="747" w:footer="984" w:top="980" w:bottom="1180" w:left="980" w:right="130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329" w:type="dxa"/>
        <w:tblLayout w:type="fixed"/>
        <w:tblCellMar>
          <w:top w:w="0" w:type="dxa"/>
          <w:left w:w="0" w:type="dxa"/>
          <w:bottom w:w="0" w:type="dxa"/>
          <w:right w:w="0" w:type="dxa"/>
        </w:tblCellMar>
        <w:tblLook w:val="01E0"/>
      </w:tblPr>
      <w:tblGrid>
        <w:gridCol w:w="1080"/>
        <w:gridCol w:w="1080"/>
        <w:gridCol w:w="4860"/>
        <w:gridCol w:w="1732"/>
      </w:tblGrid>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2011-018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2011-3-30</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年度权益分派实施公告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2011-019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6"/>
              <w:jc w:val="right"/>
              <w:rPr>
                <w:rFonts w:ascii="Times New Roman" w:hAnsi="Times New Roman" w:cs="Times New Roman" w:eastAsia="Times New Roman" w:hint="default"/>
                <w:sz w:val="18"/>
                <w:szCs w:val="18"/>
              </w:rPr>
            </w:pPr>
            <w:r>
              <w:rPr>
                <w:rFonts w:ascii="Times New Roman"/>
                <w:spacing w:val="-1"/>
                <w:w w:val="95"/>
                <w:sz w:val="18"/>
              </w:rPr>
              <w:t>2011-4-7</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年第一季度业绩预告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2011-020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2011-4-14</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年第一次临时股东大会决议公告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2011-021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2011-4-26</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年第一季度报告正文</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2011-022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6"/>
              <w:jc w:val="right"/>
              <w:rPr>
                <w:rFonts w:ascii="Times New Roman" w:hAnsi="Times New Roman" w:cs="Times New Roman" w:eastAsia="Times New Roman" w:hint="default"/>
                <w:sz w:val="18"/>
                <w:szCs w:val="18"/>
              </w:rPr>
            </w:pPr>
            <w:r>
              <w:rPr>
                <w:rFonts w:ascii="Times New Roman"/>
                <w:spacing w:val="-1"/>
                <w:w w:val="95"/>
                <w:sz w:val="18"/>
              </w:rPr>
              <w:t>2011-5-6</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关于部分闲置募集资金补充流动资金的归还公告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2011-023</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6"/>
              <w:jc w:val="right"/>
              <w:rPr>
                <w:rFonts w:ascii="Times New Roman" w:hAnsi="Times New Roman" w:cs="Times New Roman" w:eastAsia="Times New Roman" w:hint="default"/>
                <w:sz w:val="18"/>
                <w:szCs w:val="18"/>
              </w:rPr>
            </w:pPr>
            <w:r>
              <w:rPr>
                <w:rFonts w:ascii="Times New Roman"/>
                <w:spacing w:val="-1"/>
                <w:w w:val="95"/>
                <w:sz w:val="18"/>
              </w:rPr>
              <w:t>2011-5-7</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第三届董事会第十九次会议决议公告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2011-024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6"/>
              <w:jc w:val="right"/>
              <w:rPr>
                <w:rFonts w:ascii="Times New Roman" w:hAnsi="Times New Roman" w:cs="Times New Roman" w:eastAsia="Times New Roman" w:hint="default"/>
                <w:sz w:val="18"/>
                <w:szCs w:val="18"/>
              </w:rPr>
            </w:pPr>
            <w:r>
              <w:rPr>
                <w:rFonts w:ascii="Times New Roman"/>
                <w:spacing w:val="-1"/>
                <w:w w:val="95"/>
                <w:sz w:val="18"/>
              </w:rPr>
              <w:t>2011-5-7</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关于使用部分闲置募集资金暂时补充流动资金的公告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2011-025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6"/>
              <w:jc w:val="right"/>
              <w:rPr>
                <w:rFonts w:ascii="Times New Roman" w:hAnsi="Times New Roman" w:cs="Times New Roman" w:eastAsia="Times New Roman" w:hint="default"/>
                <w:sz w:val="18"/>
                <w:szCs w:val="18"/>
              </w:rPr>
            </w:pPr>
            <w:r>
              <w:rPr>
                <w:rFonts w:ascii="Times New Roman"/>
                <w:spacing w:val="-1"/>
                <w:w w:val="95"/>
                <w:sz w:val="18"/>
              </w:rPr>
              <w:t>2011-5-7</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年第二次临时股东大会的通知</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2011-026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2011-5-18</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年第二次临时股东大会的提示公告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2011-027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2011-5-24</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年第二次临时股东大会决议公告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2011-028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2011-5-31</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关于聘任董事会秘书的公告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2011-029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2011-5-31</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第三届董事会第二十次会议决议公告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2011-030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2011-5-31</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第三届监事会第十二次会议决议公告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2011-031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2011-5-31</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年第三次临时股东大会的通知</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2011-032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2011-5-31</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独立董事公开征集委托投票权报告书</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2011-033</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2011-5-31</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关于对《股票期权激励计划（草案）修订稿》的修订说明</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2011-034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2011-6-10</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年第三次临时股东大会的提示公告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2011-035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2011-6-16</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年第三次临时股东大会决议公告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2011-036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2011-6-16</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第三届董事会第二十一次会议决议公告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2011-037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2011-6-16</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第三届监事会第十三次会议决议公告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2011-038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2011-6-16</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董事会关于股票期权授予相关事项的公告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2011-039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2011-6-25</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关于股票期权首期授予登记完成的公告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2011-040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2011-7-12</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半年度业绩快报</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2011-041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2011-7-13</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第三届董事会第二十二次会议决议公告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2011-042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2011-7-13</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第三届监事会第十四次会议决议公告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2011-043</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2011-7-13</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年第四次临时股东大会的通知</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2011-044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2011-7-29</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年第四次临时股东大会决议公告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2011-045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2011-7-29</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第三届董事会第二十三次会议决议公告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2011-046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2011-7-29</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关于投资入股广东花都稠州村镇银行股份有限公司的公告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2011-047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2011-7-29</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半年度报告摘要</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2011-048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2"/>
              <w:jc w:val="right"/>
              <w:rPr>
                <w:rFonts w:ascii="Times New Roman" w:hAnsi="Times New Roman" w:cs="Times New Roman" w:eastAsia="Times New Roman" w:hint="default"/>
                <w:sz w:val="18"/>
                <w:szCs w:val="18"/>
              </w:rPr>
            </w:pPr>
            <w:r>
              <w:rPr>
                <w:rFonts w:ascii="Times New Roman"/>
                <w:spacing w:val="-1"/>
                <w:sz w:val="18"/>
              </w:rPr>
              <w:t>2011-7-29</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关于控股股东部分股权解除质押的公告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2011-049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6"/>
              <w:jc w:val="right"/>
              <w:rPr>
                <w:rFonts w:ascii="Times New Roman" w:hAnsi="Times New Roman" w:cs="Times New Roman" w:eastAsia="Times New Roman" w:hint="default"/>
                <w:sz w:val="18"/>
                <w:szCs w:val="18"/>
              </w:rPr>
            </w:pPr>
            <w:r>
              <w:rPr>
                <w:rFonts w:ascii="Times New Roman"/>
                <w:spacing w:val="-1"/>
                <w:w w:val="95"/>
                <w:sz w:val="18"/>
              </w:rPr>
              <w:t>2011-9-8</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第三届董事会第二十四次会议决议公告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2011-050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18"/>
              <w:jc w:val="right"/>
              <w:rPr>
                <w:rFonts w:ascii="Times New Roman" w:hAnsi="Times New Roman" w:cs="Times New Roman" w:eastAsia="Times New Roman" w:hint="default"/>
                <w:sz w:val="18"/>
                <w:szCs w:val="18"/>
              </w:rPr>
            </w:pPr>
            <w:r>
              <w:rPr>
                <w:rFonts w:ascii="Times New Roman"/>
                <w:spacing w:val="-1"/>
                <w:sz w:val="18"/>
              </w:rPr>
              <w:t>2011-10-14</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2011 年第三季度报告正文</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33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Times New Roman" w:hAnsi="Times New Roman" w:cs="Times New Roman" w:eastAsia="Times New Roman" w:hint="default"/>
                <w:sz w:val="18"/>
                <w:szCs w:val="18"/>
              </w:rPr>
            </w:pPr>
            <w:r>
              <w:rPr>
                <w:rFonts w:ascii="Times New Roman"/>
                <w:sz w:val="18"/>
              </w:rPr>
              <w:t>2011-051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65"/>
              <w:jc w:val="right"/>
              <w:rPr>
                <w:rFonts w:ascii="Times New Roman" w:hAnsi="Times New Roman" w:cs="Times New Roman" w:eastAsia="Times New Roman" w:hint="default"/>
                <w:sz w:val="18"/>
                <w:szCs w:val="18"/>
              </w:rPr>
            </w:pPr>
            <w:r>
              <w:rPr>
                <w:rFonts w:ascii="Times New Roman"/>
                <w:spacing w:val="-2"/>
                <w:sz w:val="18"/>
              </w:rPr>
              <w:t>2011-11-2</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以流动资金归还部分募集资金的公告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00" w:right="0"/>
              <w:jc w:val="left"/>
              <w:rPr>
                <w:rFonts w:ascii="宋体" w:hAnsi="宋体" w:cs="宋体" w:eastAsia="宋体" w:hint="default"/>
                <w:sz w:val="18"/>
                <w:szCs w:val="18"/>
              </w:rPr>
            </w:pPr>
            <w:r>
              <w:rPr>
                <w:rFonts w:ascii="宋体" w:hAnsi="宋体" w:cs="宋体" w:eastAsia="宋体" w:hint="default"/>
                <w:sz w:val="18"/>
                <w:szCs w:val="18"/>
              </w:rPr>
              <w:t>证券时报</w:t>
            </w:r>
          </w:p>
        </w:tc>
      </w:tr>
      <w:tr>
        <w:trPr>
          <w:trHeight w:val="65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2011-052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65"/>
              <w:jc w:val="right"/>
              <w:rPr>
                <w:rFonts w:ascii="Times New Roman" w:hAnsi="Times New Roman" w:cs="Times New Roman" w:eastAsia="Times New Roman" w:hint="default"/>
                <w:sz w:val="18"/>
                <w:szCs w:val="18"/>
              </w:rPr>
            </w:pPr>
            <w:r>
              <w:rPr>
                <w:rFonts w:ascii="Times New Roman"/>
                <w:spacing w:val="-2"/>
                <w:sz w:val="18"/>
              </w:rPr>
              <w:t>2011-11-3</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第三届董事会第二十六次会议决议公告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140" w:right="139"/>
              <w:jc w:val="left"/>
              <w:rPr>
                <w:rFonts w:ascii="宋体" w:hAnsi="宋体" w:cs="宋体" w:eastAsia="宋体" w:hint="default"/>
                <w:sz w:val="18"/>
                <w:szCs w:val="18"/>
              </w:rPr>
            </w:pPr>
            <w:r>
              <w:rPr>
                <w:rFonts w:ascii="宋体" w:hAnsi="宋体" w:cs="宋体" w:eastAsia="宋体" w:hint="default"/>
                <w:sz w:val="18"/>
                <w:szCs w:val="18"/>
              </w:rPr>
              <w:t>证券时报、中国证 券报、上海证券报</w:t>
            </w:r>
          </w:p>
        </w:tc>
      </w:tr>
      <w:tr>
        <w:trPr>
          <w:trHeight w:val="649"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2011-053</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65"/>
              <w:jc w:val="right"/>
              <w:rPr>
                <w:rFonts w:ascii="Times New Roman" w:hAnsi="Times New Roman" w:cs="Times New Roman" w:eastAsia="Times New Roman" w:hint="default"/>
                <w:sz w:val="18"/>
                <w:szCs w:val="18"/>
              </w:rPr>
            </w:pPr>
            <w:r>
              <w:rPr>
                <w:rFonts w:ascii="Times New Roman"/>
                <w:spacing w:val="-2"/>
                <w:sz w:val="18"/>
              </w:rPr>
              <w:t>2011-11-3</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关于使用部分闲置募集资金暂时补充流动资金的公告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140" w:right="139"/>
              <w:jc w:val="left"/>
              <w:rPr>
                <w:rFonts w:ascii="宋体" w:hAnsi="宋体" w:cs="宋体" w:eastAsia="宋体" w:hint="default"/>
                <w:sz w:val="18"/>
                <w:szCs w:val="18"/>
              </w:rPr>
            </w:pPr>
            <w:r>
              <w:rPr>
                <w:rFonts w:ascii="宋体" w:hAnsi="宋体" w:cs="宋体" w:eastAsia="宋体" w:hint="default"/>
                <w:sz w:val="18"/>
                <w:szCs w:val="18"/>
              </w:rPr>
              <w:t>证券时报、中国证 券报、上海证券报</w:t>
            </w:r>
          </w:p>
        </w:tc>
      </w:tr>
      <w:tr>
        <w:trPr>
          <w:trHeight w:val="65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2011-054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65"/>
              <w:jc w:val="right"/>
              <w:rPr>
                <w:rFonts w:ascii="Times New Roman" w:hAnsi="Times New Roman" w:cs="Times New Roman" w:eastAsia="Times New Roman" w:hint="default"/>
                <w:sz w:val="18"/>
                <w:szCs w:val="18"/>
              </w:rPr>
            </w:pPr>
            <w:r>
              <w:rPr>
                <w:rFonts w:ascii="Times New Roman"/>
                <w:spacing w:val="-2"/>
                <w:sz w:val="18"/>
              </w:rPr>
              <w:t>2011-11-3</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关于增加指定信息披露媒体的公告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7"/>
              <w:ind w:left="140" w:right="139"/>
              <w:jc w:val="left"/>
              <w:rPr>
                <w:rFonts w:ascii="宋体" w:hAnsi="宋体" w:cs="宋体" w:eastAsia="宋体" w:hint="default"/>
                <w:sz w:val="18"/>
                <w:szCs w:val="18"/>
              </w:rPr>
            </w:pPr>
            <w:r>
              <w:rPr>
                <w:rFonts w:ascii="宋体" w:hAnsi="宋体" w:cs="宋体" w:eastAsia="宋体" w:hint="default"/>
                <w:sz w:val="18"/>
                <w:szCs w:val="18"/>
              </w:rPr>
              <w:t>证券时报、中国证 券报、上海证券报</w:t>
            </w:r>
          </w:p>
        </w:tc>
      </w:tr>
      <w:tr>
        <w:trPr>
          <w:trHeight w:val="65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2011-055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65"/>
              <w:jc w:val="right"/>
              <w:rPr>
                <w:rFonts w:ascii="Times New Roman" w:hAnsi="Times New Roman" w:cs="Times New Roman" w:eastAsia="Times New Roman" w:hint="default"/>
                <w:sz w:val="18"/>
                <w:szCs w:val="18"/>
              </w:rPr>
            </w:pPr>
            <w:r>
              <w:rPr>
                <w:rFonts w:ascii="Times New Roman"/>
                <w:spacing w:val="-2"/>
                <w:sz w:val="18"/>
              </w:rPr>
              <w:t>2011-11-3</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关于召开</w:t>
            </w:r>
            <w:r>
              <w:rPr>
                <w:rFonts w:ascii="宋体" w:hAnsi="宋体" w:cs="宋体" w:eastAsia="宋体" w:hint="default"/>
                <w:spacing w:val="-46"/>
                <w:sz w:val="18"/>
                <w:szCs w:val="18"/>
              </w:rPr>
              <w:t> </w:t>
            </w:r>
            <w:r>
              <w:rPr>
                <w:rFonts w:ascii="宋体" w:hAnsi="宋体" w:cs="宋体" w:eastAsia="宋体" w:hint="default"/>
                <w:sz w:val="18"/>
                <w:szCs w:val="18"/>
              </w:rPr>
              <w:t>2011</w:t>
            </w:r>
            <w:r>
              <w:rPr>
                <w:rFonts w:ascii="宋体" w:hAnsi="宋体" w:cs="宋体" w:eastAsia="宋体" w:hint="default"/>
                <w:spacing w:val="-45"/>
                <w:sz w:val="18"/>
                <w:szCs w:val="18"/>
              </w:rPr>
              <w:t> </w:t>
            </w:r>
            <w:r>
              <w:rPr>
                <w:rFonts w:ascii="宋体" w:hAnsi="宋体" w:cs="宋体" w:eastAsia="宋体" w:hint="default"/>
                <w:sz w:val="18"/>
                <w:szCs w:val="18"/>
              </w:rPr>
              <w:t>年第五次临时股东大会的通知</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140" w:right="139"/>
              <w:jc w:val="left"/>
              <w:rPr>
                <w:rFonts w:ascii="宋体" w:hAnsi="宋体" w:cs="宋体" w:eastAsia="宋体" w:hint="default"/>
                <w:sz w:val="18"/>
                <w:szCs w:val="18"/>
              </w:rPr>
            </w:pPr>
            <w:r>
              <w:rPr>
                <w:rFonts w:ascii="宋体" w:hAnsi="宋体" w:cs="宋体" w:eastAsia="宋体" w:hint="default"/>
                <w:sz w:val="18"/>
                <w:szCs w:val="18"/>
              </w:rPr>
              <w:t>证券时报、中国证 券报、上海证券报</w:t>
            </w:r>
          </w:p>
        </w:tc>
      </w:tr>
    </w:tbl>
    <w:p>
      <w:pPr>
        <w:spacing w:after="0" w:line="326" w:lineRule="auto"/>
        <w:jc w:val="left"/>
        <w:rPr>
          <w:rFonts w:ascii="宋体" w:hAnsi="宋体" w:cs="宋体" w:eastAsia="宋体" w:hint="default"/>
          <w:sz w:val="18"/>
          <w:szCs w:val="18"/>
        </w:rPr>
        <w:sectPr>
          <w:pgSz w:w="11910" w:h="16840"/>
          <w:pgMar w:header="747" w:footer="984" w:top="980" w:bottom="1180" w:left="980" w:right="130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329" w:type="dxa"/>
        <w:tblLayout w:type="fixed"/>
        <w:tblCellMar>
          <w:top w:w="0" w:type="dxa"/>
          <w:left w:w="0" w:type="dxa"/>
          <w:bottom w:w="0" w:type="dxa"/>
          <w:right w:w="0" w:type="dxa"/>
        </w:tblCellMar>
        <w:tblLook w:val="01E0"/>
      </w:tblPr>
      <w:tblGrid>
        <w:gridCol w:w="1080"/>
        <w:gridCol w:w="1080"/>
        <w:gridCol w:w="4860"/>
        <w:gridCol w:w="1732"/>
      </w:tblGrid>
      <w:tr>
        <w:trPr>
          <w:trHeight w:val="65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2011-056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21"/>
              <w:jc w:val="right"/>
              <w:rPr>
                <w:rFonts w:ascii="Times New Roman" w:hAnsi="Times New Roman" w:cs="Times New Roman" w:eastAsia="Times New Roman" w:hint="default"/>
                <w:sz w:val="18"/>
                <w:szCs w:val="18"/>
              </w:rPr>
            </w:pPr>
            <w:r>
              <w:rPr>
                <w:rFonts w:ascii="Times New Roman"/>
                <w:spacing w:val="-2"/>
                <w:sz w:val="18"/>
              </w:rPr>
              <w:t>2011-11-22</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年第五次临时股东大会决议公告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140" w:right="139"/>
              <w:jc w:val="left"/>
              <w:rPr>
                <w:rFonts w:ascii="宋体" w:hAnsi="宋体" w:cs="宋体" w:eastAsia="宋体" w:hint="default"/>
                <w:sz w:val="18"/>
                <w:szCs w:val="18"/>
              </w:rPr>
            </w:pPr>
            <w:r>
              <w:rPr>
                <w:rFonts w:ascii="宋体" w:hAnsi="宋体" w:cs="宋体" w:eastAsia="宋体" w:hint="default"/>
                <w:sz w:val="18"/>
                <w:szCs w:val="18"/>
              </w:rPr>
              <w:t>证券时报、中国证 券报、上海证券报</w:t>
            </w:r>
          </w:p>
        </w:tc>
      </w:tr>
      <w:tr>
        <w:trPr>
          <w:trHeight w:val="649"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2011-057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21"/>
              <w:jc w:val="right"/>
              <w:rPr>
                <w:rFonts w:ascii="Times New Roman" w:hAnsi="Times New Roman" w:cs="Times New Roman" w:eastAsia="Times New Roman" w:hint="default"/>
                <w:sz w:val="18"/>
                <w:szCs w:val="18"/>
              </w:rPr>
            </w:pPr>
            <w:r>
              <w:rPr>
                <w:rFonts w:ascii="Times New Roman"/>
                <w:spacing w:val="-2"/>
                <w:sz w:val="18"/>
              </w:rPr>
              <w:t>2011-11-23</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第三届董事会第二十七次会议决议公告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140" w:right="139"/>
              <w:jc w:val="left"/>
              <w:rPr>
                <w:rFonts w:ascii="宋体" w:hAnsi="宋体" w:cs="宋体" w:eastAsia="宋体" w:hint="default"/>
                <w:sz w:val="18"/>
                <w:szCs w:val="18"/>
              </w:rPr>
            </w:pPr>
            <w:r>
              <w:rPr>
                <w:rFonts w:ascii="宋体" w:hAnsi="宋体" w:cs="宋体" w:eastAsia="宋体" w:hint="default"/>
                <w:sz w:val="18"/>
                <w:szCs w:val="18"/>
              </w:rPr>
              <w:t>证券时报、中国证 券报、上海证券报</w:t>
            </w:r>
          </w:p>
        </w:tc>
      </w:tr>
      <w:tr>
        <w:trPr>
          <w:trHeight w:val="65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2011-058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21"/>
              <w:jc w:val="right"/>
              <w:rPr>
                <w:rFonts w:ascii="Times New Roman" w:hAnsi="Times New Roman" w:cs="Times New Roman" w:eastAsia="Times New Roman" w:hint="default"/>
                <w:sz w:val="18"/>
                <w:szCs w:val="18"/>
              </w:rPr>
            </w:pPr>
            <w:r>
              <w:rPr>
                <w:rFonts w:ascii="Times New Roman"/>
                <w:spacing w:val="-2"/>
                <w:sz w:val="18"/>
              </w:rPr>
              <w:t>2011-11-23</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关于召开 2011 年第六次临时股东大会的通知</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7"/>
              <w:ind w:left="140" w:right="139"/>
              <w:jc w:val="left"/>
              <w:rPr>
                <w:rFonts w:ascii="宋体" w:hAnsi="宋体" w:cs="宋体" w:eastAsia="宋体" w:hint="default"/>
                <w:sz w:val="18"/>
                <w:szCs w:val="18"/>
              </w:rPr>
            </w:pPr>
            <w:r>
              <w:rPr>
                <w:rFonts w:ascii="宋体" w:hAnsi="宋体" w:cs="宋体" w:eastAsia="宋体" w:hint="default"/>
                <w:sz w:val="18"/>
                <w:szCs w:val="18"/>
              </w:rPr>
              <w:t>证券时报、中国证 券报、上海证券报</w:t>
            </w:r>
          </w:p>
        </w:tc>
      </w:tr>
      <w:tr>
        <w:trPr>
          <w:trHeight w:val="65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2011-059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62"/>
              <w:jc w:val="right"/>
              <w:rPr>
                <w:rFonts w:ascii="Times New Roman" w:hAnsi="Times New Roman" w:cs="Times New Roman" w:eastAsia="Times New Roman" w:hint="default"/>
                <w:sz w:val="18"/>
                <w:szCs w:val="18"/>
              </w:rPr>
            </w:pPr>
            <w:r>
              <w:rPr>
                <w:rFonts w:ascii="Times New Roman"/>
                <w:spacing w:val="-1"/>
                <w:sz w:val="18"/>
              </w:rPr>
              <w:t>2011-12-6</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第三届董事会第二十八次会议决议公告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140" w:right="139"/>
              <w:jc w:val="left"/>
              <w:rPr>
                <w:rFonts w:ascii="宋体" w:hAnsi="宋体" w:cs="宋体" w:eastAsia="宋体" w:hint="default"/>
                <w:sz w:val="18"/>
                <w:szCs w:val="18"/>
              </w:rPr>
            </w:pPr>
            <w:r>
              <w:rPr>
                <w:rFonts w:ascii="宋体" w:hAnsi="宋体" w:cs="宋体" w:eastAsia="宋体" w:hint="default"/>
                <w:sz w:val="18"/>
                <w:szCs w:val="18"/>
              </w:rPr>
              <w:t>证券时报、中国证 券报、上海证券报</w:t>
            </w:r>
          </w:p>
        </w:tc>
      </w:tr>
      <w:tr>
        <w:trPr>
          <w:trHeight w:val="649"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2011-060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162"/>
              <w:jc w:val="right"/>
              <w:rPr>
                <w:rFonts w:ascii="Times New Roman" w:hAnsi="Times New Roman" w:cs="Times New Roman" w:eastAsia="Times New Roman" w:hint="default"/>
                <w:sz w:val="18"/>
                <w:szCs w:val="18"/>
              </w:rPr>
            </w:pPr>
            <w:r>
              <w:rPr>
                <w:rFonts w:ascii="Times New Roman"/>
                <w:spacing w:val="-1"/>
                <w:sz w:val="18"/>
              </w:rPr>
              <w:t>2011-12-6</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关于设立全资子公司的公告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140" w:right="139"/>
              <w:jc w:val="left"/>
              <w:rPr>
                <w:rFonts w:ascii="宋体" w:hAnsi="宋体" w:cs="宋体" w:eastAsia="宋体" w:hint="default"/>
                <w:sz w:val="18"/>
                <w:szCs w:val="18"/>
              </w:rPr>
            </w:pPr>
            <w:r>
              <w:rPr>
                <w:rFonts w:ascii="宋体" w:hAnsi="宋体" w:cs="宋体" w:eastAsia="宋体" w:hint="default"/>
                <w:sz w:val="18"/>
                <w:szCs w:val="18"/>
              </w:rPr>
              <w:t>证券时报、中国证 券报、上海证券报</w:t>
            </w:r>
          </w:p>
        </w:tc>
      </w:tr>
      <w:tr>
        <w:trPr>
          <w:trHeight w:val="65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2011-061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18"/>
              <w:jc w:val="right"/>
              <w:rPr>
                <w:rFonts w:ascii="Times New Roman" w:hAnsi="Times New Roman" w:cs="Times New Roman" w:eastAsia="Times New Roman" w:hint="default"/>
                <w:sz w:val="18"/>
                <w:szCs w:val="18"/>
              </w:rPr>
            </w:pPr>
            <w:r>
              <w:rPr>
                <w:rFonts w:ascii="Times New Roman"/>
                <w:spacing w:val="-1"/>
                <w:sz w:val="18"/>
              </w:rPr>
              <w:t>2011-12-10</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年第六次临时股东大会决议公告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7"/>
              <w:ind w:left="140" w:right="139"/>
              <w:jc w:val="left"/>
              <w:rPr>
                <w:rFonts w:ascii="宋体" w:hAnsi="宋体" w:cs="宋体" w:eastAsia="宋体" w:hint="default"/>
                <w:sz w:val="18"/>
                <w:szCs w:val="18"/>
              </w:rPr>
            </w:pPr>
            <w:r>
              <w:rPr>
                <w:rFonts w:ascii="宋体" w:hAnsi="宋体" w:cs="宋体" w:eastAsia="宋体" w:hint="default"/>
                <w:sz w:val="18"/>
                <w:szCs w:val="18"/>
              </w:rPr>
              <w:t>证券时报、中国证 券报、上海证券报</w:t>
            </w:r>
          </w:p>
        </w:tc>
      </w:tr>
      <w:tr>
        <w:trPr>
          <w:trHeight w:val="65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2011-062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18"/>
              <w:jc w:val="right"/>
              <w:rPr>
                <w:rFonts w:ascii="Times New Roman" w:hAnsi="Times New Roman" w:cs="Times New Roman" w:eastAsia="Times New Roman" w:hint="default"/>
                <w:sz w:val="18"/>
                <w:szCs w:val="18"/>
              </w:rPr>
            </w:pPr>
            <w:r>
              <w:rPr>
                <w:rFonts w:ascii="Times New Roman"/>
                <w:spacing w:val="-1"/>
                <w:sz w:val="18"/>
              </w:rPr>
              <w:t>2011-12-23</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对外投资进展公告</w:t>
            </w:r>
          </w:p>
        </w:tc>
        <w:tc>
          <w:tcPr>
            <w:tcW w:w="1732" w:type="dxa"/>
            <w:tcBorders>
              <w:top w:val="single" w:sz="4" w:space="0" w:color="000000"/>
              <w:left w:val="single" w:sz="4" w:space="0" w:color="000000"/>
              <w:bottom w:val="single" w:sz="4" w:space="0" w:color="000000"/>
              <w:right w:val="single" w:sz="4" w:space="0" w:color="000000"/>
            </w:tcBorders>
          </w:tcPr>
          <w:p>
            <w:pPr>
              <w:pStyle w:val="TableParagraph"/>
              <w:spacing w:line="326" w:lineRule="auto" w:before="56"/>
              <w:ind w:left="140" w:right="139"/>
              <w:jc w:val="left"/>
              <w:rPr>
                <w:rFonts w:ascii="宋体" w:hAnsi="宋体" w:cs="宋体" w:eastAsia="宋体" w:hint="default"/>
                <w:sz w:val="18"/>
                <w:szCs w:val="18"/>
              </w:rPr>
            </w:pPr>
            <w:r>
              <w:rPr>
                <w:rFonts w:ascii="宋体" w:hAnsi="宋体" w:cs="宋体" w:eastAsia="宋体" w:hint="default"/>
                <w:sz w:val="18"/>
                <w:szCs w:val="18"/>
              </w:rPr>
              <w:t>证券时报、中国证 券报、上海证券报</w:t>
            </w:r>
          </w:p>
        </w:tc>
      </w:tr>
    </w:tbl>
    <w:p>
      <w:pPr>
        <w:pStyle w:val="BodyText"/>
        <w:spacing w:line="240" w:lineRule="auto" w:before="81"/>
        <w:ind w:left="634" w:right="89"/>
        <w:jc w:val="left"/>
      </w:pPr>
      <w:r>
        <w:rPr/>
        <w:t>上述公告同时刊登于巨潮资讯网</w:t>
      </w:r>
      <w:hyperlink r:id="rId17">
        <w:r>
          <w:rPr>
            <w:rFonts w:ascii="Times New Roman" w:hAnsi="Times New Roman" w:cs="Times New Roman" w:eastAsia="Times New Roman" w:hint="default"/>
          </w:rPr>
          <w:t>(http://www.cninfo.com.cn/</w:t>
        </w:r>
      </w:hyperlink>
      <w:r>
        <w:rPr>
          <w:rFonts w:ascii="Times New Roman" w:hAnsi="Times New Roman" w:cs="Times New Roman" w:eastAsia="Times New Roman" w:hint="default"/>
        </w:rPr>
        <w:t>)</w:t>
      </w:r>
      <w:r>
        <w:rPr/>
        <w:t>。</w:t>
      </w:r>
    </w:p>
    <w:p>
      <w:pPr>
        <w:spacing w:after="0" w:line="240" w:lineRule="auto"/>
        <w:jc w:val="left"/>
        <w:sectPr>
          <w:pgSz w:w="11910" w:h="16840"/>
          <w:pgMar w:header="747" w:footer="984" w:top="980" w:bottom="1180" w:left="980" w:right="13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tabs>
          <w:tab w:pos="1326" w:val="left" w:leader="none"/>
        </w:tabs>
        <w:spacing w:line="240" w:lineRule="auto" w:before="135"/>
        <w:ind w:left="41" w:right="0"/>
        <w:jc w:val="center"/>
        <w:rPr>
          <w:b w:val="0"/>
          <w:bCs w:val="0"/>
        </w:rPr>
      </w:pPr>
      <w:bookmarkStart w:name="_TOC_250002" w:id="7"/>
      <w:r>
        <w:rPr>
          <w:w w:val="95"/>
        </w:rPr>
        <w:t>第九节</w:t>
        <w:tab/>
      </w:r>
      <w:r>
        <w:rPr/>
        <w:t>监事会报告</w:t>
      </w:r>
      <w:bookmarkEnd w:id="7"/>
      <w:r>
        <w:rPr>
          <w:b w:val="0"/>
          <w:bCs w:val="0"/>
        </w:rPr>
      </w:r>
    </w:p>
    <w:p>
      <w:pPr>
        <w:spacing w:line="240" w:lineRule="auto" w:before="6"/>
        <w:rPr>
          <w:rFonts w:ascii="宋体" w:hAnsi="宋体" w:cs="宋体" w:eastAsia="宋体" w:hint="default"/>
          <w:b/>
          <w:bCs/>
          <w:sz w:val="43"/>
          <w:szCs w:val="43"/>
        </w:rPr>
      </w:pPr>
    </w:p>
    <w:p>
      <w:pPr>
        <w:pStyle w:val="BodyText"/>
        <w:spacing w:line="357" w:lineRule="auto" w:before="0"/>
        <w:ind w:left="693" w:right="151" w:hanging="60"/>
        <w:jc w:val="left"/>
      </w:pPr>
      <w:r>
        <w:rPr/>
        <w:t>一、监事会会议情况 报告期内，公司召开了</w:t>
      </w:r>
      <w:r>
        <w:rPr>
          <w:rFonts w:ascii="Times New Roman" w:hAnsi="Times New Roman" w:cs="Times New Roman" w:eastAsia="Times New Roman" w:hint="default"/>
        </w:rPr>
        <w:t>7</w:t>
      </w:r>
      <w:r>
        <w:rPr/>
        <w:t>次监事会会议。会议的通知、召集、召开和表决程序均符合</w:t>
      </w:r>
    </w:p>
    <w:p>
      <w:pPr>
        <w:pStyle w:val="BodyText"/>
        <w:spacing w:line="240" w:lineRule="auto" w:before="4"/>
        <w:ind w:left="153" w:right="89"/>
        <w:jc w:val="left"/>
      </w:pPr>
      <w:r>
        <w:rPr/>
        <w:t>有关法律法规和《公司章程》的规定，具体情况如下：</w:t>
      </w:r>
    </w:p>
    <w:p>
      <w:pPr>
        <w:pStyle w:val="BodyText"/>
        <w:spacing w:line="338" w:lineRule="auto" w:before="152"/>
        <w:ind w:left="154" w:right="89" w:firstLine="480"/>
        <w:jc w:val="left"/>
      </w:pPr>
      <w:r>
        <w:rPr>
          <w:spacing w:val="2"/>
        </w:rPr>
        <w:t>（一）公司于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2</w:t>
      </w:r>
      <w:r>
        <w:rPr>
          <w:spacing w:val="2"/>
        </w:rPr>
        <w:t>月</w:t>
      </w:r>
      <w:r>
        <w:rPr>
          <w:rFonts w:ascii="Times New Roman" w:hAnsi="Times New Roman" w:cs="Times New Roman" w:eastAsia="Times New Roman" w:hint="default"/>
          <w:spacing w:val="2"/>
        </w:rPr>
        <w:t>24</w:t>
      </w:r>
      <w:r>
        <w:rPr>
          <w:spacing w:val="2"/>
        </w:rPr>
        <w:t>日召开了第三届监事会第十次会议，会议审议并通过了如</w:t>
      </w:r>
      <w:r>
        <w:rPr>
          <w:spacing w:val="3"/>
        </w:rPr>
        <w:t> </w:t>
      </w:r>
      <w:r>
        <w:rPr/>
        <w:t>下议案：</w:t>
      </w:r>
    </w:p>
    <w:p>
      <w:pPr>
        <w:pStyle w:val="BodyText"/>
        <w:spacing w:line="240" w:lineRule="auto" w:before="54"/>
        <w:ind w:left="634" w:right="89"/>
        <w:jc w:val="left"/>
      </w:pPr>
      <w:r>
        <w:rPr>
          <w:rFonts w:ascii="Times New Roman" w:hAnsi="Times New Roman" w:cs="Times New Roman" w:eastAsia="Times New Roman" w:hint="default"/>
        </w:rPr>
        <w:t>1</w:t>
      </w:r>
      <w:r>
        <w:rPr/>
        <w:t>、审议《公司</w:t>
      </w:r>
      <w:r>
        <w:rPr>
          <w:rFonts w:ascii="Times New Roman" w:hAnsi="Times New Roman" w:cs="Times New Roman" w:eastAsia="Times New Roman" w:hint="default"/>
        </w:rPr>
        <w:t>2010</w:t>
      </w:r>
      <w:r>
        <w:rPr/>
        <w:t>年度监事会工作报告的议案》；</w:t>
      </w:r>
    </w:p>
    <w:p>
      <w:pPr>
        <w:pStyle w:val="BodyText"/>
        <w:spacing w:line="240" w:lineRule="auto" w:before="134"/>
        <w:ind w:left="634" w:right="89"/>
        <w:jc w:val="left"/>
      </w:pPr>
      <w:r>
        <w:rPr>
          <w:rFonts w:ascii="Times New Roman" w:hAnsi="Times New Roman" w:cs="Times New Roman" w:eastAsia="Times New Roman" w:hint="default"/>
        </w:rPr>
        <w:t>2</w:t>
      </w:r>
      <w:r>
        <w:rPr/>
        <w:t>、审议《公司</w:t>
      </w:r>
      <w:r>
        <w:rPr>
          <w:rFonts w:ascii="Times New Roman" w:hAnsi="Times New Roman" w:cs="Times New Roman" w:eastAsia="Times New Roman" w:hint="default"/>
        </w:rPr>
        <w:t>2010</w:t>
      </w:r>
      <w:r>
        <w:rPr/>
        <w:t>年度财务决算报告的议案》；</w:t>
      </w:r>
    </w:p>
    <w:p>
      <w:pPr>
        <w:pStyle w:val="BodyText"/>
        <w:spacing w:line="240" w:lineRule="auto" w:before="134"/>
        <w:ind w:left="634" w:right="89"/>
        <w:jc w:val="left"/>
      </w:pPr>
      <w:r>
        <w:rPr>
          <w:rFonts w:ascii="Times New Roman" w:hAnsi="Times New Roman" w:cs="Times New Roman" w:eastAsia="Times New Roman" w:hint="default"/>
        </w:rPr>
        <w:t>3</w:t>
      </w:r>
      <w:r>
        <w:rPr/>
        <w:t>、审议《公司</w:t>
      </w:r>
      <w:r>
        <w:rPr>
          <w:rFonts w:ascii="Times New Roman" w:hAnsi="Times New Roman" w:cs="Times New Roman" w:eastAsia="Times New Roman" w:hint="default"/>
        </w:rPr>
        <w:t>2010</w:t>
      </w:r>
      <w:r>
        <w:rPr/>
        <w:t>年度利润分配及资本公积金转增股本预案的议案》；</w:t>
      </w:r>
    </w:p>
    <w:p>
      <w:pPr>
        <w:pStyle w:val="BodyText"/>
        <w:spacing w:line="240" w:lineRule="auto" w:before="134"/>
        <w:ind w:left="634" w:right="89"/>
        <w:jc w:val="left"/>
      </w:pPr>
      <w:r>
        <w:rPr>
          <w:rFonts w:ascii="Times New Roman" w:hAnsi="Times New Roman" w:cs="Times New Roman" w:eastAsia="Times New Roman" w:hint="default"/>
        </w:rPr>
        <w:t>4</w:t>
      </w:r>
      <w:r>
        <w:rPr/>
        <w:t>、审议《关于批准报出</w:t>
      </w:r>
      <w:r>
        <w:rPr>
          <w:rFonts w:ascii="Times New Roman" w:hAnsi="Times New Roman" w:cs="Times New Roman" w:eastAsia="Times New Roman" w:hint="default"/>
        </w:rPr>
        <w:t>2010</w:t>
      </w:r>
      <w:r>
        <w:rPr/>
        <w:t>年度报告及摘要的议案》；</w:t>
      </w:r>
    </w:p>
    <w:p>
      <w:pPr>
        <w:pStyle w:val="BodyText"/>
        <w:spacing w:line="240" w:lineRule="auto" w:before="134"/>
        <w:ind w:left="634" w:right="89"/>
        <w:jc w:val="left"/>
      </w:pPr>
      <w:r>
        <w:rPr>
          <w:rFonts w:ascii="Times New Roman" w:hAnsi="Times New Roman" w:cs="Times New Roman" w:eastAsia="Times New Roman" w:hint="default"/>
        </w:rPr>
        <w:t>5</w:t>
      </w:r>
      <w:r>
        <w:rPr/>
        <w:t>、审议《关于募集资金</w:t>
      </w:r>
      <w:r>
        <w:rPr>
          <w:rFonts w:ascii="Times New Roman" w:hAnsi="Times New Roman" w:cs="Times New Roman" w:eastAsia="Times New Roman" w:hint="default"/>
        </w:rPr>
        <w:t>2010</w:t>
      </w:r>
      <w:r>
        <w:rPr/>
        <w:t>年度存放与使用情况专项报告的议案》；</w:t>
      </w:r>
    </w:p>
    <w:p>
      <w:pPr>
        <w:pStyle w:val="BodyText"/>
        <w:spacing w:line="338" w:lineRule="auto" w:before="134"/>
        <w:ind w:left="694" w:right="150" w:hanging="60"/>
        <w:jc w:val="left"/>
      </w:pPr>
      <w:r>
        <w:rPr>
          <w:rFonts w:ascii="Times New Roman" w:hAnsi="Times New Roman" w:cs="Times New Roman" w:eastAsia="Times New Roman" w:hint="default"/>
        </w:rPr>
        <w:t>6</w:t>
      </w:r>
      <w:r>
        <w:rPr/>
        <w:t>、审议《关于公司</w:t>
      </w:r>
      <w:r>
        <w:rPr>
          <w:rFonts w:ascii="Times New Roman" w:hAnsi="Times New Roman" w:cs="Times New Roman" w:eastAsia="Times New Roman" w:hint="default"/>
        </w:rPr>
        <w:t>2010</w:t>
      </w:r>
      <w:r>
        <w:rPr/>
        <w:t>年度内部控制自我评价报告的议案》。 第三届监事会第十次会议决议公告刊登在</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25</w:t>
      </w:r>
      <w:r>
        <w:rPr/>
        <w:t>日的《证券时报》和巨潮资讯</w:t>
      </w:r>
    </w:p>
    <w:p>
      <w:pPr>
        <w:pStyle w:val="BodyText"/>
        <w:spacing w:line="240" w:lineRule="auto" w:before="25"/>
        <w:ind w:left="154" w:right="89"/>
        <w:jc w:val="left"/>
      </w:pPr>
      <w:r>
        <w:rPr/>
        <w:t>网（</w:t>
      </w:r>
      <w:hyperlink r:id="rId11">
        <w:r>
          <w:rPr>
            <w:rFonts w:ascii="Times New Roman" w:hAnsi="Times New Roman" w:cs="Times New Roman" w:eastAsia="Times New Roman" w:hint="default"/>
          </w:rPr>
          <w:t>http://www.cninfo.com.cn/</w:t>
        </w:r>
      </w:hyperlink>
      <w:r>
        <w:rPr/>
        <w:t>）上。</w:t>
      </w:r>
    </w:p>
    <w:p>
      <w:pPr>
        <w:pStyle w:val="BodyText"/>
        <w:spacing w:line="240" w:lineRule="auto" w:before="134"/>
        <w:ind w:left="694" w:right="89"/>
        <w:jc w:val="left"/>
      </w:pPr>
      <w:r>
        <w:rPr/>
        <w:t>（二）公司于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25</w:t>
      </w:r>
      <w:r>
        <w:rPr/>
        <w:t>日召开了第三届监事会第十一次会议，会议审议并通过了</w:t>
      </w:r>
    </w:p>
    <w:p>
      <w:pPr>
        <w:pStyle w:val="BodyText"/>
        <w:spacing w:line="240" w:lineRule="auto" w:before="134"/>
        <w:ind w:left="154" w:right="89"/>
        <w:jc w:val="left"/>
      </w:pPr>
      <w:r>
        <w:rPr/>
        <w:t>《关于御银股份</w:t>
      </w:r>
      <w:r>
        <w:rPr>
          <w:rFonts w:ascii="Times New Roman" w:hAnsi="Times New Roman" w:cs="Times New Roman" w:eastAsia="Times New Roman" w:hint="default"/>
        </w:rPr>
        <w:t>2011</w:t>
      </w:r>
      <w:r>
        <w:rPr/>
        <w:t>年第一季度报告的议案》。</w:t>
      </w:r>
    </w:p>
    <w:p>
      <w:pPr>
        <w:pStyle w:val="BodyText"/>
        <w:spacing w:line="338" w:lineRule="auto" w:before="134"/>
        <w:ind w:left="154" w:right="150" w:firstLine="540"/>
        <w:jc w:val="left"/>
      </w:pPr>
      <w:r>
        <w:rPr/>
        <w:t>（三）公司于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30</w:t>
      </w:r>
      <w:r>
        <w:rPr/>
        <w:t>日召开了第三届监事会第十二次会议，会议审议并通过了 如下议案：</w:t>
      </w:r>
    </w:p>
    <w:p>
      <w:pPr>
        <w:pStyle w:val="BodyText"/>
        <w:spacing w:line="240" w:lineRule="auto" w:before="55"/>
        <w:ind w:left="694" w:right="89"/>
        <w:jc w:val="left"/>
      </w:pPr>
      <w:r>
        <w:rPr>
          <w:rFonts w:ascii="Times New Roman" w:hAnsi="Times New Roman" w:cs="Times New Roman" w:eastAsia="Times New Roman" w:hint="default"/>
        </w:rPr>
        <w:t>1</w:t>
      </w:r>
      <w:r>
        <w:rPr/>
        <w:t>、审议《关于〈公司股票期权激励计划（草案）修订稿〉的议案》；</w:t>
      </w:r>
    </w:p>
    <w:p>
      <w:pPr>
        <w:pStyle w:val="BodyText"/>
        <w:spacing w:line="338" w:lineRule="auto" w:before="134"/>
        <w:ind w:left="694" w:right="150"/>
        <w:jc w:val="left"/>
      </w:pPr>
      <w:r>
        <w:rPr>
          <w:rFonts w:ascii="Times New Roman" w:hAnsi="Times New Roman" w:cs="Times New Roman" w:eastAsia="Times New Roman" w:hint="default"/>
        </w:rPr>
        <w:t>2</w:t>
      </w:r>
      <w:r>
        <w:rPr/>
        <w:t>、审议《关于核实公司股票期权激励计划（修订稿）激励对象名单的议案》。 第三届监事会第十二次会议决议公告刊登在</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31</w:t>
      </w:r>
      <w:r>
        <w:rPr/>
        <w:t>日的《证券时报》和巨潮资</w:t>
      </w:r>
    </w:p>
    <w:p>
      <w:pPr>
        <w:pStyle w:val="BodyText"/>
        <w:spacing w:line="240" w:lineRule="auto" w:before="25"/>
        <w:ind w:left="154" w:right="89"/>
        <w:jc w:val="left"/>
      </w:pPr>
      <w:r>
        <w:rPr/>
        <w:t>讯网（</w:t>
      </w:r>
      <w:hyperlink r:id="rId11">
        <w:r>
          <w:rPr>
            <w:rFonts w:ascii="Times New Roman" w:hAnsi="Times New Roman" w:cs="Times New Roman" w:eastAsia="Times New Roman" w:hint="default"/>
          </w:rPr>
          <w:t>http://www.cninfo.com.cn/</w:t>
        </w:r>
      </w:hyperlink>
      <w:r>
        <w:rPr/>
        <w:t>）上。</w:t>
      </w:r>
    </w:p>
    <w:p>
      <w:pPr>
        <w:pStyle w:val="BodyText"/>
        <w:spacing w:line="240" w:lineRule="auto" w:before="134"/>
        <w:ind w:left="694" w:right="89"/>
        <w:jc w:val="left"/>
      </w:pPr>
      <w:r>
        <w:rPr/>
        <w:t>（四）公司于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15</w:t>
      </w:r>
      <w:r>
        <w:rPr/>
        <w:t>日召开了第三届监事会第十三次会议，会议审议并通过了</w:t>
      </w:r>
    </w:p>
    <w:p>
      <w:pPr>
        <w:pStyle w:val="BodyText"/>
        <w:spacing w:line="357" w:lineRule="auto" w:before="134"/>
        <w:ind w:left="693" w:right="151" w:hanging="540"/>
        <w:jc w:val="left"/>
      </w:pPr>
      <w:r>
        <w:rPr/>
        <w:t>《关于核实公司股票期权激励计划的激励对象名单的议案》。 第三届监事会第十三次会议决议公告刊登在</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16</w:t>
      </w:r>
      <w:r>
        <w:rPr/>
        <w:t>日的《证券时报》和巨潮资</w:t>
      </w:r>
    </w:p>
    <w:p>
      <w:pPr>
        <w:pStyle w:val="BodyText"/>
        <w:spacing w:line="240" w:lineRule="auto" w:before="4"/>
        <w:ind w:left="153" w:right="89"/>
        <w:jc w:val="left"/>
      </w:pPr>
      <w:r>
        <w:rPr/>
        <w:t>讯网（</w:t>
      </w:r>
      <w:hyperlink r:id="rId11">
        <w:r>
          <w:rPr>
            <w:rFonts w:ascii="Times New Roman" w:hAnsi="Times New Roman" w:cs="Times New Roman" w:eastAsia="Times New Roman" w:hint="default"/>
          </w:rPr>
          <w:t>http://www.cninfo.com.cn/</w:t>
        </w:r>
      </w:hyperlink>
      <w:r>
        <w:rPr/>
        <w:t>）上。</w:t>
      </w:r>
    </w:p>
    <w:p>
      <w:pPr>
        <w:pStyle w:val="BodyText"/>
        <w:spacing w:line="240" w:lineRule="auto" w:before="134"/>
        <w:ind w:left="694" w:right="89"/>
        <w:jc w:val="left"/>
      </w:pPr>
      <w:r>
        <w:rPr/>
        <w:t>（五）公司于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12</w:t>
      </w:r>
      <w:r>
        <w:rPr/>
        <w:t>日召开了第三届监事会第十四次会议，会议审议并通过了</w:t>
      </w:r>
    </w:p>
    <w:p>
      <w:pPr>
        <w:pStyle w:val="BodyText"/>
        <w:spacing w:line="240" w:lineRule="auto" w:before="134"/>
        <w:ind w:left="154" w:right="89"/>
        <w:jc w:val="left"/>
      </w:pPr>
      <w:r>
        <w:rPr/>
        <w:t>《关于参加发行</w:t>
      </w:r>
      <w:r>
        <w:rPr>
          <w:rFonts w:ascii="Times New Roman" w:hAnsi="Times New Roman" w:cs="Times New Roman" w:eastAsia="Times New Roman" w:hint="default"/>
        </w:rPr>
        <w:t>2011</w:t>
      </w:r>
      <w:r>
        <w:rPr/>
        <w:t>年招商银行第一期中小企业集合中期票据的议案》。</w:t>
      </w:r>
    </w:p>
    <w:p>
      <w:pPr>
        <w:spacing w:after="0" w:line="240" w:lineRule="auto"/>
        <w:jc w:val="left"/>
        <w:sectPr>
          <w:pgSz w:w="11910" w:h="16840"/>
          <w:pgMar w:header="747" w:footer="984" w:top="980" w:bottom="1180" w:left="980" w:right="1300"/>
        </w:sectPr>
      </w:pPr>
    </w:p>
    <w:p>
      <w:pPr>
        <w:spacing w:line="240" w:lineRule="auto" w:before="7"/>
        <w:rPr>
          <w:rFonts w:ascii="宋体" w:hAnsi="宋体" w:cs="宋体" w:eastAsia="宋体" w:hint="default"/>
          <w:sz w:val="29"/>
          <w:szCs w:val="29"/>
        </w:rPr>
      </w:pPr>
    </w:p>
    <w:p>
      <w:pPr>
        <w:pStyle w:val="BodyText"/>
        <w:spacing w:line="338" w:lineRule="auto" w:before="26"/>
        <w:ind w:left="153" w:right="288" w:firstLine="540"/>
        <w:jc w:val="both"/>
      </w:pPr>
      <w:r>
        <w:rPr/>
        <w:t>第三届监事会第十四次会议决议公告刊登在</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13</w:t>
      </w:r>
      <w:r>
        <w:rPr/>
        <w:t>日的《证券时报》和巨潮资 讯网（</w:t>
      </w:r>
      <w:hyperlink r:id="rId11">
        <w:r>
          <w:rPr>
            <w:rFonts w:ascii="Times New Roman" w:hAnsi="Times New Roman" w:cs="Times New Roman" w:eastAsia="Times New Roman" w:hint="default"/>
          </w:rPr>
          <w:t>http://www.cninfo.com.cn/</w:t>
        </w:r>
      </w:hyperlink>
      <w:r>
        <w:rPr/>
        <w:t>）上。</w:t>
      </w:r>
    </w:p>
    <w:p>
      <w:pPr>
        <w:pStyle w:val="BodyText"/>
        <w:spacing w:line="240" w:lineRule="auto" w:before="25"/>
        <w:ind w:left="694" w:right="103"/>
        <w:jc w:val="left"/>
      </w:pPr>
      <w:r>
        <w:rPr/>
        <w:t>（六）公司于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28</w:t>
      </w:r>
      <w:r>
        <w:rPr/>
        <w:t>日召开了第三届监事会第十五次会议，会议审议并通过了</w:t>
      </w:r>
    </w:p>
    <w:p>
      <w:pPr>
        <w:pStyle w:val="BodyText"/>
        <w:spacing w:line="240" w:lineRule="auto" w:before="134"/>
        <w:ind w:left="154" w:right="0"/>
        <w:jc w:val="both"/>
      </w:pPr>
      <w:r>
        <w:rPr/>
        <w:t>《关于</w:t>
      </w:r>
      <w:r>
        <w:rPr>
          <w:rFonts w:ascii="Times New Roman" w:hAnsi="Times New Roman" w:cs="Times New Roman" w:eastAsia="Times New Roman" w:hint="default"/>
        </w:rPr>
        <w:t>2011</w:t>
      </w:r>
      <w:r>
        <w:rPr/>
        <w:t>年半年度报告及其摘要的议案》。</w:t>
      </w:r>
    </w:p>
    <w:p>
      <w:pPr>
        <w:pStyle w:val="BodyText"/>
        <w:spacing w:line="240" w:lineRule="auto" w:before="134"/>
        <w:ind w:left="694" w:right="103"/>
        <w:jc w:val="left"/>
      </w:pPr>
      <w:r>
        <w:rPr/>
        <w:t>（七）公司于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13</w:t>
      </w:r>
      <w:r>
        <w:rPr/>
        <w:t>日召开了第三届监事会第十六次会议，会议审议并通过了</w:t>
      </w:r>
    </w:p>
    <w:p>
      <w:pPr>
        <w:pStyle w:val="BodyText"/>
        <w:spacing w:line="240" w:lineRule="auto" w:before="134"/>
        <w:ind w:left="154" w:right="0"/>
        <w:jc w:val="both"/>
      </w:pPr>
      <w:r>
        <w:rPr/>
        <w:t>《关于御银股份</w:t>
      </w:r>
      <w:r>
        <w:rPr>
          <w:rFonts w:ascii="Times New Roman" w:hAnsi="Times New Roman" w:cs="Times New Roman" w:eastAsia="Times New Roman" w:hint="default"/>
        </w:rPr>
        <w:t>2011</w:t>
      </w:r>
      <w:r>
        <w:rPr/>
        <w:t>年第三季度报告的议案》。</w:t>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17"/>
          <w:szCs w:val="17"/>
        </w:rPr>
      </w:pPr>
    </w:p>
    <w:p>
      <w:pPr>
        <w:pStyle w:val="BodyText"/>
        <w:spacing w:line="240" w:lineRule="auto" w:before="0"/>
        <w:ind w:left="694" w:right="103"/>
        <w:jc w:val="left"/>
      </w:pPr>
      <w:r>
        <w:rPr/>
        <w:t>二、监事会对</w:t>
      </w:r>
      <w:r>
        <w:rPr>
          <w:rFonts w:ascii="Times New Roman" w:hAnsi="Times New Roman" w:cs="Times New Roman" w:eastAsia="Times New Roman" w:hint="default"/>
        </w:rPr>
        <w:t>2011</w:t>
      </w:r>
      <w:r>
        <w:rPr/>
        <w:t>年度公司有关事项的独立意见</w:t>
      </w:r>
    </w:p>
    <w:p>
      <w:pPr>
        <w:pStyle w:val="BodyText"/>
        <w:spacing w:line="348" w:lineRule="auto" w:before="134"/>
        <w:ind w:left="154" w:right="233" w:firstLine="540"/>
        <w:jc w:val="both"/>
      </w:pPr>
      <w:r>
        <w:rPr>
          <w:rFonts w:ascii="Times New Roman" w:hAnsi="Times New Roman" w:cs="Times New Roman" w:eastAsia="Times New Roman" w:hint="default"/>
          <w:spacing w:val="-2"/>
        </w:rPr>
        <w:t>2011</w:t>
      </w:r>
      <w:r>
        <w:rPr>
          <w:spacing w:val="-2"/>
        </w:rPr>
        <w:t>年，公司监事会严格按照《公司法》、《公司章程》等的规定，认真履行监事会</w:t>
      </w:r>
      <w:r>
        <w:rPr/>
        <w:t> </w:t>
      </w:r>
      <w:r>
        <w:rPr>
          <w:spacing w:val="-1"/>
        </w:rPr>
        <w:t>职责，切实维护公司和全体股东利益，对公司的经营管理、财务状况、内部控制等事项进</w:t>
      </w:r>
      <w:r>
        <w:rPr>
          <w:spacing w:val="-1"/>
        </w:rPr>
        <w:t> </w:t>
      </w:r>
      <w:r>
        <w:rPr/>
        <w:t>行了全面的监督、检查和审核，认为：</w:t>
      </w:r>
    </w:p>
    <w:p>
      <w:pPr>
        <w:pStyle w:val="BodyText"/>
        <w:spacing w:line="357" w:lineRule="auto" w:before="44"/>
        <w:ind w:left="634" w:right="103"/>
        <w:jc w:val="left"/>
      </w:pPr>
      <w:r>
        <w:rPr/>
        <w:t>（一）公司依法运作情况 </w:t>
      </w:r>
      <w:r>
        <w:rPr>
          <w:spacing w:val="-2"/>
        </w:rPr>
        <w:t>公司的决策程序严格遵循了《公司法》、《证券法》等法律法规和中国证监会、深圳</w:t>
      </w:r>
      <w:r>
        <w:rPr/>
      </w:r>
    </w:p>
    <w:p>
      <w:pPr>
        <w:pStyle w:val="BodyText"/>
        <w:spacing w:line="357" w:lineRule="auto" w:before="35"/>
        <w:ind w:left="154" w:right="232"/>
        <w:jc w:val="both"/>
      </w:pPr>
      <w:r>
        <w:rPr>
          <w:spacing w:val="-1"/>
        </w:rPr>
        <w:t>证券交易所以及《公司章程》所作出的各项规定；公司不断完善治理结构，并结合实际情 况不断健全完善内部控制制度；三会运作规范、决策合理、程序合法，董事会认真执行股 东大会的各项决议，忠实履行诚信义务；公司董事、高级管理人员在执行职务时不存在违 </w:t>
      </w:r>
      <w:r>
        <w:rPr/>
        <w:t>反有关法律法规及《公司章程》或损害公司利益的行为。</w:t>
      </w:r>
    </w:p>
    <w:p>
      <w:pPr>
        <w:pStyle w:val="BodyText"/>
        <w:spacing w:line="357" w:lineRule="auto" w:before="35"/>
        <w:ind w:left="634" w:right="210"/>
        <w:jc w:val="left"/>
      </w:pPr>
      <w:r>
        <w:rPr/>
        <w:t>（二）检查公司财务的情况 公司财务制度健全，内控体系完善，财务运作规范，财务状况良好。财务报告真实、</w:t>
      </w:r>
    </w:p>
    <w:p>
      <w:pPr>
        <w:pStyle w:val="BodyText"/>
        <w:spacing w:line="357" w:lineRule="auto" w:before="35"/>
        <w:ind w:left="154" w:right="233"/>
        <w:jc w:val="both"/>
      </w:pPr>
      <w:r>
        <w:rPr>
          <w:spacing w:val="-1"/>
        </w:rPr>
        <w:t>准确、完整地反映了公司的财务状况、经营成果和现金流量情况。不存在虚假记载、误导 性陈述或者重大遗漏。立信会计师事务（特殊普通合伙）出具的“标准无保留意见”的审</w:t>
      </w:r>
      <w:r>
        <w:rPr>
          <w:spacing w:val="-107"/>
        </w:rPr>
        <w:t> </w:t>
      </w:r>
      <w:r>
        <w:rPr>
          <w:spacing w:val="-107"/>
        </w:rPr>
      </w:r>
      <w:r>
        <w:rPr/>
        <w:t>计报告客观公正，真实反映了公司</w:t>
      </w:r>
      <w:r>
        <w:rPr>
          <w:rFonts w:ascii="Times New Roman" w:hAnsi="Times New Roman" w:cs="Times New Roman" w:eastAsia="Times New Roman" w:hint="default"/>
        </w:rPr>
        <w:t>2011</w:t>
      </w:r>
      <w:r>
        <w:rPr/>
        <w:t>年度的财务状况、经营成果和现金流量。</w:t>
      </w:r>
    </w:p>
    <w:p>
      <w:pPr>
        <w:pStyle w:val="BodyText"/>
        <w:spacing w:line="357" w:lineRule="auto" w:before="4"/>
        <w:ind w:left="634" w:right="210"/>
        <w:jc w:val="left"/>
      </w:pPr>
      <w:r>
        <w:rPr/>
        <w:t>（三）募集资金使用情况 报告期内，监事会对公司募集资金使用情况进行了监督检查，分别出具了以下独立意</w:t>
      </w:r>
    </w:p>
    <w:p>
      <w:pPr>
        <w:pStyle w:val="BodyText"/>
        <w:spacing w:line="240" w:lineRule="auto" w:before="35"/>
        <w:ind w:left="154" w:right="0"/>
        <w:jc w:val="both"/>
      </w:pPr>
      <w:r>
        <w:rPr/>
        <w:t>见：</w:t>
      </w:r>
    </w:p>
    <w:p>
      <w:pPr>
        <w:spacing w:line="240" w:lineRule="auto" w:before="9"/>
        <w:rPr>
          <w:rFonts w:ascii="宋体" w:hAnsi="宋体" w:cs="宋体" w:eastAsia="宋体" w:hint="default"/>
          <w:sz w:val="9"/>
          <w:szCs w:val="9"/>
        </w:rPr>
      </w:pPr>
    </w:p>
    <w:p>
      <w:pPr>
        <w:pStyle w:val="BodyText"/>
        <w:spacing w:line="348" w:lineRule="auto" w:before="26"/>
        <w:ind w:left="154" w:right="103" w:firstLine="556"/>
        <w:jc w:val="left"/>
      </w:pPr>
      <w:r>
        <w:rPr>
          <w:rFonts w:ascii="Times New Roman" w:hAnsi="Times New Roman" w:cs="Times New Roman" w:eastAsia="Times New Roman" w:hint="default"/>
          <w:spacing w:val="-3"/>
        </w:rPr>
        <w:t>1</w:t>
      </w:r>
      <w:r>
        <w:rPr>
          <w:spacing w:val="-3"/>
        </w:rPr>
        <w:t>、鉴于公司部分募集资金处于闲置状态，在不会影响募集资金投资计划的正常进行、</w:t>
      </w:r>
      <w:r>
        <w:rPr/>
        <w:t> 不会变相改变募集资金用途的前提下，使用其中部分暂时闲置的募集资金补充公司流动资 金，总额人民币</w:t>
      </w:r>
      <w:r>
        <w:rPr>
          <w:rFonts w:ascii="Times New Roman" w:hAnsi="Times New Roman" w:cs="Times New Roman" w:eastAsia="Times New Roman" w:hint="default"/>
        </w:rPr>
        <w:t>200,000,000.00</w:t>
      </w:r>
      <w:r>
        <w:rPr/>
        <w:t>元，使用期限不超过</w:t>
      </w:r>
      <w:r>
        <w:rPr>
          <w:rFonts w:ascii="Times New Roman" w:hAnsi="Times New Roman" w:cs="Times New Roman" w:eastAsia="Times New Roman" w:hint="default"/>
        </w:rPr>
        <w:t>6</w:t>
      </w:r>
      <w:r>
        <w:rPr/>
        <w:t>个月，有助于公司拓展业务规模、降</w:t>
      </w:r>
      <w:r>
        <w:rPr>
          <w:spacing w:val="-86"/>
        </w:rPr>
        <w:t> </w:t>
      </w:r>
      <w:r>
        <w:rPr/>
        <w:t>低财务费用、提高募集资金的使用效率，符合《中小企业板上市公司规范运作指引》及公</w:t>
      </w:r>
      <w:r>
        <w:rPr>
          <w:spacing w:val="-1"/>
        </w:rPr>
        <w:t> </w:t>
      </w:r>
      <w:r>
        <w:rPr>
          <w:spacing w:val="-4"/>
        </w:rPr>
        <w:t>司《募集资金管理办法》的有关规定。同意公司使用部分闲置募集资金暂时补充流动资金。</w:t>
      </w:r>
    </w:p>
    <w:p>
      <w:pPr>
        <w:spacing w:after="0" w:line="348" w:lineRule="auto"/>
        <w:jc w:val="left"/>
        <w:sectPr>
          <w:pgSz w:w="11910" w:h="16840"/>
          <w:pgMar w:header="747" w:footer="984" w:top="980" w:bottom="1180" w:left="980" w:right="11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BodyText"/>
        <w:spacing w:line="240" w:lineRule="auto" w:before="26"/>
        <w:ind w:left="710" w:right="103"/>
        <w:jc w:val="left"/>
      </w:pPr>
      <w:r>
        <w:rPr>
          <w:rFonts w:ascii="Times New Roman" w:hAnsi="Times New Roman" w:cs="Times New Roman" w:eastAsia="Times New Roman" w:hint="default"/>
          <w:spacing w:val="-3"/>
        </w:rPr>
        <w:t>2</w:t>
      </w:r>
      <w:r>
        <w:rPr>
          <w:rFonts w:ascii="宋体" w:hAnsi="宋体" w:cs="宋体" w:eastAsia="宋体" w:hint="default"/>
          <w:spacing w:val="-3"/>
        </w:rPr>
        <w:t>、</w:t>
      </w:r>
      <w:r>
        <w:rPr>
          <w:spacing w:val="-3"/>
        </w:rPr>
        <w:t>鉴于公司部分募集资金处于闲置状态，在不会影响募集资金投资计划的正常进行、</w:t>
      </w:r>
    </w:p>
    <w:p>
      <w:pPr>
        <w:spacing w:line="240" w:lineRule="auto" w:before="9"/>
        <w:rPr>
          <w:rFonts w:ascii="宋体" w:hAnsi="宋体" w:cs="宋体" w:eastAsia="宋体" w:hint="default"/>
          <w:sz w:val="17"/>
          <w:szCs w:val="17"/>
        </w:rPr>
      </w:pPr>
    </w:p>
    <w:p>
      <w:pPr>
        <w:pStyle w:val="BodyText"/>
        <w:spacing w:line="348" w:lineRule="auto" w:before="0"/>
        <w:ind w:left="153" w:right="230"/>
        <w:jc w:val="both"/>
      </w:pPr>
      <w:r>
        <w:rPr/>
        <w:t>不会变相改变募集资金用途的前提下，使用其中部分暂时闲置的募集资金补充公司流动资 </w:t>
      </w:r>
      <w:r>
        <w:rPr>
          <w:spacing w:val="-2"/>
        </w:rPr>
        <w:t>金，总额人民币</w:t>
      </w:r>
      <w:r>
        <w:rPr>
          <w:rFonts w:ascii="Times New Roman" w:hAnsi="Times New Roman" w:cs="Times New Roman" w:eastAsia="Times New Roman" w:hint="default"/>
          <w:spacing w:val="-2"/>
        </w:rPr>
        <w:t>70,000,000.00</w:t>
      </w:r>
      <w:r>
        <w:rPr>
          <w:spacing w:val="-2"/>
        </w:rPr>
        <w:t>元，使用期限不超过</w:t>
      </w:r>
      <w:r>
        <w:rPr>
          <w:rFonts w:ascii="Times New Roman" w:hAnsi="Times New Roman" w:cs="Times New Roman" w:eastAsia="Times New Roman" w:hint="default"/>
          <w:spacing w:val="-2"/>
        </w:rPr>
        <w:t>6</w:t>
      </w:r>
      <w:r>
        <w:rPr>
          <w:spacing w:val="-2"/>
        </w:rPr>
        <w:t>个月，有助于公司拓展业务规模、降低</w:t>
      </w:r>
      <w:r>
        <w:rPr>
          <w:spacing w:val="-90"/>
        </w:rPr>
        <w:t> </w:t>
      </w:r>
      <w:r>
        <w:rPr>
          <w:spacing w:val="-90"/>
        </w:rPr>
      </w:r>
      <w:r>
        <w:rPr>
          <w:spacing w:val="-1"/>
        </w:rPr>
        <w:t>财务费用、提高募集资金的使用效率，符合《中小企业板上市公司规范运作指引》及公司</w:t>
      </w:r>
      <w:r>
        <w:rPr/>
      </w:r>
    </w:p>
    <w:p>
      <w:pPr>
        <w:pStyle w:val="BodyText"/>
        <w:spacing w:line="240" w:lineRule="auto" w:before="44"/>
        <w:ind w:left="153" w:right="0"/>
        <w:jc w:val="both"/>
      </w:pPr>
      <w:r>
        <w:rPr/>
        <w:t>《募集资金管理办法》的有关规定。同意公司使用部分闲置募集资金暂时补充流动资金。</w:t>
      </w:r>
    </w:p>
    <w:p>
      <w:pPr>
        <w:pStyle w:val="BodyText"/>
        <w:spacing w:line="357" w:lineRule="auto" w:before="152"/>
        <w:ind w:left="633" w:right="4801"/>
        <w:jc w:val="left"/>
        <w:rPr>
          <w:sz w:val="21"/>
          <w:szCs w:val="21"/>
        </w:rPr>
      </w:pPr>
      <w:r>
        <w:rPr/>
        <w:t>（四）收购、出售资产情况 报告期内，公司无收购、出售资产情况</w:t>
      </w:r>
      <w:r>
        <w:rPr>
          <w:sz w:val="21"/>
          <w:szCs w:val="21"/>
        </w:rPr>
        <w:t>。</w:t>
      </w:r>
    </w:p>
    <w:p>
      <w:pPr>
        <w:pStyle w:val="BodyText"/>
        <w:spacing w:line="240" w:lineRule="auto" w:before="35"/>
        <w:ind w:left="634" w:right="103"/>
        <w:jc w:val="left"/>
      </w:pPr>
      <w:r>
        <w:rPr/>
        <w:t>（五）关联交易情况</w:t>
      </w:r>
    </w:p>
    <w:p>
      <w:pPr>
        <w:pStyle w:val="BodyText"/>
        <w:spacing w:line="338" w:lineRule="auto" w:before="152"/>
        <w:ind w:left="153" w:right="103" w:firstLine="480"/>
        <w:jc w:val="left"/>
      </w:pPr>
      <w:r>
        <w:rPr>
          <w:rFonts w:ascii="Times New Roman" w:hAnsi="Times New Roman" w:cs="Times New Roman" w:eastAsia="Times New Roman" w:hint="default"/>
        </w:rPr>
        <w:t>2011</w:t>
      </w:r>
      <w:r>
        <w:rPr/>
        <w:t>年度公司所涉及的关联交易业务均属公司的正常经营活动，关联交易程序合法， </w:t>
      </w:r>
      <w:r>
        <w:rPr>
          <w:spacing w:val="-4"/>
        </w:rPr>
        <w:t>按市场价格定价，定价依据充分，价格公平合理。未发现任何损害公司和股东权益的情况。</w:t>
      </w:r>
    </w:p>
    <w:p>
      <w:pPr>
        <w:pStyle w:val="BodyText"/>
        <w:spacing w:line="357" w:lineRule="auto" w:before="54"/>
        <w:ind w:left="633" w:right="103"/>
        <w:jc w:val="left"/>
      </w:pPr>
      <w:r>
        <w:rPr/>
        <w:t>（六）公司对外担保及股权、资产置换情况 </w:t>
      </w:r>
      <w:r>
        <w:rPr>
          <w:spacing w:val="-1"/>
        </w:rPr>
        <w:t>报告期内，公司无违规对外担保，无股权、资产置换情况，也无其他损害公司股东利</w:t>
      </w:r>
      <w:r>
        <w:rPr/>
      </w:r>
    </w:p>
    <w:p>
      <w:pPr>
        <w:pStyle w:val="BodyText"/>
        <w:spacing w:line="240" w:lineRule="auto" w:before="35"/>
        <w:ind w:left="153" w:right="0"/>
        <w:jc w:val="both"/>
      </w:pPr>
      <w:r>
        <w:rPr/>
        <w:t>益或造成公司资产流失的情况。</w:t>
      </w:r>
    </w:p>
    <w:p>
      <w:pPr>
        <w:pStyle w:val="BodyText"/>
        <w:spacing w:line="357" w:lineRule="auto" w:before="152"/>
        <w:ind w:left="633" w:right="103"/>
        <w:jc w:val="left"/>
      </w:pPr>
      <w:r>
        <w:rPr/>
        <w:t>（七）对公司股票期权激励计划的激励对象名单的核查意见 </w:t>
      </w:r>
      <w:r>
        <w:rPr>
          <w:spacing w:val="-1"/>
        </w:rPr>
        <w:t>监事会对公司《股票期权激励计划（草案）修订稿》所涉及的激励对象名单进行核查</w:t>
      </w:r>
      <w:r>
        <w:rPr/>
      </w:r>
    </w:p>
    <w:p>
      <w:pPr>
        <w:pStyle w:val="BodyText"/>
        <w:spacing w:line="357" w:lineRule="auto" w:before="36"/>
        <w:ind w:left="153" w:right="232"/>
        <w:jc w:val="both"/>
      </w:pPr>
      <w:r>
        <w:rPr>
          <w:spacing w:val="-1"/>
        </w:rPr>
        <w:t>后认为：公司本次股票期权激励计划中确定的董事、高级管理人员、中层管理人员和核心 技术（业务）人员，具备《中华人民共和国公司法》、《中华人民共和国证券法》、《公 司章程》等法律、法规和规范性文件规定的任职资格，符合《上市公司股权激励管理办法</w:t>
      </w:r>
      <w:r>
        <w:rPr/>
      </w:r>
    </w:p>
    <w:p>
      <w:pPr>
        <w:pStyle w:val="BodyText"/>
        <w:spacing w:line="240" w:lineRule="auto" w:before="35"/>
        <w:ind w:left="153" w:right="0"/>
        <w:jc w:val="both"/>
      </w:pPr>
      <w:r>
        <w:rPr/>
        <w:t>（试行）》规定的激励对象条件，其作为公司股票期权激励对象的主体资格合法、有效。</w:t>
      </w:r>
    </w:p>
    <w:p>
      <w:pPr>
        <w:pStyle w:val="BodyText"/>
        <w:spacing w:line="357" w:lineRule="auto" w:before="152"/>
        <w:ind w:left="633" w:right="103"/>
        <w:jc w:val="left"/>
      </w:pPr>
      <w:r>
        <w:rPr/>
        <w:t>（八）对公司内部控制自我评价的意见 </w:t>
      </w:r>
      <w:r>
        <w:rPr>
          <w:spacing w:val="6"/>
        </w:rPr>
        <w:t>公司已经基本建立健全了内部控制制度，能够适应当前公司管理的要求和发展的需</w:t>
      </w:r>
      <w:r>
        <w:rPr/>
      </w:r>
    </w:p>
    <w:p>
      <w:pPr>
        <w:pStyle w:val="BodyText"/>
        <w:spacing w:line="338" w:lineRule="auto" w:before="35"/>
        <w:ind w:left="153" w:right="233"/>
        <w:jc w:val="both"/>
      </w:pPr>
      <w:r>
        <w:rPr>
          <w:spacing w:val="-1"/>
        </w:rPr>
        <w:t>要，且各项内部控制制度在营运环节中得到了有效执行。董事会出具的《公司</w:t>
      </w:r>
      <w:r>
        <w:rPr>
          <w:rFonts w:ascii="Times New Roman" w:hAnsi="Times New Roman" w:cs="Times New Roman" w:eastAsia="Times New Roman" w:hint="default"/>
          <w:spacing w:val="-1"/>
        </w:rPr>
        <w:t>2011</w:t>
      </w:r>
      <w:r>
        <w:rPr>
          <w:spacing w:val="-1"/>
        </w:rPr>
        <w:t>年度内</w:t>
      </w:r>
      <w:r>
        <w:rPr>
          <w:spacing w:val="-113"/>
        </w:rPr>
        <w:t> </w:t>
      </w:r>
      <w:r>
        <w:rPr/>
        <w:t>部控制自我评价报告》真实、客观地反映了公司内部控制制度的建设及执行情况。</w:t>
      </w:r>
    </w:p>
    <w:p>
      <w:pPr>
        <w:pStyle w:val="BodyText"/>
        <w:spacing w:line="357" w:lineRule="auto" w:before="54"/>
        <w:ind w:left="633" w:right="211"/>
        <w:jc w:val="left"/>
      </w:pPr>
      <w:r>
        <w:rPr/>
        <w:t>（九）对内幕信息知情人管理制度的建立和实施的意见 公司建立了较为完善的内幕信息知情人管理制度，在信息披露过程中能够严格按照其</w:t>
      </w:r>
    </w:p>
    <w:p>
      <w:pPr>
        <w:pStyle w:val="BodyText"/>
        <w:spacing w:line="350" w:lineRule="auto" w:before="35"/>
        <w:ind w:left="153" w:right="226"/>
        <w:jc w:val="both"/>
      </w:pPr>
      <w:r>
        <w:rPr>
          <w:spacing w:val="-2"/>
        </w:rPr>
        <w:t>要求执行相关程序，防止了内幕信息交易的发生。报告期内，公司根据广东证监</w:t>
      </w:r>
      <w:r>
        <w:rPr>
          <w:rFonts w:ascii="Times New Roman" w:hAnsi="Times New Roman" w:cs="Times New Roman" w:eastAsia="Times New Roman" w:hint="default"/>
          <w:spacing w:val="-2"/>
        </w:rPr>
        <w:t>[2011]170</w:t>
      </w:r>
      <w:r>
        <w:rPr>
          <w:rFonts w:ascii="Times New Roman" w:hAnsi="Times New Roman" w:cs="Times New Roman" w:eastAsia="Times New Roman" w:hint="default"/>
          <w:spacing w:val="-26"/>
        </w:rPr>
        <w:t> </w:t>
      </w:r>
      <w:r>
        <w:rPr>
          <w:spacing w:val="-1"/>
        </w:rPr>
        <w:t>号《通知》的要求，对公司内幕信息管理制度的建设情况和执行情况进行了自查，并对公 </w:t>
      </w:r>
      <w:r>
        <w:rPr>
          <w:spacing w:val="6"/>
        </w:rPr>
        <w:t>司内幕信息知情人是否涉及内幕交易进行了排查，根据自查结果完善了内幕信息管理制</w:t>
      </w:r>
      <w:r>
        <w:rPr>
          <w:spacing w:val="-118"/>
        </w:rPr>
        <w:t> </w:t>
      </w:r>
      <w:r>
        <w:rPr>
          <w:spacing w:val="-118"/>
        </w:rPr>
      </w:r>
      <w:r>
        <w:rPr/>
        <w:t>度。</w:t>
      </w:r>
    </w:p>
    <w:p>
      <w:pPr>
        <w:spacing w:after="0" w:line="350" w:lineRule="auto"/>
        <w:jc w:val="both"/>
        <w:sectPr>
          <w:pgSz w:w="11910" w:h="16840"/>
          <w:pgMar w:header="747" w:footer="984" w:top="980" w:bottom="1180" w:left="980" w:right="1180"/>
        </w:sectPr>
      </w:pPr>
    </w:p>
    <w:p>
      <w:pPr>
        <w:spacing w:line="240" w:lineRule="auto" w:before="0"/>
        <w:rPr>
          <w:rFonts w:ascii="宋体" w:hAnsi="宋体" w:cs="宋体" w:eastAsia="宋体" w:hint="default"/>
          <w:sz w:val="20"/>
          <w:szCs w:val="20"/>
        </w:rPr>
      </w:pPr>
    </w:p>
    <w:p>
      <w:pPr>
        <w:tabs>
          <w:tab w:pos="1627" w:val="left" w:leader="none"/>
        </w:tabs>
        <w:spacing w:before="130"/>
        <w:ind w:left="0" w:right="79" w:firstLine="0"/>
        <w:jc w:val="center"/>
        <w:rPr>
          <w:rFonts w:ascii="宋体" w:hAnsi="宋体" w:cs="宋体" w:eastAsia="宋体" w:hint="default"/>
          <w:sz w:val="36"/>
          <w:szCs w:val="36"/>
        </w:rPr>
      </w:pPr>
      <w:bookmarkStart w:name="_TOC_250001" w:id="8"/>
      <w:r>
        <w:rPr>
          <w:rFonts w:ascii="宋体" w:hAnsi="宋体" w:cs="宋体" w:eastAsia="宋体" w:hint="default"/>
          <w:b/>
          <w:bCs/>
          <w:w w:val="95"/>
          <w:sz w:val="36"/>
          <w:szCs w:val="36"/>
        </w:rPr>
        <w:t>第十节</w:t>
        <w:tab/>
      </w:r>
      <w:r>
        <w:rPr>
          <w:rFonts w:ascii="宋体" w:hAnsi="宋体" w:cs="宋体" w:eastAsia="宋体" w:hint="default"/>
          <w:b/>
          <w:bCs/>
          <w:sz w:val="36"/>
          <w:szCs w:val="36"/>
        </w:rPr>
        <w:t>重要事项</w:t>
      </w:r>
      <w:bookmarkEnd w:id="8"/>
      <w:r>
        <w:rPr>
          <w:rFonts w:ascii="宋体" w:hAnsi="宋体" w:cs="宋体" w:eastAsia="宋体" w:hint="default"/>
          <w:sz w:val="36"/>
          <w:szCs w:val="36"/>
        </w:rPr>
      </w:r>
    </w:p>
    <w:p>
      <w:pPr>
        <w:pStyle w:val="BodyText"/>
        <w:spacing w:line="357" w:lineRule="auto" w:before="250"/>
        <w:ind w:left="693" w:right="4471"/>
        <w:jc w:val="left"/>
      </w:pPr>
      <w:r>
        <w:rPr/>
        <w:t>一、报告期内重大诉讼、仲裁事项 报告期内，本公司无重大诉讼、仲裁事项。</w:t>
      </w:r>
    </w:p>
    <w:p>
      <w:pPr>
        <w:spacing w:line="240" w:lineRule="auto" w:before="4"/>
        <w:rPr>
          <w:rFonts w:ascii="宋体" w:hAnsi="宋体" w:cs="宋体" w:eastAsia="宋体" w:hint="default"/>
          <w:sz w:val="34"/>
          <w:szCs w:val="34"/>
        </w:rPr>
      </w:pPr>
    </w:p>
    <w:p>
      <w:pPr>
        <w:pStyle w:val="BodyText"/>
        <w:spacing w:line="357" w:lineRule="auto" w:before="0"/>
        <w:ind w:left="693" w:right="4801"/>
        <w:jc w:val="left"/>
      </w:pPr>
      <w:r>
        <w:rPr/>
        <w:t>二、报告期内破产重整事项 报告期内，本公司无破产重整事项。</w:t>
      </w:r>
    </w:p>
    <w:p>
      <w:pPr>
        <w:spacing w:line="240" w:lineRule="auto" w:before="4"/>
        <w:rPr>
          <w:rFonts w:ascii="宋体" w:hAnsi="宋体" w:cs="宋体" w:eastAsia="宋体" w:hint="default"/>
          <w:sz w:val="34"/>
          <w:szCs w:val="34"/>
        </w:rPr>
      </w:pPr>
    </w:p>
    <w:p>
      <w:pPr>
        <w:pStyle w:val="BodyText"/>
        <w:spacing w:line="240" w:lineRule="auto" w:before="0"/>
        <w:ind w:left="693" w:right="103"/>
        <w:jc w:val="left"/>
      </w:pPr>
      <w:r>
        <w:rPr/>
        <w:t>三、报告期内公司与控股股东及其关联方的资金往来情况</w:t>
      </w:r>
    </w:p>
    <w:p>
      <w:pPr>
        <w:pStyle w:val="BodyText"/>
        <w:spacing w:line="357" w:lineRule="auto" w:before="152"/>
        <w:ind w:left="693" w:right="1111"/>
        <w:jc w:val="left"/>
      </w:pPr>
      <w:r>
        <w:rPr/>
        <w:t>（一）控股股东及其关联方非经营性占用公司资金的情况 报告期内，公司不存在控股股东及其关联方非经营性占用公司资金的情况。</w:t>
      </w:r>
    </w:p>
    <w:p>
      <w:pPr>
        <w:pStyle w:val="BodyText"/>
        <w:spacing w:line="357" w:lineRule="auto" w:before="35"/>
        <w:ind w:left="693" w:right="211"/>
        <w:jc w:val="left"/>
      </w:pPr>
      <w:r>
        <w:rPr/>
        <w:t>（二）公司与控股股东及其关联方的资金往来情况 </w:t>
      </w:r>
      <w:r>
        <w:rPr>
          <w:spacing w:val="5"/>
        </w:rPr>
        <w:t>公司与广州基准机械电子科技有限公司签订加工采购合同关联事项经独立董事事前</w:t>
      </w:r>
      <w:r>
        <w:rPr/>
      </w:r>
    </w:p>
    <w:p>
      <w:pPr>
        <w:pStyle w:val="BodyText"/>
        <w:spacing w:line="240" w:lineRule="auto" w:before="35"/>
        <w:ind w:left="153" w:right="103"/>
        <w:jc w:val="left"/>
      </w:pPr>
      <w:r>
        <w:rPr/>
        <w:t>认可，并提交公司第三届董事会第十六次会议进行审议通过。</w:t>
      </w:r>
    </w:p>
    <w:p>
      <w:pPr>
        <w:spacing w:before="161"/>
        <w:ind w:left="0" w:right="593" w:firstLine="0"/>
        <w:jc w:val="right"/>
        <w:rPr>
          <w:rFonts w:ascii="宋体" w:hAnsi="宋体" w:cs="宋体" w:eastAsia="宋体" w:hint="default"/>
          <w:sz w:val="18"/>
          <w:szCs w:val="18"/>
        </w:rPr>
      </w:pPr>
      <w:r>
        <w:rPr>
          <w:rFonts w:ascii="宋体" w:hAnsi="宋体" w:cs="宋体" w:eastAsia="宋体" w:hint="default"/>
          <w:sz w:val="18"/>
          <w:szCs w:val="18"/>
        </w:rPr>
        <w:t>单位：（人民币）万元</w:t>
      </w:r>
    </w:p>
    <w:p>
      <w:pPr>
        <w:spacing w:line="240" w:lineRule="auto" w:before="1"/>
        <w:rPr>
          <w:rFonts w:ascii="宋体" w:hAnsi="宋体" w:cs="宋体" w:eastAsia="宋体" w:hint="default"/>
          <w:sz w:val="11"/>
          <w:szCs w:val="11"/>
        </w:rPr>
      </w:pPr>
    </w:p>
    <w:tbl>
      <w:tblPr>
        <w:tblW w:w="0" w:type="auto"/>
        <w:jc w:val="left"/>
        <w:tblInd w:w="420" w:type="dxa"/>
        <w:tblLayout w:type="fixed"/>
        <w:tblCellMar>
          <w:top w:w="0" w:type="dxa"/>
          <w:left w:w="0" w:type="dxa"/>
          <w:bottom w:w="0" w:type="dxa"/>
          <w:right w:w="0" w:type="dxa"/>
        </w:tblCellMar>
        <w:tblLook w:val="01E0"/>
      </w:tblPr>
      <w:tblGrid>
        <w:gridCol w:w="1368"/>
        <w:gridCol w:w="1574"/>
        <w:gridCol w:w="1702"/>
        <w:gridCol w:w="992"/>
        <w:gridCol w:w="1134"/>
        <w:gridCol w:w="1134"/>
        <w:gridCol w:w="992"/>
      </w:tblGrid>
      <w:tr>
        <w:trPr>
          <w:trHeight w:val="476" w:hRule="exact"/>
        </w:trPr>
        <w:tc>
          <w:tcPr>
            <w:tcW w:w="136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87"/>
              <w:ind w:left="229" w:right="0"/>
              <w:jc w:val="left"/>
              <w:rPr>
                <w:rFonts w:ascii="宋体" w:hAnsi="宋体" w:cs="宋体" w:eastAsia="宋体" w:hint="default"/>
                <w:sz w:val="18"/>
                <w:szCs w:val="18"/>
              </w:rPr>
            </w:pPr>
            <w:r>
              <w:rPr>
                <w:rFonts w:ascii="宋体" w:hAnsi="宋体" w:cs="宋体" w:eastAsia="宋体" w:hint="default"/>
                <w:sz w:val="18"/>
                <w:szCs w:val="18"/>
              </w:rPr>
              <w:t>关联方名称</w:t>
            </w:r>
          </w:p>
        </w:tc>
        <w:tc>
          <w:tcPr>
            <w:tcW w:w="157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与上市公司的关</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联关系</w:t>
            </w:r>
          </w:p>
        </w:tc>
        <w:tc>
          <w:tcPr>
            <w:tcW w:w="1702"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上市公司会计核算</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科目</w:t>
            </w:r>
          </w:p>
        </w:tc>
        <w:tc>
          <w:tcPr>
            <w:tcW w:w="992"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87"/>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13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1134"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本期偿还额</w:t>
            </w:r>
          </w:p>
        </w:tc>
        <w:tc>
          <w:tcPr>
            <w:tcW w:w="992"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39" w:right="0"/>
              <w:jc w:val="left"/>
              <w:rPr>
                <w:rFonts w:ascii="宋体" w:hAnsi="宋体" w:cs="宋体" w:eastAsia="宋体" w:hint="default"/>
                <w:sz w:val="18"/>
                <w:szCs w:val="18"/>
              </w:rPr>
            </w:pPr>
            <w:r>
              <w:rPr>
                <w:rFonts w:ascii="宋体" w:hAnsi="宋体" w:cs="宋体" w:eastAsia="宋体" w:hint="default"/>
                <w:sz w:val="18"/>
                <w:szCs w:val="18"/>
              </w:rPr>
              <w:t>广州基准机械</w:t>
            </w:r>
          </w:p>
          <w:p>
            <w:pPr>
              <w:pStyle w:val="TableParagraph"/>
              <w:spacing w:line="240" w:lineRule="auto"/>
              <w:ind w:left="499" w:right="137" w:hanging="360"/>
              <w:jc w:val="left"/>
              <w:rPr>
                <w:rFonts w:ascii="宋体" w:hAnsi="宋体" w:cs="宋体" w:eastAsia="宋体" w:hint="default"/>
                <w:sz w:val="18"/>
                <w:szCs w:val="18"/>
              </w:rPr>
            </w:pPr>
            <w:r>
              <w:rPr>
                <w:rFonts w:ascii="宋体" w:hAnsi="宋体" w:cs="宋体" w:eastAsia="宋体" w:hint="default"/>
                <w:sz w:val="18"/>
                <w:szCs w:val="18"/>
              </w:rPr>
              <w:t>电子科技有限 公司</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152" w:right="150"/>
              <w:jc w:val="left"/>
              <w:rPr>
                <w:rFonts w:ascii="宋体" w:hAnsi="宋体" w:cs="宋体" w:eastAsia="宋体" w:hint="default"/>
                <w:sz w:val="18"/>
                <w:szCs w:val="18"/>
              </w:rPr>
            </w:pPr>
            <w:r>
              <w:rPr>
                <w:rFonts w:ascii="宋体" w:hAnsi="宋体" w:cs="宋体" w:eastAsia="宋体" w:hint="default"/>
                <w:sz w:val="18"/>
                <w:szCs w:val="18"/>
              </w:rPr>
              <w:t>本公司控股股东 亲属控制的企业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85"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 w:right="0"/>
              <w:jc w:val="center"/>
              <w:rPr>
                <w:rFonts w:ascii="Times New Roman" w:hAnsi="Times New Roman" w:cs="Times New Roman" w:eastAsia="Times New Roman" w:hint="default"/>
                <w:sz w:val="20"/>
                <w:szCs w:val="20"/>
              </w:rPr>
            </w:pPr>
            <w:r>
              <w:rPr>
                <w:rFonts w:ascii="Times New Roman"/>
                <w:sz w:val="20"/>
              </w:rPr>
              <w:t>887.31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2,802.40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2,762.34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927.37</w:t>
            </w:r>
          </w:p>
        </w:tc>
      </w:tr>
    </w:tbl>
    <w:p>
      <w:pPr>
        <w:spacing w:line="240" w:lineRule="auto" w:before="9"/>
        <w:rPr>
          <w:rFonts w:ascii="宋体" w:hAnsi="宋体" w:cs="宋体" w:eastAsia="宋体" w:hint="default"/>
          <w:sz w:val="26"/>
          <w:szCs w:val="26"/>
        </w:rPr>
      </w:pPr>
    </w:p>
    <w:p>
      <w:pPr>
        <w:pStyle w:val="BodyText"/>
        <w:spacing w:line="357" w:lineRule="auto" w:before="26"/>
        <w:ind w:left="693" w:right="3271"/>
        <w:jc w:val="left"/>
      </w:pPr>
      <w:r>
        <w:rPr/>
        <w:t>四、公司报告期内收购及出售资产、吸收合并事项 报告期内，本公司无收购、出售资产、吸收合并事项。</w:t>
      </w:r>
    </w:p>
    <w:p>
      <w:pPr>
        <w:spacing w:line="240" w:lineRule="auto" w:before="4"/>
        <w:rPr>
          <w:rFonts w:ascii="宋体" w:hAnsi="宋体" w:cs="宋体" w:eastAsia="宋体" w:hint="default"/>
          <w:sz w:val="34"/>
          <w:szCs w:val="34"/>
        </w:rPr>
      </w:pPr>
    </w:p>
    <w:p>
      <w:pPr>
        <w:pStyle w:val="BodyText"/>
        <w:spacing w:line="240" w:lineRule="auto" w:before="0"/>
        <w:ind w:left="693" w:right="103"/>
        <w:jc w:val="left"/>
      </w:pPr>
      <w:r>
        <w:rPr/>
        <w:t>五、报告期内股权激励计划的具体实施情况</w:t>
      </w:r>
    </w:p>
    <w:p>
      <w:pPr>
        <w:pStyle w:val="BodyText"/>
        <w:spacing w:line="338" w:lineRule="auto" w:before="152"/>
        <w:ind w:left="153" w:right="103" w:firstLine="480"/>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30</w:t>
      </w:r>
      <w:r>
        <w:rPr/>
        <w:t>日，公司第三届董事会第二十次会议审议通过了《关于〈股票期权激</w:t>
      </w:r>
      <w:r>
        <w:rPr>
          <w:spacing w:val="-1"/>
        </w:rPr>
        <w:t> </w:t>
      </w:r>
      <w:r>
        <w:rPr>
          <w:spacing w:val="-10"/>
        </w:rPr>
        <w:t>励计划（草案）修订稿〉的议案》、《关于修订</w:t>
      </w:r>
      <w:r>
        <w:rPr>
          <w:rFonts w:ascii="Times New Roman" w:hAnsi="Times New Roman" w:cs="Times New Roman" w:eastAsia="Times New Roman" w:hint="default"/>
          <w:spacing w:val="-10"/>
        </w:rPr>
        <w:t>&lt;</w:t>
      </w:r>
      <w:r>
        <w:rPr>
          <w:spacing w:val="-10"/>
        </w:rPr>
        <w:t>股票期权激励计划实施考核办法</w:t>
      </w:r>
      <w:r>
        <w:rPr>
          <w:rFonts w:ascii="Times New Roman" w:hAnsi="Times New Roman" w:cs="Times New Roman" w:eastAsia="Times New Roman" w:hint="default"/>
          <w:spacing w:val="-10"/>
        </w:rPr>
        <w:t>&gt;</w:t>
      </w:r>
      <w:r>
        <w:rPr>
          <w:spacing w:val="-10"/>
        </w:rPr>
        <w:t>的议案》。</w:t>
      </w:r>
      <w:r>
        <w:rPr>
          <w:spacing w:val="-98"/>
        </w:rPr>
        <w:t> </w:t>
      </w:r>
      <w:r>
        <w:rPr>
          <w:spacing w:val="-98"/>
        </w:rPr>
      </w:r>
      <w:r>
        <w:rPr/>
        <w:t>独立董事对本次股权激励计划（草案）修订稿发表了独立意见。</w:t>
      </w:r>
    </w:p>
    <w:p>
      <w:pPr>
        <w:pStyle w:val="BodyText"/>
        <w:spacing w:line="348" w:lineRule="auto" w:before="54"/>
        <w:ind w:left="153" w:right="231" w:firstLine="480"/>
        <w:jc w:val="both"/>
      </w:pPr>
      <w:r>
        <w:rPr>
          <w:rFonts w:ascii="Times New Roman" w:hAnsi="Times New Roman" w:cs="Times New Roman" w:eastAsia="Times New Roman" w:hint="default"/>
          <w:spacing w:val="-1"/>
        </w:rPr>
        <w:t>2</w:t>
      </w:r>
      <w:r>
        <w:rPr>
          <w:spacing w:val="-1"/>
        </w:rPr>
        <w:t>、</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30</w:t>
      </w:r>
      <w:r>
        <w:rPr>
          <w:spacing w:val="-1"/>
        </w:rPr>
        <w:t>日，公司第三届监事会第十二次会议审议通过了《关于〈股票期权激 励计划（草案）修订稿〉的议案》、《关于核实公司股票期权激励计划（修订稿）激励对 </w:t>
      </w:r>
      <w:r>
        <w:rPr/>
        <w:t>象名单的议案》。</w:t>
      </w:r>
    </w:p>
    <w:p>
      <w:pPr>
        <w:pStyle w:val="BodyText"/>
        <w:spacing w:line="240" w:lineRule="auto" w:before="44"/>
        <w:ind w:left="633" w:right="103"/>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15</w:t>
      </w:r>
      <w:r>
        <w:rPr/>
        <w:t>日，公司以现场与网络投票相结合、委托独立董事投票的方式召开了</w:t>
      </w:r>
    </w:p>
    <w:p>
      <w:pPr>
        <w:pStyle w:val="BodyText"/>
        <w:spacing w:line="240" w:lineRule="auto" w:before="134"/>
        <w:ind w:left="153" w:right="103"/>
        <w:jc w:val="left"/>
      </w:pPr>
      <w:r>
        <w:rPr>
          <w:rFonts w:ascii="Times New Roman" w:hAnsi="Times New Roman" w:cs="Times New Roman" w:eastAsia="Times New Roman" w:hint="default"/>
          <w:spacing w:val="-4"/>
        </w:rPr>
        <w:t>2011</w:t>
      </w:r>
      <w:r>
        <w:rPr>
          <w:spacing w:val="-4"/>
        </w:rPr>
        <w:t>年第三次临时股东大会，会议审议通过了《关于〈御银股份股票期权激励计划（草案）</w:t>
      </w:r>
    </w:p>
    <w:p>
      <w:pPr>
        <w:spacing w:after="0" w:line="240" w:lineRule="auto"/>
        <w:jc w:val="left"/>
        <w:sectPr>
          <w:pgSz w:w="11910" w:h="16840"/>
          <w:pgMar w:header="747" w:footer="984" w:top="980" w:bottom="1180" w:left="980" w:right="1180"/>
        </w:sectPr>
      </w:pPr>
    </w:p>
    <w:p>
      <w:pPr>
        <w:spacing w:line="240" w:lineRule="auto" w:before="7"/>
        <w:rPr>
          <w:rFonts w:ascii="宋体" w:hAnsi="宋体" w:cs="宋体" w:eastAsia="宋体" w:hint="default"/>
          <w:sz w:val="29"/>
          <w:szCs w:val="29"/>
        </w:rPr>
      </w:pPr>
    </w:p>
    <w:p>
      <w:pPr>
        <w:pStyle w:val="BodyText"/>
        <w:spacing w:line="240" w:lineRule="auto" w:before="26"/>
        <w:ind w:left="154" w:right="0"/>
        <w:jc w:val="left"/>
      </w:pPr>
      <w:r>
        <w:rPr/>
        <w:t>修订稿〉的议案》、《关于提请股东大会授权董事会办理股票期权激励相关事宜》。</w:t>
      </w:r>
    </w:p>
    <w:p>
      <w:pPr>
        <w:pStyle w:val="BodyText"/>
        <w:spacing w:line="338" w:lineRule="auto" w:before="152"/>
        <w:ind w:left="153" w:right="171" w:firstLine="480"/>
        <w:jc w:val="both"/>
      </w:pPr>
      <w:r>
        <w:rPr>
          <w:rFonts w:ascii="Times New Roman" w:hAnsi="Times New Roman" w:cs="Times New Roman" w:eastAsia="Times New Roman" w:hint="default"/>
          <w:spacing w:val="-1"/>
        </w:rPr>
        <w:t>4</w:t>
      </w:r>
      <w:r>
        <w:rPr>
          <w:spacing w:val="-1"/>
        </w:rPr>
        <w:t>、</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15</w:t>
      </w:r>
      <w:r>
        <w:rPr>
          <w:spacing w:val="-1"/>
        </w:rPr>
        <w:t>日，公司第三届董事会第二十一次会议审议通过了《关于确定公司股 </w:t>
      </w:r>
      <w:r>
        <w:rPr>
          <w:spacing w:val="2"/>
        </w:rPr>
        <w:t>票期权激励计划首次授权日的议案》，确定本次激励计划的股票期权授权日为</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6</w:t>
      </w:r>
      <w:r>
        <w:rPr>
          <w:spacing w:val="2"/>
        </w:rPr>
        <w:t>月</w:t>
      </w:r>
      <w:r>
        <w:rPr>
          <w:spacing w:val="-96"/>
        </w:rPr>
        <w:t> </w:t>
      </w:r>
      <w:r>
        <w:rPr>
          <w:rFonts w:ascii="Times New Roman" w:hAnsi="Times New Roman" w:cs="Times New Roman" w:eastAsia="Times New Roman" w:hint="default"/>
        </w:rPr>
        <w:t>16</w:t>
      </w:r>
      <w:r>
        <w:rPr/>
        <w:t>日；独立董事对授予股票期权的授权日发表了独立意见，同意本次股权激励的授权日为</w:t>
      </w:r>
    </w:p>
    <w:p>
      <w:pPr>
        <w:pStyle w:val="BodyText"/>
        <w:spacing w:line="240" w:lineRule="auto" w:before="25"/>
        <w:ind w:left="153" w:right="0"/>
        <w:jc w:val="left"/>
      </w:pPr>
      <w:r>
        <w:rPr>
          <w:rFonts w:ascii="Times New Roman" w:hAnsi="Times New Roman" w:cs="Times New Roman" w:eastAsia="Times New Roman" w:hint="default"/>
        </w:rPr>
        <w:t>2011</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16</w:t>
      </w:r>
      <w:r>
        <w:rPr/>
        <w:t>日，并同意向符合授权条件的</w:t>
      </w:r>
      <w:r>
        <w:rPr>
          <w:rFonts w:ascii="Times New Roman" w:hAnsi="Times New Roman" w:cs="Times New Roman" w:eastAsia="Times New Roman" w:hint="default"/>
        </w:rPr>
        <w:t>29</w:t>
      </w:r>
      <w:r>
        <w:rPr/>
        <w:t>名激励对象授予</w:t>
      </w:r>
      <w:r>
        <w:rPr>
          <w:rFonts w:ascii="Times New Roman" w:hAnsi="Times New Roman" w:cs="Times New Roman" w:eastAsia="Times New Roman" w:hint="default"/>
        </w:rPr>
        <w:t>292.50</w:t>
      </w:r>
      <w:r>
        <w:rPr/>
        <w:t>万份股票期权。</w:t>
      </w:r>
    </w:p>
    <w:p>
      <w:pPr>
        <w:pStyle w:val="BodyText"/>
        <w:spacing w:line="338" w:lineRule="auto" w:before="134"/>
        <w:ind w:left="153" w:right="171" w:firstLine="480"/>
        <w:jc w:val="both"/>
      </w:pPr>
      <w:r>
        <w:rPr>
          <w:rFonts w:ascii="Times New Roman" w:hAnsi="Times New Roman" w:cs="Times New Roman" w:eastAsia="Times New Roman" w:hint="default"/>
          <w:spacing w:val="-1"/>
        </w:rPr>
        <w:t>5</w:t>
      </w:r>
      <w:r>
        <w:rPr>
          <w:spacing w:val="-1"/>
        </w:rPr>
        <w:t>、</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15</w:t>
      </w:r>
      <w:r>
        <w:rPr>
          <w:spacing w:val="-1"/>
        </w:rPr>
        <w:t>日，公司第三届监事会第十三次会议审议通过了《关于核实公司股权 </w:t>
      </w:r>
      <w:r>
        <w:rPr/>
        <w:t>激励激励对象名单的议案》。</w:t>
      </w:r>
    </w:p>
    <w:p>
      <w:pPr>
        <w:pStyle w:val="BodyText"/>
        <w:spacing w:line="338" w:lineRule="auto" w:before="54"/>
        <w:ind w:left="153" w:right="173" w:firstLine="480"/>
        <w:jc w:val="both"/>
      </w:pPr>
      <w:r>
        <w:rPr>
          <w:rFonts w:ascii="Times New Roman" w:hAnsi="Times New Roman" w:cs="Times New Roman" w:eastAsia="Times New Roman" w:hint="default"/>
        </w:rPr>
        <w:t>6</w:t>
      </w:r>
      <w:r>
        <w:rPr/>
        <w:t>、公司股票期权激励计划的首次授予已于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24</w:t>
      </w:r>
      <w:r>
        <w:rPr/>
        <w:t>日在中国证券登记结算有限责 任公司深圳分公司完成登记工作。</w:t>
      </w:r>
    </w:p>
    <w:p>
      <w:pPr>
        <w:spacing w:line="240" w:lineRule="auto" w:before="10"/>
        <w:rPr>
          <w:rFonts w:ascii="宋体" w:hAnsi="宋体" w:cs="宋体" w:eastAsia="宋体" w:hint="default"/>
          <w:sz w:val="35"/>
          <w:szCs w:val="35"/>
        </w:rPr>
      </w:pPr>
    </w:p>
    <w:p>
      <w:pPr>
        <w:pStyle w:val="BodyText"/>
        <w:spacing w:line="240" w:lineRule="auto" w:before="0"/>
        <w:ind w:left="693" w:right="0"/>
        <w:jc w:val="left"/>
      </w:pPr>
      <w:r>
        <w:rPr/>
        <w:t>六、报告期内重大关联交易事项</w:t>
      </w:r>
    </w:p>
    <w:p>
      <w:pPr>
        <w:pStyle w:val="BodyText"/>
        <w:spacing w:line="240" w:lineRule="auto" w:before="152"/>
        <w:ind w:left="633" w:right="0"/>
        <w:jc w:val="left"/>
      </w:pPr>
      <w:r>
        <w:rPr/>
        <w:t>（一）日常经营相关的关联交易</w:t>
      </w:r>
    </w:p>
    <w:p>
      <w:pPr>
        <w:spacing w:before="161"/>
        <w:ind w:left="0" w:right="533" w:firstLine="0"/>
        <w:jc w:val="right"/>
        <w:rPr>
          <w:rFonts w:ascii="宋体" w:hAnsi="宋体" w:cs="宋体" w:eastAsia="宋体" w:hint="default"/>
          <w:sz w:val="18"/>
          <w:szCs w:val="18"/>
        </w:rPr>
      </w:pPr>
      <w:r>
        <w:rPr>
          <w:rFonts w:ascii="宋体" w:hAnsi="宋体" w:cs="宋体" w:eastAsia="宋体" w:hint="default"/>
          <w:sz w:val="18"/>
          <w:szCs w:val="18"/>
        </w:rPr>
        <w:t>单位：（人民币）万元</w:t>
      </w:r>
    </w:p>
    <w:p>
      <w:pPr>
        <w:spacing w:line="240" w:lineRule="auto" w:before="1"/>
        <w:rPr>
          <w:rFonts w:ascii="宋体" w:hAnsi="宋体" w:cs="宋体" w:eastAsia="宋体" w:hint="default"/>
          <w:sz w:val="11"/>
          <w:szCs w:val="11"/>
        </w:rPr>
      </w:pPr>
    </w:p>
    <w:tbl>
      <w:tblPr>
        <w:tblW w:w="0" w:type="auto"/>
        <w:jc w:val="left"/>
        <w:tblInd w:w="314" w:type="dxa"/>
        <w:tblLayout w:type="fixed"/>
        <w:tblCellMar>
          <w:top w:w="0" w:type="dxa"/>
          <w:left w:w="0" w:type="dxa"/>
          <w:bottom w:w="0" w:type="dxa"/>
          <w:right w:w="0" w:type="dxa"/>
        </w:tblCellMar>
        <w:tblLook w:val="01E0"/>
      </w:tblPr>
      <w:tblGrid>
        <w:gridCol w:w="1368"/>
        <w:gridCol w:w="1080"/>
        <w:gridCol w:w="1080"/>
        <w:gridCol w:w="1260"/>
        <w:gridCol w:w="1260"/>
        <w:gridCol w:w="1080"/>
        <w:gridCol w:w="1260"/>
        <w:gridCol w:w="720"/>
      </w:tblGrid>
      <w:tr>
        <w:trPr>
          <w:trHeight w:val="710" w:hRule="exact"/>
        </w:trPr>
        <w:tc>
          <w:tcPr>
            <w:tcW w:w="1368"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29" w:right="0"/>
              <w:jc w:val="left"/>
              <w:rPr>
                <w:rFonts w:ascii="宋体" w:hAnsi="宋体" w:cs="宋体" w:eastAsia="宋体" w:hint="default"/>
                <w:sz w:val="18"/>
                <w:szCs w:val="18"/>
              </w:rPr>
            </w:pPr>
            <w:r>
              <w:rPr>
                <w:rFonts w:ascii="宋体" w:hAnsi="宋体" w:cs="宋体" w:eastAsia="宋体" w:hint="default"/>
                <w:sz w:val="18"/>
                <w:szCs w:val="18"/>
              </w:rPr>
              <w:t>关联方名称</w:t>
            </w:r>
          </w:p>
        </w:tc>
        <w:tc>
          <w:tcPr>
            <w:tcW w:w="108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05" w:lineRule="exact"/>
              <w:ind w:left="175" w:right="0"/>
              <w:jc w:val="left"/>
              <w:rPr>
                <w:rFonts w:ascii="宋体" w:hAnsi="宋体" w:cs="宋体" w:eastAsia="宋体" w:hint="default"/>
                <w:sz w:val="18"/>
                <w:szCs w:val="18"/>
              </w:rPr>
            </w:pPr>
            <w:r>
              <w:rPr>
                <w:rFonts w:ascii="宋体" w:hAnsi="宋体" w:cs="宋体" w:eastAsia="宋体" w:hint="default"/>
                <w:sz w:val="18"/>
                <w:szCs w:val="18"/>
              </w:rPr>
              <w:t>与上市公</w:t>
            </w:r>
          </w:p>
          <w:p>
            <w:pPr>
              <w:pStyle w:val="TableParagraph"/>
              <w:spacing w:line="240" w:lineRule="auto"/>
              <w:ind w:left="355" w:right="173" w:hanging="180"/>
              <w:jc w:val="left"/>
              <w:rPr>
                <w:rFonts w:ascii="宋体" w:hAnsi="宋体" w:cs="宋体" w:eastAsia="宋体" w:hint="default"/>
                <w:sz w:val="18"/>
                <w:szCs w:val="18"/>
              </w:rPr>
            </w:pPr>
            <w:r>
              <w:rPr>
                <w:rFonts w:ascii="宋体" w:hAnsi="宋体" w:cs="宋体" w:eastAsia="宋体" w:hint="default"/>
                <w:sz w:val="18"/>
                <w:szCs w:val="18"/>
              </w:rPr>
              <w:t>司的关联 关系</w:t>
            </w:r>
          </w:p>
        </w:tc>
        <w:tc>
          <w:tcPr>
            <w:tcW w:w="108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交易内容</w:t>
            </w:r>
          </w:p>
        </w:tc>
        <w:tc>
          <w:tcPr>
            <w:tcW w:w="126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11" w:lineRule="exact"/>
              <w:ind w:left="1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年度合</w:t>
            </w:r>
          </w:p>
          <w:p>
            <w:pPr>
              <w:pStyle w:val="TableParagraph"/>
              <w:spacing w:line="234" w:lineRule="exact" w:before="15"/>
              <w:ind w:left="103" w:right="65" w:firstLine="72"/>
              <w:jc w:val="left"/>
              <w:rPr>
                <w:rFonts w:ascii="宋体" w:hAnsi="宋体" w:cs="宋体" w:eastAsia="宋体" w:hint="default"/>
                <w:sz w:val="18"/>
                <w:szCs w:val="18"/>
              </w:rPr>
            </w:pPr>
            <w:r>
              <w:rPr>
                <w:rFonts w:ascii="宋体" w:hAnsi="宋体" w:cs="宋体" w:eastAsia="宋体" w:hint="default"/>
                <w:sz w:val="18"/>
                <w:szCs w:val="18"/>
              </w:rPr>
              <w:t>同最高交易 金额（万元）</w:t>
            </w:r>
          </w:p>
        </w:tc>
        <w:tc>
          <w:tcPr>
            <w:tcW w:w="126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11" w:lineRule="exact"/>
              <w:ind w:left="1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宋体" w:hAnsi="宋体" w:cs="宋体" w:eastAsia="宋体" w:hint="default"/>
                <w:sz w:val="18"/>
                <w:szCs w:val="18"/>
              </w:rPr>
              <w:t>年度实</w:t>
            </w:r>
          </w:p>
          <w:p>
            <w:pPr>
              <w:pStyle w:val="TableParagraph"/>
              <w:spacing w:line="227" w:lineRule="exact"/>
              <w:ind w:left="175" w:right="0"/>
              <w:jc w:val="left"/>
              <w:rPr>
                <w:rFonts w:ascii="宋体" w:hAnsi="宋体" w:cs="宋体" w:eastAsia="宋体" w:hint="default"/>
                <w:sz w:val="18"/>
                <w:szCs w:val="18"/>
              </w:rPr>
            </w:pPr>
            <w:r>
              <w:rPr>
                <w:rFonts w:ascii="宋体" w:hAnsi="宋体" w:cs="宋体" w:eastAsia="宋体" w:hint="default"/>
                <w:sz w:val="18"/>
                <w:szCs w:val="18"/>
              </w:rPr>
              <w:t>际交易金额</w:t>
            </w:r>
          </w:p>
          <w:p>
            <w:pPr>
              <w:pStyle w:val="TableParagraph"/>
              <w:spacing w:line="235" w:lineRule="exact"/>
              <w:ind w:left="265"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08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05" w:lineRule="exact"/>
              <w:ind w:left="175" w:right="0"/>
              <w:jc w:val="left"/>
              <w:rPr>
                <w:rFonts w:ascii="宋体" w:hAnsi="宋体" w:cs="宋体" w:eastAsia="宋体" w:hint="default"/>
                <w:sz w:val="18"/>
                <w:szCs w:val="18"/>
              </w:rPr>
            </w:pPr>
            <w:r>
              <w:rPr>
                <w:rFonts w:ascii="宋体" w:hAnsi="宋体" w:cs="宋体" w:eastAsia="宋体" w:hint="default"/>
                <w:sz w:val="18"/>
                <w:szCs w:val="18"/>
              </w:rPr>
              <w:t>占同类交</w:t>
            </w:r>
          </w:p>
          <w:p>
            <w:pPr>
              <w:pStyle w:val="TableParagraph"/>
              <w:spacing w:line="240" w:lineRule="auto"/>
              <w:ind w:left="103" w:right="95" w:firstLine="72"/>
              <w:jc w:val="left"/>
              <w:rPr>
                <w:rFonts w:ascii="宋体" w:hAnsi="宋体" w:cs="宋体" w:eastAsia="宋体" w:hint="default"/>
                <w:sz w:val="18"/>
                <w:szCs w:val="18"/>
              </w:rPr>
            </w:pPr>
            <w:r>
              <w:rPr>
                <w:rFonts w:ascii="宋体" w:hAnsi="宋体" w:cs="宋体" w:eastAsia="宋体" w:hint="default"/>
                <w:sz w:val="18"/>
                <w:szCs w:val="18"/>
              </w:rPr>
              <w:t>易金额的 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6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65" w:right="0"/>
              <w:jc w:val="left"/>
              <w:rPr>
                <w:rFonts w:ascii="宋体" w:hAnsi="宋体" w:cs="宋体" w:eastAsia="宋体" w:hint="default"/>
                <w:sz w:val="18"/>
                <w:szCs w:val="18"/>
              </w:rPr>
            </w:pPr>
            <w:r>
              <w:rPr>
                <w:rFonts w:ascii="宋体" w:hAnsi="宋体" w:cs="宋体" w:eastAsia="宋体" w:hint="default"/>
                <w:sz w:val="18"/>
                <w:szCs w:val="18"/>
              </w:rPr>
              <w:t>定价依据</w:t>
            </w:r>
          </w:p>
        </w:tc>
        <w:tc>
          <w:tcPr>
            <w:tcW w:w="720" w:type="dxa"/>
            <w:tcBorders>
              <w:top w:val="single" w:sz="4" w:space="0" w:color="000000"/>
              <w:left w:val="single" w:sz="4" w:space="0" w:color="000000"/>
              <w:bottom w:val="single" w:sz="4" w:space="0" w:color="000000"/>
              <w:right w:val="single" w:sz="4" w:space="0" w:color="000000"/>
            </w:tcBorders>
            <w:shd w:val="clear" w:color="auto" w:fill="E0E0E0"/>
          </w:tcPr>
          <w:p>
            <w:pPr>
              <w:pStyle w:val="TableParagraph"/>
              <w:spacing w:line="240" w:lineRule="auto" w:before="86"/>
              <w:ind w:left="175" w:right="173"/>
              <w:jc w:val="left"/>
              <w:rPr>
                <w:rFonts w:ascii="宋体" w:hAnsi="宋体" w:cs="宋体" w:eastAsia="宋体" w:hint="default"/>
                <w:sz w:val="18"/>
                <w:szCs w:val="18"/>
              </w:rPr>
            </w:pPr>
            <w:r>
              <w:rPr>
                <w:rFonts w:ascii="宋体" w:hAnsi="宋体" w:cs="宋体" w:eastAsia="宋体" w:hint="default"/>
                <w:sz w:val="18"/>
                <w:szCs w:val="18"/>
              </w:rPr>
              <w:t>结算 方式</w:t>
            </w:r>
          </w:p>
        </w:tc>
      </w:tr>
      <w:tr>
        <w:trPr>
          <w:trHeight w:val="94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9"/>
              <w:ind w:left="139" w:right="137"/>
              <w:jc w:val="center"/>
              <w:rPr>
                <w:rFonts w:ascii="宋体" w:hAnsi="宋体" w:cs="宋体" w:eastAsia="宋体" w:hint="default"/>
                <w:sz w:val="18"/>
                <w:szCs w:val="18"/>
              </w:rPr>
            </w:pPr>
            <w:r>
              <w:rPr>
                <w:rFonts w:ascii="宋体" w:hAnsi="宋体" w:cs="宋体" w:eastAsia="宋体" w:hint="default"/>
                <w:sz w:val="18"/>
                <w:szCs w:val="18"/>
              </w:rPr>
              <w:t>广州基准机械 电子科技有限 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本公司控</w:t>
            </w:r>
          </w:p>
          <w:p>
            <w:pPr>
              <w:pStyle w:val="TableParagraph"/>
              <w:spacing w:line="237" w:lineRule="auto"/>
              <w:ind w:left="175" w:right="173"/>
              <w:jc w:val="center"/>
              <w:rPr>
                <w:rFonts w:ascii="宋体" w:hAnsi="宋体" w:cs="宋体" w:eastAsia="宋体" w:hint="default"/>
                <w:sz w:val="18"/>
                <w:szCs w:val="18"/>
              </w:rPr>
            </w:pPr>
            <w:r>
              <w:rPr>
                <w:rFonts w:ascii="宋体" w:hAnsi="宋体" w:cs="宋体" w:eastAsia="宋体" w:hint="default"/>
                <w:sz w:val="18"/>
                <w:szCs w:val="18"/>
              </w:rPr>
              <w:t>股股东亲 属控制的 企业</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95"/>
              <w:ind w:left="154" w:right="155"/>
              <w:jc w:val="center"/>
              <w:rPr>
                <w:rFonts w:ascii="宋体" w:hAnsi="宋体" w:cs="宋体" w:eastAsia="宋体" w:hint="default"/>
                <w:sz w:val="18"/>
                <w:szCs w:val="18"/>
              </w:rPr>
            </w:pPr>
            <w:r>
              <w:rPr>
                <w:rFonts w:ascii="Times New Roman" w:hAnsi="Times New Roman" w:cs="Times New Roman" w:eastAsia="Times New Roman" w:hint="default"/>
                <w:sz w:val="18"/>
                <w:szCs w:val="18"/>
              </w:rPr>
              <w:t>ATM</w:t>
            </w:r>
            <w:r>
              <w:rPr>
                <w:rFonts w:ascii="宋体" w:hAnsi="宋体" w:cs="宋体" w:eastAsia="宋体" w:hint="default"/>
                <w:sz w:val="18"/>
                <w:szCs w:val="18"/>
              </w:rPr>
              <w:t>电子 柜加工采 购</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309" w:right="0"/>
              <w:jc w:val="left"/>
              <w:rPr>
                <w:rFonts w:ascii="Times New Roman" w:hAnsi="Times New Roman" w:cs="Times New Roman" w:eastAsia="Times New Roman" w:hint="default"/>
                <w:sz w:val="18"/>
                <w:szCs w:val="18"/>
              </w:rPr>
            </w:pPr>
            <w:r>
              <w:rPr>
                <w:rFonts w:ascii="Times New Roman"/>
                <w:sz w:val="18"/>
              </w:rPr>
              <w:t>3,000.00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309" w:right="0"/>
              <w:jc w:val="left"/>
              <w:rPr>
                <w:rFonts w:ascii="Times New Roman" w:hAnsi="Times New Roman" w:cs="Times New Roman" w:eastAsia="Times New Roman" w:hint="default"/>
                <w:sz w:val="18"/>
                <w:szCs w:val="18"/>
              </w:rPr>
            </w:pPr>
            <w:r>
              <w:rPr>
                <w:rFonts w:ascii="Times New Roman"/>
                <w:sz w:val="18"/>
              </w:rPr>
              <w:t>2,475.30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57" w:right="0"/>
              <w:jc w:val="left"/>
              <w:rPr>
                <w:rFonts w:ascii="Times New Roman" w:hAnsi="Times New Roman" w:cs="Times New Roman" w:eastAsia="Times New Roman" w:hint="default"/>
                <w:sz w:val="18"/>
                <w:szCs w:val="18"/>
              </w:rPr>
            </w:pPr>
            <w:r>
              <w:rPr>
                <w:rFonts w:ascii="Times New Roman"/>
                <w:sz w:val="18"/>
              </w:rPr>
              <w:t>32.15%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65" w:right="173" w:hanging="90"/>
              <w:jc w:val="left"/>
              <w:rPr>
                <w:rFonts w:ascii="宋体" w:hAnsi="宋体" w:cs="宋体" w:eastAsia="宋体" w:hint="default"/>
                <w:sz w:val="18"/>
                <w:szCs w:val="18"/>
              </w:rPr>
            </w:pPr>
            <w:r>
              <w:rPr>
                <w:rFonts w:ascii="宋体" w:hAnsi="宋体" w:cs="宋体" w:eastAsia="宋体" w:hint="default"/>
                <w:sz w:val="18"/>
                <w:szCs w:val="18"/>
              </w:rPr>
              <w:t>依市场公允 价格定价</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转账</w:t>
            </w:r>
          </w:p>
        </w:tc>
      </w:tr>
    </w:tbl>
    <w:p>
      <w:pPr>
        <w:pStyle w:val="BodyText"/>
        <w:spacing w:line="293" w:lineRule="exact" w:before="0"/>
        <w:ind w:left="0" w:right="171"/>
        <w:jc w:val="right"/>
      </w:pPr>
      <w:r>
        <w:rPr/>
        <w:t>由于生产经营的需要，公司委托广州基准机械电子科技有限公司进行 </w:t>
      </w:r>
      <w:r>
        <w:rPr>
          <w:rFonts w:ascii="Times New Roman" w:hAnsi="Times New Roman" w:cs="Times New Roman" w:eastAsia="Times New Roman" w:hint="default"/>
          <w:spacing w:val="-10"/>
        </w:rPr>
        <w:t>ATM</w:t>
      </w:r>
      <w:r>
        <w:rPr>
          <w:rFonts w:ascii="Times New Roman" w:hAnsi="Times New Roman" w:cs="Times New Roman" w:eastAsia="Times New Roman" w:hint="default"/>
          <w:spacing w:val="-31"/>
        </w:rPr>
        <w:t> </w:t>
      </w:r>
      <w:r>
        <w:rPr/>
        <w:t>电子柜的</w:t>
      </w:r>
    </w:p>
    <w:p>
      <w:pPr>
        <w:pStyle w:val="BodyText"/>
        <w:spacing w:line="348" w:lineRule="auto" w:before="134"/>
        <w:ind w:left="0" w:right="107"/>
        <w:jc w:val="right"/>
      </w:pPr>
      <w:r>
        <w:rPr>
          <w:spacing w:val="-1"/>
        </w:rPr>
        <w:t>制作，根据《深圳证券交易所股票上市规则》等有关规定，该行为构成关联交易。相关内</w:t>
      </w:r>
      <w:r>
        <w:rPr/>
        <w:t> 容详见公司刊登于</w:t>
      </w:r>
      <w:r>
        <w:rPr>
          <w:spacing w:val="-62"/>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62"/>
        </w:rPr>
        <w:t> </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t>月</w:t>
      </w:r>
      <w:r>
        <w:rPr>
          <w:spacing w:val="-62"/>
        </w:rPr>
        <w:t> </w:t>
      </w:r>
      <w:r>
        <w:rPr>
          <w:rFonts w:ascii="Times New Roman" w:hAnsi="Times New Roman" w:cs="Times New Roman" w:eastAsia="Times New Roman" w:hint="default"/>
        </w:rPr>
        <w:t>25</w:t>
      </w:r>
      <w:r>
        <w:rPr>
          <w:rFonts w:ascii="Times New Roman" w:hAnsi="Times New Roman" w:cs="Times New Roman" w:eastAsia="Times New Roman" w:hint="default"/>
          <w:spacing w:val="-2"/>
        </w:rPr>
        <w:t> </w:t>
      </w:r>
      <w:r>
        <w:rPr/>
        <w:t>日的《证券时报》和巨潮资讯网上的</w:t>
      </w:r>
      <w:r>
        <w:rPr>
          <w:spacing w:val="-62"/>
        </w:rPr>
        <w:t> </w:t>
      </w:r>
      <w:r>
        <w:rPr>
          <w:rFonts w:ascii="Times New Roman" w:hAnsi="Times New Roman" w:cs="Times New Roman" w:eastAsia="Times New Roman" w:hint="default"/>
        </w:rPr>
        <w:t>2011-008</w:t>
      </w:r>
      <w:r>
        <w:rPr>
          <w:rFonts w:ascii="Times New Roman" w:hAnsi="Times New Roman" w:cs="Times New Roman" w:eastAsia="Times New Roman" w:hint="default"/>
          <w:spacing w:val="-3"/>
        </w:rPr>
        <w:t> </w:t>
      </w:r>
      <w:r>
        <w:rPr/>
        <w:t>号公告。 </w:t>
      </w:r>
      <w:r>
        <w:rPr>
          <w:spacing w:val="-1"/>
        </w:rPr>
        <w:t>上述关联交易均未损害公司及非关联股东的合法权益，对公司无重大不利影响，对公</w:t>
      </w:r>
    </w:p>
    <w:p>
      <w:pPr>
        <w:pStyle w:val="BodyText"/>
        <w:spacing w:line="240" w:lineRule="auto" w:before="44"/>
        <w:ind w:left="153" w:right="0"/>
        <w:jc w:val="left"/>
      </w:pPr>
      <w:r>
        <w:rPr/>
        <w:t>司本期及未来的财务状况和经营成果亦无重大影响。</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19"/>
          <w:szCs w:val="19"/>
        </w:rPr>
      </w:pPr>
    </w:p>
    <w:p>
      <w:pPr>
        <w:pStyle w:val="BodyText"/>
        <w:spacing w:line="240" w:lineRule="auto" w:before="0"/>
        <w:ind w:left="633" w:right="0"/>
        <w:jc w:val="left"/>
      </w:pPr>
      <w:r>
        <w:rPr/>
        <w:t>（二）关联方担保</w:t>
      </w:r>
    </w:p>
    <w:p>
      <w:pPr>
        <w:pStyle w:val="BodyText"/>
        <w:spacing w:line="240" w:lineRule="auto" w:before="154"/>
        <w:ind w:left="693" w:right="0"/>
        <w:jc w:val="left"/>
      </w:pPr>
      <w:r>
        <w:rPr>
          <w:rFonts w:ascii="Times New Roman" w:hAnsi="Times New Roman" w:cs="Times New Roman" w:eastAsia="Times New Roman" w:hint="default"/>
        </w:rPr>
        <w:t>1</w:t>
      </w:r>
      <w:r>
        <w:rPr/>
        <w:t>、关联方提供的保证担保</w:t>
      </w:r>
    </w:p>
    <w:p>
      <w:pPr>
        <w:spacing w:before="143"/>
        <w:ind w:left="0" w:right="893"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1"/>
        <w:rPr>
          <w:rFonts w:ascii="宋体" w:hAnsi="宋体" w:cs="宋体" w:eastAsia="宋体" w:hint="default"/>
          <w:sz w:val="2"/>
          <w:szCs w:val="2"/>
        </w:rPr>
      </w:pPr>
    </w:p>
    <w:tbl>
      <w:tblPr>
        <w:tblW w:w="0" w:type="auto"/>
        <w:jc w:val="left"/>
        <w:tblInd w:w="149" w:type="dxa"/>
        <w:tblLayout w:type="fixed"/>
        <w:tblCellMar>
          <w:top w:w="0" w:type="dxa"/>
          <w:left w:w="0" w:type="dxa"/>
          <w:bottom w:w="0" w:type="dxa"/>
          <w:right w:w="0" w:type="dxa"/>
        </w:tblCellMar>
        <w:tblLook w:val="01E0"/>
      </w:tblPr>
      <w:tblGrid>
        <w:gridCol w:w="1260"/>
        <w:gridCol w:w="3702"/>
        <w:gridCol w:w="1260"/>
        <w:gridCol w:w="1260"/>
        <w:gridCol w:w="1800"/>
      </w:tblGrid>
      <w:tr>
        <w:trPr>
          <w:trHeight w:val="650" w:hRule="exact"/>
        </w:trPr>
        <w:tc>
          <w:tcPr>
            <w:tcW w:w="1260"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83" w:right="0"/>
              <w:jc w:val="left"/>
              <w:rPr>
                <w:rFonts w:ascii="宋体" w:hAnsi="宋体" w:cs="宋体" w:eastAsia="宋体" w:hint="default"/>
                <w:sz w:val="18"/>
                <w:szCs w:val="18"/>
              </w:rPr>
            </w:pPr>
            <w:r>
              <w:rPr>
                <w:rFonts w:ascii="宋体" w:hAnsi="宋体" w:cs="宋体" w:eastAsia="宋体" w:hint="default"/>
                <w:sz w:val="18"/>
                <w:szCs w:val="18"/>
              </w:rPr>
              <w:t>关联方保证人</w:t>
            </w:r>
          </w:p>
        </w:tc>
        <w:tc>
          <w:tcPr>
            <w:tcW w:w="3702"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贷款银行</w:t>
            </w:r>
          </w:p>
        </w:tc>
        <w:tc>
          <w:tcPr>
            <w:tcW w:w="1260"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63"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260"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08"/>
              <w:ind w:left="219" w:right="0"/>
              <w:jc w:val="left"/>
              <w:rPr>
                <w:rFonts w:ascii="Times New Roman" w:hAnsi="Times New Roman" w:cs="Times New Roman" w:eastAsia="Times New Roman" w:hint="default"/>
                <w:sz w:val="18"/>
                <w:szCs w:val="18"/>
              </w:rPr>
            </w:pPr>
            <w:r>
              <w:rPr>
                <w:rFonts w:ascii="Times New Roman"/>
                <w:sz w:val="18"/>
              </w:rPr>
              <w:t>2011.12.31</w:t>
            </w:r>
          </w:p>
          <w:p>
            <w:pPr>
              <w:pStyle w:val="TableParagraph"/>
              <w:spacing w:line="240" w:lineRule="auto" w:before="61"/>
              <w:ind w:left="264" w:right="0"/>
              <w:jc w:val="left"/>
              <w:rPr>
                <w:rFonts w:ascii="宋体" w:hAnsi="宋体" w:cs="宋体" w:eastAsia="宋体" w:hint="default"/>
                <w:sz w:val="18"/>
                <w:szCs w:val="18"/>
              </w:rPr>
            </w:pPr>
            <w:r>
              <w:rPr>
                <w:rFonts w:ascii="宋体" w:hAnsi="宋体" w:cs="宋体" w:eastAsia="宋体" w:hint="default"/>
                <w:sz w:val="18"/>
                <w:szCs w:val="18"/>
              </w:rPr>
              <w:t>借款余额</w:t>
            </w:r>
          </w:p>
        </w:tc>
        <w:tc>
          <w:tcPr>
            <w:tcW w:w="1800"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08"/>
              <w:ind w:left="489" w:right="0"/>
              <w:jc w:val="left"/>
              <w:rPr>
                <w:rFonts w:ascii="Times New Roman" w:hAnsi="Times New Roman" w:cs="Times New Roman" w:eastAsia="Times New Roman" w:hint="default"/>
                <w:sz w:val="18"/>
                <w:szCs w:val="18"/>
              </w:rPr>
            </w:pPr>
            <w:r>
              <w:rPr>
                <w:rFonts w:ascii="Times New Roman"/>
                <w:sz w:val="18"/>
              </w:rPr>
              <w:t>2010.12.31</w:t>
            </w:r>
          </w:p>
          <w:p>
            <w:pPr>
              <w:pStyle w:val="TableParagraph"/>
              <w:spacing w:line="240" w:lineRule="auto" w:before="61"/>
              <w:ind w:left="534" w:right="0"/>
              <w:jc w:val="left"/>
              <w:rPr>
                <w:rFonts w:ascii="宋体" w:hAnsi="宋体" w:cs="宋体" w:eastAsia="宋体" w:hint="default"/>
                <w:sz w:val="18"/>
                <w:szCs w:val="18"/>
              </w:rPr>
            </w:pPr>
            <w:r>
              <w:rPr>
                <w:rFonts w:ascii="宋体" w:hAnsi="宋体" w:cs="宋体" w:eastAsia="宋体" w:hint="default"/>
                <w:sz w:val="18"/>
                <w:szCs w:val="18"/>
              </w:rPr>
              <w:t>借款余额</w:t>
            </w:r>
          </w:p>
        </w:tc>
      </w:tr>
      <w:tr>
        <w:trPr>
          <w:trHeight w:val="407" w:hRule="exact"/>
        </w:trPr>
        <w:tc>
          <w:tcPr>
            <w:tcW w:w="12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353" w:right="0"/>
              <w:jc w:val="left"/>
              <w:rPr>
                <w:rFonts w:ascii="宋体" w:hAnsi="宋体" w:cs="宋体" w:eastAsia="宋体" w:hint="default"/>
                <w:sz w:val="18"/>
                <w:szCs w:val="18"/>
              </w:rPr>
            </w:pPr>
            <w:r>
              <w:rPr>
                <w:rFonts w:ascii="宋体" w:hAnsi="宋体" w:cs="宋体" w:eastAsia="宋体" w:hint="default"/>
                <w:sz w:val="18"/>
                <w:szCs w:val="18"/>
              </w:rPr>
              <w:t>杨文江</w:t>
            </w:r>
          </w:p>
        </w:tc>
        <w:tc>
          <w:tcPr>
            <w:tcW w:w="3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
              <w:jc w:val="center"/>
              <w:rPr>
                <w:rFonts w:ascii="宋体" w:hAnsi="宋体" w:cs="宋体" w:eastAsia="宋体" w:hint="default"/>
                <w:sz w:val="18"/>
                <w:szCs w:val="18"/>
              </w:rPr>
            </w:pPr>
            <w:r>
              <w:rPr>
                <w:rFonts w:ascii="宋体" w:hAnsi="宋体" w:cs="宋体" w:eastAsia="宋体" w:hint="default"/>
                <w:sz w:val="18"/>
                <w:szCs w:val="18"/>
              </w:rPr>
              <w:t>深圳发展银行股份有限公司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20"/>
              <w:jc w:val="right"/>
              <w:rPr>
                <w:rFonts w:ascii="Times New Roman" w:hAnsi="Times New Roman" w:cs="Times New Roman" w:eastAsia="Times New Roman" w:hint="default"/>
                <w:sz w:val="18"/>
                <w:szCs w:val="18"/>
              </w:rPr>
            </w:pPr>
            <w:r>
              <w:rPr>
                <w:rFonts w:ascii="Times New Roman"/>
                <w:spacing w:val="-1"/>
                <w:sz w:val="18"/>
              </w:rPr>
              <w:t>15,000,000.00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21"/>
              <w:jc w:val="right"/>
              <w:rPr>
                <w:rFonts w:ascii="Times New Roman" w:hAnsi="Times New Roman" w:cs="Times New Roman" w:eastAsia="Times New Roman" w:hint="default"/>
                <w:sz w:val="18"/>
                <w:szCs w:val="18"/>
              </w:rPr>
            </w:pPr>
            <w:r>
              <w:rPr>
                <w:rFonts w:ascii="Times New Roman"/>
                <w:spacing w:val="-1"/>
                <w:sz w:val="18"/>
              </w:rPr>
              <w:t>15,000,000.00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07" w:hRule="exact"/>
        </w:trPr>
        <w:tc>
          <w:tcPr>
            <w:tcW w:w="1260" w:type="dxa"/>
            <w:vMerge/>
            <w:tcBorders>
              <w:left w:val="single" w:sz="4" w:space="0" w:color="000000"/>
              <w:right w:val="single" w:sz="4" w:space="0" w:color="000000"/>
            </w:tcBorders>
          </w:tcPr>
          <w:p>
            <w:pPr/>
          </w:p>
        </w:tc>
        <w:tc>
          <w:tcPr>
            <w:tcW w:w="3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
              <w:jc w:val="center"/>
              <w:rPr>
                <w:rFonts w:ascii="宋体" w:hAnsi="宋体" w:cs="宋体" w:eastAsia="宋体" w:hint="default"/>
                <w:sz w:val="18"/>
                <w:szCs w:val="18"/>
              </w:rPr>
            </w:pPr>
            <w:r>
              <w:rPr>
                <w:rFonts w:ascii="宋体" w:hAnsi="宋体" w:cs="宋体" w:eastAsia="宋体" w:hint="default"/>
                <w:sz w:val="18"/>
                <w:szCs w:val="18"/>
              </w:rPr>
              <w:t>广州农村商业银行股份有限公司白云新城支行</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20"/>
              <w:jc w:val="right"/>
              <w:rPr>
                <w:rFonts w:ascii="Times New Roman" w:hAnsi="Times New Roman" w:cs="Times New Roman" w:eastAsia="Times New Roman" w:hint="default"/>
                <w:sz w:val="18"/>
                <w:szCs w:val="18"/>
              </w:rPr>
            </w:pPr>
            <w:r>
              <w:rPr>
                <w:rFonts w:ascii="Times New Roman"/>
                <w:spacing w:val="-1"/>
                <w:sz w:val="18"/>
              </w:rPr>
              <w:t>40,000,000.00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21"/>
              <w:jc w:val="right"/>
              <w:rPr>
                <w:rFonts w:ascii="Times New Roman" w:hAnsi="Times New Roman" w:cs="Times New Roman" w:eastAsia="Times New Roman" w:hint="default"/>
                <w:sz w:val="18"/>
                <w:szCs w:val="18"/>
              </w:rPr>
            </w:pPr>
            <w:r>
              <w:rPr>
                <w:rFonts w:ascii="Times New Roman"/>
                <w:spacing w:val="-1"/>
                <w:sz w:val="18"/>
              </w:rPr>
              <w:t>40,000,000.00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08" w:hRule="exact"/>
        </w:trPr>
        <w:tc>
          <w:tcPr>
            <w:tcW w:w="1260" w:type="dxa"/>
            <w:vMerge/>
            <w:tcBorders>
              <w:left w:val="single" w:sz="4" w:space="0" w:color="000000"/>
              <w:bottom w:val="single" w:sz="4" w:space="0" w:color="000000"/>
              <w:right w:val="single" w:sz="4" w:space="0" w:color="000000"/>
            </w:tcBorders>
          </w:tcPr>
          <w:p>
            <w:pPr/>
          </w:p>
        </w:tc>
        <w:tc>
          <w:tcPr>
            <w:tcW w:w="3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
              <w:jc w:val="center"/>
              <w:rPr>
                <w:rFonts w:ascii="宋体" w:hAnsi="宋体" w:cs="宋体" w:eastAsia="宋体" w:hint="default"/>
                <w:sz w:val="18"/>
                <w:szCs w:val="18"/>
              </w:rPr>
            </w:pPr>
            <w:r>
              <w:rPr>
                <w:rFonts w:ascii="宋体" w:hAnsi="宋体" w:cs="宋体" w:eastAsia="宋体" w:hint="default"/>
                <w:sz w:val="18"/>
                <w:szCs w:val="18"/>
              </w:rPr>
              <w:t>合  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0"/>
              <w:jc w:val="right"/>
              <w:rPr>
                <w:rFonts w:ascii="Times New Roman" w:hAnsi="Times New Roman" w:cs="Times New Roman" w:eastAsia="Times New Roman" w:hint="default"/>
                <w:sz w:val="18"/>
                <w:szCs w:val="18"/>
              </w:rPr>
            </w:pPr>
            <w:r>
              <w:rPr>
                <w:rFonts w:ascii="Times New Roman"/>
                <w:spacing w:val="-1"/>
                <w:sz w:val="18"/>
              </w:rPr>
              <w:t>55,000,000.00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pacing w:val="-1"/>
                <w:sz w:val="18"/>
              </w:rPr>
              <w:t>55,000,000.00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84" w:top="980" w:bottom="1180" w:left="980" w:right="1240"/>
        </w:sectPr>
      </w:pPr>
    </w:p>
    <w:p>
      <w:pPr>
        <w:spacing w:line="240" w:lineRule="auto" w:before="7"/>
        <w:rPr>
          <w:rFonts w:ascii="宋体" w:hAnsi="宋体" w:cs="宋体" w:eastAsia="宋体" w:hint="default"/>
          <w:sz w:val="29"/>
          <w:szCs w:val="29"/>
        </w:rPr>
      </w:pPr>
    </w:p>
    <w:p>
      <w:pPr>
        <w:pStyle w:val="BodyText"/>
        <w:spacing w:line="338" w:lineRule="auto" w:before="26"/>
        <w:ind w:left="693" w:right="4991"/>
        <w:jc w:val="left"/>
      </w:pPr>
      <w:r>
        <w:rPr>
          <w:rFonts w:ascii="Times New Roman" w:hAnsi="Times New Roman" w:cs="Times New Roman" w:eastAsia="Times New Roman" w:hint="default"/>
        </w:rPr>
        <w:t>2</w:t>
      </w:r>
      <w:r>
        <w:rPr/>
        <w:t>、关联方为公司之子公司提供的保证担保 无。</w:t>
      </w:r>
    </w:p>
    <w:p>
      <w:pPr>
        <w:spacing w:line="240" w:lineRule="auto" w:before="10"/>
        <w:rPr>
          <w:rFonts w:ascii="宋体" w:hAnsi="宋体" w:cs="宋体" w:eastAsia="宋体" w:hint="default"/>
          <w:sz w:val="35"/>
          <w:szCs w:val="35"/>
        </w:rPr>
      </w:pPr>
    </w:p>
    <w:p>
      <w:pPr>
        <w:pStyle w:val="BodyText"/>
        <w:spacing w:line="240" w:lineRule="auto" w:before="0"/>
        <w:ind w:left="633" w:right="4991"/>
        <w:jc w:val="left"/>
      </w:pPr>
      <w:r>
        <w:rPr/>
        <w:t>（三）报告期内关联方债权债务往来</w:t>
      </w:r>
    </w:p>
    <w:p>
      <w:pPr>
        <w:spacing w:line="240" w:lineRule="auto" w:before="12"/>
        <w:rPr>
          <w:rFonts w:ascii="宋体" w:hAnsi="宋体" w:cs="宋体" w:eastAsia="宋体" w:hint="default"/>
          <w:sz w:val="8"/>
          <w:szCs w:val="8"/>
        </w:rPr>
      </w:pPr>
    </w:p>
    <w:p>
      <w:pPr>
        <w:spacing w:before="44"/>
        <w:ind w:left="0" w:right="1353"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0"/>
        <w:rPr>
          <w:rFonts w:ascii="宋体" w:hAnsi="宋体" w:cs="宋体" w:eastAsia="宋体" w:hint="default"/>
          <w:sz w:val="18"/>
          <w:szCs w:val="18"/>
        </w:rPr>
      </w:pPr>
    </w:p>
    <w:tbl>
      <w:tblPr>
        <w:tblW w:w="0" w:type="auto"/>
        <w:jc w:val="left"/>
        <w:tblInd w:w="149" w:type="dxa"/>
        <w:tblLayout w:type="fixed"/>
        <w:tblCellMar>
          <w:top w:w="0" w:type="dxa"/>
          <w:left w:w="0" w:type="dxa"/>
          <w:bottom w:w="0" w:type="dxa"/>
          <w:right w:w="0" w:type="dxa"/>
        </w:tblCellMar>
        <w:tblLook w:val="01E0"/>
      </w:tblPr>
      <w:tblGrid>
        <w:gridCol w:w="1560"/>
        <w:gridCol w:w="1984"/>
        <w:gridCol w:w="1560"/>
        <w:gridCol w:w="1984"/>
        <w:gridCol w:w="1985"/>
      </w:tblGrid>
      <w:tr>
        <w:trPr>
          <w:trHeight w:val="337" w:hRule="exact"/>
        </w:trPr>
        <w:tc>
          <w:tcPr>
            <w:tcW w:w="1560"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59"/>
              <w:ind w:right="0"/>
              <w:jc w:val="center"/>
              <w:rPr>
                <w:rFonts w:ascii="宋体" w:hAnsi="宋体" w:cs="宋体" w:eastAsia="宋体" w:hint="default"/>
                <w:sz w:val="18"/>
                <w:szCs w:val="18"/>
              </w:rPr>
            </w:pPr>
            <w:r>
              <w:rPr>
                <w:rFonts w:ascii="宋体" w:hAnsi="宋体" w:cs="宋体" w:eastAsia="宋体" w:hint="default"/>
                <w:sz w:val="18"/>
                <w:szCs w:val="18"/>
              </w:rPr>
              <w:t>往来项目</w:t>
            </w:r>
          </w:p>
        </w:tc>
        <w:tc>
          <w:tcPr>
            <w:tcW w:w="1984"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59"/>
              <w:ind w:right="1"/>
              <w:jc w:val="center"/>
              <w:rPr>
                <w:rFonts w:ascii="宋体" w:hAnsi="宋体" w:cs="宋体" w:eastAsia="宋体" w:hint="default"/>
                <w:sz w:val="18"/>
                <w:szCs w:val="18"/>
              </w:rPr>
            </w:pPr>
            <w:r>
              <w:rPr>
                <w:rFonts w:ascii="宋体" w:hAnsi="宋体" w:cs="宋体" w:eastAsia="宋体" w:hint="default"/>
                <w:sz w:val="18"/>
                <w:szCs w:val="18"/>
              </w:rPr>
              <w:t>关联方名称</w:t>
            </w:r>
          </w:p>
        </w:tc>
        <w:tc>
          <w:tcPr>
            <w:tcW w:w="1560"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59"/>
              <w:ind w:right="0"/>
              <w:jc w:val="center"/>
              <w:rPr>
                <w:rFonts w:ascii="宋体" w:hAnsi="宋体" w:cs="宋体" w:eastAsia="宋体" w:hint="default"/>
                <w:sz w:val="18"/>
                <w:szCs w:val="18"/>
              </w:rPr>
            </w:pPr>
            <w:r>
              <w:rPr>
                <w:rFonts w:ascii="宋体" w:hAnsi="宋体" w:cs="宋体" w:eastAsia="宋体" w:hint="default"/>
                <w:sz w:val="18"/>
                <w:szCs w:val="18"/>
              </w:rPr>
              <w:t>经济内容</w:t>
            </w:r>
          </w:p>
        </w:tc>
        <w:tc>
          <w:tcPr>
            <w:tcW w:w="1984"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11"/>
              <w:ind w:left="580" w:right="0"/>
              <w:jc w:val="left"/>
              <w:rPr>
                <w:rFonts w:ascii="Times New Roman" w:hAnsi="Times New Roman" w:cs="Times New Roman" w:eastAsia="Times New Roman" w:hint="default"/>
                <w:sz w:val="18"/>
                <w:szCs w:val="18"/>
              </w:rPr>
            </w:pPr>
            <w:r>
              <w:rPr>
                <w:rFonts w:ascii="Times New Roman"/>
                <w:sz w:val="18"/>
              </w:rPr>
              <w:t>2011.12.31</w:t>
            </w:r>
          </w:p>
        </w:tc>
        <w:tc>
          <w:tcPr>
            <w:tcW w:w="1985"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11"/>
              <w:ind w:left="581" w:right="0"/>
              <w:jc w:val="left"/>
              <w:rPr>
                <w:rFonts w:ascii="Times New Roman" w:hAnsi="Times New Roman" w:cs="Times New Roman" w:eastAsia="Times New Roman" w:hint="default"/>
                <w:sz w:val="18"/>
                <w:szCs w:val="18"/>
              </w:rPr>
            </w:pPr>
            <w:r>
              <w:rPr>
                <w:rFonts w:ascii="Times New Roman"/>
                <w:sz w:val="18"/>
              </w:rPr>
              <w:t>2010.12.31</w:t>
            </w:r>
          </w:p>
        </w:tc>
      </w:tr>
      <w:tr>
        <w:trPr>
          <w:trHeight w:val="317"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其他应收款</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梁晓芹</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备用金借支</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3"/>
              <w:jc w:val="right"/>
              <w:rPr>
                <w:rFonts w:ascii="Times New Roman" w:hAnsi="Times New Roman" w:cs="Times New Roman" w:eastAsia="Times New Roman" w:hint="default"/>
                <w:sz w:val="18"/>
                <w:szCs w:val="18"/>
              </w:rPr>
            </w:pPr>
            <w:r>
              <w:rPr>
                <w:rFonts w:ascii="Times New Roman"/>
                <w:sz w:val="18"/>
              </w:rPr>
              <w:t>6,000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7"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其他应收款</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张成虎</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备用金借支</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3"/>
              <w:jc w:val="right"/>
              <w:rPr>
                <w:rFonts w:ascii="Times New Roman" w:hAnsi="Times New Roman" w:cs="Times New Roman" w:eastAsia="Times New Roman" w:hint="default"/>
                <w:sz w:val="18"/>
                <w:szCs w:val="18"/>
              </w:rPr>
            </w:pPr>
            <w:r>
              <w:rPr>
                <w:rFonts w:ascii="Times New Roman"/>
                <w:sz w:val="18"/>
              </w:rPr>
              <w:t>65,196.15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1"/>
              <w:jc w:val="right"/>
              <w:rPr>
                <w:rFonts w:ascii="Times New Roman" w:hAnsi="Times New Roman" w:cs="Times New Roman" w:eastAsia="Times New Roman" w:hint="default"/>
                <w:sz w:val="18"/>
                <w:szCs w:val="18"/>
              </w:rPr>
            </w:pPr>
            <w:r>
              <w:rPr>
                <w:rFonts w:ascii="Times New Roman"/>
                <w:sz w:val="18"/>
              </w:rPr>
              <w:t>180,197.88</w:t>
            </w:r>
          </w:p>
        </w:tc>
      </w:tr>
      <w:tr>
        <w:trPr>
          <w:trHeight w:val="307"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其他应收款</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
              <w:jc w:val="center"/>
              <w:rPr>
                <w:rFonts w:ascii="宋体" w:hAnsi="宋体" w:cs="宋体" w:eastAsia="宋体" w:hint="default"/>
                <w:sz w:val="18"/>
                <w:szCs w:val="18"/>
              </w:rPr>
            </w:pPr>
            <w:r>
              <w:rPr>
                <w:rFonts w:ascii="宋体" w:hAnsi="宋体" w:cs="宋体" w:eastAsia="宋体" w:hint="default"/>
                <w:sz w:val="18"/>
                <w:szCs w:val="18"/>
              </w:rPr>
              <w:t>高永坚</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备用金借支</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3"/>
              <w:jc w:val="right"/>
              <w:rPr>
                <w:rFonts w:ascii="Times New Roman" w:hAnsi="Times New Roman" w:cs="Times New Roman" w:eastAsia="Times New Roman" w:hint="default"/>
                <w:sz w:val="18"/>
                <w:szCs w:val="18"/>
              </w:rPr>
            </w:pPr>
            <w:r>
              <w:rPr>
                <w:rFonts w:ascii="Times New Roman"/>
                <w:sz w:val="18"/>
              </w:rPr>
              <w:t>231,288.28</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2"/>
              <w:jc w:val="right"/>
              <w:rPr>
                <w:rFonts w:ascii="Times New Roman" w:hAnsi="Times New Roman" w:cs="Times New Roman" w:eastAsia="Times New Roman" w:hint="default"/>
                <w:sz w:val="18"/>
                <w:szCs w:val="18"/>
              </w:rPr>
            </w:pPr>
            <w:r>
              <w:rPr>
                <w:rFonts w:ascii="Times New Roman"/>
                <w:sz w:val="18"/>
              </w:rPr>
              <w:t>285,035.58</w:t>
            </w:r>
          </w:p>
        </w:tc>
      </w:tr>
      <w:tr>
        <w:trPr>
          <w:trHeight w:val="32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其他应收款</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庞泰松</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备用金借支</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3"/>
              <w:jc w:val="right"/>
              <w:rPr>
                <w:rFonts w:ascii="Times New Roman" w:hAnsi="Times New Roman" w:cs="Times New Roman" w:eastAsia="Times New Roman" w:hint="default"/>
                <w:sz w:val="18"/>
                <w:szCs w:val="18"/>
              </w:rPr>
            </w:pPr>
            <w:r>
              <w:rPr>
                <w:rFonts w:ascii="Times New Roman"/>
                <w:sz w:val="18"/>
              </w:rPr>
              <w:t>224,490.24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其他应收款</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徐德银</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备用金借支</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3"/>
              <w:jc w:val="right"/>
              <w:rPr>
                <w:rFonts w:ascii="Times New Roman" w:hAnsi="Times New Roman" w:cs="Times New Roman" w:eastAsia="Times New Roman" w:hint="default"/>
                <w:sz w:val="18"/>
                <w:szCs w:val="18"/>
              </w:rPr>
            </w:pPr>
            <w:r>
              <w:rPr>
                <w:rFonts w:ascii="Times New Roman"/>
                <w:sz w:val="18"/>
              </w:rPr>
              <w:t>139,663.99</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200,000.00</w:t>
            </w:r>
          </w:p>
        </w:tc>
      </w:tr>
      <w:tr>
        <w:trPr>
          <w:trHeight w:val="305" w:hRule="exact"/>
        </w:trPr>
        <w:tc>
          <w:tcPr>
            <w:tcW w:w="5104" w:type="dxa"/>
            <w:gridSpan w:val="3"/>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合  计</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3"/>
              <w:jc w:val="right"/>
              <w:rPr>
                <w:rFonts w:ascii="Times New Roman" w:hAnsi="Times New Roman" w:cs="Times New Roman" w:eastAsia="Times New Roman" w:hint="default"/>
                <w:sz w:val="18"/>
                <w:szCs w:val="18"/>
              </w:rPr>
            </w:pPr>
            <w:r>
              <w:rPr>
                <w:rFonts w:ascii="Times New Roman"/>
                <w:sz w:val="18"/>
              </w:rPr>
              <w:t>666,638.66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2"/>
              <w:jc w:val="right"/>
              <w:rPr>
                <w:rFonts w:ascii="Times New Roman" w:hAnsi="Times New Roman" w:cs="Times New Roman" w:eastAsia="Times New Roman" w:hint="default"/>
                <w:sz w:val="18"/>
                <w:szCs w:val="18"/>
              </w:rPr>
            </w:pPr>
            <w:r>
              <w:rPr>
                <w:rFonts w:ascii="Times New Roman"/>
                <w:sz w:val="18"/>
              </w:rPr>
              <w:t>665,233.46</w:t>
            </w:r>
          </w:p>
        </w:tc>
      </w:tr>
      <w:tr>
        <w:trPr>
          <w:trHeight w:val="670"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预付账款</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626" w:right="85" w:hanging="540"/>
              <w:jc w:val="left"/>
              <w:rPr>
                <w:rFonts w:ascii="宋体" w:hAnsi="宋体" w:cs="宋体" w:eastAsia="宋体" w:hint="default"/>
                <w:sz w:val="18"/>
                <w:szCs w:val="18"/>
              </w:rPr>
            </w:pPr>
            <w:r>
              <w:rPr>
                <w:rFonts w:ascii="宋体" w:hAnsi="宋体" w:cs="宋体" w:eastAsia="宋体" w:hint="default"/>
                <w:sz w:val="18"/>
                <w:szCs w:val="18"/>
              </w:rPr>
              <w:t>广州基准机械电子科技 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原材料款</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9,273,662.14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8,873,144.77</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2"/>
          <w:szCs w:val="22"/>
        </w:rPr>
      </w:pPr>
    </w:p>
    <w:p>
      <w:pPr>
        <w:pStyle w:val="BodyText"/>
        <w:spacing w:line="240" w:lineRule="auto" w:before="26"/>
        <w:ind w:left="634" w:right="4991"/>
        <w:jc w:val="left"/>
      </w:pPr>
      <w:r>
        <w:rPr/>
        <w:t>七、报告期内重大合同及其履行情况</w:t>
      </w:r>
    </w:p>
    <w:p>
      <w:pPr>
        <w:pStyle w:val="BodyText"/>
        <w:spacing w:line="338" w:lineRule="auto" w:before="152"/>
        <w:ind w:left="153" w:right="611" w:firstLine="480"/>
        <w:jc w:val="left"/>
      </w:pPr>
      <w:r>
        <w:rPr/>
        <w:t>（一）报告期内，未发生为公司带来的利润达到公司本年利润总额</w:t>
      </w:r>
      <w:r>
        <w:rPr>
          <w:rFonts w:ascii="Times New Roman" w:hAnsi="Times New Roman" w:cs="Times New Roman" w:eastAsia="Times New Roman" w:hint="default"/>
        </w:rPr>
        <w:t>10%</w:t>
      </w:r>
      <w:r>
        <w:rPr/>
        <w:t>以上的重大托</w:t>
      </w:r>
      <w:r>
        <w:rPr>
          <w:spacing w:val="1"/>
        </w:rPr>
        <w:t> </w:t>
      </w:r>
      <w:r>
        <w:rPr/>
        <w:t>管、承包、租赁其他公司资产或其他公司托管、承包、租赁本公司资产的事项。</w:t>
      </w:r>
    </w:p>
    <w:p>
      <w:pPr>
        <w:spacing w:line="240" w:lineRule="auto" w:before="10"/>
        <w:rPr>
          <w:rFonts w:ascii="宋体" w:hAnsi="宋体" w:cs="宋体" w:eastAsia="宋体" w:hint="default"/>
          <w:sz w:val="35"/>
          <w:szCs w:val="35"/>
        </w:rPr>
      </w:pPr>
    </w:p>
    <w:p>
      <w:pPr>
        <w:pStyle w:val="BodyText"/>
        <w:spacing w:line="357" w:lineRule="auto" w:before="0"/>
        <w:ind w:left="633" w:right="611"/>
        <w:jc w:val="left"/>
      </w:pPr>
      <w:r>
        <w:rPr/>
        <w:t>（二）重大合同 报告期内，公司收到中国远东国际招标公司关于</w:t>
      </w:r>
      <w:r>
        <w:rPr>
          <w:rFonts w:ascii="Times New Roman" w:hAnsi="Times New Roman" w:cs="Times New Roman" w:eastAsia="Times New Roman" w:hint="default"/>
        </w:rPr>
        <w:t>2010</w:t>
      </w:r>
      <w:r>
        <w:rPr/>
        <w:t>年度中国邮政集团公司金融设备</w:t>
      </w:r>
    </w:p>
    <w:p>
      <w:pPr>
        <w:pStyle w:val="BodyText"/>
        <w:spacing w:line="348" w:lineRule="auto" w:before="4"/>
        <w:ind w:left="153" w:right="628"/>
        <w:jc w:val="both"/>
      </w:pPr>
      <w:r>
        <w:rPr>
          <w:spacing w:val="-1"/>
        </w:rPr>
        <w:t>集中采购项目的《签约通知书》。根据《签约通知书》的内容，预计中国邮政集团公司向</w:t>
      </w:r>
      <w:r>
        <w:rPr>
          <w:spacing w:val="-106"/>
        </w:rPr>
        <w:t> </w:t>
      </w:r>
      <w:r>
        <w:rPr>
          <w:spacing w:val="-106"/>
        </w:rPr>
      </w:r>
      <w:r>
        <w:rPr/>
        <w:t>公司采购</w:t>
      </w:r>
      <w:r>
        <w:rPr>
          <w:rFonts w:ascii="Times New Roman" w:hAnsi="Times New Roman" w:cs="Times New Roman" w:eastAsia="Times New Roman" w:hint="default"/>
        </w:rPr>
        <w:t>ATM</w:t>
      </w:r>
      <w:r>
        <w:rPr/>
        <w:t>取款机、存取款一体机设备采购总金额约为人民币</w:t>
      </w:r>
      <w:r>
        <w:rPr>
          <w:rFonts w:ascii="Times New Roman" w:hAnsi="Times New Roman" w:cs="Times New Roman" w:eastAsia="Times New Roman" w:hint="default"/>
        </w:rPr>
        <w:t>9,990</w:t>
      </w:r>
      <w:r>
        <w:rPr/>
        <w:t>万元。具体的</w:t>
      </w:r>
      <w:r>
        <w:rPr>
          <w:rFonts w:ascii="Times New Roman" w:hAnsi="Times New Roman" w:cs="Times New Roman" w:eastAsia="Times New Roman" w:hint="default"/>
        </w:rPr>
        <w:t>ATM</w:t>
      </w:r>
      <w:r>
        <w:rPr>
          <w:rFonts w:ascii="Times New Roman" w:hAnsi="Times New Roman" w:cs="Times New Roman" w:eastAsia="Times New Roman" w:hint="default"/>
          <w:spacing w:val="-3"/>
        </w:rPr>
        <w:t> </w:t>
      </w:r>
      <w:r>
        <w:rPr>
          <w:spacing w:val="2"/>
        </w:rPr>
        <w:t>设备型号、成交数量及各省的分配数量在签署合同时通知。详见公司于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11</w:t>
      </w:r>
      <w:r>
        <w:rPr>
          <w:spacing w:val="2"/>
        </w:rPr>
        <w:t>日在</w:t>
      </w:r>
      <w:r>
        <w:rPr/>
      </w:r>
    </w:p>
    <w:p>
      <w:pPr>
        <w:pStyle w:val="BodyText"/>
        <w:spacing w:line="338" w:lineRule="auto" w:before="15"/>
        <w:ind w:left="154" w:right="632"/>
        <w:jc w:val="both"/>
      </w:pPr>
      <w:r>
        <w:rPr/>
        <w:t>《证券时报》、巨潮资讯网上刊登的</w:t>
      </w:r>
      <w:r>
        <w:rPr>
          <w:rFonts w:ascii="Times New Roman" w:hAnsi="Times New Roman" w:cs="Times New Roman" w:eastAsia="Times New Roman" w:hint="default"/>
        </w:rPr>
        <w:t>2011-001</w:t>
      </w:r>
      <w:r>
        <w:rPr/>
        <w:t>号《中标通知公告》，目前公司与中国邮政</w:t>
      </w:r>
      <w:r>
        <w:rPr>
          <w:spacing w:val="-102"/>
        </w:rPr>
        <w:t> </w:t>
      </w:r>
      <w:r>
        <w:rPr/>
        <w:t>各省市分行签订的具体采购合同履行情况正常。</w:t>
      </w:r>
    </w:p>
    <w:p>
      <w:pPr>
        <w:spacing w:line="240" w:lineRule="auto" w:before="10"/>
        <w:rPr>
          <w:rFonts w:ascii="宋体" w:hAnsi="宋体" w:cs="宋体" w:eastAsia="宋体" w:hint="default"/>
          <w:sz w:val="35"/>
          <w:szCs w:val="35"/>
        </w:rPr>
      </w:pPr>
    </w:p>
    <w:p>
      <w:pPr>
        <w:pStyle w:val="BodyText"/>
        <w:spacing w:line="240" w:lineRule="auto" w:before="0"/>
        <w:ind w:left="634" w:right="4991"/>
        <w:jc w:val="left"/>
      </w:pPr>
      <w:r>
        <w:rPr/>
        <w:t>（三）对外担保事项</w:t>
      </w:r>
    </w:p>
    <w:p>
      <w:pPr>
        <w:spacing w:before="161"/>
        <w:ind w:left="0" w:right="633" w:firstLine="0"/>
        <w:jc w:val="right"/>
        <w:rPr>
          <w:rFonts w:ascii="宋体" w:hAnsi="宋体" w:cs="宋体" w:eastAsia="宋体" w:hint="default"/>
          <w:sz w:val="18"/>
          <w:szCs w:val="18"/>
        </w:rPr>
      </w:pPr>
      <w:r>
        <w:rPr>
          <w:rFonts w:ascii="宋体" w:hAnsi="宋体" w:cs="宋体" w:eastAsia="宋体" w:hint="default"/>
          <w:sz w:val="18"/>
          <w:szCs w:val="18"/>
        </w:rPr>
        <w:t>单位：（人民币）万元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spacing w:before="0"/>
        <w:ind w:left="0" w:right="99" w:firstLine="0"/>
        <w:jc w:val="right"/>
        <w:rPr>
          <w:rFonts w:ascii="宋体" w:hAnsi="宋体" w:cs="宋体" w:eastAsia="宋体" w:hint="default"/>
          <w:sz w:val="18"/>
          <w:szCs w:val="18"/>
        </w:rPr>
      </w:pPr>
      <w:r>
        <w:rPr/>
        <w:pict>
          <v:shape style="position:absolute;margin-left:56.459999pt;margin-top:-28.667963pt;width:492.15pt;height:84.2pt;mso-position-horizontal-relative:page;mso-position-vertical-relative:paragraph;z-index:1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00"/>
                    <w:gridCol w:w="1040"/>
                    <w:gridCol w:w="106"/>
                    <w:gridCol w:w="935"/>
                    <w:gridCol w:w="1170"/>
                    <w:gridCol w:w="375"/>
                    <w:gridCol w:w="664"/>
                    <w:gridCol w:w="1040"/>
                    <w:gridCol w:w="730"/>
                    <w:gridCol w:w="311"/>
                    <w:gridCol w:w="974"/>
                    <w:gridCol w:w="1183"/>
                  </w:tblGrid>
                  <w:tr>
                    <w:trPr>
                      <w:trHeight w:val="244" w:hRule="exact"/>
                    </w:trPr>
                    <w:tc>
                      <w:tcPr>
                        <w:tcW w:w="9828" w:type="dxa"/>
                        <w:gridSpan w:val="1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107" w:right="0"/>
                          <w:jc w:val="left"/>
                          <w:rPr>
                            <w:rFonts w:ascii="宋体" w:hAnsi="宋体" w:cs="宋体" w:eastAsia="宋体" w:hint="default"/>
                            <w:sz w:val="18"/>
                            <w:szCs w:val="18"/>
                          </w:rPr>
                        </w:pPr>
                        <w:r>
                          <w:rPr>
                            <w:rFonts w:ascii="宋体" w:hAnsi="宋体" w:cs="宋体" w:eastAsia="宋体" w:hint="default"/>
                            <w:sz w:val="18"/>
                            <w:szCs w:val="18"/>
                          </w:rPr>
                          <w:t>公司对外担保情况（不包括对子公司的担保）</w:t>
                        </w:r>
                      </w:p>
                    </w:tc>
                  </w:tr>
                  <w:tr>
                    <w:trPr>
                      <w:trHeight w:val="710" w:hRule="exact"/>
                    </w:trPr>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4"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10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65" w:right="0"/>
                          <w:jc w:val="left"/>
                          <w:rPr>
                            <w:rFonts w:ascii="宋体" w:hAnsi="宋体" w:cs="宋体" w:eastAsia="宋体" w:hint="default"/>
                            <w:sz w:val="18"/>
                            <w:szCs w:val="18"/>
                          </w:rPr>
                        </w:pPr>
                        <w:r>
                          <w:rPr>
                            <w:rFonts w:ascii="宋体" w:hAnsi="宋体" w:cs="宋体" w:eastAsia="宋体" w:hint="default"/>
                            <w:sz w:val="18"/>
                            <w:szCs w:val="18"/>
                          </w:rPr>
                          <w:t>担保额度相</w:t>
                        </w:r>
                      </w:p>
                      <w:p>
                        <w:pPr>
                          <w:pStyle w:val="TableParagraph"/>
                          <w:spacing w:line="240" w:lineRule="auto"/>
                          <w:ind w:left="155" w:right="62" w:hanging="90"/>
                          <w:jc w:val="left"/>
                          <w:rPr>
                            <w:rFonts w:ascii="宋体" w:hAnsi="宋体" w:cs="宋体" w:eastAsia="宋体" w:hint="default"/>
                            <w:sz w:val="18"/>
                            <w:szCs w:val="18"/>
                          </w:rPr>
                        </w:pPr>
                        <w:r>
                          <w:rPr>
                            <w:rFonts w:ascii="宋体" w:hAnsi="宋体" w:cs="宋体" w:eastAsia="宋体" w:hint="default"/>
                            <w:sz w:val="18"/>
                            <w:szCs w:val="18"/>
                          </w:rPr>
                          <w:t>关公告披露 日和编号</w:t>
                        </w:r>
                      </w:p>
                    </w:tc>
                    <w:tc>
                      <w:tcPr>
                        <w:tcW w:w="104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54"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1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39"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ind w:left="399" w:right="128" w:hanging="270"/>
                          <w:jc w:val="left"/>
                          <w:rPr>
                            <w:rFonts w:ascii="宋体" w:hAnsi="宋体" w:cs="宋体" w:eastAsia="宋体" w:hint="default"/>
                            <w:sz w:val="18"/>
                            <w:szCs w:val="18"/>
                          </w:rPr>
                        </w:pPr>
                        <w:r>
                          <w:rPr>
                            <w:rFonts w:ascii="宋体" w:hAnsi="宋体" w:cs="宋体" w:eastAsia="宋体" w:hint="default"/>
                            <w:sz w:val="18"/>
                            <w:szCs w:val="18"/>
                          </w:rPr>
                          <w:t>（协议签署 日）</w:t>
                        </w:r>
                      </w:p>
                    </w:tc>
                    <w:tc>
                      <w:tcPr>
                        <w:tcW w:w="103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424" w:right="62"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55"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4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44"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97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92" w:right="30" w:hanging="360"/>
                          <w:jc w:val="left"/>
                          <w:rPr>
                            <w:rFonts w:ascii="宋体" w:hAnsi="宋体" w:cs="宋体" w:eastAsia="宋体" w:hint="default"/>
                            <w:sz w:val="18"/>
                            <w:szCs w:val="18"/>
                          </w:rPr>
                        </w:pPr>
                        <w:r>
                          <w:rPr>
                            <w:rFonts w:ascii="宋体" w:hAnsi="宋体" w:cs="宋体" w:eastAsia="宋体" w:hint="default"/>
                            <w:sz w:val="18"/>
                            <w:szCs w:val="18"/>
                          </w:rPr>
                          <w:t>是否履行完 毕</w:t>
                        </w:r>
                      </w:p>
                    </w:tc>
                    <w:tc>
                      <w:tcPr>
                        <w:tcW w:w="11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22" w:right="47" w:firstLine="22"/>
                          <w:jc w:val="left"/>
                          <w:rPr>
                            <w:rFonts w:ascii="宋体" w:hAnsi="宋体" w:cs="宋体" w:eastAsia="宋体" w:hint="default"/>
                            <w:sz w:val="18"/>
                            <w:szCs w:val="18"/>
                          </w:rPr>
                        </w:pPr>
                        <w:r>
                          <w:rPr>
                            <w:rFonts w:ascii="宋体" w:hAnsi="宋体" w:cs="宋体" w:eastAsia="宋体" w:hint="default"/>
                            <w:sz w:val="18"/>
                            <w:szCs w:val="18"/>
                          </w:rPr>
                          <w:t>是否为关联方 </w:t>
                        </w:r>
                        <w:r>
                          <w:rPr>
                            <w:rFonts w:ascii="宋体" w:hAnsi="宋体" w:cs="宋体" w:eastAsia="宋体" w:hint="default"/>
                            <w:spacing w:val="-8"/>
                            <w:sz w:val="18"/>
                            <w:szCs w:val="18"/>
                          </w:rPr>
                          <w:t>担保（是或否</w:t>
                        </w:r>
                      </w:p>
                    </w:tc>
                  </w:tr>
                  <w:tr>
                    <w:trPr>
                      <w:trHeight w:val="476" w:hRule="exact"/>
                    </w:trPr>
                    <w:tc>
                      <w:tcPr>
                        <w:tcW w:w="2446"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9" w:right="0"/>
                          <w:jc w:val="center"/>
                          <w:rPr>
                            <w:rFonts w:ascii="宋体" w:hAnsi="宋体" w:cs="宋体" w:eastAsia="宋体" w:hint="default"/>
                            <w:sz w:val="18"/>
                            <w:szCs w:val="18"/>
                          </w:rPr>
                        </w:pPr>
                        <w:r>
                          <w:rPr>
                            <w:rFonts w:ascii="宋体" w:hAnsi="宋体" w:cs="宋体" w:eastAsia="宋体" w:hint="default"/>
                            <w:sz w:val="18"/>
                            <w:szCs w:val="18"/>
                          </w:rPr>
                          <w:t>报告期内审批的对外担保额度</w:t>
                        </w:r>
                      </w:p>
                      <w:p>
                        <w:pPr>
                          <w:pStyle w:val="TableParagraph"/>
                          <w:spacing w:line="248" w:lineRule="exact"/>
                          <w:ind w:left="10"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Times New Roman" w:hAnsi="Times New Roman" w:cs="Times New Roman" w:eastAsia="Times New Roman" w:hint="default"/>
                            <w:sz w:val="18"/>
                            <w:szCs w:val="18"/>
                          </w:rPr>
                          <w:t>A1</w:t>
                        </w:r>
                        <w:r>
                          <w:rPr>
                            <w:rFonts w:ascii="宋体" w:hAnsi="宋体" w:cs="宋体" w:eastAsia="宋体" w:hint="default"/>
                            <w:sz w:val="18"/>
                            <w:szCs w:val="18"/>
                          </w:rPr>
                          <w:t>）</w:t>
                        </w:r>
                      </w:p>
                    </w:tc>
                    <w:tc>
                      <w:tcPr>
                        <w:tcW w:w="2480" w:type="dxa"/>
                        <w:gridSpan w:val="3"/>
                        <w:tcBorders>
                          <w:top w:val="single" w:sz="4" w:space="0" w:color="000000"/>
                          <w:left w:val="single" w:sz="13" w:space="0" w:color="DCDCDC"/>
                          <w:bottom w:val="single" w:sz="4" w:space="0" w:color="000000"/>
                          <w:right w:val="single" w:sz="9" w:space="0" w:color="DCDCDC"/>
                        </w:tcBorders>
                      </w:tcPr>
                      <w:p>
                        <w:pPr>
                          <w:pStyle w:val="TableParagraph"/>
                          <w:spacing w:line="240" w:lineRule="auto" w:before="124"/>
                          <w:ind w:right="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34"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right="1"/>
                          <w:jc w:val="center"/>
                          <w:rPr>
                            <w:rFonts w:ascii="宋体" w:hAnsi="宋体" w:cs="宋体" w:eastAsia="宋体" w:hint="default"/>
                            <w:sz w:val="18"/>
                            <w:szCs w:val="18"/>
                          </w:rPr>
                        </w:pPr>
                        <w:r>
                          <w:rPr>
                            <w:rFonts w:ascii="宋体" w:hAnsi="宋体" w:cs="宋体" w:eastAsia="宋体" w:hint="default"/>
                            <w:sz w:val="18"/>
                            <w:szCs w:val="18"/>
                          </w:rPr>
                          <w:t>报告期内对外担保实际发生额</w:t>
                        </w:r>
                      </w:p>
                      <w:p>
                        <w:pPr>
                          <w:pStyle w:val="TableParagraph"/>
                          <w:spacing w:line="248" w:lineRule="exact"/>
                          <w:ind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Times New Roman" w:hAnsi="Times New Roman" w:cs="Times New Roman" w:eastAsia="Times New Roman" w:hint="default"/>
                            <w:sz w:val="18"/>
                            <w:szCs w:val="18"/>
                          </w:rPr>
                          <w:t>A2</w:t>
                        </w:r>
                        <w:r>
                          <w:rPr>
                            <w:rFonts w:ascii="宋体" w:hAnsi="宋体" w:cs="宋体" w:eastAsia="宋体" w:hint="default"/>
                            <w:sz w:val="18"/>
                            <w:szCs w:val="18"/>
                          </w:rPr>
                          <w:t>）</w:t>
                        </w:r>
                      </w:p>
                    </w:tc>
                    <w:tc>
                      <w:tcPr>
                        <w:tcW w:w="2468"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4"/>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4" w:hRule="exact"/>
                    </w:trPr>
                    <w:tc>
                      <w:tcPr>
                        <w:tcW w:w="2446"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52" w:right="0"/>
                          <w:jc w:val="left"/>
                          <w:rPr>
                            <w:rFonts w:ascii="宋体" w:hAnsi="宋体" w:cs="宋体" w:eastAsia="宋体" w:hint="default"/>
                            <w:sz w:val="18"/>
                            <w:szCs w:val="18"/>
                          </w:rPr>
                        </w:pPr>
                        <w:r>
                          <w:rPr>
                            <w:rFonts w:ascii="宋体" w:hAnsi="宋体" w:cs="宋体" w:eastAsia="宋体" w:hint="default"/>
                            <w:sz w:val="18"/>
                            <w:szCs w:val="18"/>
                          </w:rPr>
                          <w:t>报告期末已审批的对外担保额</w:t>
                        </w:r>
                      </w:p>
                    </w:tc>
                    <w:tc>
                      <w:tcPr>
                        <w:tcW w:w="24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34"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41" w:right="0"/>
                          <w:jc w:val="left"/>
                          <w:rPr>
                            <w:rFonts w:ascii="宋体" w:hAnsi="宋体" w:cs="宋体" w:eastAsia="宋体" w:hint="default"/>
                            <w:sz w:val="18"/>
                            <w:szCs w:val="18"/>
                          </w:rPr>
                        </w:pPr>
                        <w:r>
                          <w:rPr>
                            <w:rFonts w:ascii="宋体" w:hAnsi="宋体" w:cs="宋体" w:eastAsia="宋体" w:hint="default"/>
                            <w:sz w:val="18"/>
                            <w:szCs w:val="18"/>
                          </w:rPr>
                          <w:t>报告期末实际对外担保余额合</w:t>
                        </w:r>
                      </w:p>
                    </w:tc>
                    <w:tc>
                      <w:tcPr>
                        <w:tcW w:w="246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747" w:footer="984" w:top="980" w:bottom="1180" w:left="980" w:right="7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6"/>
          <w:szCs w:val="16"/>
        </w:rPr>
      </w:pPr>
    </w:p>
    <w:p>
      <w:pPr>
        <w:spacing w:before="0"/>
        <w:ind w:left="0" w:right="99" w:firstLine="0"/>
        <w:jc w:val="right"/>
        <w:rPr>
          <w:rFonts w:ascii="宋体" w:hAnsi="宋体" w:cs="宋体" w:eastAsia="宋体" w:hint="default"/>
          <w:sz w:val="18"/>
          <w:szCs w:val="18"/>
        </w:rPr>
      </w:pPr>
      <w:r>
        <w:rPr/>
        <w:pict>
          <v:shape style="position:absolute;margin-left:56.459999pt;margin-top:-40.848pt;width:492.15pt;height:335.85pt;mso-position-horizontal-relative:page;mso-position-vertical-relative:paragraph;z-index:11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00"/>
                    <w:gridCol w:w="1040"/>
                    <w:gridCol w:w="109"/>
                    <w:gridCol w:w="931"/>
                    <w:gridCol w:w="1170"/>
                    <w:gridCol w:w="371"/>
                    <w:gridCol w:w="278"/>
                    <w:gridCol w:w="390"/>
                    <w:gridCol w:w="1040"/>
                    <w:gridCol w:w="733"/>
                    <w:gridCol w:w="307"/>
                    <w:gridCol w:w="974"/>
                    <w:gridCol w:w="1183"/>
                  </w:tblGrid>
                  <w:tr>
                    <w:trPr>
                      <w:trHeight w:val="244" w:hRule="exact"/>
                    </w:trPr>
                    <w:tc>
                      <w:tcPr>
                        <w:tcW w:w="244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9" w:lineRule="exact"/>
                          <w:ind w:left="663" w:right="0"/>
                          <w:jc w:val="left"/>
                          <w:rPr>
                            <w:rFonts w:ascii="宋体" w:hAnsi="宋体" w:cs="宋体" w:eastAsia="宋体" w:hint="default"/>
                            <w:sz w:val="18"/>
                            <w:szCs w:val="18"/>
                          </w:rPr>
                        </w:pPr>
                        <w:r>
                          <w:rPr>
                            <w:rFonts w:ascii="宋体" w:hAnsi="宋体" w:cs="宋体" w:eastAsia="宋体" w:hint="default"/>
                            <w:sz w:val="18"/>
                            <w:szCs w:val="18"/>
                          </w:rPr>
                          <w:t>度合计（</w:t>
                        </w:r>
                        <w:r>
                          <w:rPr>
                            <w:rFonts w:ascii="Times New Roman" w:hAnsi="Times New Roman" w:cs="Times New Roman" w:eastAsia="Times New Roman" w:hint="default"/>
                            <w:sz w:val="18"/>
                            <w:szCs w:val="18"/>
                          </w:rPr>
                          <w:t>A3</w:t>
                        </w:r>
                        <w:r>
                          <w:rPr>
                            <w:rFonts w:ascii="宋体" w:hAnsi="宋体" w:cs="宋体" w:eastAsia="宋体" w:hint="default"/>
                            <w:sz w:val="18"/>
                            <w:szCs w:val="18"/>
                          </w:rPr>
                          <w:t>）</w:t>
                        </w:r>
                      </w:p>
                    </w:tc>
                    <w:tc>
                      <w:tcPr>
                        <w:tcW w:w="2472" w:type="dxa"/>
                        <w:gridSpan w:val="3"/>
                        <w:tcBorders>
                          <w:top w:val="single" w:sz="4" w:space="0" w:color="000000"/>
                          <w:left w:val="single" w:sz="4" w:space="0" w:color="000000"/>
                          <w:bottom w:val="single" w:sz="4" w:space="0" w:color="000000"/>
                          <w:right w:val="single" w:sz="4" w:space="0" w:color="000000"/>
                        </w:tcBorders>
                      </w:tcPr>
                      <w:p>
                        <w:pPr/>
                      </w:p>
                    </w:tc>
                    <w:tc>
                      <w:tcPr>
                        <w:tcW w:w="2442"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9" w:lineRule="exact"/>
                          <w:ind w:right="0"/>
                          <w:jc w:val="center"/>
                          <w:rPr>
                            <w:rFonts w:ascii="宋体" w:hAnsi="宋体" w:cs="宋体" w:eastAsia="宋体" w:hint="default"/>
                            <w:sz w:val="18"/>
                            <w:szCs w:val="18"/>
                          </w:rPr>
                        </w:pPr>
                        <w:r>
                          <w:rPr>
                            <w:rFonts w:ascii="宋体" w:hAnsi="宋体" w:cs="宋体" w:eastAsia="宋体" w:hint="default"/>
                            <w:sz w:val="18"/>
                            <w:szCs w:val="18"/>
                          </w:rPr>
                          <w:t>计（</w:t>
                        </w:r>
                        <w:r>
                          <w:rPr>
                            <w:rFonts w:ascii="Times New Roman" w:hAnsi="Times New Roman" w:cs="Times New Roman" w:eastAsia="Times New Roman" w:hint="default"/>
                            <w:sz w:val="18"/>
                            <w:szCs w:val="18"/>
                          </w:rPr>
                          <w:t>A4</w:t>
                        </w:r>
                        <w:r>
                          <w:rPr>
                            <w:rFonts w:ascii="宋体" w:hAnsi="宋体" w:cs="宋体" w:eastAsia="宋体" w:hint="default"/>
                            <w:sz w:val="18"/>
                            <w:szCs w:val="18"/>
                          </w:rPr>
                          <w:t>）</w:t>
                        </w:r>
                      </w:p>
                    </w:tc>
                    <w:tc>
                      <w:tcPr>
                        <w:tcW w:w="2465" w:type="dxa"/>
                        <w:gridSpan w:val="3"/>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9828" w:type="dxa"/>
                        <w:gridSpan w:val="1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710" w:hRule="exact"/>
                    </w:trPr>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4"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10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65" w:right="0"/>
                          <w:jc w:val="left"/>
                          <w:rPr>
                            <w:rFonts w:ascii="宋体" w:hAnsi="宋体" w:cs="宋体" w:eastAsia="宋体" w:hint="default"/>
                            <w:sz w:val="18"/>
                            <w:szCs w:val="18"/>
                          </w:rPr>
                        </w:pPr>
                        <w:r>
                          <w:rPr>
                            <w:rFonts w:ascii="宋体" w:hAnsi="宋体" w:cs="宋体" w:eastAsia="宋体" w:hint="default"/>
                            <w:sz w:val="18"/>
                            <w:szCs w:val="18"/>
                          </w:rPr>
                          <w:t>担保额度相</w:t>
                        </w:r>
                      </w:p>
                      <w:p>
                        <w:pPr>
                          <w:pStyle w:val="TableParagraph"/>
                          <w:spacing w:line="232" w:lineRule="exact" w:before="24"/>
                          <w:ind w:left="155" w:right="62" w:hanging="90"/>
                          <w:jc w:val="left"/>
                          <w:rPr>
                            <w:rFonts w:ascii="宋体" w:hAnsi="宋体" w:cs="宋体" w:eastAsia="宋体" w:hint="default"/>
                            <w:sz w:val="18"/>
                            <w:szCs w:val="18"/>
                          </w:rPr>
                        </w:pPr>
                        <w:r>
                          <w:rPr>
                            <w:rFonts w:ascii="宋体" w:hAnsi="宋体" w:cs="宋体" w:eastAsia="宋体" w:hint="default"/>
                            <w:sz w:val="18"/>
                            <w:szCs w:val="18"/>
                          </w:rPr>
                          <w:t>关公告披露 日和编号</w:t>
                        </w:r>
                      </w:p>
                    </w:tc>
                    <w:tc>
                      <w:tcPr>
                        <w:tcW w:w="104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54"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1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9"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32" w:lineRule="exact" w:before="24"/>
                          <w:ind w:left="399" w:right="128" w:hanging="270"/>
                          <w:jc w:val="left"/>
                          <w:rPr>
                            <w:rFonts w:ascii="宋体" w:hAnsi="宋体" w:cs="宋体" w:eastAsia="宋体" w:hint="default"/>
                            <w:sz w:val="18"/>
                            <w:szCs w:val="18"/>
                          </w:rPr>
                        </w:pPr>
                        <w:r>
                          <w:rPr>
                            <w:rFonts w:ascii="宋体" w:hAnsi="宋体" w:cs="宋体" w:eastAsia="宋体" w:hint="default"/>
                            <w:sz w:val="18"/>
                            <w:szCs w:val="18"/>
                          </w:rPr>
                          <w:t>（协议签署 日）</w:t>
                        </w:r>
                      </w:p>
                    </w:tc>
                    <w:tc>
                      <w:tcPr>
                        <w:tcW w:w="103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424" w:right="62"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55"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4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44"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97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92" w:right="30" w:hanging="360"/>
                          <w:jc w:val="left"/>
                          <w:rPr>
                            <w:rFonts w:ascii="宋体" w:hAnsi="宋体" w:cs="宋体" w:eastAsia="宋体" w:hint="default"/>
                            <w:sz w:val="18"/>
                            <w:szCs w:val="18"/>
                          </w:rPr>
                        </w:pPr>
                        <w:r>
                          <w:rPr>
                            <w:rFonts w:ascii="宋体" w:hAnsi="宋体" w:cs="宋体" w:eastAsia="宋体" w:hint="default"/>
                            <w:sz w:val="18"/>
                            <w:szCs w:val="18"/>
                          </w:rPr>
                          <w:t>是否履行完 毕</w:t>
                        </w:r>
                      </w:p>
                    </w:tc>
                    <w:tc>
                      <w:tcPr>
                        <w:tcW w:w="11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22" w:right="47" w:firstLine="22"/>
                          <w:jc w:val="left"/>
                          <w:rPr>
                            <w:rFonts w:ascii="宋体" w:hAnsi="宋体" w:cs="宋体" w:eastAsia="宋体" w:hint="default"/>
                            <w:sz w:val="18"/>
                            <w:szCs w:val="18"/>
                          </w:rPr>
                        </w:pPr>
                        <w:r>
                          <w:rPr>
                            <w:rFonts w:ascii="宋体" w:hAnsi="宋体" w:cs="宋体" w:eastAsia="宋体" w:hint="default"/>
                            <w:sz w:val="18"/>
                            <w:szCs w:val="18"/>
                          </w:rPr>
                          <w:t>是否为关联方 </w:t>
                        </w:r>
                        <w:r>
                          <w:rPr>
                            <w:rFonts w:ascii="宋体" w:hAnsi="宋体" w:cs="宋体" w:eastAsia="宋体" w:hint="default"/>
                            <w:spacing w:val="-8"/>
                            <w:sz w:val="18"/>
                            <w:szCs w:val="18"/>
                          </w:rPr>
                          <w:t>担保（是或否</w:t>
                        </w:r>
                      </w:p>
                    </w:tc>
                  </w:tr>
                  <w:tr>
                    <w:trPr>
                      <w:trHeight w:val="710" w:hRule="exact"/>
                    </w:trPr>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2" w:right="185"/>
                          <w:jc w:val="left"/>
                          <w:rPr>
                            <w:rFonts w:ascii="宋体" w:hAnsi="宋体" w:cs="宋体" w:eastAsia="宋体" w:hint="default"/>
                            <w:sz w:val="18"/>
                            <w:szCs w:val="18"/>
                          </w:rPr>
                        </w:pPr>
                        <w:r>
                          <w:rPr>
                            <w:rFonts w:ascii="宋体" w:hAnsi="宋体" w:cs="宋体" w:eastAsia="宋体" w:hint="default"/>
                            <w:sz w:val="18"/>
                            <w:szCs w:val="18"/>
                          </w:rPr>
                          <w:t>御银科技（香 港）有限公司</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33"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pStyle w:val="TableParagraph"/>
                          <w:spacing w:line="24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2011-016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w:t>
                        </w:r>
                      </w:p>
                    </w:tc>
                    <w:tc>
                      <w:tcPr>
                        <w:tcW w:w="10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286" w:right="0"/>
                          <w:jc w:val="left"/>
                          <w:rPr>
                            <w:rFonts w:ascii="Times New Roman" w:hAnsi="Times New Roman" w:cs="Times New Roman" w:eastAsia="Times New Roman" w:hint="default"/>
                            <w:sz w:val="18"/>
                            <w:szCs w:val="18"/>
                          </w:rPr>
                        </w:pPr>
                        <w:r>
                          <w:rPr>
                            <w:rFonts w:ascii="Times New Roman"/>
                            <w:sz w:val="18"/>
                          </w:rPr>
                          <w:t>25,000.00</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8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3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376" w:right="0"/>
                          <w:jc w:val="left"/>
                          <w:rPr>
                            <w:rFonts w:ascii="Times New Roman" w:hAnsi="Times New Roman" w:cs="Times New Roman" w:eastAsia="Times New Roman" w:hint="default"/>
                            <w:sz w:val="18"/>
                            <w:szCs w:val="18"/>
                          </w:rPr>
                        </w:pPr>
                        <w:r>
                          <w:rPr>
                            <w:rFonts w:ascii="Times New Roman"/>
                            <w:sz w:val="18"/>
                          </w:rPr>
                          <w:t>3,780.54</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保证担保</w:t>
                        </w:r>
                      </w:p>
                    </w:tc>
                    <w:tc>
                      <w:tcPr>
                        <w:tcW w:w="10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22" w:right="0"/>
                          <w:jc w:val="left"/>
                          <w:rPr>
                            <w:rFonts w:ascii="Times New Roman" w:hAnsi="Times New Roman" w:cs="Times New Roman" w:eastAsia="Times New Roman" w:hint="default"/>
                            <w:sz w:val="18"/>
                            <w:szCs w:val="18"/>
                          </w:rPr>
                        </w:pPr>
                        <w:r>
                          <w:rPr>
                            <w:rFonts w:ascii="Times New Roman"/>
                            <w:sz w:val="18"/>
                          </w:rPr>
                          <w:t>2011.4.19-20</w:t>
                        </w: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12.3.29</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710" w:hRule="exact"/>
                    </w:trPr>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2" w:right="185"/>
                          <w:jc w:val="left"/>
                          <w:rPr>
                            <w:rFonts w:ascii="宋体" w:hAnsi="宋体" w:cs="宋体" w:eastAsia="宋体" w:hint="default"/>
                            <w:sz w:val="18"/>
                            <w:szCs w:val="18"/>
                          </w:rPr>
                        </w:pPr>
                        <w:r>
                          <w:rPr>
                            <w:rFonts w:ascii="宋体" w:hAnsi="宋体" w:cs="宋体" w:eastAsia="宋体" w:hint="default"/>
                            <w:sz w:val="18"/>
                            <w:szCs w:val="18"/>
                          </w:rPr>
                          <w:t>御银科技（香 港）有限公司</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33"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pStyle w:val="TableParagraph"/>
                          <w:spacing w:line="242"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2011-016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w:t>
                        </w:r>
                      </w:p>
                    </w:tc>
                    <w:tc>
                      <w:tcPr>
                        <w:tcW w:w="10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286" w:right="0"/>
                          <w:jc w:val="left"/>
                          <w:rPr>
                            <w:rFonts w:ascii="Times New Roman" w:hAnsi="Times New Roman" w:cs="Times New Roman" w:eastAsia="Times New Roman" w:hint="default"/>
                            <w:sz w:val="18"/>
                            <w:szCs w:val="18"/>
                          </w:rPr>
                        </w:pPr>
                        <w:r>
                          <w:rPr>
                            <w:rFonts w:ascii="Times New Roman"/>
                            <w:sz w:val="18"/>
                          </w:rPr>
                          <w:t>25,000.00</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8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3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376" w:right="0"/>
                          <w:jc w:val="left"/>
                          <w:rPr>
                            <w:rFonts w:ascii="Times New Roman" w:hAnsi="Times New Roman" w:cs="Times New Roman" w:eastAsia="Times New Roman" w:hint="default"/>
                            <w:sz w:val="18"/>
                            <w:szCs w:val="18"/>
                          </w:rPr>
                        </w:pPr>
                        <w:r>
                          <w:rPr>
                            <w:rFonts w:ascii="Times New Roman"/>
                            <w:sz w:val="18"/>
                          </w:rPr>
                          <w:t>2,898.41</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保证担保</w:t>
                        </w:r>
                      </w:p>
                    </w:tc>
                    <w:tc>
                      <w:tcPr>
                        <w:tcW w:w="10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22" w:right="0"/>
                          <w:jc w:val="left"/>
                          <w:rPr>
                            <w:rFonts w:ascii="Times New Roman" w:hAnsi="Times New Roman" w:cs="Times New Roman" w:eastAsia="Times New Roman" w:hint="default"/>
                            <w:sz w:val="18"/>
                            <w:szCs w:val="18"/>
                          </w:rPr>
                        </w:pPr>
                        <w:r>
                          <w:rPr>
                            <w:rFonts w:ascii="Times New Roman"/>
                            <w:sz w:val="18"/>
                          </w:rPr>
                          <w:t>2011.8.29-20</w:t>
                        </w: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12.7.8</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76" w:hRule="exact"/>
                    </w:trPr>
                    <w:tc>
                      <w:tcPr>
                        <w:tcW w:w="244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5" w:right="0"/>
                          <w:jc w:val="center"/>
                          <w:rPr>
                            <w:rFonts w:ascii="宋体" w:hAnsi="宋体" w:cs="宋体" w:eastAsia="宋体" w:hint="default"/>
                            <w:sz w:val="18"/>
                            <w:szCs w:val="18"/>
                          </w:rPr>
                        </w:pPr>
                        <w:r>
                          <w:rPr>
                            <w:rFonts w:ascii="宋体" w:hAnsi="宋体" w:cs="宋体" w:eastAsia="宋体" w:hint="default"/>
                            <w:sz w:val="18"/>
                            <w:szCs w:val="18"/>
                          </w:rPr>
                          <w:t>报告期内审批对子公司担保额</w:t>
                        </w:r>
                      </w:p>
                      <w:p>
                        <w:pPr>
                          <w:pStyle w:val="TableParagraph"/>
                          <w:spacing w:line="248" w:lineRule="exact"/>
                          <w:ind w:left="7" w:right="0"/>
                          <w:jc w:val="center"/>
                          <w:rPr>
                            <w:rFonts w:ascii="宋体" w:hAnsi="宋体" w:cs="宋体" w:eastAsia="宋体" w:hint="default"/>
                            <w:sz w:val="18"/>
                            <w:szCs w:val="18"/>
                          </w:rPr>
                        </w:pPr>
                        <w:r>
                          <w:rPr>
                            <w:rFonts w:ascii="宋体" w:hAnsi="宋体" w:cs="宋体" w:eastAsia="宋体" w:hint="default"/>
                            <w:sz w:val="18"/>
                            <w:szCs w:val="18"/>
                          </w:rPr>
                          <w:t>度合计（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472" w:type="dxa"/>
                        <w:gridSpan w:val="3"/>
                        <w:tcBorders>
                          <w:top w:val="single" w:sz="4" w:space="0" w:color="000000"/>
                          <w:left w:val="single" w:sz="13" w:space="0" w:color="DCDCDC"/>
                          <w:bottom w:val="single" w:sz="4" w:space="0" w:color="000000"/>
                          <w:right w:val="single" w:sz="9" w:space="0" w:color="DCDCDC"/>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z w:val="18"/>
                          </w:rPr>
                          <w:t>25,000.00</w:t>
                        </w:r>
                      </w:p>
                    </w:tc>
                    <w:tc>
                      <w:tcPr>
                        <w:tcW w:w="2442"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right="1"/>
                          <w:jc w:val="center"/>
                          <w:rPr>
                            <w:rFonts w:ascii="宋体" w:hAnsi="宋体" w:cs="宋体" w:eastAsia="宋体" w:hint="default"/>
                            <w:sz w:val="18"/>
                            <w:szCs w:val="18"/>
                          </w:rPr>
                        </w:pPr>
                        <w:r>
                          <w:rPr>
                            <w:rFonts w:ascii="宋体" w:hAnsi="宋体" w:cs="宋体" w:eastAsia="宋体" w:hint="default"/>
                            <w:sz w:val="18"/>
                            <w:szCs w:val="18"/>
                          </w:rPr>
                          <w:t>报告期内对子公司担保实际发</w:t>
                        </w:r>
                      </w:p>
                      <w:p>
                        <w:pPr>
                          <w:pStyle w:val="TableParagraph"/>
                          <w:spacing w:line="248" w:lineRule="exact"/>
                          <w:ind w:right="0"/>
                          <w:jc w:val="center"/>
                          <w:rPr>
                            <w:rFonts w:ascii="宋体" w:hAnsi="宋体" w:cs="宋体" w:eastAsia="宋体" w:hint="default"/>
                            <w:sz w:val="18"/>
                            <w:szCs w:val="18"/>
                          </w:rPr>
                        </w:pPr>
                        <w:r>
                          <w:rPr>
                            <w:rFonts w:ascii="宋体" w:hAnsi="宋体" w:cs="宋体" w:eastAsia="宋体" w:hint="default"/>
                            <w:sz w:val="18"/>
                            <w:szCs w:val="18"/>
                          </w:rPr>
                          <w:t>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465"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z w:val="18"/>
                          </w:rPr>
                          <w:t>6,678.95</w:t>
                        </w:r>
                      </w:p>
                    </w:tc>
                  </w:tr>
                  <w:tr>
                    <w:trPr>
                      <w:trHeight w:val="477" w:hRule="exact"/>
                    </w:trPr>
                    <w:tc>
                      <w:tcPr>
                        <w:tcW w:w="244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5" w:right="0"/>
                          <w:jc w:val="center"/>
                          <w:rPr>
                            <w:rFonts w:ascii="宋体" w:hAnsi="宋体" w:cs="宋体" w:eastAsia="宋体" w:hint="default"/>
                            <w:sz w:val="18"/>
                            <w:szCs w:val="18"/>
                          </w:rPr>
                        </w:pPr>
                        <w:r>
                          <w:rPr>
                            <w:rFonts w:ascii="宋体" w:hAnsi="宋体" w:cs="宋体" w:eastAsia="宋体" w:hint="default"/>
                            <w:sz w:val="18"/>
                            <w:szCs w:val="18"/>
                          </w:rPr>
                          <w:t>报告期末已审批的对子公司担</w:t>
                        </w:r>
                      </w:p>
                      <w:p>
                        <w:pPr>
                          <w:pStyle w:val="TableParagraph"/>
                          <w:spacing w:line="248" w:lineRule="exact"/>
                          <w:ind w:left="7" w:right="0"/>
                          <w:jc w:val="center"/>
                          <w:rPr>
                            <w:rFonts w:ascii="宋体" w:hAnsi="宋体" w:cs="宋体" w:eastAsia="宋体" w:hint="default"/>
                            <w:sz w:val="18"/>
                            <w:szCs w:val="18"/>
                          </w:rPr>
                        </w:pPr>
                        <w:r>
                          <w:rPr>
                            <w:rFonts w:ascii="宋体" w:hAnsi="宋体" w:cs="宋体" w:eastAsia="宋体" w:hint="default"/>
                            <w:sz w:val="18"/>
                            <w:szCs w:val="18"/>
                          </w:rPr>
                          <w:t>保额度合计（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472" w:type="dxa"/>
                        <w:gridSpan w:val="3"/>
                        <w:tcBorders>
                          <w:top w:val="single" w:sz="4" w:space="0" w:color="000000"/>
                          <w:left w:val="single" w:sz="13" w:space="0" w:color="DCDCDC"/>
                          <w:bottom w:val="single" w:sz="4" w:space="0" w:color="000000"/>
                          <w:right w:val="single" w:sz="9" w:space="0" w:color="DCDCDC"/>
                        </w:tcBorders>
                      </w:tcPr>
                      <w:p>
                        <w:pPr>
                          <w:pStyle w:val="TableParagraph"/>
                          <w:spacing w:line="240" w:lineRule="auto" w:before="126"/>
                          <w:ind w:right="20"/>
                          <w:jc w:val="right"/>
                          <w:rPr>
                            <w:rFonts w:ascii="Times New Roman" w:hAnsi="Times New Roman" w:cs="Times New Roman" w:eastAsia="Times New Roman" w:hint="default"/>
                            <w:sz w:val="18"/>
                            <w:szCs w:val="18"/>
                          </w:rPr>
                        </w:pPr>
                        <w:r>
                          <w:rPr>
                            <w:rFonts w:ascii="Times New Roman"/>
                            <w:sz w:val="18"/>
                          </w:rPr>
                          <w:t>25,000.00</w:t>
                        </w:r>
                      </w:p>
                    </w:tc>
                    <w:tc>
                      <w:tcPr>
                        <w:tcW w:w="2442"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报告期末对子公司实际担保余</w:t>
                        </w:r>
                      </w:p>
                      <w:p>
                        <w:pPr>
                          <w:pStyle w:val="TableParagraph"/>
                          <w:spacing w:line="248" w:lineRule="exact"/>
                          <w:ind w:right="0"/>
                          <w:jc w:val="center"/>
                          <w:rPr>
                            <w:rFonts w:ascii="宋体" w:hAnsi="宋体" w:cs="宋体" w:eastAsia="宋体" w:hint="default"/>
                            <w:sz w:val="18"/>
                            <w:szCs w:val="18"/>
                          </w:rPr>
                        </w:pPr>
                        <w:r>
                          <w:rPr>
                            <w:rFonts w:ascii="宋体" w:hAnsi="宋体" w:cs="宋体" w:eastAsia="宋体" w:hint="default"/>
                            <w:sz w:val="18"/>
                            <w:szCs w:val="18"/>
                          </w:rPr>
                          <w:t>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465"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6"/>
                          <w:ind w:right="19"/>
                          <w:jc w:val="right"/>
                          <w:rPr>
                            <w:rFonts w:ascii="Times New Roman" w:hAnsi="Times New Roman" w:cs="Times New Roman" w:eastAsia="Times New Roman" w:hint="default"/>
                            <w:sz w:val="18"/>
                            <w:szCs w:val="18"/>
                          </w:rPr>
                        </w:pPr>
                        <w:r>
                          <w:rPr>
                            <w:rFonts w:ascii="Times New Roman"/>
                            <w:sz w:val="18"/>
                          </w:rPr>
                          <w:t>6,678.95</w:t>
                        </w:r>
                      </w:p>
                    </w:tc>
                  </w:tr>
                  <w:tr>
                    <w:trPr>
                      <w:trHeight w:val="243" w:hRule="exact"/>
                    </w:trPr>
                    <w:tc>
                      <w:tcPr>
                        <w:tcW w:w="9828" w:type="dxa"/>
                        <w:gridSpan w:val="1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公司担保总额（即前两大项的合计）</w:t>
                        </w:r>
                      </w:p>
                    </w:tc>
                  </w:tr>
                  <w:tr>
                    <w:trPr>
                      <w:trHeight w:val="478" w:hRule="exact"/>
                    </w:trPr>
                    <w:tc>
                      <w:tcPr>
                        <w:tcW w:w="244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5" w:right="0"/>
                          <w:jc w:val="center"/>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8" w:lineRule="exact"/>
                          <w:ind w:left="6"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w:t>
                        </w:r>
                        <w:r>
                          <w:rPr>
                            <w:rFonts w:ascii="宋体" w:hAnsi="宋体" w:cs="宋体" w:eastAsia="宋体" w:hint="default"/>
                            <w:sz w:val="18"/>
                            <w:szCs w:val="18"/>
                          </w:rPr>
                          <w:t>）</w:t>
                        </w:r>
                      </w:p>
                    </w:tc>
                    <w:tc>
                      <w:tcPr>
                        <w:tcW w:w="2472" w:type="dxa"/>
                        <w:gridSpan w:val="3"/>
                        <w:tcBorders>
                          <w:top w:val="single" w:sz="4" w:space="0" w:color="000000"/>
                          <w:left w:val="single" w:sz="13" w:space="0" w:color="DCDCDC"/>
                          <w:bottom w:val="single" w:sz="4" w:space="0" w:color="000000"/>
                          <w:right w:val="single" w:sz="9" w:space="0" w:color="DCDCDC"/>
                        </w:tcBorders>
                      </w:tcPr>
                      <w:p>
                        <w:pPr>
                          <w:pStyle w:val="TableParagraph"/>
                          <w:spacing w:line="240" w:lineRule="auto" w:before="126"/>
                          <w:ind w:right="20"/>
                          <w:jc w:val="right"/>
                          <w:rPr>
                            <w:rFonts w:ascii="Times New Roman" w:hAnsi="Times New Roman" w:cs="Times New Roman" w:eastAsia="Times New Roman" w:hint="default"/>
                            <w:sz w:val="18"/>
                            <w:szCs w:val="18"/>
                          </w:rPr>
                        </w:pPr>
                        <w:r>
                          <w:rPr>
                            <w:rFonts w:ascii="Times New Roman"/>
                            <w:sz w:val="18"/>
                          </w:rPr>
                          <w:t>25,000.00</w:t>
                        </w:r>
                      </w:p>
                    </w:tc>
                    <w:tc>
                      <w:tcPr>
                        <w:tcW w:w="2442"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报告期内担保实际发生额合计</w:t>
                        </w:r>
                      </w:p>
                      <w:p>
                        <w:pPr>
                          <w:pStyle w:val="TableParagraph"/>
                          <w:spacing w:line="248" w:lineRule="exact"/>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A2+B2</w:t>
                        </w:r>
                        <w:r>
                          <w:rPr>
                            <w:rFonts w:ascii="宋体" w:hAnsi="宋体" w:cs="宋体" w:eastAsia="宋体" w:hint="default"/>
                            <w:sz w:val="18"/>
                            <w:szCs w:val="18"/>
                          </w:rPr>
                          <w:t>）</w:t>
                        </w:r>
                      </w:p>
                    </w:tc>
                    <w:tc>
                      <w:tcPr>
                        <w:tcW w:w="2465"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6"/>
                          <w:ind w:right="19"/>
                          <w:jc w:val="right"/>
                          <w:rPr>
                            <w:rFonts w:ascii="Times New Roman" w:hAnsi="Times New Roman" w:cs="Times New Roman" w:eastAsia="Times New Roman" w:hint="default"/>
                            <w:sz w:val="18"/>
                            <w:szCs w:val="18"/>
                          </w:rPr>
                        </w:pPr>
                        <w:r>
                          <w:rPr>
                            <w:rFonts w:ascii="Times New Roman"/>
                            <w:sz w:val="18"/>
                          </w:rPr>
                          <w:t>6,678.95</w:t>
                        </w:r>
                      </w:p>
                    </w:tc>
                  </w:tr>
                  <w:tr>
                    <w:trPr>
                      <w:trHeight w:val="476" w:hRule="exact"/>
                    </w:trPr>
                    <w:tc>
                      <w:tcPr>
                        <w:tcW w:w="244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5" w:right="0"/>
                          <w:jc w:val="center"/>
                          <w:rPr>
                            <w:rFonts w:ascii="宋体" w:hAnsi="宋体" w:cs="宋体" w:eastAsia="宋体" w:hint="default"/>
                            <w:sz w:val="18"/>
                            <w:szCs w:val="18"/>
                          </w:rPr>
                        </w:pPr>
                        <w:r>
                          <w:rPr>
                            <w:rFonts w:ascii="宋体" w:hAnsi="宋体" w:cs="宋体" w:eastAsia="宋体" w:hint="default"/>
                            <w:sz w:val="18"/>
                            <w:szCs w:val="18"/>
                          </w:rPr>
                          <w:t>报告期末已审批的担保额度合</w:t>
                        </w:r>
                      </w:p>
                      <w:p>
                        <w:pPr>
                          <w:pStyle w:val="TableParagraph"/>
                          <w:spacing w:line="248" w:lineRule="exact"/>
                          <w:ind w:left="6" w:right="0"/>
                          <w:jc w:val="center"/>
                          <w:rPr>
                            <w:rFonts w:ascii="宋体" w:hAnsi="宋体" w:cs="宋体" w:eastAsia="宋体" w:hint="default"/>
                            <w:sz w:val="18"/>
                            <w:szCs w:val="18"/>
                          </w:rPr>
                        </w:pPr>
                        <w:r>
                          <w:rPr>
                            <w:rFonts w:ascii="宋体" w:hAnsi="宋体" w:cs="宋体" w:eastAsia="宋体" w:hint="default"/>
                            <w:sz w:val="18"/>
                            <w:szCs w:val="18"/>
                          </w:rPr>
                          <w:t>计（</w:t>
                        </w:r>
                        <w:r>
                          <w:rPr>
                            <w:rFonts w:ascii="Times New Roman" w:hAnsi="Times New Roman" w:cs="Times New Roman" w:eastAsia="Times New Roman" w:hint="default"/>
                            <w:sz w:val="18"/>
                            <w:szCs w:val="18"/>
                          </w:rPr>
                          <w:t>A3+B3</w:t>
                        </w:r>
                        <w:r>
                          <w:rPr>
                            <w:rFonts w:ascii="宋体" w:hAnsi="宋体" w:cs="宋体" w:eastAsia="宋体" w:hint="default"/>
                            <w:sz w:val="18"/>
                            <w:szCs w:val="18"/>
                          </w:rPr>
                          <w:t>）</w:t>
                        </w:r>
                      </w:p>
                    </w:tc>
                    <w:tc>
                      <w:tcPr>
                        <w:tcW w:w="2472" w:type="dxa"/>
                        <w:gridSpan w:val="3"/>
                        <w:tcBorders>
                          <w:top w:val="single" w:sz="4" w:space="0" w:color="000000"/>
                          <w:left w:val="single" w:sz="13" w:space="0" w:color="DCDCDC"/>
                          <w:bottom w:val="single" w:sz="4" w:space="0" w:color="000000"/>
                          <w:right w:val="single" w:sz="9" w:space="0" w:color="DCDCDC"/>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z w:val="18"/>
                          </w:rPr>
                          <w:t>25,000.00</w:t>
                        </w:r>
                      </w:p>
                    </w:tc>
                    <w:tc>
                      <w:tcPr>
                        <w:tcW w:w="2442"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right="1"/>
                          <w:jc w:val="center"/>
                          <w:rPr>
                            <w:rFonts w:ascii="宋体" w:hAnsi="宋体" w:cs="宋体" w:eastAsia="宋体" w:hint="default"/>
                            <w:sz w:val="18"/>
                            <w:szCs w:val="18"/>
                          </w:rPr>
                        </w:pPr>
                        <w:r>
                          <w:rPr>
                            <w:rFonts w:ascii="宋体" w:hAnsi="宋体" w:cs="宋体" w:eastAsia="宋体" w:hint="default"/>
                            <w:sz w:val="18"/>
                            <w:szCs w:val="18"/>
                          </w:rPr>
                          <w:t>报告期末实际担保余额合计</w:t>
                        </w:r>
                      </w:p>
                      <w:p>
                        <w:pPr>
                          <w:pStyle w:val="TableParagraph"/>
                          <w:spacing w:line="248" w:lineRule="exact"/>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A4+B4</w:t>
                        </w:r>
                        <w:r>
                          <w:rPr>
                            <w:rFonts w:ascii="宋体" w:hAnsi="宋体" w:cs="宋体" w:eastAsia="宋体" w:hint="default"/>
                            <w:sz w:val="18"/>
                            <w:szCs w:val="18"/>
                          </w:rPr>
                          <w:t>）</w:t>
                        </w:r>
                      </w:p>
                    </w:tc>
                    <w:tc>
                      <w:tcPr>
                        <w:tcW w:w="2465"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z w:val="18"/>
                          </w:rPr>
                          <w:t>6,678.95</w:t>
                        </w:r>
                      </w:p>
                    </w:tc>
                  </w:tr>
                  <w:tr>
                    <w:trPr>
                      <w:trHeight w:val="248" w:hRule="exact"/>
                    </w:trPr>
                    <w:tc>
                      <w:tcPr>
                        <w:tcW w:w="5200"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9" w:lineRule="exact"/>
                          <w:ind w:left="22"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A4+B4</w:t>
                        </w:r>
                        <w:r>
                          <w:rPr>
                            <w:rFonts w:ascii="宋体" w:hAnsi="宋体" w:cs="宋体" w:eastAsia="宋体" w:hint="default"/>
                            <w:sz w:val="18"/>
                            <w:szCs w:val="18"/>
                          </w:rPr>
                          <w:t>）占公司净资产的比例</w:t>
                        </w:r>
                      </w:p>
                    </w:tc>
                    <w:tc>
                      <w:tcPr>
                        <w:tcW w:w="462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Times New Roman" w:hAnsi="Times New Roman" w:cs="Times New Roman" w:eastAsia="Times New Roman" w:hint="default"/>
                            <w:sz w:val="18"/>
                            <w:szCs w:val="18"/>
                          </w:rPr>
                        </w:pPr>
                        <w:r>
                          <w:rPr>
                            <w:rFonts w:ascii="Times New Roman"/>
                            <w:sz w:val="18"/>
                          </w:rPr>
                          <w:t>5.08%</w:t>
                        </w:r>
                      </w:p>
                    </w:tc>
                  </w:tr>
                  <w:tr>
                    <w:trPr>
                      <w:trHeight w:val="234" w:hRule="exact"/>
                    </w:trPr>
                    <w:tc>
                      <w:tcPr>
                        <w:tcW w:w="9828" w:type="dxa"/>
                        <w:gridSpan w:val="1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1" w:lineRule="exact"/>
                          <w:ind w:right="0"/>
                          <w:jc w:val="center"/>
                          <w:rPr>
                            <w:rFonts w:ascii="宋体" w:hAnsi="宋体" w:cs="宋体" w:eastAsia="宋体" w:hint="default"/>
                            <w:sz w:val="18"/>
                            <w:szCs w:val="18"/>
                          </w:rPr>
                        </w:pPr>
                        <w:r>
                          <w:rPr>
                            <w:rFonts w:ascii="宋体" w:hAnsi="宋体" w:cs="宋体" w:eastAsia="宋体" w:hint="default"/>
                            <w:sz w:val="18"/>
                            <w:szCs w:val="18"/>
                          </w:rPr>
                          <w:t>其中：</w:t>
                        </w:r>
                      </w:p>
                    </w:tc>
                  </w:tr>
                  <w:tr>
                    <w:trPr>
                      <w:trHeight w:val="248" w:hRule="exact"/>
                    </w:trPr>
                    <w:tc>
                      <w:tcPr>
                        <w:tcW w:w="5200"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4" w:lineRule="exact"/>
                          <w:ind w:left="22"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为股东、实际控制人及其关联方提供担保的金额（</w:t>
                        </w:r>
                        <w:r>
                          <w:rPr>
                            <w:rFonts w:ascii="Times New Roman" w:hAnsi="Times New Roman" w:cs="Times New Roman" w:eastAsia="Times New Roman" w:hint="default"/>
                            <w:sz w:val="18"/>
                            <w:szCs w:val="18"/>
                          </w:rPr>
                          <w:t>C</w:t>
                        </w:r>
                        <w:r>
                          <w:rPr>
                            <w:rFonts w:ascii="宋体" w:hAnsi="宋体" w:cs="宋体" w:eastAsia="宋体" w:hint="default"/>
                            <w:sz w:val="18"/>
                            <w:szCs w:val="18"/>
                          </w:rPr>
                          <w:t>）</w:t>
                        </w:r>
                      </w:p>
                    </w:tc>
                    <w:tc>
                      <w:tcPr>
                        <w:tcW w:w="462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76" w:hRule="exact"/>
                    </w:trPr>
                    <w:tc>
                      <w:tcPr>
                        <w:tcW w:w="5200"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1" w:lineRule="exact"/>
                          <w:ind w:left="22" w:right="0"/>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的被担保对象提供的债务担保</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4628" w:type="dxa"/>
                        <w:gridSpan w:val="6"/>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4"/>
                          <w:ind w:right="8"/>
                          <w:jc w:val="center"/>
                          <w:rPr>
                            <w:rFonts w:ascii="Times New Roman" w:hAnsi="Times New Roman" w:cs="Times New Roman" w:eastAsia="Times New Roman" w:hint="default"/>
                            <w:sz w:val="18"/>
                            <w:szCs w:val="18"/>
                          </w:rPr>
                        </w:pPr>
                        <w:r>
                          <w:rPr>
                            <w:rFonts w:ascii="Times New Roman"/>
                            <w:sz w:val="18"/>
                          </w:rPr>
                          <w:t>6,678.95</w:t>
                        </w:r>
                      </w:p>
                    </w:tc>
                  </w:tr>
                  <w:tr>
                    <w:trPr>
                      <w:trHeight w:val="244" w:hRule="exact"/>
                    </w:trPr>
                    <w:tc>
                      <w:tcPr>
                        <w:tcW w:w="5200"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9" w:lineRule="exact"/>
                          <w:ind w:left="22" w:right="0"/>
                          <w:jc w:val="left"/>
                          <w:rPr>
                            <w:rFonts w:ascii="宋体" w:hAnsi="宋体" w:cs="宋体" w:eastAsia="宋体" w:hint="default"/>
                            <w:sz w:val="18"/>
                            <w:szCs w:val="18"/>
                          </w:rPr>
                        </w:pPr>
                        <w:r>
                          <w:rPr>
                            <w:rFonts w:ascii="宋体" w:hAnsi="宋体" w:cs="宋体" w:eastAsia="宋体" w:hint="default"/>
                            <w:sz w:val="18"/>
                            <w:szCs w:val="18"/>
                          </w:rPr>
                          <w:t>担保总额超过净资产 </w:t>
                        </w:r>
                        <w:r>
                          <w:rPr>
                            <w:rFonts w:ascii="Times New Roman" w:hAnsi="Times New Roman" w:cs="Times New Roman" w:eastAsia="Times New Roman" w:hint="default"/>
                            <w:sz w:val="18"/>
                            <w:szCs w:val="18"/>
                          </w:rPr>
                          <w:t>50%</w:t>
                        </w:r>
                        <w:r>
                          <w:rPr>
                            <w:rFonts w:ascii="宋体" w:hAnsi="宋体" w:cs="宋体" w:eastAsia="宋体" w:hint="default"/>
                            <w:sz w:val="18"/>
                            <w:szCs w:val="18"/>
                          </w:rPr>
                          <w:t>部分的金额（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462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4" w:hRule="exact"/>
                    </w:trPr>
                    <w:tc>
                      <w:tcPr>
                        <w:tcW w:w="5200"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9" w:lineRule="exact"/>
                          <w:ind w:left="22"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sz w:val="18"/>
                            <w:szCs w:val="18"/>
                          </w:rPr>
                          <w:t>C+D+E</w:t>
                        </w:r>
                        <w:r>
                          <w:rPr>
                            <w:rFonts w:ascii="宋体" w:hAnsi="宋体" w:cs="宋体" w:eastAsia="宋体" w:hint="default"/>
                            <w:sz w:val="18"/>
                            <w:szCs w:val="18"/>
                          </w:rPr>
                          <w:t>）</w:t>
                        </w:r>
                      </w:p>
                    </w:tc>
                    <w:tc>
                      <w:tcPr>
                        <w:tcW w:w="462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Times New Roman" w:hAnsi="Times New Roman" w:cs="Times New Roman" w:eastAsia="Times New Roman" w:hint="default"/>
                            <w:sz w:val="18"/>
                            <w:szCs w:val="18"/>
                          </w:rPr>
                        </w:pPr>
                        <w:r>
                          <w:rPr>
                            <w:rFonts w:ascii="Times New Roman"/>
                            <w:sz w:val="18"/>
                          </w:rPr>
                          <w:t>6,678.95</w:t>
                        </w:r>
                      </w:p>
                    </w:tc>
                  </w:tr>
                  <w:tr>
                    <w:trPr>
                      <w:trHeight w:val="244" w:hRule="exact"/>
                    </w:trPr>
                    <w:tc>
                      <w:tcPr>
                        <w:tcW w:w="5200"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22" w:right="0"/>
                          <w:jc w:val="left"/>
                          <w:rPr>
                            <w:rFonts w:ascii="宋体" w:hAnsi="宋体" w:cs="宋体" w:eastAsia="宋体" w:hint="default"/>
                            <w:sz w:val="18"/>
                            <w:szCs w:val="18"/>
                          </w:rPr>
                        </w:pPr>
                        <w:r>
                          <w:rPr>
                            <w:rFonts w:ascii="宋体" w:hAnsi="宋体" w:cs="宋体" w:eastAsia="宋体" w:hint="default"/>
                            <w:sz w:val="18"/>
                            <w:szCs w:val="18"/>
                          </w:rPr>
                          <w:t>未到期担保可能承担连带清偿责任说明</w:t>
                        </w:r>
                      </w:p>
                    </w:tc>
                    <w:tc>
                      <w:tcPr>
                        <w:tcW w:w="4628" w:type="dxa"/>
                        <w:gridSpan w:val="6"/>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 w:right="0"/>
                          <w:jc w:val="center"/>
                          <w:rPr>
                            <w:rFonts w:ascii="宋体" w:hAnsi="宋体" w:cs="宋体" w:eastAsia="宋体" w:hint="default"/>
                            <w:sz w:val="18"/>
                            <w:szCs w:val="18"/>
                          </w:rPr>
                        </w:pPr>
                        <w:r>
                          <w:rPr>
                            <w:rFonts w:ascii="宋体" w:hAnsi="宋体" w:cs="宋体" w:eastAsia="宋体" w:hint="default"/>
                            <w:sz w:val="18"/>
                            <w:szCs w:val="18"/>
                          </w:rPr>
                          <w:t>无</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7"/>
          <w:szCs w:val="17"/>
        </w:rPr>
      </w:pPr>
    </w:p>
    <w:p>
      <w:pPr>
        <w:pStyle w:val="BodyText"/>
        <w:spacing w:line="348" w:lineRule="auto" w:before="26"/>
        <w:ind w:left="153" w:right="631" w:firstLine="480"/>
        <w:jc w:val="both"/>
      </w:pPr>
      <w:r>
        <w:rPr>
          <w:rFonts w:ascii="Times New Roman" w:hAnsi="Times New Roman" w:cs="Times New Roman" w:eastAsia="Times New Roman" w:hint="default"/>
          <w:spacing w:val="-1"/>
        </w:rPr>
        <w:t>1</w:t>
      </w:r>
      <w:r>
        <w:rPr>
          <w:spacing w:val="-1"/>
        </w:rPr>
        <w:t>、</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27</w:t>
      </w:r>
      <w:r>
        <w:rPr>
          <w:spacing w:val="-1"/>
        </w:rPr>
        <w:t>日，经公司第三届董事会第十七次会议审议通过，为控股子公司御银 </w:t>
      </w:r>
      <w:r>
        <w:rPr/>
        <w:t>科技（香港）有限公司在中国工商银行广州工业大道支行办理的内保外贷业务开立不超过</w:t>
      </w:r>
      <w:r>
        <w:rPr/>
        <w:t> </w:t>
      </w:r>
      <w:r>
        <w:rPr>
          <w:rFonts w:ascii="Times New Roman" w:hAnsi="Times New Roman" w:cs="Times New Roman" w:eastAsia="Times New Roman" w:hint="default"/>
        </w:rPr>
        <w:t>1.5</w:t>
      </w:r>
      <w:r>
        <w:rPr/>
        <w:t>亿元的备用信用证或保函，并为此提供不可撤销的反担保。有效期为</w:t>
      </w:r>
      <w:r>
        <w:rPr>
          <w:rFonts w:ascii="Times New Roman" w:hAnsi="Times New Roman" w:cs="Times New Roman" w:eastAsia="Times New Roman" w:hint="default"/>
        </w:rPr>
        <w:t>2</w:t>
      </w:r>
      <w:r>
        <w:rPr/>
        <w:t>年。</w:t>
      </w:r>
    </w:p>
    <w:p>
      <w:pPr>
        <w:pStyle w:val="BodyText"/>
        <w:spacing w:line="338" w:lineRule="auto" w:before="15"/>
        <w:ind w:left="153" w:right="626" w:firstLine="480"/>
        <w:jc w:val="both"/>
      </w:pPr>
      <w:r>
        <w:rPr>
          <w:rFonts w:ascii="Times New Roman" w:hAnsi="Times New Roman" w:cs="Times New Roman" w:eastAsia="Times New Roman" w:hint="default"/>
          <w:spacing w:val="-1"/>
        </w:rPr>
        <w:t>2</w:t>
      </w:r>
      <w:r>
        <w:rPr>
          <w:spacing w:val="-1"/>
        </w:rPr>
        <w:t>、</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27</w:t>
      </w:r>
      <w:r>
        <w:rPr>
          <w:spacing w:val="-1"/>
        </w:rPr>
        <w:t>日，经公司第三届董事会第十七次会议审议通过，为控股子公司御银 </w:t>
      </w:r>
      <w:r>
        <w:rPr>
          <w:spacing w:val="2"/>
        </w:rPr>
        <w:t>科技（香港）有限公司在中国农业银行广东省分行营业部办理的不超过</w:t>
      </w:r>
      <w:r>
        <w:rPr>
          <w:rFonts w:ascii="Times New Roman" w:hAnsi="Times New Roman" w:cs="Times New Roman" w:eastAsia="Times New Roman" w:hint="default"/>
          <w:spacing w:val="2"/>
        </w:rPr>
        <w:t>1</w:t>
      </w:r>
      <w:r>
        <w:rPr>
          <w:spacing w:val="2"/>
        </w:rPr>
        <w:t>亿元银行融资业</w:t>
      </w:r>
      <w:r>
        <w:rPr>
          <w:spacing w:val="-83"/>
        </w:rPr>
        <w:t> </w:t>
      </w:r>
      <w:r>
        <w:rPr/>
        <w:t>务提供连带责任保证担保。有效期为</w:t>
      </w:r>
      <w:r>
        <w:rPr>
          <w:rFonts w:ascii="Times New Roman" w:hAnsi="Times New Roman" w:cs="Times New Roman" w:eastAsia="Times New Roman" w:hint="default"/>
        </w:rPr>
        <w:t>2</w:t>
      </w:r>
      <w:r>
        <w:rPr/>
        <w:t>年。</w:t>
      </w:r>
    </w:p>
    <w:p>
      <w:pPr>
        <w:spacing w:line="240" w:lineRule="auto" w:before="9"/>
        <w:rPr>
          <w:rFonts w:ascii="宋体" w:hAnsi="宋体" w:cs="宋体" w:eastAsia="宋体" w:hint="default"/>
          <w:sz w:val="25"/>
          <w:szCs w:val="25"/>
        </w:rPr>
      </w:pPr>
    </w:p>
    <w:p>
      <w:pPr>
        <w:pStyle w:val="BodyText"/>
        <w:spacing w:line="357" w:lineRule="auto" w:before="0"/>
        <w:ind w:left="154" w:right="633" w:firstLine="480"/>
        <w:jc w:val="both"/>
      </w:pPr>
      <w:r>
        <w:rPr/>
        <w:t>（四）报告期内公司未发生也不存在以前期间发生但延续到报告期的重大委托他人进 行现金资产管理事项。</w:t>
      </w:r>
    </w:p>
    <w:p>
      <w:pPr>
        <w:spacing w:line="240" w:lineRule="auto" w:before="4"/>
        <w:rPr>
          <w:rFonts w:ascii="宋体" w:hAnsi="宋体" w:cs="宋体" w:eastAsia="宋体" w:hint="default"/>
          <w:sz w:val="34"/>
          <w:szCs w:val="34"/>
        </w:rPr>
      </w:pPr>
    </w:p>
    <w:p>
      <w:pPr>
        <w:pStyle w:val="BodyText"/>
        <w:spacing w:line="357" w:lineRule="auto" w:before="0"/>
        <w:ind w:left="153" w:right="633" w:firstLine="480"/>
        <w:jc w:val="both"/>
      </w:pPr>
      <w:r>
        <w:rPr/>
        <w:t>（五）独立董事对公司与关联方资金往来、公司累计和当期对外担保情况的专项说明 及独立意见</w:t>
      </w:r>
    </w:p>
    <w:p>
      <w:pPr>
        <w:pStyle w:val="BodyText"/>
        <w:spacing w:line="240" w:lineRule="auto" w:before="35"/>
        <w:ind w:left="633" w:right="0"/>
        <w:jc w:val="left"/>
      </w:pPr>
      <w:r>
        <w:rPr/>
        <w:t>根据《关于规范上市公司与关联方资金往来以及上市公司对外担保若干问题的通知》</w:t>
      </w:r>
    </w:p>
    <w:p>
      <w:pPr>
        <w:pStyle w:val="BodyText"/>
        <w:spacing w:line="348" w:lineRule="auto" w:before="152"/>
        <w:ind w:left="154" w:right="0"/>
        <w:jc w:val="left"/>
      </w:pPr>
      <w:r>
        <w:rPr>
          <w:spacing w:val="-3"/>
        </w:rPr>
        <w:t>（证监发</w:t>
      </w:r>
      <w:r>
        <w:rPr>
          <w:rFonts w:ascii="Times New Roman" w:hAnsi="Times New Roman" w:cs="Times New Roman" w:eastAsia="Times New Roman" w:hint="default"/>
          <w:spacing w:val="-3"/>
        </w:rPr>
        <w:t>[2003]56</w:t>
      </w:r>
      <w:r>
        <w:rPr>
          <w:spacing w:val="-3"/>
        </w:rPr>
        <w:t>号）、《关于规范上市公司对外担保行为的通知》（证监发</w:t>
      </w:r>
      <w:r>
        <w:rPr>
          <w:rFonts w:ascii="Times New Roman" w:hAnsi="Times New Roman" w:cs="Times New Roman" w:eastAsia="Times New Roman" w:hint="default"/>
          <w:spacing w:val="-3"/>
        </w:rPr>
        <w:t>[2005]120</w:t>
      </w:r>
      <w:r>
        <w:rPr>
          <w:spacing w:val="-3"/>
        </w:rPr>
        <w:t>号）</w:t>
      </w:r>
      <w:r>
        <w:rPr>
          <w:spacing w:val="-74"/>
        </w:rPr>
        <w:t> </w:t>
      </w:r>
      <w:r>
        <w:rPr/>
        <w:t>等规定，作为公司的独立董事，我们对公司控股股东及其关联方占用公司资金情况和公司</w:t>
      </w:r>
      <w:r>
        <w:rPr/>
        <w:t> 对外担保情况进行了认真的了解和查验，相关说明及独立意见如下：</w:t>
      </w:r>
    </w:p>
    <w:p>
      <w:pPr>
        <w:spacing w:after="0" w:line="348" w:lineRule="auto"/>
        <w:jc w:val="left"/>
        <w:sectPr>
          <w:pgSz w:w="11910" w:h="16840"/>
          <w:pgMar w:header="747" w:footer="984" w:top="980" w:bottom="1180" w:left="980" w:right="780"/>
        </w:sectPr>
      </w:pPr>
    </w:p>
    <w:p>
      <w:pPr>
        <w:spacing w:line="240" w:lineRule="auto" w:before="7"/>
        <w:rPr>
          <w:rFonts w:ascii="宋体" w:hAnsi="宋体" w:cs="宋体" w:eastAsia="宋体" w:hint="default"/>
          <w:sz w:val="29"/>
          <w:szCs w:val="29"/>
        </w:rPr>
      </w:pPr>
    </w:p>
    <w:p>
      <w:pPr>
        <w:pStyle w:val="BodyText"/>
        <w:spacing w:line="240" w:lineRule="auto" w:before="26"/>
        <w:ind w:left="634" w:right="103"/>
        <w:jc w:val="left"/>
      </w:pPr>
      <w:r>
        <w:rPr>
          <w:rFonts w:ascii="Times New Roman" w:hAnsi="Times New Roman" w:cs="Times New Roman" w:eastAsia="Times New Roman" w:hint="default"/>
        </w:rPr>
        <w:t>1</w:t>
      </w:r>
      <w:r>
        <w:rPr/>
        <w:t>、报告期内，公司不存在控股股东及其关联方非经营性占用公司资金的情况。</w:t>
      </w:r>
    </w:p>
    <w:p>
      <w:pPr>
        <w:pStyle w:val="BodyText"/>
        <w:spacing w:line="338" w:lineRule="auto" w:before="134"/>
        <w:ind w:left="153" w:right="331" w:firstLine="480"/>
        <w:jc w:val="left"/>
      </w:pPr>
      <w:r>
        <w:rPr>
          <w:rFonts w:ascii="Times New Roman" w:hAnsi="Times New Roman" w:cs="Times New Roman" w:eastAsia="Times New Roman" w:hint="default"/>
        </w:rPr>
        <w:t>2</w:t>
      </w:r>
      <w:r>
        <w:rPr/>
        <w:t>、报告期内，公司对外担保全部为当期对控股子公司的担保，截至报告期末的担保 余额为</w:t>
      </w:r>
      <w:r>
        <w:rPr>
          <w:rFonts w:ascii="Times New Roman" w:hAnsi="Times New Roman" w:cs="Times New Roman" w:eastAsia="Times New Roman" w:hint="default"/>
        </w:rPr>
        <w:t>6,678.95</w:t>
      </w:r>
      <w:r>
        <w:rPr/>
        <w:t>万元，占</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日归属于母公司的合并报表净资产（经审计）的 </w:t>
      </w:r>
      <w:r>
        <w:rPr>
          <w:rFonts w:ascii="Times New Roman" w:hAnsi="Times New Roman" w:cs="Times New Roman" w:eastAsia="Times New Roman" w:hint="default"/>
        </w:rPr>
        <w:t>5.08%</w:t>
      </w:r>
      <w:r>
        <w:rPr/>
        <w:t>。公司控股子公司无对外担保情况。公司无逾期对外担保。</w:t>
      </w:r>
    </w:p>
    <w:p>
      <w:pPr>
        <w:pStyle w:val="BodyText"/>
        <w:spacing w:line="338" w:lineRule="auto" w:before="25"/>
        <w:ind w:left="153" w:right="103" w:firstLine="480"/>
        <w:jc w:val="left"/>
      </w:pPr>
      <w:r>
        <w:rPr>
          <w:rFonts w:ascii="Times New Roman" w:hAnsi="Times New Roman" w:cs="Times New Roman" w:eastAsia="Times New Roman" w:hint="default"/>
          <w:spacing w:val="-3"/>
        </w:rPr>
        <w:t>3</w:t>
      </w:r>
      <w:r>
        <w:rPr>
          <w:spacing w:val="-3"/>
        </w:rPr>
        <w:t>、公司不存在为控股股东及公司持股</w:t>
      </w:r>
      <w:r>
        <w:rPr>
          <w:rFonts w:ascii="Times New Roman" w:hAnsi="Times New Roman" w:cs="Times New Roman" w:eastAsia="Times New Roman" w:hint="default"/>
          <w:spacing w:val="-3"/>
        </w:rPr>
        <w:t>50%</w:t>
      </w:r>
      <w:r>
        <w:rPr>
          <w:spacing w:val="-3"/>
        </w:rPr>
        <w:t>以下的其关联方、任何非法人单位或个人提</w:t>
      </w:r>
      <w:r>
        <w:rPr/>
        <w:t> 供担保的情况。</w:t>
      </w:r>
    </w:p>
    <w:p>
      <w:pPr>
        <w:pStyle w:val="BodyText"/>
        <w:spacing w:line="338" w:lineRule="auto" w:before="54"/>
        <w:ind w:left="153" w:right="331" w:firstLine="480"/>
        <w:jc w:val="left"/>
      </w:pPr>
      <w:r>
        <w:rPr>
          <w:rFonts w:ascii="Times New Roman" w:hAnsi="Times New Roman" w:cs="Times New Roman" w:eastAsia="Times New Roman" w:hint="default"/>
        </w:rPr>
        <w:t>4</w:t>
      </w:r>
      <w:r>
        <w:rPr/>
        <w:t>、公司严格按照《上市规则》、《公司章程》的有关规定，履行对外担保的审批程 序和信息披露义务。</w:t>
      </w:r>
    </w:p>
    <w:p>
      <w:pPr>
        <w:spacing w:line="240" w:lineRule="auto" w:before="10"/>
        <w:rPr>
          <w:rFonts w:ascii="宋体" w:hAnsi="宋体" w:cs="宋体" w:eastAsia="宋体" w:hint="default"/>
          <w:sz w:val="35"/>
          <w:szCs w:val="35"/>
        </w:rPr>
      </w:pPr>
    </w:p>
    <w:p>
      <w:pPr>
        <w:pStyle w:val="BodyText"/>
        <w:spacing w:line="240" w:lineRule="auto" w:before="0"/>
        <w:ind w:left="633" w:right="103"/>
        <w:jc w:val="left"/>
      </w:pPr>
      <w:r>
        <w:rPr/>
        <w:t>八、公司或持股</w:t>
      </w:r>
      <w:r>
        <w:rPr>
          <w:rFonts w:ascii="Times New Roman" w:hAnsi="Times New Roman" w:cs="Times New Roman" w:eastAsia="Times New Roman" w:hint="default"/>
        </w:rPr>
        <w:t>5%</w:t>
      </w:r>
      <w:r>
        <w:rPr/>
        <w:t>以上股东在报告期内或持续到报告期内的承诺事项</w:t>
      </w:r>
    </w:p>
    <w:p>
      <w:pPr>
        <w:spacing w:line="240" w:lineRule="auto" w:before="5"/>
        <w:rPr>
          <w:rFonts w:ascii="宋体" w:hAnsi="宋体" w:cs="宋体" w:eastAsia="宋体" w:hint="default"/>
          <w:sz w:val="13"/>
          <w:szCs w:val="13"/>
        </w:rPr>
      </w:pPr>
    </w:p>
    <w:tbl>
      <w:tblPr>
        <w:tblW w:w="0" w:type="auto"/>
        <w:jc w:val="left"/>
        <w:tblInd w:w="149" w:type="dxa"/>
        <w:tblLayout w:type="fixed"/>
        <w:tblCellMar>
          <w:top w:w="0" w:type="dxa"/>
          <w:left w:w="0" w:type="dxa"/>
          <w:bottom w:w="0" w:type="dxa"/>
          <w:right w:w="0" w:type="dxa"/>
        </w:tblCellMar>
        <w:tblLook w:val="01E0"/>
      </w:tblPr>
      <w:tblGrid>
        <w:gridCol w:w="1418"/>
        <w:gridCol w:w="991"/>
        <w:gridCol w:w="1986"/>
        <w:gridCol w:w="850"/>
        <w:gridCol w:w="2694"/>
        <w:gridCol w:w="1276"/>
      </w:tblGrid>
      <w:tr>
        <w:trPr>
          <w:trHeight w:val="370" w:hRule="exact"/>
        </w:trPr>
        <w:tc>
          <w:tcPr>
            <w:tcW w:w="141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97"/>
              <w:ind w:right="0"/>
              <w:jc w:val="center"/>
              <w:rPr>
                <w:rFonts w:ascii="宋体" w:hAnsi="宋体" w:cs="宋体" w:eastAsia="宋体" w:hint="default"/>
                <w:sz w:val="18"/>
                <w:szCs w:val="18"/>
              </w:rPr>
            </w:pPr>
            <w:r>
              <w:rPr>
                <w:rFonts w:ascii="宋体" w:hAnsi="宋体" w:cs="宋体" w:eastAsia="宋体" w:hint="default"/>
                <w:sz w:val="18"/>
                <w:szCs w:val="18"/>
              </w:rPr>
              <w:t>承诺方</w:t>
            </w:r>
          </w:p>
        </w:tc>
        <w:tc>
          <w:tcPr>
            <w:tcW w:w="99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97"/>
              <w:ind w:right="128"/>
              <w:jc w:val="right"/>
              <w:rPr>
                <w:rFonts w:ascii="宋体" w:hAnsi="宋体" w:cs="宋体" w:eastAsia="宋体" w:hint="default"/>
                <w:sz w:val="18"/>
                <w:szCs w:val="18"/>
              </w:rPr>
            </w:pPr>
            <w:r>
              <w:rPr>
                <w:rFonts w:ascii="宋体" w:hAnsi="宋体" w:cs="宋体" w:eastAsia="宋体" w:hint="default"/>
                <w:sz w:val="18"/>
                <w:szCs w:val="18"/>
              </w:rPr>
              <w:t>承诺类型</w:t>
            </w:r>
          </w:p>
        </w:tc>
        <w:tc>
          <w:tcPr>
            <w:tcW w:w="198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97"/>
              <w:ind w:right="1"/>
              <w:jc w:val="center"/>
              <w:rPr>
                <w:rFonts w:ascii="宋体" w:hAnsi="宋体" w:cs="宋体" w:eastAsia="宋体" w:hint="default"/>
                <w:sz w:val="18"/>
                <w:szCs w:val="18"/>
              </w:rPr>
            </w:pPr>
            <w:r>
              <w:rPr>
                <w:rFonts w:ascii="宋体" w:hAnsi="宋体" w:cs="宋体" w:eastAsia="宋体" w:hint="default"/>
                <w:sz w:val="18"/>
                <w:szCs w:val="18"/>
              </w:rPr>
              <w:t>承诺事项</w:t>
            </w:r>
          </w:p>
        </w:tc>
        <w:tc>
          <w:tcPr>
            <w:tcW w:w="85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97"/>
              <w:ind w:right="0"/>
              <w:jc w:val="center"/>
              <w:rPr>
                <w:rFonts w:ascii="宋体" w:hAnsi="宋体" w:cs="宋体" w:eastAsia="宋体" w:hint="default"/>
                <w:sz w:val="18"/>
                <w:szCs w:val="18"/>
              </w:rPr>
            </w:pPr>
            <w:r>
              <w:rPr>
                <w:rFonts w:ascii="宋体" w:hAnsi="宋体" w:cs="宋体" w:eastAsia="宋体" w:hint="default"/>
                <w:sz w:val="18"/>
                <w:szCs w:val="18"/>
              </w:rPr>
              <w:t>承诺时间</w:t>
            </w:r>
          </w:p>
        </w:tc>
        <w:tc>
          <w:tcPr>
            <w:tcW w:w="269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97"/>
              <w:ind w:right="1"/>
              <w:jc w:val="center"/>
              <w:rPr>
                <w:rFonts w:ascii="宋体" w:hAnsi="宋体" w:cs="宋体" w:eastAsia="宋体" w:hint="default"/>
                <w:sz w:val="18"/>
                <w:szCs w:val="18"/>
              </w:rPr>
            </w:pPr>
            <w:r>
              <w:rPr>
                <w:rFonts w:ascii="宋体" w:hAnsi="宋体" w:cs="宋体" w:eastAsia="宋体" w:hint="default"/>
                <w:sz w:val="18"/>
                <w:szCs w:val="18"/>
              </w:rPr>
              <w:t>承诺期</w:t>
            </w:r>
          </w:p>
        </w:tc>
        <w:tc>
          <w:tcPr>
            <w:tcW w:w="127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97"/>
              <w:ind w:right="1"/>
              <w:jc w:val="center"/>
              <w:rPr>
                <w:rFonts w:ascii="宋体" w:hAnsi="宋体" w:cs="宋体" w:eastAsia="宋体" w:hint="default"/>
                <w:sz w:val="18"/>
                <w:szCs w:val="18"/>
              </w:rPr>
            </w:pPr>
            <w:r>
              <w:rPr>
                <w:rFonts w:ascii="宋体" w:hAnsi="宋体" w:cs="宋体" w:eastAsia="宋体" w:hint="default"/>
                <w:sz w:val="18"/>
                <w:szCs w:val="18"/>
              </w:rPr>
              <w:t>履行情况</w:t>
            </w:r>
          </w:p>
        </w:tc>
      </w:tr>
      <w:tr>
        <w:trPr>
          <w:trHeight w:val="371" w:hRule="exact"/>
        </w:trPr>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18"/>
                <w:szCs w:val="18"/>
              </w:rPr>
            </w:pPr>
            <w:r>
              <w:rPr>
                <w:rFonts w:ascii="宋体" w:hAnsi="宋体" w:cs="宋体" w:eastAsia="宋体" w:hint="default"/>
                <w:sz w:val="18"/>
                <w:szCs w:val="18"/>
              </w:rPr>
              <w:t>控股股东杨文江</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28"/>
              <w:jc w:val="right"/>
              <w:rPr>
                <w:rFonts w:ascii="宋体" w:hAnsi="宋体" w:cs="宋体" w:eastAsia="宋体" w:hint="default"/>
                <w:sz w:val="18"/>
                <w:szCs w:val="18"/>
              </w:rPr>
            </w:pPr>
            <w:r>
              <w:rPr>
                <w:rFonts w:ascii="宋体" w:hAnsi="宋体" w:cs="宋体" w:eastAsia="宋体" w:hint="default"/>
                <w:sz w:val="18"/>
                <w:szCs w:val="18"/>
              </w:rPr>
              <w:t>发行承诺</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宋体" w:hAnsi="宋体" w:cs="宋体" w:eastAsia="宋体" w:hint="default"/>
                <w:sz w:val="18"/>
                <w:szCs w:val="18"/>
              </w:rPr>
            </w:pPr>
            <w:r>
              <w:rPr>
                <w:rFonts w:ascii="宋体" w:hAnsi="宋体" w:cs="宋体" w:eastAsia="宋体" w:hint="default"/>
                <w:sz w:val="18"/>
                <w:szCs w:val="18"/>
              </w:rPr>
              <w:t>避免同业竞争</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0"/>
              <w:jc w:val="center"/>
              <w:rPr>
                <w:rFonts w:ascii="Times New Roman" w:hAnsi="Times New Roman" w:cs="Times New Roman" w:eastAsia="Times New Roman" w:hint="default"/>
                <w:sz w:val="18"/>
                <w:szCs w:val="18"/>
              </w:rPr>
            </w:pPr>
            <w:r>
              <w:rPr>
                <w:rFonts w:ascii="Times New Roman"/>
                <w:sz w:val="18"/>
              </w:rPr>
              <w:t>2007-2-6</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宋体" w:hAnsi="宋体" w:cs="宋体" w:eastAsia="宋体" w:hint="default"/>
                <w:sz w:val="18"/>
                <w:szCs w:val="18"/>
              </w:rPr>
            </w:pPr>
            <w:r>
              <w:rPr>
                <w:rFonts w:ascii="宋体" w:hAnsi="宋体" w:cs="宋体" w:eastAsia="宋体" w:hint="default"/>
                <w:sz w:val="18"/>
                <w:szCs w:val="18"/>
              </w:rPr>
              <w:t>至从发行人离任后三年期间</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宋体" w:hAnsi="宋体" w:cs="宋体" w:eastAsia="宋体" w:hint="default"/>
                <w:sz w:val="18"/>
                <w:szCs w:val="18"/>
              </w:rPr>
            </w:pPr>
            <w:r>
              <w:rPr>
                <w:rFonts w:ascii="宋体" w:hAnsi="宋体" w:cs="宋体" w:eastAsia="宋体" w:hint="default"/>
                <w:sz w:val="18"/>
                <w:szCs w:val="18"/>
              </w:rPr>
              <w:t>按照承诺履行</w:t>
            </w:r>
          </w:p>
        </w:tc>
      </w:tr>
    </w:tbl>
    <w:p>
      <w:pPr>
        <w:spacing w:line="240" w:lineRule="auto" w:before="9"/>
        <w:rPr>
          <w:rFonts w:ascii="宋体" w:hAnsi="宋体" w:cs="宋体" w:eastAsia="宋体" w:hint="default"/>
          <w:sz w:val="18"/>
          <w:szCs w:val="18"/>
        </w:rPr>
      </w:pPr>
    </w:p>
    <w:p>
      <w:pPr>
        <w:pStyle w:val="BodyText"/>
        <w:spacing w:line="357" w:lineRule="auto" w:before="26"/>
        <w:ind w:left="633" w:right="103"/>
        <w:jc w:val="left"/>
      </w:pPr>
      <w:r>
        <w:rPr/>
        <w:t>九、公司聘任会计师事务所情况 </w:t>
      </w:r>
      <w:r>
        <w:rPr>
          <w:spacing w:val="-1"/>
        </w:rPr>
        <w:t>报告期内，公司聘请立信会计师事务所（特殊普通合伙）为公司财务审计机构。该所</w:t>
      </w:r>
      <w:r>
        <w:rPr/>
      </w:r>
    </w:p>
    <w:p>
      <w:pPr>
        <w:pStyle w:val="BodyText"/>
        <w:spacing w:line="338" w:lineRule="auto" w:before="35"/>
        <w:ind w:left="153" w:right="103"/>
        <w:jc w:val="left"/>
      </w:pPr>
      <w:r>
        <w:rPr>
          <w:spacing w:val="2"/>
        </w:rPr>
        <w:t>连续</w:t>
      </w:r>
      <w:r>
        <w:rPr>
          <w:rFonts w:ascii="Times New Roman" w:hAnsi="Times New Roman" w:cs="Times New Roman" w:eastAsia="Times New Roman" w:hint="default"/>
          <w:spacing w:val="2"/>
        </w:rPr>
        <w:t>6</w:t>
      </w:r>
      <w:r>
        <w:rPr>
          <w:spacing w:val="2"/>
        </w:rPr>
        <w:t>年为公司提供审计服务，</w:t>
      </w:r>
      <w:r>
        <w:rPr>
          <w:rFonts w:ascii="Times New Roman" w:hAnsi="Times New Roman" w:cs="Times New Roman" w:eastAsia="Times New Roman" w:hint="default"/>
          <w:spacing w:val="2"/>
        </w:rPr>
        <w:t>2011</w:t>
      </w:r>
      <w:r>
        <w:rPr>
          <w:spacing w:val="2"/>
        </w:rPr>
        <w:t>年度</w:t>
      </w:r>
      <w:r>
        <w:rPr>
          <w:color w:val="323232"/>
          <w:spacing w:val="2"/>
        </w:rPr>
        <w:t>审计费用</w:t>
      </w:r>
      <w:r>
        <w:rPr>
          <w:spacing w:val="2"/>
        </w:rPr>
        <w:t>为</w:t>
      </w:r>
      <w:r>
        <w:rPr>
          <w:rFonts w:ascii="Times New Roman" w:hAnsi="Times New Roman" w:cs="Times New Roman" w:eastAsia="Times New Roman" w:hint="default"/>
          <w:spacing w:val="2"/>
        </w:rPr>
        <w:t>60</w:t>
      </w:r>
      <w:r>
        <w:rPr>
          <w:spacing w:val="2"/>
        </w:rPr>
        <w:t>万元，立信会计师事务所（特殊普</w:t>
      </w:r>
      <w:r>
        <w:rPr>
          <w:spacing w:val="-98"/>
        </w:rPr>
        <w:t> </w:t>
      </w:r>
      <w:r>
        <w:rPr/>
        <w:t>通合伙）指定张锦坤、漆江燕为公司</w:t>
      </w:r>
      <w:r>
        <w:rPr>
          <w:rFonts w:ascii="Times New Roman" w:hAnsi="Times New Roman" w:cs="Times New Roman" w:eastAsia="Times New Roman" w:hint="default"/>
        </w:rPr>
        <w:t>2011</w:t>
      </w:r>
      <w:r>
        <w:rPr/>
        <w:t>年度审计报告签字注册会计师。</w:t>
      </w:r>
    </w:p>
    <w:p>
      <w:pPr>
        <w:pStyle w:val="BodyText"/>
        <w:spacing w:line="240" w:lineRule="auto" w:before="27"/>
        <w:ind w:left="633" w:right="103"/>
        <w:jc w:val="left"/>
      </w:pPr>
      <w:r>
        <w:rPr/>
        <w:t>报告期内，公司聘请立信会计师事务所（特许普通合伙）为公司内部控制审计机构。</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19"/>
          <w:szCs w:val="19"/>
        </w:rPr>
      </w:pPr>
    </w:p>
    <w:p>
      <w:pPr>
        <w:pStyle w:val="BodyText"/>
        <w:spacing w:line="357" w:lineRule="auto" w:before="0"/>
        <w:ind w:left="633" w:right="103"/>
        <w:jc w:val="left"/>
      </w:pPr>
      <w:r>
        <w:rPr/>
        <w:t>十、公司、公司董事会及董事受中国证监会稽查、处罚情况 </w:t>
      </w:r>
      <w:r>
        <w:rPr>
          <w:spacing w:val="-4"/>
        </w:rPr>
        <w:t>报告期内，公司、公司董事会及董事未发生受中国证监会稽查、中国证监会行政处罚、</w:t>
      </w:r>
    </w:p>
    <w:p>
      <w:pPr>
        <w:pStyle w:val="BodyText"/>
        <w:spacing w:line="357" w:lineRule="auto" w:before="35"/>
        <w:ind w:left="633" w:right="2371" w:hanging="480"/>
        <w:jc w:val="left"/>
      </w:pPr>
      <w:r>
        <w:rPr/>
        <w:t>通报批评、证券交易所公开谴责的情形。 公司董事、管理层有关人员未发生被采取司法强制措施的情况。</w:t>
      </w:r>
    </w:p>
    <w:p>
      <w:pPr>
        <w:spacing w:line="240" w:lineRule="auto" w:before="4"/>
        <w:rPr>
          <w:rFonts w:ascii="宋体" w:hAnsi="宋体" w:cs="宋体" w:eastAsia="宋体" w:hint="default"/>
          <w:sz w:val="34"/>
          <w:szCs w:val="34"/>
        </w:rPr>
      </w:pPr>
    </w:p>
    <w:p>
      <w:pPr>
        <w:pStyle w:val="BodyText"/>
        <w:spacing w:line="240" w:lineRule="auto" w:before="0"/>
        <w:ind w:left="633" w:right="103"/>
        <w:jc w:val="left"/>
      </w:pPr>
      <w:r>
        <w:rPr/>
        <w:t>十一、报告期内可供出售金融资产情况</w:t>
      </w:r>
    </w:p>
    <w:p>
      <w:pPr>
        <w:pStyle w:val="BodyText"/>
        <w:spacing w:line="348" w:lineRule="auto" w:before="152"/>
        <w:ind w:left="153" w:right="202" w:firstLine="480"/>
        <w:jc w:val="both"/>
      </w:pPr>
      <w:r>
        <w:rPr>
          <w:spacing w:val="28"/>
        </w:rPr>
        <w:t>控股子公司广州御新投资的星河生物经中国证券监督管理委员会“证监许可</w:t>
      </w:r>
      <w:r>
        <w:rPr>
          <w:spacing w:val="-91"/>
        </w:rPr>
        <w:t> </w:t>
      </w:r>
      <w:r>
        <w:rPr>
          <w:rFonts w:ascii="Times New Roman" w:hAnsi="Times New Roman" w:cs="Times New Roman" w:eastAsia="Times New Roman" w:hint="default"/>
          <w:spacing w:val="-2"/>
        </w:rPr>
        <w:t>[2010]1631</w:t>
      </w:r>
      <w:r>
        <w:rPr>
          <w:spacing w:val="-2"/>
        </w:rPr>
        <w:t>号”核准，于</w:t>
      </w:r>
      <w:r>
        <w:rPr>
          <w:rFonts w:ascii="Times New Roman" w:hAnsi="Times New Roman" w:cs="Times New Roman" w:eastAsia="Times New Roman" w:hint="default"/>
          <w:spacing w:val="-2"/>
        </w:rPr>
        <w:t>2010</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9</w:t>
      </w:r>
      <w:r>
        <w:rPr>
          <w:spacing w:val="-2"/>
        </w:rPr>
        <w:t>日在深圳证券交易所创业板挂牌上市。星河生物注册</w:t>
      </w:r>
      <w:r>
        <w:rPr>
          <w:spacing w:val="-77"/>
        </w:rPr>
        <w:t> </w:t>
      </w:r>
      <w:r>
        <w:rPr>
          <w:spacing w:val="-77"/>
        </w:rPr>
      </w:r>
      <w:r>
        <w:rPr/>
        <w:t>资本暨实收资本</w:t>
      </w:r>
      <w:r>
        <w:rPr>
          <w:rFonts w:ascii="Times New Roman" w:hAnsi="Times New Roman" w:cs="Times New Roman" w:eastAsia="Times New Roman" w:hint="default"/>
        </w:rPr>
        <w:t>14,740</w:t>
      </w:r>
      <w:r>
        <w:rPr/>
        <w:t>万元，主营业务为鲜品食用菌的研发、生产和销售；主要产品包括</w:t>
      </w:r>
      <w:r>
        <w:rPr>
          <w:spacing w:val="-83"/>
        </w:rPr>
        <w:t> </w:t>
      </w:r>
      <w:r>
        <w:rPr>
          <w:spacing w:val="6"/>
        </w:rPr>
        <w:t>金针菇、真姬菇和白玉菇等鲜品食用菌。公司持有广东星河生物科技股份有限公司股份</w:t>
      </w:r>
      <w:r>
        <w:rPr>
          <w:spacing w:val="-118"/>
        </w:rPr>
        <w:t> </w:t>
      </w:r>
      <w:r>
        <w:rPr>
          <w:spacing w:val="-118"/>
        </w:rPr>
      </w:r>
      <w:r>
        <w:rPr>
          <w:rFonts w:ascii="Times New Roman" w:hAnsi="Times New Roman" w:cs="Times New Roman" w:eastAsia="Times New Roman" w:hint="default"/>
        </w:rPr>
        <w:t>10,424,277.00</w:t>
      </w:r>
      <w:r>
        <w:rPr>
          <w:rFonts w:ascii="Times New Roman" w:hAnsi="Times New Roman" w:cs="Times New Roman" w:eastAsia="Times New Roman" w:hint="default"/>
          <w:spacing w:val="51"/>
        </w:rPr>
        <w:t> </w:t>
      </w:r>
      <w:r>
        <w:rPr/>
        <w:t>股。星河生物</w:t>
      </w:r>
      <w:r>
        <w:rPr>
          <w:rFonts w:ascii="Times New Roman" w:hAnsi="Times New Roman" w:cs="Times New Roman" w:eastAsia="Times New Roman" w:hint="default"/>
        </w:rPr>
        <w:t>2011</w:t>
      </w:r>
      <w:r>
        <w:rPr/>
        <w:t>年情况如下：</w:t>
      </w:r>
    </w:p>
    <w:p>
      <w:pPr>
        <w:spacing w:before="24"/>
        <w:ind w:left="0" w:right="413" w:firstLine="0"/>
        <w:jc w:val="right"/>
        <w:rPr>
          <w:rFonts w:ascii="宋体" w:hAnsi="宋体" w:cs="宋体" w:eastAsia="宋体" w:hint="default"/>
          <w:sz w:val="18"/>
          <w:szCs w:val="18"/>
        </w:rPr>
      </w:pPr>
      <w:r>
        <w:rPr>
          <w:rFonts w:ascii="宋体" w:hAnsi="宋体" w:cs="宋体" w:eastAsia="宋体" w:hint="default"/>
          <w:sz w:val="18"/>
          <w:szCs w:val="18"/>
        </w:rPr>
        <w:t>单位：（人民币）万元</w:t>
      </w:r>
    </w:p>
    <w:p>
      <w:pPr>
        <w:spacing w:after="0"/>
        <w:jc w:val="right"/>
        <w:rPr>
          <w:rFonts w:ascii="宋体" w:hAnsi="宋体" w:cs="宋体" w:eastAsia="宋体" w:hint="default"/>
          <w:sz w:val="18"/>
          <w:szCs w:val="18"/>
        </w:rPr>
        <w:sectPr>
          <w:pgSz w:w="11910" w:h="16840"/>
          <w:pgMar w:header="747" w:footer="984" w:top="980" w:bottom="1180" w:left="980" w:right="118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49" w:type="dxa"/>
        <w:tblLayout w:type="fixed"/>
        <w:tblCellMar>
          <w:top w:w="0" w:type="dxa"/>
          <w:left w:w="0" w:type="dxa"/>
          <w:bottom w:w="0" w:type="dxa"/>
          <w:right w:w="0" w:type="dxa"/>
        </w:tblCellMar>
        <w:tblLook w:val="01E0"/>
      </w:tblPr>
      <w:tblGrid>
        <w:gridCol w:w="900"/>
        <w:gridCol w:w="900"/>
        <w:gridCol w:w="900"/>
        <w:gridCol w:w="796"/>
        <w:gridCol w:w="1004"/>
        <w:gridCol w:w="720"/>
        <w:gridCol w:w="1080"/>
        <w:gridCol w:w="1080"/>
        <w:gridCol w:w="1692"/>
      </w:tblGrid>
      <w:tr>
        <w:trPr>
          <w:trHeight w:val="476" w:hRule="exact"/>
        </w:trPr>
        <w:tc>
          <w:tcPr>
            <w:tcW w:w="9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证券代码</w:t>
            </w:r>
          </w:p>
        </w:tc>
        <w:tc>
          <w:tcPr>
            <w:tcW w:w="9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right="84"/>
              <w:jc w:val="right"/>
              <w:rPr>
                <w:rFonts w:ascii="宋体" w:hAnsi="宋体" w:cs="宋体" w:eastAsia="宋体" w:hint="default"/>
                <w:sz w:val="18"/>
                <w:szCs w:val="18"/>
              </w:rPr>
            </w:pPr>
            <w:r>
              <w:rPr>
                <w:rFonts w:ascii="宋体" w:hAnsi="宋体" w:cs="宋体" w:eastAsia="宋体" w:hint="default"/>
                <w:sz w:val="18"/>
                <w:szCs w:val="18"/>
              </w:rPr>
              <w:t>证券简称</w:t>
            </w:r>
          </w:p>
        </w:tc>
        <w:tc>
          <w:tcPr>
            <w:tcW w:w="9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初始投资</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32" w:right="0"/>
              <w:jc w:val="left"/>
              <w:rPr>
                <w:rFonts w:ascii="宋体" w:hAnsi="宋体" w:cs="宋体" w:eastAsia="宋体" w:hint="default"/>
                <w:sz w:val="18"/>
                <w:szCs w:val="18"/>
              </w:rPr>
            </w:pPr>
            <w:r>
              <w:rPr>
                <w:rFonts w:ascii="宋体" w:hAnsi="宋体" w:cs="宋体" w:eastAsia="宋体" w:hint="default"/>
                <w:sz w:val="18"/>
                <w:szCs w:val="18"/>
              </w:rPr>
              <w:t>占该公司</w:t>
            </w:r>
          </w:p>
          <w:p>
            <w:pPr>
              <w:pStyle w:val="TableParagraph"/>
              <w:spacing w:line="235" w:lineRule="exact"/>
              <w:ind w:left="32" w:right="0"/>
              <w:jc w:val="left"/>
              <w:rPr>
                <w:rFonts w:ascii="宋体" w:hAnsi="宋体" w:cs="宋体" w:eastAsia="宋体" w:hint="default"/>
                <w:sz w:val="18"/>
                <w:szCs w:val="18"/>
              </w:rPr>
            </w:pPr>
            <w:r>
              <w:rPr>
                <w:rFonts w:ascii="宋体" w:hAnsi="宋体" w:cs="宋体" w:eastAsia="宋体" w:hint="default"/>
                <w:sz w:val="18"/>
                <w:szCs w:val="18"/>
              </w:rPr>
              <w:t>股权比例</w:t>
            </w:r>
          </w:p>
        </w:tc>
        <w:tc>
          <w:tcPr>
            <w:tcW w:w="10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right="47"/>
              <w:jc w:val="right"/>
              <w:rPr>
                <w:rFonts w:ascii="宋体" w:hAnsi="宋体" w:cs="宋体" w:eastAsia="宋体" w:hint="default"/>
                <w:sz w:val="18"/>
                <w:szCs w:val="18"/>
              </w:rPr>
            </w:pPr>
            <w:r>
              <w:rPr>
                <w:rFonts w:ascii="宋体" w:hAnsi="宋体" w:cs="宋体" w:eastAsia="宋体" w:hint="default"/>
                <w:sz w:val="18"/>
                <w:szCs w:val="18"/>
              </w:rPr>
              <w:t>期末账面值</w:t>
            </w:r>
          </w:p>
        </w:tc>
        <w:tc>
          <w:tcPr>
            <w:tcW w:w="7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73" w:right="0" w:hanging="90"/>
              <w:jc w:val="left"/>
              <w:rPr>
                <w:rFonts w:ascii="宋体" w:hAnsi="宋体" w:cs="宋体" w:eastAsia="宋体" w:hint="default"/>
                <w:sz w:val="18"/>
                <w:szCs w:val="18"/>
              </w:rPr>
            </w:pPr>
            <w:r>
              <w:rPr>
                <w:rFonts w:ascii="宋体" w:hAnsi="宋体" w:cs="宋体" w:eastAsia="宋体" w:hint="default"/>
                <w:sz w:val="18"/>
                <w:szCs w:val="18"/>
              </w:rPr>
              <w:t>报告期</w:t>
            </w:r>
          </w:p>
          <w:p>
            <w:pPr>
              <w:pStyle w:val="TableParagraph"/>
              <w:spacing w:line="235" w:lineRule="exact"/>
              <w:ind w:left="173" w:right="0"/>
              <w:jc w:val="left"/>
              <w:rPr>
                <w:rFonts w:ascii="宋体" w:hAnsi="宋体" w:cs="宋体" w:eastAsia="宋体" w:hint="default"/>
                <w:sz w:val="18"/>
                <w:szCs w:val="18"/>
              </w:rPr>
            </w:pPr>
            <w:r>
              <w:rPr>
                <w:rFonts w:ascii="宋体" w:hAnsi="宋体" w:cs="宋体" w:eastAsia="宋体" w:hint="default"/>
                <w:sz w:val="18"/>
                <w:szCs w:val="18"/>
              </w:rPr>
              <w:t>损益</w:t>
            </w:r>
          </w:p>
        </w:tc>
        <w:tc>
          <w:tcPr>
            <w:tcW w:w="10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84" w:right="0"/>
              <w:jc w:val="left"/>
              <w:rPr>
                <w:rFonts w:ascii="宋体" w:hAnsi="宋体" w:cs="宋体" w:eastAsia="宋体" w:hint="default"/>
                <w:sz w:val="18"/>
                <w:szCs w:val="18"/>
              </w:rPr>
            </w:pPr>
            <w:r>
              <w:rPr>
                <w:rFonts w:ascii="宋体" w:hAnsi="宋体" w:cs="宋体" w:eastAsia="宋体" w:hint="default"/>
                <w:sz w:val="18"/>
                <w:szCs w:val="18"/>
              </w:rPr>
              <w:t>报告期所有</w:t>
            </w:r>
          </w:p>
          <w:p>
            <w:pPr>
              <w:pStyle w:val="TableParagraph"/>
              <w:spacing w:line="235" w:lineRule="exact"/>
              <w:ind w:left="84" w:right="0"/>
              <w:jc w:val="left"/>
              <w:rPr>
                <w:rFonts w:ascii="宋体" w:hAnsi="宋体" w:cs="宋体" w:eastAsia="宋体" w:hint="default"/>
                <w:sz w:val="18"/>
                <w:szCs w:val="18"/>
              </w:rPr>
            </w:pPr>
            <w:r>
              <w:rPr>
                <w:rFonts w:ascii="宋体" w:hAnsi="宋体" w:cs="宋体" w:eastAsia="宋体" w:hint="default"/>
                <w:sz w:val="18"/>
                <w:szCs w:val="18"/>
              </w:rPr>
              <w:t>者权益变动</w:t>
            </w:r>
          </w:p>
        </w:tc>
        <w:tc>
          <w:tcPr>
            <w:tcW w:w="10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会计核算科</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目</w:t>
            </w:r>
          </w:p>
        </w:tc>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股份来源</w:t>
            </w:r>
          </w:p>
        </w:tc>
      </w:tr>
      <w:tr>
        <w:trPr>
          <w:trHeight w:val="478"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sz w:val="18"/>
              </w:rPr>
              <w:t>300143</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84"/>
              <w:jc w:val="right"/>
              <w:rPr>
                <w:rFonts w:ascii="宋体" w:hAnsi="宋体" w:cs="宋体" w:eastAsia="宋体" w:hint="default"/>
                <w:sz w:val="18"/>
                <w:szCs w:val="18"/>
              </w:rPr>
            </w:pPr>
            <w:r>
              <w:rPr>
                <w:rFonts w:ascii="宋体" w:hAnsi="宋体" w:cs="宋体" w:eastAsia="宋体" w:hint="default"/>
                <w:sz w:val="18"/>
                <w:szCs w:val="18"/>
              </w:rPr>
              <w:t>星河生物</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1"/>
              <w:jc w:val="right"/>
              <w:rPr>
                <w:rFonts w:ascii="Times New Roman" w:hAnsi="Times New Roman" w:cs="Times New Roman" w:eastAsia="Times New Roman" w:hint="default"/>
                <w:sz w:val="18"/>
                <w:szCs w:val="18"/>
              </w:rPr>
            </w:pPr>
            <w:r>
              <w:rPr>
                <w:rFonts w:ascii="Times New Roman"/>
                <w:sz w:val="18"/>
              </w:rPr>
              <w:t>1,500.00</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sz w:val="18"/>
              </w:rPr>
              <w:t>7.07%</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9"/>
              <w:jc w:val="right"/>
              <w:rPr>
                <w:rFonts w:ascii="Times New Roman" w:hAnsi="Times New Roman" w:cs="Times New Roman" w:eastAsia="Times New Roman" w:hint="default"/>
                <w:sz w:val="18"/>
                <w:szCs w:val="18"/>
              </w:rPr>
            </w:pPr>
            <w:r>
              <w:rPr>
                <w:rFonts w:ascii="Times New Roman"/>
                <w:sz w:val="18"/>
              </w:rPr>
              <w:t>13,457.74</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
              <w:jc w:val="right"/>
              <w:rPr>
                <w:rFonts w:ascii="Times New Roman" w:hAnsi="Times New Roman" w:cs="Times New Roman" w:eastAsia="Times New Roman" w:hint="default"/>
                <w:sz w:val="18"/>
                <w:szCs w:val="18"/>
              </w:rPr>
            </w:pPr>
            <w:r>
              <w:rPr>
                <w:rFonts w:ascii="Times New Roman"/>
                <w:sz w:val="18"/>
              </w:rPr>
              <w:t>405.74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1"/>
              <w:jc w:val="right"/>
              <w:rPr>
                <w:rFonts w:ascii="Times New Roman" w:hAnsi="Times New Roman" w:cs="Times New Roman" w:eastAsia="Times New Roman" w:hint="default"/>
                <w:sz w:val="18"/>
                <w:szCs w:val="18"/>
              </w:rPr>
            </w:pPr>
            <w:r>
              <w:rPr>
                <w:rFonts w:ascii="Times New Roman"/>
                <w:sz w:val="18"/>
              </w:rPr>
              <w:t>10,771.37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可供出售金</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融资产</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通过全资子公司广州</w:t>
            </w:r>
          </w:p>
          <w:p>
            <w:pPr>
              <w:pStyle w:val="TableParagraph"/>
              <w:spacing w:line="248" w:lineRule="exact"/>
              <w:ind w:right="0"/>
              <w:jc w:val="center"/>
              <w:rPr>
                <w:rFonts w:ascii="宋体" w:hAnsi="宋体" w:cs="宋体" w:eastAsia="宋体" w:hint="default"/>
                <w:sz w:val="18"/>
                <w:szCs w:val="18"/>
              </w:rPr>
            </w:pPr>
            <w:r>
              <w:rPr>
                <w:rFonts w:ascii="宋体" w:hAnsi="宋体" w:cs="宋体" w:eastAsia="宋体" w:hint="default"/>
                <w:sz w:val="18"/>
                <w:szCs w:val="18"/>
              </w:rPr>
              <w:t>御新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PE</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投资所得</w:t>
            </w:r>
          </w:p>
        </w:tc>
      </w:tr>
      <w:tr>
        <w:trPr>
          <w:trHeight w:val="244" w:hRule="exact"/>
        </w:trPr>
        <w:tc>
          <w:tcPr>
            <w:tcW w:w="180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8"/>
                <w:szCs w:val="18"/>
              </w:rPr>
            </w:pPr>
            <w:r>
              <w:rPr>
                <w:rFonts w:ascii="Times New Roman"/>
                <w:sz w:val="18"/>
              </w:rPr>
              <w:t>1,500.00</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sz w:val="18"/>
              </w:rPr>
              <w:t>13,457.74</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z w:val="18"/>
              </w:rPr>
              <w:t>405.74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8"/>
                <w:szCs w:val="18"/>
              </w:rPr>
            </w:pPr>
            <w:r>
              <w:rPr>
                <w:rFonts w:ascii="Times New Roman"/>
                <w:sz w:val="18"/>
              </w:rPr>
              <w:t>10,771.37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19" w:lineRule="exact" w:before="0"/>
        <w:ind w:left="514" w:right="0" w:firstLine="0"/>
        <w:jc w:val="left"/>
        <w:rPr>
          <w:rFonts w:ascii="宋体" w:hAnsi="宋体" w:cs="宋体" w:eastAsia="宋体" w:hint="default"/>
          <w:sz w:val="18"/>
          <w:szCs w:val="18"/>
        </w:rPr>
      </w:pPr>
      <w:r>
        <w:rPr>
          <w:rFonts w:ascii="宋体" w:hAnsi="宋体" w:cs="宋体" w:eastAsia="宋体" w:hint="default"/>
          <w:sz w:val="18"/>
          <w:szCs w:val="18"/>
        </w:rPr>
        <w:t>星河生物挂牌上市后，公司将持有其股份调整为“可供出售金融资产”科目核算。星河生物</w:t>
      </w: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29</w:t>
      </w:r>
      <w:r>
        <w:rPr>
          <w:rFonts w:ascii="宋体" w:hAnsi="宋体" w:cs="宋体" w:eastAsia="宋体" w:hint="default"/>
          <w:sz w:val="18"/>
          <w:szCs w:val="18"/>
        </w:rPr>
        <w:t>日的收盘</w:t>
      </w:r>
    </w:p>
    <w:p>
      <w:pPr>
        <w:spacing w:line="338" w:lineRule="auto" w:before="101"/>
        <w:ind w:left="634" w:right="89" w:hanging="480"/>
        <w:jc w:val="left"/>
        <w:rPr>
          <w:rFonts w:ascii="宋体" w:hAnsi="宋体" w:cs="宋体" w:eastAsia="宋体" w:hint="default"/>
          <w:sz w:val="18"/>
          <w:szCs w:val="18"/>
        </w:rPr>
      </w:pPr>
      <w:r>
        <w:rPr>
          <w:rFonts w:ascii="宋体" w:hAnsi="宋体" w:cs="宋体" w:eastAsia="宋体" w:hint="default"/>
          <w:sz w:val="18"/>
          <w:szCs w:val="18"/>
        </w:rPr>
        <w:t>价为每股</w:t>
      </w:r>
      <w:r>
        <w:rPr>
          <w:rFonts w:ascii="Times New Roman" w:hAnsi="Times New Roman" w:cs="Times New Roman" w:eastAsia="Times New Roman" w:hint="default"/>
          <w:sz w:val="18"/>
          <w:szCs w:val="18"/>
        </w:rPr>
        <w:t>12.91</w:t>
      </w:r>
      <w:r>
        <w:rPr>
          <w:rFonts w:ascii="宋体" w:hAnsi="宋体" w:cs="宋体" w:eastAsia="宋体" w:hint="default"/>
          <w:sz w:val="18"/>
          <w:szCs w:val="18"/>
        </w:rPr>
        <w:t>元（资料来源：深圳证券交易所）。 </w:t>
      </w:r>
      <w:r>
        <w:rPr>
          <w:rFonts w:ascii="宋体" w:hAnsi="宋体" w:cs="宋体" w:eastAsia="宋体" w:hint="default"/>
          <w:spacing w:val="-1"/>
          <w:sz w:val="18"/>
          <w:szCs w:val="18"/>
        </w:rPr>
        <w:t>根据</w:t>
      </w:r>
      <w:r>
        <w:rPr>
          <w:rFonts w:ascii="Times New Roman" w:hAnsi="Times New Roman" w:cs="Times New Roman" w:eastAsia="Times New Roman" w:hint="default"/>
          <w:spacing w:val="-1"/>
          <w:sz w:val="18"/>
          <w:szCs w:val="18"/>
        </w:rPr>
        <w:t>2011</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18</w:t>
      </w:r>
      <w:r>
        <w:rPr>
          <w:rFonts w:ascii="宋体" w:hAnsi="宋体" w:cs="宋体" w:eastAsia="宋体" w:hint="default"/>
          <w:spacing w:val="-1"/>
          <w:sz w:val="18"/>
          <w:szCs w:val="18"/>
        </w:rPr>
        <w:t>日股东大会决议，</w:t>
      </w:r>
      <w:r>
        <w:rPr>
          <w:rFonts w:ascii="Times New Roman" w:hAnsi="Times New Roman" w:cs="Times New Roman" w:eastAsia="Times New Roman" w:hint="default"/>
          <w:spacing w:val="-1"/>
          <w:sz w:val="18"/>
          <w:szCs w:val="18"/>
        </w:rPr>
        <w:t>2011</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4</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18</w:t>
      </w:r>
      <w:r>
        <w:rPr>
          <w:rFonts w:ascii="宋体" w:hAnsi="宋体" w:cs="宋体" w:eastAsia="宋体" w:hint="default"/>
          <w:spacing w:val="-1"/>
          <w:sz w:val="18"/>
          <w:szCs w:val="18"/>
        </w:rPr>
        <w:t>日用持有的</w:t>
      </w:r>
      <w:r>
        <w:rPr>
          <w:rFonts w:ascii="Times New Roman" w:hAnsi="Times New Roman" w:cs="Times New Roman" w:eastAsia="Times New Roman" w:hint="default"/>
          <w:spacing w:val="-1"/>
          <w:sz w:val="18"/>
          <w:szCs w:val="18"/>
        </w:rPr>
        <w:t>370</w:t>
      </w:r>
      <w:r>
        <w:rPr>
          <w:rFonts w:ascii="宋体" w:hAnsi="宋体" w:cs="宋体" w:eastAsia="宋体" w:hint="default"/>
          <w:spacing w:val="-1"/>
          <w:sz w:val="18"/>
          <w:szCs w:val="18"/>
        </w:rPr>
        <w:t>万股星河生物股票为公司及其子公司御银科技（香</w:t>
      </w:r>
    </w:p>
    <w:p>
      <w:pPr>
        <w:spacing w:line="338" w:lineRule="auto" w:before="18"/>
        <w:ind w:left="153" w:right="112" w:firstLine="0"/>
        <w:jc w:val="both"/>
        <w:rPr>
          <w:rFonts w:ascii="宋体" w:hAnsi="宋体" w:cs="宋体" w:eastAsia="宋体" w:hint="default"/>
          <w:sz w:val="18"/>
          <w:szCs w:val="18"/>
        </w:rPr>
      </w:pPr>
      <w:r>
        <w:rPr>
          <w:rFonts w:ascii="宋体" w:hAnsi="宋体" w:cs="宋体" w:eastAsia="宋体" w:hint="default"/>
          <w:sz w:val="18"/>
          <w:szCs w:val="18"/>
        </w:rPr>
        <w:t>港）有限公司在中国工商银行股份有限公司的融资提供质押担保（质押登记编号：</w:t>
      </w:r>
      <w:r>
        <w:rPr>
          <w:rFonts w:ascii="Times New Roman" w:hAnsi="Times New Roman" w:cs="Times New Roman" w:eastAsia="Times New Roman" w:hint="default"/>
          <w:sz w:val="18"/>
          <w:szCs w:val="18"/>
        </w:rPr>
        <w:t>1104180005</w:t>
      </w:r>
      <w:r>
        <w:rPr>
          <w:rFonts w:ascii="宋体" w:hAnsi="宋体" w:cs="宋体" w:eastAsia="宋体" w:hint="default"/>
          <w:sz w:val="18"/>
          <w:szCs w:val="18"/>
        </w:rPr>
        <w:t>）；</w:t>
      </w: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23</w:t>
      </w:r>
      <w:r>
        <w:rPr>
          <w:rFonts w:ascii="宋体" w:hAnsi="宋体" w:cs="宋体" w:eastAsia="宋体" w:hint="default"/>
          <w:sz w:val="18"/>
          <w:szCs w:val="18"/>
        </w:rPr>
        <w:t>日用持</w:t>
      </w:r>
      <w:r>
        <w:rPr>
          <w:rFonts w:ascii="宋体" w:hAnsi="宋体" w:cs="宋体" w:eastAsia="宋体" w:hint="default"/>
          <w:spacing w:val="-21"/>
          <w:sz w:val="18"/>
          <w:szCs w:val="18"/>
        </w:rPr>
        <w:t> </w:t>
      </w:r>
      <w:r>
        <w:rPr>
          <w:rFonts w:ascii="宋体" w:hAnsi="宋体" w:cs="宋体" w:eastAsia="宋体" w:hint="default"/>
          <w:spacing w:val="-21"/>
          <w:sz w:val="18"/>
          <w:szCs w:val="18"/>
        </w:rPr>
      </w:r>
      <w:r>
        <w:rPr>
          <w:rFonts w:ascii="宋体" w:hAnsi="宋体" w:cs="宋体" w:eastAsia="宋体" w:hint="default"/>
          <w:sz w:val="18"/>
          <w:szCs w:val="18"/>
        </w:rPr>
        <w:t>有的</w:t>
      </w:r>
      <w:r>
        <w:rPr>
          <w:rFonts w:ascii="Times New Roman" w:hAnsi="Times New Roman" w:cs="Times New Roman" w:eastAsia="Times New Roman" w:hint="default"/>
          <w:sz w:val="18"/>
          <w:szCs w:val="18"/>
        </w:rPr>
        <w:t>318</w:t>
      </w:r>
      <w:r>
        <w:rPr>
          <w:rFonts w:ascii="宋体" w:hAnsi="宋体" w:cs="宋体" w:eastAsia="宋体" w:hint="default"/>
          <w:sz w:val="18"/>
          <w:szCs w:val="18"/>
        </w:rPr>
        <w:t>万星河生物股票为公司及其子公司御银科技（香港）有限公司在中国工商银行股份有限公司的融资提供质押担</w:t>
      </w:r>
      <w:r>
        <w:rPr>
          <w:rFonts w:ascii="宋体" w:hAnsi="宋体" w:cs="宋体" w:eastAsia="宋体" w:hint="default"/>
          <w:spacing w:val="-19"/>
          <w:sz w:val="18"/>
          <w:szCs w:val="18"/>
        </w:rPr>
        <w:t> </w:t>
      </w:r>
      <w:r>
        <w:rPr>
          <w:rFonts w:ascii="宋体" w:hAnsi="宋体" w:cs="宋体" w:eastAsia="宋体" w:hint="default"/>
          <w:spacing w:val="-19"/>
          <w:sz w:val="18"/>
          <w:szCs w:val="18"/>
        </w:rPr>
      </w:r>
      <w:r>
        <w:rPr>
          <w:rFonts w:ascii="宋体" w:hAnsi="宋体" w:cs="宋体" w:eastAsia="宋体" w:hint="default"/>
          <w:sz w:val="18"/>
          <w:szCs w:val="18"/>
        </w:rPr>
        <w:t>保（质押登记编号：</w:t>
      </w:r>
      <w:r>
        <w:rPr>
          <w:rFonts w:ascii="Times New Roman" w:hAnsi="Times New Roman" w:cs="Times New Roman" w:eastAsia="Times New Roman" w:hint="default"/>
          <w:sz w:val="18"/>
          <w:szCs w:val="18"/>
        </w:rPr>
        <w:t>1108230004</w:t>
      </w:r>
      <w:r>
        <w:rPr>
          <w:rFonts w:ascii="宋体" w:hAnsi="宋体" w:cs="宋体" w:eastAsia="宋体" w:hint="default"/>
          <w:sz w:val="18"/>
          <w:szCs w:val="18"/>
        </w:rPr>
        <w:t>）。</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4"/>
          <w:szCs w:val="14"/>
        </w:rPr>
      </w:pPr>
    </w:p>
    <w:p>
      <w:pPr>
        <w:pStyle w:val="BodyText"/>
        <w:spacing w:line="240" w:lineRule="auto" w:before="0"/>
        <w:ind w:left="634" w:right="89"/>
        <w:jc w:val="left"/>
      </w:pPr>
      <w:r>
        <w:rPr/>
        <w:t>十二、其他重大事项</w:t>
      </w:r>
    </w:p>
    <w:p>
      <w:pPr>
        <w:pStyle w:val="BodyText"/>
        <w:spacing w:line="338" w:lineRule="auto" w:before="152"/>
        <w:ind w:left="153" w:right="110" w:firstLine="480"/>
        <w:jc w:val="both"/>
      </w:pPr>
      <w:r>
        <w:rPr>
          <w:spacing w:val="-1"/>
        </w:rPr>
        <w:t>（一）公司于</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18</w:t>
      </w:r>
      <w:r>
        <w:rPr>
          <w:spacing w:val="-1"/>
        </w:rPr>
        <w:t>日召开</w:t>
      </w:r>
      <w:r>
        <w:rPr>
          <w:rFonts w:ascii="Times New Roman" w:hAnsi="Times New Roman" w:cs="Times New Roman" w:eastAsia="Times New Roman" w:hint="default"/>
          <w:spacing w:val="-1"/>
        </w:rPr>
        <w:t>2010</w:t>
      </w:r>
      <w:r>
        <w:rPr>
          <w:spacing w:val="-1"/>
        </w:rPr>
        <w:t>年度股东大会，会议审议通过了《关于修订</w:t>
      </w:r>
      <w:r>
        <w:rPr>
          <w:rFonts w:ascii="Times New Roman" w:hAnsi="Times New Roman" w:cs="Times New Roman" w:eastAsia="Times New Roman" w:hint="default"/>
          <w:spacing w:val="-1"/>
        </w:rPr>
        <w:t>&lt;</w:t>
      </w:r>
      <w:r>
        <w:rPr>
          <w:spacing w:val="-1"/>
        </w:rPr>
        <w:t>公</w:t>
      </w:r>
      <w:r>
        <w:rPr/>
        <w:t> </w:t>
      </w:r>
      <w:r>
        <w:rPr>
          <w:spacing w:val="2"/>
        </w:rPr>
        <w:t>司章程</w:t>
      </w:r>
      <w:r>
        <w:rPr>
          <w:rFonts w:ascii="Times New Roman" w:hAnsi="Times New Roman" w:cs="Times New Roman" w:eastAsia="Times New Roman" w:hint="default"/>
          <w:spacing w:val="2"/>
        </w:rPr>
        <w:t>&gt;</w:t>
      </w:r>
      <w:r>
        <w:rPr>
          <w:spacing w:val="2"/>
        </w:rPr>
        <w:t>的议案》，根据审议结果，对《公司章程》中的注册资本相关条款进行修订并办 </w:t>
      </w:r>
      <w:r>
        <w:rPr/>
        <w:t>理工商变更。</w:t>
      </w:r>
    </w:p>
    <w:p>
      <w:pPr>
        <w:pStyle w:val="BodyText"/>
        <w:spacing w:line="338" w:lineRule="auto" w:before="54"/>
        <w:ind w:left="153" w:right="110" w:firstLine="480"/>
        <w:jc w:val="both"/>
      </w:pPr>
      <w:r>
        <w:rPr>
          <w:spacing w:val="-9"/>
        </w:rPr>
        <w:t>（二）</w:t>
      </w:r>
      <w:r>
        <w:rPr>
          <w:rFonts w:ascii="Times New Roman" w:hAnsi="Times New Roman" w:cs="Times New Roman" w:eastAsia="Times New Roman" w:hint="default"/>
          <w:spacing w:val="-9"/>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21 </w:t>
      </w:r>
      <w:r>
        <w:rPr/>
        <w:t>日召开了</w:t>
      </w:r>
      <w:r>
        <w:rPr>
          <w:spacing w:val="-60"/>
        </w:rPr>
        <w:t> </w:t>
      </w:r>
      <w:r>
        <w:rPr>
          <w:rFonts w:ascii="Times New Roman" w:hAnsi="Times New Roman" w:cs="Times New Roman" w:eastAsia="Times New Roman" w:hint="default"/>
        </w:rPr>
        <w:t>2011 </w:t>
      </w:r>
      <w:r>
        <w:rPr>
          <w:spacing w:val="-6"/>
        </w:rPr>
        <w:t>年第五次临时股东大会，会议审议并通过了《关</w:t>
      </w:r>
      <w:r>
        <w:rPr/>
        <w:t> 于修订</w:t>
      </w:r>
      <w:r>
        <w:rPr>
          <w:rFonts w:ascii="Times New Roman" w:hAnsi="Times New Roman" w:cs="Times New Roman" w:eastAsia="Times New Roman" w:hint="default"/>
        </w:rPr>
        <w:t>&lt;</w:t>
      </w:r>
      <w:r>
        <w:rPr/>
        <w:t>公司章程</w:t>
      </w:r>
      <w:r>
        <w:rPr>
          <w:rFonts w:ascii="Times New Roman" w:hAnsi="Times New Roman" w:cs="Times New Roman" w:eastAsia="Times New Roman" w:hint="default"/>
        </w:rPr>
        <w:t>&gt; </w:t>
      </w:r>
      <w:r>
        <w:rPr/>
        <w:t>的议案》，根据审议结果，对《公司章程》有关公司信息披露媒体的</w:t>
      </w:r>
      <w:r>
        <w:rPr>
          <w:spacing w:val="-105"/>
        </w:rPr>
        <w:t> </w:t>
      </w:r>
      <w:r>
        <w:rPr>
          <w:spacing w:val="-105"/>
        </w:rPr>
      </w:r>
      <w:r>
        <w:rPr/>
        <w:t>条款进行了修改。</w:t>
      </w:r>
    </w:p>
    <w:p>
      <w:pPr>
        <w:spacing w:after="0" w:line="338" w:lineRule="auto"/>
        <w:jc w:val="both"/>
        <w:sectPr>
          <w:pgSz w:w="11910" w:h="16840"/>
          <w:pgMar w:header="747" w:footer="984" w:top="980" w:bottom="1180" w:left="980" w:right="13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5153" w:val="left" w:leader="none"/>
        </w:tabs>
        <w:spacing w:line="556" w:lineRule="auto" w:before="135"/>
        <w:ind w:left="3948" w:right="3184" w:hanging="723"/>
        <w:jc w:val="left"/>
        <w:rPr>
          <w:rFonts w:ascii="宋体" w:hAnsi="宋体" w:cs="宋体" w:eastAsia="宋体" w:hint="default"/>
          <w:sz w:val="32"/>
          <w:szCs w:val="32"/>
        </w:rPr>
      </w:pPr>
      <w:r>
        <w:rPr>
          <w:rFonts w:ascii="黑体" w:hAnsi="黑体" w:cs="黑体" w:eastAsia="黑体" w:hint="default"/>
          <w:b/>
          <w:bCs/>
          <w:w w:val="95"/>
          <w:sz w:val="32"/>
          <w:szCs w:val="32"/>
        </w:rPr>
        <w:t>第十一节</w:t>
        <w:tab/>
      </w:r>
      <w:r>
        <w:rPr>
          <w:rFonts w:ascii="宋体" w:hAnsi="宋体" w:cs="宋体" w:eastAsia="宋体" w:hint="default"/>
          <w:b/>
          <w:bCs/>
          <w:sz w:val="32"/>
          <w:szCs w:val="32"/>
        </w:rPr>
        <w:t>财务报告</w:t>
      </w:r>
      <w:r>
        <w:rPr>
          <w:rFonts w:ascii="宋体" w:hAnsi="宋体" w:cs="宋体" w:eastAsia="宋体" w:hint="default"/>
          <w:b/>
          <w:bCs/>
          <w:w w:val="99"/>
          <w:sz w:val="32"/>
          <w:szCs w:val="32"/>
        </w:rPr>
        <w:t> </w:t>
      </w:r>
      <w:r>
        <w:rPr>
          <w:rFonts w:ascii="宋体" w:hAnsi="宋体" w:cs="宋体" w:eastAsia="宋体" w:hint="default"/>
          <w:b/>
          <w:bCs/>
          <w:sz w:val="32"/>
          <w:szCs w:val="32"/>
        </w:rPr>
        <w:t>审 计 报</w:t>
      </w:r>
      <w:r>
        <w:rPr>
          <w:rFonts w:ascii="宋体" w:hAnsi="宋体" w:cs="宋体" w:eastAsia="宋体" w:hint="default"/>
          <w:b/>
          <w:bCs/>
          <w:spacing w:val="-5"/>
          <w:sz w:val="32"/>
          <w:szCs w:val="32"/>
        </w:rPr>
        <w:t> </w:t>
      </w:r>
      <w:r>
        <w:rPr>
          <w:rFonts w:ascii="宋体" w:hAnsi="宋体" w:cs="宋体" w:eastAsia="宋体" w:hint="default"/>
          <w:b/>
          <w:bCs/>
          <w:sz w:val="32"/>
          <w:szCs w:val="32"/>
        </w:rPr>
        <w:t>告</w:t>
      </w:r>
      <w:r>
        <w:rPr>
          <w:rFonts w:ascii="宋体" w:hAnsi="宋体" w:cs="宋体" w:eastAsia="宋体" w:hint="default"/>
          <w:sz w:val="32"/>
          <w:szCs w:val="32"/>
        </w:rPr>
      </w:r>
    </w:p>
    <w:p>
      <w:pPr>
        <w:spacing w:before="80"/>
        <w:ind w:left="0" w:right="110" w:firstLine="0"/>
        <w:jc w:val="right"/>
        <w:rPr>
          <w:rFonts w:ascii="宋体" w:hAnsi="宋体" w:cs="宋体" w:eastAsia="宋体" w:hint="default"/>
          <w:sz w:val="21"/>
          <w:szCs w:val="21"/>
        </w:rPr>
      </w:pPr>
      <w:r>
        <w:rPr>
          <w:rFonts w:ascii="宋体" w:hAnsi="宋体" w:cs="宋体" w:eastAsia="宋体" w:hint="default"/>
          <w:sz w:val="21"/>
          <w:szCs w:val="21"/>
        </w:rPr>
        <w:t>信会师报字</w:t>
      </w:r>
      <w:r>
        <w:rPr>
          <w:rFonts w:ascii="Times New Roman" w:hAnsi="Times New Roman" w:cs="Times New Roman" w:eastAsia="Times New Roman" w:hint="default"/>
          <w:sz w:val="21"/>
          <w:szCs w:val="21"/>
        </w:rPr>
        <w:t>[2012]</w:t>
      </w:r>
      <w:r>
        <w:rPr>
          <w:rFonts w:ascii="宋体" w:hAnsi="宋体" w:cs="宋体" w:eastAsia="宋体" w:hint="default"/>
          <w:sz w:val="21"/>
          <w:szCs w:val="21"/>
        </w:rPr>
        <w:t>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310030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183"/>
        <w:ind w:left="153" w:right="89"/>
        <w:jc w:val="left"/>
        <w:rPr>
          <w:b w:val="0"/>
          <w:bCs w:val="0"/>
        </w:rPr>
      </w:pPr>
      <w:r>
        <w:rPr/>
        <w:t>广州御银科技股份有限公司全体股东：</w:t>
      </w:r>
      <w:r>
        <w:rPr>
          <w:b w:val="0"/>
          <w:bCs w:val="0"/>
        </w:rPr>
      </w:r>
    </w:p>
    <w:p>
      <w:pPr>
        <w:spacing w:line="240" w:lineRule="auto" w:before="0"/>
        <w:rPr>
          <w:rFonts w:ascii="宋体" w:hAnsi="宋体" w:cs="宋体" w:eastAsia="宋体" w:hint="default"/>
          <w:b/>
          <w:bCs/>
          <w:sz w:val="24"/>
          <w:szCs w:val="24"/>
        </w:rPr>
      </w:pPr>
    </w:p>
    <w:p>
      <w:pPr>
        <w:spacing w:line="240" w:lineRule="auto" w:before="5"/>
        <w:rPr>
          <w:rFonts w:ascii="宋体" w:hAnsi="宋体" w:cs="宋体" w:eastAsia="宋体" w:hint="default"/>
          <w:b/>
          <w:bCs/>
          <w:sz w:val="31"/>
          <w:szCs w:val="31"/>
        </w:rPr>
      </w:pPr>
    </w:p>
    <w:p>
      <w:pPr>
        <w:pStyle w:val="BodyText"/>
        <w:spacing w:line="280" w:lineRule="auto" w:before="0"/>
        <w:ind w:left="153" w:right="111" w:firstLine="480"/>
        <w:jc w:val="both"/>
      </w:pPr>
      <w:r>
        <w:rPr>
          <w:spacing w:val="-1"/>
        </w:rPr>
        <w:t>我们审计了后附的广州御银科技股份有限公司（以下简称御银股份）财务报表，包括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4"/>
        </w:rPr>
        <w:t> </w:t>
      </w:r>
      <w:r>
        <w:rPr/>
        <w:t>年</w:t>
      </w:r>
      <w:r>
        <w:rPr>
          <w:spacing w:val="-74"/>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月</w:t>
      </w:r>
      <w:r>
        <w:rPr>
          <w:spacing w:val="-74"/>
        </w:rPr>
        <w:t> </w:t>
      </w:r>
      <w:r>
        <w:rPr>
          <w:rFonts w:ascii="Times New Roman" w:hAnsi="Times New Roman" w:cs="Times New Roman" w:eastAsia="Times New Roman" w:hint="default"/>
        </w:rPr>
        <w:t>31</w:t>
      </w:r>
      <w:r>
        <w:rPr>
          <w:rFonts w:ascii="Times New Roman" w:hAnsi="Times New Roman" w:cs="Times New Roman" w:eastAsia="Times New Roman" w:hint="default"/>
          <w:spacing w:val="-14"/>
        </w:rPr>
        <w:t> </w:t>
      </w:r>
      <w:r>
        <w:rPr>
          <w:spacing w:val="-7"/>
        </w:rPr>
        <w:t>日的资产负债表和合并资产负债表、</w:t>
      </w:r>
      <w:r>
        <w:rPr>
          <w:rFonts w:ascii="Times New Roman" w:hAnsi="Times New Roman" w:cs="Times New Roman" w:eastAsia="Times New Roman" w:hint="default"/>
          <w:spacing w:val="-7"/>
        </w:rPr>
        <w:t>2011</w:t>
      </w:r>
      <w:r>
        <w:rPr>
          <w:rFonts w:ascii="Times New Roman" w:hAnsi="Times New Roman" w:cs="Times New Roman" w:eastAsia="Times New Roman" w:hint="default"/>
          <w:spacing w:val="-14"/>
        </w:rPr>
        <w:t> </w:t>
      </w:r>
      <w:r>
        <w:rPr>
          <w:spacing w:val="-8"/>
        </w:rPr>
        <w:t>年度的利润表和合并利润表、</w:t>
      </w:r>
      <w:r>
        <w:rPr>
          <w:rFonts w:ascii="Times New Roman" w:hAnsi="Times New Roman" w:cs="Times New Roman" w:eastAsia="Times New Roman" w:hint="default"/>
          <w:spacing w:val="-8"/>
        </w:rPr>
        <w:t>2011</w:t>
      </w:r>
      <w:r>
        <w:rPr>
          <w:rFonts w:ascii="Times New Roman" w:hAnsi="Times New Roman" w:cs="Times New Roman" w:eastAsia="Times New Roman" w:hint="default"/>
        </w:rPr>
        <w:t> </w:t>
      </w:r>
      <w:r>
        <w:rPr>
          <w:spacing w:val="-4"/>
        </w:rPr>
        <w:t>年度的现金流量表和合并现金流量表、</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16"/>
        </w:rPr>
        <w:t> </w:t>
      </w:r>
      <w:r>
        <w:rPr/>
        <w:t>年度的所有者权益变动表和合并所有者权益变</w:t>
      </w:r>
      <w:r>
        <w:rPr>
          <w:spacing w:val="-118"/>
        </w:rPr>
        <w:t> </w:t>
      </w:r>
      <w:r>
        <w:rPr/>
        <w:t>动表以及财务报表附注。</w:t>
      </w:r>
    </w:p>
    <w:p>
      <w:pPr>
        <w:spacing w:line="760" w:lineRule="exact" w:before="78"/>
        <w:ind w:left="633" w:right="89" w:firstLine="87"/>
        <w:jc w:val="left"/>
        <w:rPr>
          <w:rFonts w:ascii="宋体" w:hAnsi="宋体" w:cs="宋体" w:eastAsia="宋体" w:hint="default"/>
          <w:sz w:val="24"/>
          <w:szCs w:val="24"/>
        </w:rPr>
      </w:pPr>
      <w:r>
        <w:rPr>
          <w:rFonts w:ascii="宋体" w:hAnsi="宋体" w:cs="宋体" w:eastAsia="宋体" w:hint="default"/>
          <w:b/>
          <w:bCs/>
          <w:sz w:val="24"/>
          <w:szCs w:val="24"/>
        </w:rPr>
        <w:t>一、管理层对财务报表的责任</w:t>
      </w:r>
      <w:r>
        <w:rPr>
          <w:rFonts w:ascii="宋体" w:hAnsi="宋体" w:cs="宋体" w:eastAsia="宋体" w:hint="default"/>
          <w:b/>
          <w:bCs/>
          <w:spacing w:val="1"/>
          <w:w w:val="99"/>
          <w:sz w:val="24"/>
          <w:szCs w:val="24"/>
        </w:rPr>
        <w:t> </w:t>
      </w:r>
      <w:r>
        <w:rPr>
          <w:rFonts w:ascii="宋体" w:hAnsi="宋体" w:cs="宋体" w:eastAsia="宋体" w:hint="default"/>
          <w:spacing w:val="-5"/>
          <w:sz w:val="24"/>
          <w:szCs w:val="24"/>
        </w:rPr>
        <w:t>编制和公允列报财务报表是御银股份管理层的责任。这种责任包括：（</w:t>
      </w:r>
      <w:r>
        <w:rPr>
          <w:rFonts w:ascii="Times New Roman" w:hAnsi="Times New Roman" w:cs="Times New Roman" w:eastAsia="Times New Roman" w:hint="default"/>
          <w:spacing w:val="-5"/>
          <w:sz w:val="24"/>
          <w:szCs w:val="24"/>
        </w:rPr>
        <w:t>1</w:t>
      </w:r>
      <w:r>
        <w:rPr>
          <w:rFonts w:ascii="宋体" w:hAnsi="宋体" w:cs="宋体" w:eastAsia="宋体" w:hint="default"/>
          <w:spacing w:val="-5"/>
          <w:sz w:val="24"/>
          <w:szCs w:val="24"/>
        </w:rPr>
        <w:t>）按照企业会</w:t>
      </w:r>
      <w:r>
        <w:rPr>
          <w:rFonts w:ascii="宋体" w:hAnsi="宋体" w:cs="宋体" w:eastAsia="宋体" w:hint="default"/>
          <w:sz w:val="24"/>
          <w:szCs w:val="24"/>
        </w:rPr>
      </w:r>
    </w:p>
    <w:p>
      <w:pPr>
        <w:pStyle w:val="BodyText"/>
        <w:spacing w:line="280" w:lineRule="exact" w:before="0"/>
        <w:ind w:left="153" w:right="89"/>
        <w:jc w:val="left"/>
      </w:pPr>
      <w:r>
        <w:rPr>
          <w:spacing w:val="-1"/>
        </w:rPr>
        <w:t>计准则的规定编制财务报表，并使其实现公允反映</w:t>
      </w:r>
      <w:r>
        <w:rPr>
          <w:spacing w:val="-122"/>
        </w:rPr>
        <w:t>；</w:t>
      </w:r>
      <w:r>
        <w:rPr/>
        <w:t>（</w:t>
      </w:r>
      <w:r>
        <w:rPr>
          <w:rFonts w:ascii="Times New Roman" w:hAnsi="Times New Roman" w:cs="Times New Roman" w:eastAsia="Times New Roman" w:hint="default"/>
        </w:rPr>
        <w:t>2</w:t>
      </w:r>
      <w:r>
        <w:rPr>
          <w:spacing w:val="-1"/>
        </w:rPr>
        <w:t>）设计、执行和维护必要的内部控</w:t>
      </w:r>
      <w:r>
        <w:rPr/>
      </w:r>
    </w:p>
    <w:p>
      <w:pPr>
        <w:spacing w:line="580" w:lineRule="auto" w:before="47"/>
        <w:ind w:left="721" w:right="3211" w:hanging="568"/>
        <w:jc w:val="left"/>
        <w:rPr>
          <w:rFonts w:ascii="宋体" w:hAnsi="宋体" w:cs="宋体" w:eastAsia="宋体" w:hint="default"/>
          <w:sz w:val="24"/>
          <w:szCs w:val="24"/>
        </w:rPr>
      </w:pPr>
      <w:r>
        <w:rPr>
          <w:rFonts w:ascii="宋体" w:hAnsi="宋体" w:cs="宋体" w:eastAsia="宋体" w:hint="default"/>
          <w:sz w:val="24"/>
          <w:szCs w:val="24"/>
        </w:rPr>
        <w:t>制，以使财务报表不存在由于舞弊或错误导致的重大错报。 </w:t>
      </w:r>
      <w:r>
        <w:rPr>
          <w:rFonts w:ascii="宋体" w:hAnsi="宋体" w:cs="宋体" w:eastAsia="宋体" w:hint="default"/>
          <w:b/>
          <w:bCs/>
          <w:sz w:val="24"/>
          <w:szCs w:val="24"/>
        </w:rPr>
        <w:t>二、注册会计师的责任</w:t>
      </w:r>
      <w:r>
        <w:rPr>
          <w:rFonts w:ascii="宋体" w:hAnsi="宋体" w:cs="宋体" w:eastAsia="宋体" w:hint="default"/>
          <w:sz w:val="24"/>
          <w:szCs w:val="24"/>
        </w:rPr>
      </w:r>
    </w:p>
    <w:p>
      <w:pPr>
        <w:pStyle w:val="BodyText"/>
        <w:spacing w:line="290" w:lineRule="auto" w:before="104"/>
        <w:ind w:left="153" w:right="113" w:firstLine="480"/>
        <w:jc w:val="both"/>
      </w:pPr>
      <w:r>
        <w:rPr/>
        <w:t>我们的责任是在执行审计工作的基础上对财务报表发表审计意见。我们按照中国注册 会计师审计准则的规定执行了审计工作。中国注册会计师审计准则要求我们遵守中国注册 会计师职业道德守则，计划和执行审计工作以对财务报表是否不存在重大错报获取合理保 证。</w:t>
      </w:r>
    </w:p>
    <w:p>
      <w:pPr>
        <w:spacing w:line="240" w:lineRule="auto" w:before="3"/>
        <w:rPr>
          <w:rFonts w:ascii="宋体" w:hAnsi="宋体" w:cs="宋体" w:eastAsia="宋体" w:hint="default"/>
          <w:sz w:val="30"/>
          <w:szCs w:val="30"/>
        </w:rPr>
      </w:pPr>
    </w:p>
    <w:p>
      <w:pPr>
        <w:pStyle w:val="BodyText"/>
        <w:spacing w:line="290" w:lineRule="auto" w:before="0"/>
        <w:ind w:left="153" w:right="108" w:firstLine="480"/>
        <w:jc w:val="both"/>
      </w:pPr>
      <w:r>
        <w:rPr/>
        <w:t>审计工作涉及实施审计程序，以获取有关财务报表金额和披露的审计证据。选择的审 计程序取决于注册会计师的判断，包括对由于舞弊或错误导致的财务报表重大错报风险的 评估。在进行风险评估时，注册会计师考虑与财务报表编制和公允列报相关的内部控制， 以设计恰当的审计程序，但目的并非对内部控制的有效性发表意见。审计工作还包括评价 管理层选用会计政策的恰当性和作出会计估计的合理性，以及评价财务报表的总体列报。</w:t>
      </w:r>
    </w:p>
    <w:p>
      <w:pPr>
        <w:spacing w:line="240" w:lineRule="auto" w:before="4"/>
        <w:rPr>
          <w:rFonts w:ascii="宋体" w:hAnsi="宋体" w:cs="宋体" w:eastAsia="宋体" w:hint="default"/>
          <w:sz w:val="33"/>
          <w:szCs w:val="33"/>
        </w:rPr>
      </w:pPr>
    </w:p>
    <w:p>
      <w:pPr>
        <w:pStyle w:val="BodyText"/>
        <w:spacing w:line="240" w:lineRule="auto" w:before="0"/>
        <w:ind w:left="634" w:right="89"/>
        <w:jc w:val="left"/>
      </w:pPr>
      <w:r>
        <w:rPr/>
        <w:t>我们相信，我们获取的审计证据是充分、适当的，为发表审计意见提供了基础。</w:t>
      </w:r>
    </w:p>
    <w:p>
      <w:pPr>
        <w:spacing w:after="0" w:line="240" w:lineRule="auto"/>
        <w:jc w:val="left"/>
        <w:sectPr>
          <w:pgSz w:w="11910" w:h="16840"/>
          <w:pgMar w:header="747" w:footer="984" w:top="980" w:bottom="1180" w:left="980" w:right="13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pStyle w:val="Heading2"/>
        <w:spacing w:line="240" w:lineRule="auto" w:before="26"/>
        <w:ind w:left="721" w:right="89"/>
        <w:jc w:val="left"/>
        <w:rPr>
          <w:b w:val="0"/>
          <w:bCs w:val="0"/>
        </w:rPr>
      </w:pPr>
      <w:r>
        <w:rPr/>
        <w:t>三、审计意见</w:t>
      </w:r>
      <w:r>
        <w:rPr>
          <w:b w:val="0"/>
          <w:bCs w:val="0"/>
        </w:rPr>
      </w:r>
    </w:p>
    <w:p>
      <w:pPr>
        <w:spacing w:line="240" w:lineRule="auto" w:before="0"/>
        <w:rPr>
          <w:rFonts w:ascii="宋体" w:hAnsi="宋体" w:cs="宋体" w:eastAsia="宋体" w:hint="default"/>
          <w:b/>
          <w:bCs/>
          <w:sz w:val="24"/>
          <w:szCs w:val="24"/>
        </w:rPr>
      </w:pPr>
    </w:p>
    <w:p>
      <w:pPr>
        <w:pStyle w:val="BodyText"/>
        <w:spacing w:line="304" w:lineRule="auto" w:before="172"/>
        <w:ind w:left="153" w:right="89" w:firstLine="480"/>
        <w:jc w:val="left"/>
      </w:pPr>
      <w:r>
        <w:rPr/>
        <w:t>我们认为，御银股份财务报表在所有重大方面按照企业会计准则的规定编制，公允反 映了御银股份</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日的财务状况以及</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年度的经营成果和现金流量。</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19"/>
          <w:szCs w:val="19"/>
        </w:rPr>
      </w:pPr>
    </w:p>
    <w:p>
      <w:pPr>
        <w:pStyle w:val="Heading2"/>
        <w:tabs>
          <w:tab w:pos="5013" w:val="left" w:leader="none"/>
        </w:tabs>
        <w:spacing w:line="240" w:lineRule="auto"/>
        <w:ind w:left="153" w:right="89"/>
        <w:jc w:val="left"/>
        <w:rPr>
          <w:b w:val="0"/>
          <w:bCs w:val="0"/>
        </w:rPr>
      </w:pPr>
      <w:r>
        <w:rPr>
          <w:w w:val="95"/>
        </w:rPr>
        <w:t>立信会计师事务所（特殊普通合伙）</w:t>
        <w:tab/>
      </w:r>
      <w:r>
        <w:rPr/>
        <w:t>中国注册会计师：张锦坤</w:t>
      </w:r>
      <w:r>
        <w:rPr>
          <w:b w:val="0"/>
          <w:bCs w:val="0"/>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10"/>
        <w:rPr>
          <w:rFonts w:ascii="宋体" w:hAnsi="宋体" w:cs="宋体" w:eastAsia="宋体" w:hint="default"/>
          <w:b/>
          <w:bCs/>
          <w:sz w:val="32"/>
          <w:szCs w:val="32"/>
        </w:rPr>
      </w:pPr>
    </w:p>
    <w:p>
      <w:pPr>
        <w:pStyle w:val="Heading2"/>
        <w:spacing w:line="240" w:lineRule="auto"/>
        <w:ind w:left="5014" w:right="89"/>
        <w:jc w:val="left"/>
        <w:rPr>
          <w:b w:val="0"/>
          <w:bCs w:val="0"/>
        </w:rPr>
      </w:pPr>
      <w:r>
        <w:rPr/>
        <w:t>中国注册会计师：漆江燕</w:t>
      </w:r>
      <w:r>
        <w:rPr>
          <w:b w:val="0"/>
          <w:bCs w:val="0"/>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11"/>
        <w:rPr>
          <w:rFonts w:ascii="宋体" w:hAnsi="宋体" w:cs="宋体" w:eastAsia="宋体" w:hint="default"/>
          <w:b/>
          <w:bCs/>
          <w:sz w:val="32"/>
          <w:szCs w:val="32"/>
        </w:rPr>
      </w:pPr>
    </w:p>
    <w:p>
      <w:pPr>
        <w:pStyle w:val="Heading2"/>
        <w:tabs>
          <w:tab w:pos="5151" w:val="left" w:leader="none"/>
        </w:tabs>
        <w:spacing w:line="240" w:lineRule="auto"/>
        <w:ind w:left="1358" w:right="89"/>
        <w:jc w:val="left"/>
        <w:rPr>
          <w:b w:val="0"/>
          <w:bCs w:val="0"/>
        </w:rPr>
      </w:pPr>
      <w:r>
        <w:rPr>
          <w:w w:val="95"/>
        </w:rPr>
        <w:t>中国</w:t>
      </w:r>
      <w:r>
        <w:rPr>
          <w:rFonts w:ascii="Times New Roman" w:hAnsi="Times New Roman" w:cs="Times New Roman" w:eastAsia="Times New Roman" w:hint="default"/>
          <w:w w:val="95"/>
        </w:rPr>
        <w:t>·</w:t>
      </w:r>
      <w:r>
        <w:rPr>
          <w:w w:val="95"/>
        </w:rPr>
        <w:t>上海</w:t>
        <w:tab/>
      </w:r>
      <w:r>
        <w:rPr/>
        <w:t>二 </w:t>
      </w:r>
      <w:r>
        <w:rPr>
          <w:rFonts w:ascii="Times New Roman" w:hAnsi="Times New Roman" w:cs="Times New Roman" w:eastAsia="Times New Roman" w:hint="default"/>
        </w:rPr>
        <w:t>O </w:t>
      </w:r>
      <w:r>
        <w:rPr/>
        <w:t>一二年二月 十六</w:t>
      </w:r>
      <w:r>
        <w:rPr>
          <w:spacing w:val="-65"/>
        </w:rPr>
        <w:t> </w:t>
      </w:r>
      <w:r>
        <w:rPr/>
        <w:t>日</w:t>
      </w:r>
      <w:r>
        <w:rPr>
          <w:b w:val="0"/>
          <w:bCs w:val="0"/>
        </w:rPr>
      </w:r>
    </w:p>
    <w:p>
      <w:pPr>
        <w:spacing w:after="0" w:line="240" w:lineRule="auto"/>
        <w:jc w:val="left"/>
        <w:sectPr>
          <w:pgSz w:w="11910" w:h="16840"/>
          <w:pgMar w:header="747" w:footer="984" w:top="980" w:bottom="1180" w:left="980" w:right="130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2"/>
        <w:spacing w:line="240" w:lineRule="auto" w:before="168"/>
        <w:ind w:right="0"/>
        <w:jc w:val="center"/>
        <w:rPr>
          <w:b w:val="0"/>
          <w:bCs w:val="0"/>
        </w:rPr>
      </w:pPr>
      <w:r>
        <w:rPr/>
        <w:t>资产负债表</w:t>
      </w:r>
      <w:r>
        <w:rPr>
          <w:b w:val="0"/>
          <w:bCs w:val="0"/>
        </w:rPr>
      </w:r>
    </w:p>
    <w:p>
      <w:pPr>
        <w:spacing w:line="240" w:lineRule="auto" w:before="7"/>
        <w:rPr>
          <w:rFonts w:ascii="宋体" w:hAnsi="宋体" w:cs="宋体" w:eastAsia="宋体" w:hint="default"/>
          <w:b/>
          <w:bCs/>
          <w:sz w:val="23"/>
          <w:szCs w:val="23"/>
        </w:rPr>
      </w:pPr>
    </w:p>
    <w:p>
      <w:pPr>
        <w:tabs>
          <w:tab w:pos="5013" w:val="left" w:leader="none"/>
          <w:tab w:pos="8292" w:val="left" w:leader="none"/>
        </w:tabs>
        <w:spacing w:before="0"/>
        <w:ind w:left="244" w:right="89" w:firstLine="0"/>
        <w:jc w:val="left"/>
        <w:rPr>
          <w:rFonts w:ascii="宋体" w:hAnsi="宋体" w:cs="宋体" w:eastAsia="宋体" w:hint="default"/>
          <w:sz w:val="18"/>
          <w:szCs w:val="18"/>
        </w:rPr>
      </w:pPr>
      <w:r>
        <w:rPr>
          <w:rFonts w:ascii="宋体" w:hAnsi="宋体" w:cs="宋体" w:eastAsia="宋体" w:hint="default"/>
          <w:sz w:val="18"/>
          <w:szCs w:val="18"/>
        </w:rPr>
        <w:t>编制单位：广州御银科技股份有限公司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tab/>
        <w:t>单位：元</w:t>
      </w:r>
    </w:p>
    <w:tbl>
      <w:tblPr>
        <w:tblW w:w="0" w:type="auto"/>
        <w:jc w:val="left"/>
        <w:tblInd w:w="149" w:type="dxa"/>
        <w:tblLayout w:type="fixed"/>
        <w:tblCellMar>
          <w:top w:w="0" w:type="dxa"/>
          <w:left w:w="0" w:type="dxa"/>
          <w:bottom w:w="0" w:type="dxa"/>
          <w:right w:w="0" w:type="dxa"/>
        </w:tblCellMar>
        <w:tblLook w:val="01E0"/>
      </w:tblPr>
      <w:tblGrid>
        <w:gridCol w:w="2836"/>
        <w:gridCol w:w="1562"/>
        <w:gridCol w:w="1559"/>
        <w:gridCol w:w="1560"/>
        <w:gridCol w:w="1559"/>
      </w:tblGrid>
      <w:tr>
        <w:trPr>
          <w:trHeight w:val="170" w:hRule="exact"/>
        </w:trPr>
        <w:tc>
          <w:tcPr>
            <w:tcW w:w="2836" w:type="dxa"/>
            <w:tcBorders>
              <w:top w:val="single" w:sz="4" w:space="0" w:color="000000"/>
              <w:left w:val="single" w:sz="4" w:space="0" w:color="000000"/>
              <w:bottom w:val="nil" w:sz="6" w:space="0" w:color="auto"/>
              <w:right w:val="single" w:sz="4" w:space="0" w:color="000000"/>
            </w:tcBorders>
            <w:shd w:val="clear" w:color="auto" w:fill="DCDCDC"/>
          </w:tcPr>
          <w:p>
            <w:pPr/>
          </w:p>
        </w:tc>
        <w:tc>
          <w:tcPr>
            <w:tcW w:w="312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19"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160" w:hRule="exact"/>
        </w:trPr>
        <w:tc>
          <w:tcPr>
            <w:tcW w:w="2836"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21" w:type="dxa"/>
            <w:gridSpan w:val="2"/>
            <w:vMerge/>
            <w:tcBorders>
              <w:left w:val="single" w:sz="4" w:space="0" w:color="000000"/>
              <w:bottom w:val="single" w:sz="4" w:space="0" w:color="000000"/>
              <w:right w:val="single" w:sz="4" w:space="0" w:color="000000"/>
            </w:tcBorders>
            <w:shd w:val="clear" w:color="auto" w:fill="DCDCDC"/>
          </w:tcPr>
          <w:p>
            <w:pPr/>
          </w:p>
        </w:tc>
        <w:tc>
          <w:tcPr>
            <w:tcW w:w="3119" w:type="dxa"/>
            <w:gridSpan w:val="2"/>
            <w:vMerge/>
            <w:tcBorders>
              <w:left w:val="single" w:sz="4" w:space="0" w:color="000000"/>
              <w:bottom w:val="single" w:sz="4" w:space="0" w:color="000000"/>
              <w:right w:val="single" w:sz="4" w:space="0" w:color="000000"/>
            </w:tcBorders>
            <w:shd w:val="clear" w:color="auto" w:fill="DCDCDC"/>
          </w:tcPr>
          <w:p>
            <w:pPr/>
          </w:p>
        </w:tc>
      </w:tr>
      <w:tr>
        <w:trPr>
          <w:trHeight w:val="160" w:hRule="exact"/>
        </w:trPr>
        <w:tc>
          <w:tcPr>
            <w:tcW w:w="2836" w:type="dxa"/>
            <w:vMerge/>
            <w:tcBorders>
              <w:left w:val="single" w:sz="4" w:space="0" w:color="000000"/>
              <w:bottom w:val="nil" w:sz="6" w:space="0" w:color="auto"/>
              <w:right w:val="single" w:sz="4" w:space="0" w:color="000000"/>
            </w:tcBorders>
            <w:shd w:val="clear" w:color="auto" w:fill="DCDCDC"/>
          </w:tcPr>
          <w:p>
            <w:pPr/>
          </w:p>
        </w:tc>
        <w:tc>
          <w:tcPr>
            <w:tcW w:w="156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55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left="504" w:right="0"/>
              <w:jc w:val="left"/>
              <w:rPr>
                <w:rFonts w:ascii="宋体" w:hAnsi="宋体" w:cs="宋体" w:eastAsia="宋体" w:hint="default"/>
                <w:sz w:val="18"/>
                <w:szCs w:val="18"/>
              </w:rPr>
            </w:pPr>
            <w:r>
              <w:rPr>
                <w:rFonts w:ascii="宋体" w:hAnsi="宋体" w:cs="宋体" w:eastAsia="宋体" w:hint="default"/>
                <w:sz w:val="18"/>
                <w:szCs w:val="18"/>
              </w:rPr>
              <w:t>母公司</w:t>
            </w:r>
          </w:p>
        </w:tc>
        <w:tc>
          <w:tcPr>
            <w:tcW w:w="156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55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left="504" w:right="0"/>
              <w:jc w:val="left"/>
              <w:rPr>
                <w:rFonts w:ascii="宋体" w:hAnsi="宋体" w:cs="宋体" w:eastAsia="宋体" w:hint="default"/>
                <w:sz w:val="18"/>
                <w:szCs w:val="18"/>
              </w:rPr>
            </w:pPr>
            <w:r>
              <w:rPr>
                <w:rFonts w:ascii="宋体" w:hAnsi="宋体" w:cs="宋体" w:eastAsia="宋体" w:hint="default"/>
                <w:sz w:val="18"/>
                <w:szCs w:val="18"/>
              </w:rPr>
              <w:t>母公司</w:t>
            </w:r>
          </w:p>
        </w:tc>
      </w:tr>
      <w:tr>
        <w:trPr>
          <w:trHeight w:val="170" w:hRule="exact"/>
        </w:trPr>
        <w:tc>
          <w:tcPr>
            <w:tcW w:w="2836" w:type="dxa"/>
            <w:tcBorders>
              <w:top w:val="nil" w:sz="6" w:space="0" w:color="auto"/>
              <w:left w:val="single" w:sz="4" w:space="0" w:color="000000"/>
              <w:bottom w:val="single" w:sz="4" w:space="0" w:color="000000"/>
              <w:right w:val="single" w:sz="4" w:space="0" w:color="000000"/>
            </w:tcBorders>
            <w:shd w:val="clear" w:color="auto" w:fill="DCDCDC"/>
          </w:tcPr>
          <w:p>
            <w:pPr/>
          </w:p>
        </w:tc>
        <w:tc>
          <w:tcPr>
            <w:tcW w:w="1562" w:type="dxa"/>
            <w:vMerge/>
            <w:tcBorders>
              <w:left w:val="single" w:sz="4" w:space="0" w:color="000000"/>
              <w:bottom w:val="single" w:sz="4" w:space="0" w:color="000000"/>
              <w:right w:val="single" w:sz="4" w:space="0" w:color="000000"/>
            </w:tcBorders>
            <w:shd w:val="clear" w:color="auto" w:fill="DCDCDC"/>
          </w:tcPr>
          <w:p>
            <w:pPr/>
          </w:p>
        </w:tc>
        <w:tc>
          <w:tcPr>
            <w:tcW w:w="1559" w:type="dxa"/>
            <w:vMerge/>
            <w:tcBorders>
              <w:left w:val="single" w:sz="4" w:space="0" w:color="000000"/>
              <w:bottom w:val="single" w:sz="4" w:space="0" w:color="000000"/>
              <w:right w:val="single" w:sz="4" w:space="0" w:color="000000"/>
            </w:tcBorders>
            <w:shd w:val="clear" w:color="auto" w:fill="DCDCDC"/>
          </w:tcPr>
          <w:p>
            <w:pPr/>
          </w:p>
        </w:tc>
        <w:tc>
          <w:tcPr>
            <w:tcW w:w="1560" w:type="dxa"/>
            <w:vMerge/>
            <w:tcBorders>
              <w:left w:val="single" w:sz="4" w:space="0" w:color="000000"/>
              <w:bottom w:val="single" w:sz="4" w:space="0" w:color="000000"/>
              <w:right w:val="single" w:sz="4" w:space="0" w:color="000000"/>
            </w:tcBorders>
            <w:shd w:val="clear" w:color="auto" w:fill="DCDCDC"/>
          </w:tcPr>
          <w:p>
            <w:pPr/>
          </w:p>
        </w:tc>
        <w:tc>
          <w:tcPr>
            <w:tcW w:w="1559" w:type="dxa"/>
            <w:vMerge/>
            <w:tcBorders>
              <w:left w:val="single" w:sz="4" w:space="0" w:color="000000"/>
              <w:bottom w:val="single" w:sz="4" w:space="0" w:color="000000"/>
              <w:right w:val="single" w:sz="4" w:space="0" w:color="000000"/>
            </w:tcBorders>
            <w:shd w:val="clear" w:color="auto" w:fill="DCDCDC"/>
          </w:tcPr>
          <w:p>
            <w:pPr/>
          </w:p>
        </w:tc>
      </w:tr>
      <w:tr>
        <w:trPr>
          <w:trHeight w:val="329"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56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183,505,395.65</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145,712,740.71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231,485,827.82</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Times New Roman" w:hAnsi="Times New Roman" w:cs="Times New Roman" w:eastAsia="Times New Roman" w:hint="default"/>
                <w:sz w:val="18"/>
                <w:szCs w:val="18"/>
              </w:rPr>
            </w:pPr>
            <w:r>
              <w:rPr>
                <w:rFonts w:ascii="Times New Roman"/>
                <w:spacing w:val="-1"/>
                <w:sz w:val="18"/>
              </w:rPr>
              <w:t>206,655,786.46</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40,404,000.00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14,404,000.00</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142,321,492.81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129,154,007.87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83,218,645.95</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87,562,327.71</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59,348,739.58</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48,534,926.22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56,682,470.53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49,359,510.86</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24,973,952.76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33,249,565.25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51,277,306.16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19,316,883.87</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240,321,261.00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259,096,944.21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Times New Roman" w:hAnsi="Times New Roman" w:cs="Times New Roman" w:eastAsia="Times New Roman" w:hint="default"/>
                <w:sz w:val="18"/>
                <w:szCs w:val="18"/>
              </w:rPr>
            </w:pPr>
            <w:r>
              <w:rPr>
                <w:rFonts w:ascii="Times New Roman"/>
                <w:spacing w:val="-1"/>
                <w:sz w:val="18"/>
              </w:rPr>
              <w:t>129,702,307.11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144,845,266.48</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76,064,857.02</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68,268,457.02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52,683,352.91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44,886,952.91</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1"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766,939,698.82</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698,420,641.28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605,049,910.48</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Times New Roman" w:hAnsi="Times New Roman" w:cs="Times New Roman" w:eastAsia="Times New Roman" w:hint="default"/>
                <w:sz w:val="18"/>
                <w:szCs w:val="18"/>
              </w:rPr>
            </w:pPr>
            <w:r>
              <w:rPr>
                <w:rFonts w:ascii="Times New Roman"/>
                <w:spacing w:val="-1"/>
                <w:sz w:val="18"/>
              </w:rPr>
              <w:t>552,626,728.29</w:t>
            </w:r>
          </w:p>
        </w:tc>
      </w:tr>
      <w:tr>
        <w:trPr>
          <w:trHeight w:val="329"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56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发放委托贷款及垫款</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134,577,416.07</w:t>
            </w: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281,200,000.00</w:t>
            </w: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168,940,661.41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154,716,107.36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97,108,595.78</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77,845,934.03</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46,803,039.86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88,665,758.72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21,860,000.00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45,722,718.86</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352,232,094.27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350,641,744.23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327,770,664.15</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Times New Roman" w:hAnsi="Times New Roman" w:cs="Times New Roman" w:eastAsia="Times New Roman" w:hint="default"/>
                <w:sz w:val="18"/>
                <w:szCs w:val="18"/>
              </w:rPr>
            </w:pPr>
            <w:r>
              <w:rPr>
                <w:rFonts w:ascii="Times New Roman"/>
                <w:spacing w:val="-1"/>
                <w:sz w:val="18"/>
              </w:rPr>
              <w:t>326,097,259.87</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171,295,033.52</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170,520,597.78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146,154,199.83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Times New Roman" w:hAnsi="Times New Roman" w:cs="Times New Roman" w:eastAsia="Times New Roman" w:hint="default"/>
                <w:sz w:val="18"/>
                <w:szCs w:val="18"/>
              </w:rPr>
            </w:pPr>
            <w:r>
              <w:rPr>
                <w:rFonts w:ascii="Times New Roman"/>
                <w:spacing w:val="-1"/>
                <w:sz w:val="18"/>
              </w:rPr>
              <w:t>146,154,199.83</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47,711,408.56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38,657,515.42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z w:val="18"/>
              </w:rPr>
              <w:t>265,524.73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z w:val="18"/>
              </w:rPr>
              <w:t>264,171.55</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7,728,500.00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7,728,500.00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4,265,781.37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4,265,781.37</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1"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0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z w:val="18"/>
              </w:rPr>
              <w:t>922,027.39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z w:val="18"/>
              </w:rPr>
              <w:t>922,027.39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z w:val="18"/>
              </w:rPr>
              <w:t>957,099.33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Times New Roman" w:hAnsi="Times New Roman" w:cs="Times New Roman" w:eastAsia="Times New Roman" w:hint="default"/>
                <w:sz w:val="18"/>
                <w:szCs w:val="18"/>
              </w:rPr>
            </w:pPr>
            <w:r>
              <w:rPr>
                <w:rFonts w:ascii="Times New Roman"/>
                <w:sz w:val="18"/>
              </w:rPr>
              <w:t>957,099.33</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84" w:top="980" w:bottom="1180" w:left="980" w:right="130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49" w:type="dxa"/>
        <w:tblLayout w:type="fixed"/>
        <w:tblCellMar>
          <w:top w:w="0" w:type="dxa"/>
          <w:left w:w="0" w:type="dxa"/>
          <w:bottom w:w="0" w:type="dxa"/>
          <w:right w:w="0" w:type="dxa"/>
        </w:tblCellMar>
        <w:tblLook w:val="01E0"/>
      </w:tblPr>
      <w:tblGrid>
        <w:gridCol w:w="2836"/>
        <w:gridCol w:w="1562"/>
        <w:gridCol w:w="1559"/>
        <w:gridCol w:w="1560"/>
        <w:gridCol w:w="1559"/>
      </w:tblGrid>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10,251,754.61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12,145,247.09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6,693,302.03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6,595,139.72</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940,461,935.69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823,997,497.99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886,275,167.22</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607,902,304.56</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1,707,401,634.51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1,522,418,139.27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1,491,325,077.70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1,160,529,032.85</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56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121,789,540.00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55,000,000.00</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90,699,141.17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130,752,371.43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32,588,239.25</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27,606,056.22</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59,640,951.25</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43,842,296.81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46,983,591.08</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40,892,268.77</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2,396,831.72</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2,043,781.40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2,044,237.47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1,750,611.81</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2"/>
                <w:sz w:val="18"/>
              </w:rPr>
              <w:t>36,112,112.62</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27,494,182.03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26,150,772.39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20,112,989.86</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z w:val="18"/>
              </w:rPr>
              <w:t>456,079.36</w:t>
            </w: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14,621,793.13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175,081,194.71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77,622,389.17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70,150,259.96</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325,716,449.25</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434,213,826.38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185,389,229.36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160,512,186.62</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56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38,949,600.00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38,949,600.00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27,538,800.00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27,538,800.00</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28,331,320.91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15,372,109.58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37,621,175.43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7,170,523.78</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67,280,920.91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54,321,709.58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65,159,975.43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34,709,323.78</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392,997,370.16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488,535,535.96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250,549,204.79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195,221,510.40</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56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344,430,450.00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344,430,450.00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264,946,500.00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264,946,500.00</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501,434,266.60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440,903,238.28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686,099,408.17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517,854,658.17</w:t>
            </w: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56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84" w:top="980" w:bottom="1180" w:left="980" w:right="130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49" w:type="dxa"/>
        <w:tblLayout w:type="fixed"/>
        <w:tblCellMar>
          <w:top w:w="0" w:type="dxa"/>
          <w:left w:w="0" w:type="dxa"/>
          <w:bottom w:w="0" w:type="dxa"/>
          <w:right w:w="0" w:type="dxa"/>
        </w:tblCellMar>
        <w:tblLook w:val="01E0"/>
      </w:tblPr>
      <w:tblGrid>
        <w:gridCol w:w="2835"/>
        <w:gridCol w:w="1563"/>
        <w:gridCol w:w="1559"/>
        <w:gridCol w:w="1560"/>
        <w:gridCol w:w="1559"/>
      </w:tblGrid>
      <w:tr>
        <w:trPr>
          <w:trHeight w:val="330" w:hRule="exact"/>
        </w:trPr>
        <w:tc>
          <w:tcPr>
            <w:tcW w:w="283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33,831,578.49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33,831,578.49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27,227,323.41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27,227,323.41</w:t>
            </w:r>
          </w:p>
        </w:tc>
      </w:tr>
      <w:tr>
        <w:trPr>
          <w:trHeight w:val="330" w:hRule="exact"/>
        </w:trPr>
        <w:tc>
          <w:tcPr>
            <w:tcW w:w="283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563"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434,707,969.26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214,717,336.54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262,502,641.33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155,279,040.87</w:t>
            </w:r>
          </w:p>
        </w:tc>
      </w:tr>
      <w:tr>
        <w:trPr>
          <w:trHeight w:val="330" w:hRule="exact"/>
        </w:trPr>
        <w:tc>
          <w:tcPr>
            <w:tcW w:w="283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563"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1,314,404,264.35</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1,033,882,603.31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1,240,775,872.91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965,307,522.45</w:t>
            </w:r>
          </w:p>
        </w:tc>
      </w:tr>
      <w:tr>
        <w:trPr>
          <w:trHeight w:val="330" w:hRule="exact"/>
        </w:trPr>
        <w:tc>
          <w:tcPr>
            <w:tcW w:w="283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563"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83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1,314,404,264.35</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1,033,882,603.31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1,240,775,872.91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965,307,522.45</w:t>
            </w:r>
          </w:p>
        </w:tc>
      </w:tr>
      <w:tr>
        <w:trPr>
          <w:trHeight w:val="330" w:hRule="exact"/>
        </w:trPr>
        <w:tc>
          <w:tcPr>
            <w:tcW w:w="283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1,707,401,634.51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1,522,418,139.27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1,491,325,077.70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2"/>
              <w:jc w:val="right"/>
              <w:rPr>
                <w:rFonts w:ascii="Times New Roman" w:hAnsi="Times New Roman" w:cs="Times New Roman" w:eastAsia="Times New Roman" w:hint="default"/>
                <w:sz w:val="18"/>
                <w:szCs w:val="18"/>
              </w:rPr>
            </w:pPr>
            <w:r>
              <w:rPr>
                <w:rFonts w:ascii="Times New Roman"/>
                <w:spacing w:val="-1"/>
                <w:sz w:val="18"/>
              </w:rPr>
              <w:t>1,160,529,032.85</w:t>
            </w:r>
          </w:p>
        </w:tc>
      </w:tr>
    </w:tbl>
    <w:p>
      <w:pPr>
        <w:spacing w:line="240" w:lineRule="auto" w:before="5"/>
        <w:rPr>
          <w:rFonts w:ascii="Times New Roman" w:hAnsi="Times New Roman" w:cs="Times New Roman" w:eastAsia="Times New Roman" w:hint="default"/>
          <w:sz w:val="20"/>
          <w:szCs w:val="20"/>
        </w:rPr>
      </w:pPr>
    </w:p>
    <w:p>
      <w:pPr>
        <w:pStyle w:val="Heading2"/>
        <w:spacing w:line="240" w:lineRule="auto" w:before="26"/>
        <w:ind w:right="0"/>
        <w:jc w:val="center"/>
        <w:rPr>
          <w:b w:val="0"/>
          <w:bCs w:val="0"/>
        </w:rPr>
      </w:pPr>
      <w:r>
        <w:rPr/>
        <w:t>利润表</w:t>
      </w:r>
      <w:r>
        <w:rPr>
          <w:b w:val="0"/>
          <w:bCs w:val="0"/>
        </w:rPr>
      </w:r>
    </w:p>
    <w:p>
      <w:pPr>
        <w:spacing w:line="240" w:lineRule="auto" w:before="7"/>
        <w:rPr>
          <w:rFonts w:ascii="宋体" w:hAnsi="宋体" w:cs="宋体" w:eastAsia="宋体" w:hint="default"/>
          <w:b/>
          <w:bCs/>
          <w:sz w:val="23"/>
          <w:szCs w:val="23"/>
        </w:rPr>
      </w:pPr>
    </w:p>
    <w:p>
      <w:pPr>
        <w:tabs>
          <w:tab w:pos="4923" w:val="left" w:leader="none"/>
          <w:tab w:pos="8261" w:val="left" w:leader="none"/>
        </w:tabs>
        <w:spacing w:before="0"/>
        <w:ind w:left="154" w:right="89" w:firstLine="0"/>
        <w:jc w:val="left"/>
        <w:rPr>
          <w:rFonts w:ascii="宋体" w:hAnsi="宋体" w:cs="宋体" w:eastAsia="宋体" w:hint="default"/>
          <w:sz w:val="18"/>
          <w:szCs w:val="18"/>
        </w:rPr>
      </w:pPr>
      <w:r>
        <w:rPr>
          <w:rFonts w:ascii="宋体" w:hAnsi="宋体" w:cs="宋体" w:eastAsia="宋体" w:hint="default"/>
          <w:sz w:val="18"/>
          <w:szCs w:val="18"/>
        </w:rPr>
        <w:t>编制单位：广州御银科技股份有限公司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tab/>
        <w:t>单位：元</w:t>
      </w:r>
    </w:p>
    <w:tbl>
      <w:tblPr>
        <w:tblW w:w="0" w:type="auto"/>
        <w:jc w:val="left"/>
        <w:tblInd w:w="149" w:type="dxa"/>
        <w:tblLayout w:type="fixed"/>
        <w:tblCellMar>
          <w:top w:w="0" w:type="dxa"/>
          <w:left w:w="0" w:type="dxa"/>
          <w:bottom w:w="0" w:type="dxa"/>
          <w:right w:w="0" w:type="dxa"/>
        </w:tblCellMar>
        <w:tblLook w:val="01E0"/>
      </w:tblPr>
      <w:tblGrid>
        <w:gridCol w:w="3402"/>
        <w:gridCol w:w="1418"/>
        <w:gridCol w:w="1417"/>
        <w:gridCol w:w="1417"/>
        <w:gridCol w:w="1464"/>
      </w:tblGrid>
      <w:tr>
        <w:trPr>
          <w:trHeight w:val="170" w:hRule="exact"/>
        </w:trPr>
        <w:tc>
          <w:tcPr>
            <w:tcW w:w="3402" w:type="dxa"/>
            <w:tcBorders>
              <w:top w:val="single" w:sz="4" w:space="0" w:color="000000"/>
              <w:left w:val="single" w:sz="4" w:space="0" w:color="000000"/>
              <w:bottom w:val="nil" w:sz="6" w:space="0" w:color="auto"/>
              <w:right w:val="single" w:sz="4" w:space="0" w:color="000000"/>
            </w:tcBorders>
            <w:shd w:val="clear" w:color="auto" w:fill="DCDCDC"/>
          </w:tcPr>
          <w:p>
            <w:pPr/>
          </w:p>
        </w:tc>
        <w:tc>
          <w:tcPr>
            <w:tcW w:w="2836"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288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160" w:hRule="exact"/>
        </w:trPr>
        <w:tc>
          <w:tcPr>
            <w:tcW w:w="340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836" w:type="dxa"/>
            <w:gridSpan w:val="2"/>
            <w:vMerge/>
            <w:tcBorders>
              <w:left w:val="single" w:sz="4" w:space="0" w:color="000000"/>
              <w:bottom w:val="single" w:sz="4" w:space="0" w:color="000000"/>
              <w:right w:val="single" w:sz="4" w:space="0" w:color="000000"/>
            </w:tcBorders>
            <w:shd w:val="clear" w:color="auto" w:fill="DCDCDC"/>
          </w:tcPr>
          <w:p>
            <w:pPr/>
          </w:p>
        </w:tc>
        <w:tc>
          <w:tcPr>
            <w:tcW w:w="2881" w:type="dxa"/>
            <w:gridSpan w:val="2"/>
            <w:vMerge/>
            <w:tcBorders>
              <w:left w:val="single" w:sz="4" w:space="0" w:color="000000"/>
              <w:bottom w:val="single" w:sz="4" w:space="0" w:color="000000"/>
              <w:right w:val="single" w:sz="4" w:space="0" w:color="000000"/>
            </w:tcBorders>
            <w:shd w:val="clear" w:color="auto" w:fill="DCDCDC"/>
          </w:tcPr>
          <w:p>
            <w:pPr/>
          </w:p>
        </w:tc>
      </w:tr>
      <w:tr>
        <w:trPr>
          <w:trHeight w:val="160" w:hRule="exact"/>
        </w:trPr>
        <w:tc>
          <w:tcPr>
            <w:tcW w:w="3402" w:type="dxa"/>
            <w:vMerge/>
            <w:tcBorders>
              <w:left w:val="single" w:sz="4" w:space="0" w:color="000000"/>
              <w:bottom w:val="nil" w:sz="6" w:space="0" w:color="auto"/>
              <w:right w:val="single" w:sz="4" w:space="0" w:color="000000"/>
            </w:tcBorders>
            <w:shd w:val="clear" w:color="auto" w:fill="DCDCDC"/>
          </w:tcPr>
          <w:p>
            <w:pPr/>
          </w:p>
        </w:tc>
        <w:tc>
          <w:tcPr>
            <w:tcW w:w="141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417"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left="433" w:right="0"/>
              <w:jc w:val="left"/>
              <w:rPr>
                <w:rFonts w:ascii="宋体" w:hAnsi="宋体" w:cs="宋体" w:eastAsia="宋体" w:hint="default"/>
                <w:sz w:val="18"/>
                <w:szCs w:val="18"/>
              </w:rPr>
            </w:pPr>
            <w:r>
              <w:rPr>
                <w:rFonts w:ascii="宋体" w:hAnsi="宋体" w:cs="宋体" w:eastAsia="宋体" w:hint="default"/>
                <w:sz w:val="18"/>
                <w:szCs w:val="18"/>
              </w:rPr>
              <w:t>母公司</w:t>
            </w:r>
          </w:p>
        </w:tc>
        <w:tc>
          <w:tcPr>
            <w:tcW w:w="1417"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合并</w:t>
            </w:r>
          </w:p>
        </w:tc>
        <w:tc>
          <w:tcPr>
            <w:tcW w:w="1464"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left="455" w:right="0"/>
              <w:jc w:val="left"/>
              <w:rPr>
                <w:rFonts w:ascii="宋体" w:hAnsi="宋体" w:cs="宋体" w:eastAsia="宋体" w:hint="default"/>
                <w:sz w:val="18"/>
                <w:szCs w:val="18"/>
              </w:rPr>
            </w:pPr>
            <w:r>
              <w:rPr>
                <w:rFonts w:ascii="宋体" w:hAnsi="宋体" w:cs="宋体" w:eastAsia="宋体" w:hint="default"/>
                <w:sz w:val="18"/>
                <w:szCs w:val="18"/>
              </w:rPr>
              <w:t>母公司</w:t>
            </w:r>
          </w:p>
        </w:tc>
      </w:tr>
      <w:tr>
        <w:trPr>
          <w:trHeight w:val="169" w:hRule="exact"/>
        </w:trPr>
        <w:tc>
          <w:tcPr>
            <w:tcW w:w="3402" w:type="dxa"/>
            <w:tcBorders>
              <w:top w:val="nil" w:sz="6" w:space="0" w:color="auto"/>
              <w:left w:val="single" w:sz="4" w:space="0" w:color="000000"/>
              <w:bottom w:val="single" w:sz="4" w:space="0" w:color="000000"/>
              <w:right w:val="single" w:sz="4" w:space="0" w:color="000000"/>
            </w:tcBorders>
            <w:shd w:val="clear" w:color="auto" w:fill="DCDCDC"/>
          </w:tcPr>
          <w:p>
            <w:pPr/>
          </w:p>
        </w:tc>
        <w:tc>
          <w:tcPr>
            <w:tcW w:w="1418" w:type="dxa"/>
            <w:vMerge/>
            <w:tcBorders>
              <w:left w:val="single" w:sz="4" w:space="0" w:color="000000"/>
              <w:bottom w:val="single" w:sz="4" w:space="0" w:color="000000"/>
              <w:right w:val="single" w:sz="4" w:space="0" w:color="000000"/>
            </w:tcBorders>
            <w:shd w:val="clear" w:color="auto" w:fill="DCDCDC"/>
          </w:tcPr>
          <w:p>
            <w:pPr/>
          </w:p>
        </w:tc>
        <w:tc>
          <w:tcPr>
            <w:tcW w:w="1417" w:type="dxa"/>
            <w:vMerge/>
            <w:tcBorders>
              <w:left w:val="single" w:sz="4" w:space="0" w:color="000000"/>
              <w:bottom w:val="single" w:sz="4" w:space="0" w:color="000000"/>
              <w:right w:val="single" w:sz="4" w:space="0" w:color="000000"/>
            </w:tcBorders>
            <w:shd w:val="clear" w:color="auto" w:fill="DCDCDC"/>
          </w:tcPr>
          <w:p>
            <w:pPr/>
          </w:p>
        </w:tc>
        <w:tc>
          <w:tcPr>
            <w:tcW w:w="1417" w:type="dxa"/>
            <w:vMerge/>
            <w:tcBorders>
              <w:left w:val="single" w:sz="4" w:space="0" w:color="000000"/>
              <w:bottom w:val="single" w:sz="4" w:space="0" w:color="000000"/>
              <w:right w:val="single" w:sz="4" w:space="0" w:color="000000"/>
            </w:tcBorders>
            <w:shd w:val="clear" w:color="auto" w:fill="DCDCDC"/>
          </w:tcPr>
          <w:p>
            <w:pPr/>
          </w:p>
        </w:tc>
        <w:tc>
          <w:tcPr>
            <w:tcW w:w="1464" w:type="dxa"/>
            <w:vMerge/>
            <w:tcBorders>
              <w:left w:val="single" w:sz="4" w:space="0" w:color="000000"/>
              <w:bottom w:val="single" w:sz="4" w:space="0" w:color="000000"/>
              <w:right w:val="single" w:sz="4" w:space="0" w:color="000000"/>
            </w:tcBorders>
            <w:shd w:val="clear" w:color="auto" w:fill="DCDCDC"/>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741,457,812.06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630,953,222.70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468,199,458.05</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403,936,599.45</w:t>
            </w: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741,457,812.06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630,953,222.70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468,199,458.05</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403,936,599.45</w:t>
            </w: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564,185,329.67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553,891,998.07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374,064,289.93</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363,545,730.04</w:t>
            </w: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353,299,726.98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364,099,076.08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214,914,606.88</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230,959,583.26</w:t>
            </w: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25,086,782.68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22,223,329.25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15,156,379.02</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13,481,644.46</w:t>
            </w: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81,494,548.73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68,944,417.23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66,035,167.84</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57,720,449.31</w:t>
            </w: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91,570,668.91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73,017,872.44</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73,477,987.06</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59,779,012.26</w:t>
            </w: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7,164,382.12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6,687,631.13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w w:val="95"/>
                <w:sz w:val="18"/>
              </w:rPr>
              <w:t>-732,643.77</w:t>
            </w:r>
            <w:r>
              <w:rPr>
                <w:rFonts w:ascii="Times New Roman"/>
                <w:sz w:val="18"/>
              </w:rPr>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w w:val="95"/>
                <w:sz w:val="18"/>
              </w:rPr>
              <w:t>-809,697.17</w:t>
            </w:r>
            <w:r>
              <w:rPr>
                <w:rFonts w:ascii="Times New Roman"/>
                <w:sz w:val="18"/>
              </w:rPr>
            </w: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5,569,220.25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18,919,671.94</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5,212,792.90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2,414,737.92</w:t>
            </w:r>
          </w:p>
        </w:tc>
      </w:tr>
      <w:tr>
        <w:trPr>
          <w:trHeight w:val="65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7" w:lineRule="auto" w:before="57"/>
              <w:ind w:left="22" w:right="67" w:firstLine="18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 填列）</w:t>
            </w:r>
          </w:p>
        </w:tc>
        <w:tc>
          <w:tcPr>
            <w:tcW w:w="1418" w:type="dxa"/>
            <w:tcBorders>
              <w:top w:val="single" w:sz="4" w:space="0" w:color="000000"/>
              <w:left w:val="single" w:sz="13" w:space="0" w:color="DCDCDC"/>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562"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4,007,724.57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-3,119,206.04</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z w:val="18"/>
              </w:rPr>
              <w:t>6,072.00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z w:val="18"/>
              </w:rPr>
              <w:t>6,072.00</w:t>
            </w:r>
          </w:p>
        </w:tc>
      </w:tr>
      <w:tr>
        <w:trPr>
          <w:trHeight w:val="65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742"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宋体" w:hAnsi="宋体" w:cs="宋体" w:eastAsia="宋体" w:hint="default"/>
                <w:spacing w:val="-75"/>
                <w:sz w:val="18"/>
                <w:szCs w:val="18"/>
              </w:rPr>
              <w:t>：</w:t>
            </w:r>
            <w:r>
              <w:rPr>
                <w:rFonts w:ascii="宋体" w:hAnsi="宋体" w:cs="宋体" w:eastAsia="宋体" w:hint="default"/>
                <w:sz w:val="18"/>
                <w:szCs w:val="18"/>
              </w:rPr>
              <w:t>对联营企业和合营企业的投</w:t>
            </w:r>
          </w:p>
          <w:p>
            <w:pPr>
              <w:pStyle w:val="TableParagraph"/>
              <w:spacing w:line="240" w:lineRule="auto" w:before="85"/>
              <w:ind w:left="22" w:right="0"/>
              <w:jc w:val="left"/>
              <w:rPr>
                <w:rFonts w:ascii="宋体" w:hAnsi="宋体" w:cs="宋体" w:eastAsia="宋体" w:hint="default"/>
                <w:sz w:val="18"/>
                <w:szCs w:val="18"/>
              </w:rPr>
            </w:pPr>
            <w:r>
              <w:rPr>
                <w:rFonts w:ascii="宋体" w:hAnsi="宋体" w:cs="宋体" w:eastAsia="宋体" w:hint="default"/>
                <w:sz w:val="18"/>
                <w:szCs w:val="18"/>
              </w:rPr>
              <w:t>资收益</w:t>
            </w:r>
          </w:p>
        </w:tc>
        <w:tc>
          <w:tcPr>
            <w:tcW w:w="1418" w:type="dxa"/>
            <w:tcBorders>
              <w:top w:val="single" w:sz="4" w:space="0" w:color="000000"/>
              <w:left w:val="single" w:sz="13" w:space="0" w:color="DCDCDC"/>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181,280,206.96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73,942,018.59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94,141,240.12</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40,396,941.41</w:t>
            </w: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23,317,124.35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6,667,652.65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17,134,014.01</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5,561,031.79</w:t>
            </w: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4,986,821.00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4,936,571.00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3,429,732.82</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3,158,294.92</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84" w:top="980" w:bottom="1180" w:left="980" w:right="130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49" w:type="dxa"/>
        <w:tblLayout w:type="fixed"/>
        <w:tblCellMar>
          <w:top w:w="0" w:type="dxa"/>
          <w:left w:w="0" w:type="dxa"/>
          <w:bottom w:w="0" w:type="dxa"/>
          <w:right w:w="0" w:type="dxa"/>
        </w:tblCellMar>
        <w:tblLook w:val="01E0"/>
      </w:tblPr>
      <w:tblGrid>
        <w:gridCol w:w="3402"/>
        <w:gridCol w:w="1418"/>
        <w:gridCol w:w="1417"/>
        <w:gridCol w:w="1417"/>
        <w:gridCol w:w="1464"/>
      </w:tblGrid>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2,297,013.86</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w w:val="95"/>
                <w:sz w:val="18"/>
              </w:rPr>
              <w:t>-2,174.88</w:t>
            </w:r>
            <w:r>
              <w:rPr>
                <w:rFonts w:ascii="Times New Roman"/>
                <w:sz w:val="18"/>
              </w:rPr>
            </w: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199,610,510.31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75,673,100.24</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107,845,521.31</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42,799,678.28</w:t>
            </w: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20,800,927.30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9,630,549.49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13,797,651.52</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8,099,410.64</w:t>
            </w: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178,809,583.01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66,042,550.75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94,047,869.79</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34,700,267.64</w:t>
            </w: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178,809,583.01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66,042,550.75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94,047,869.79</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34,700,267.64</w:t>
            </w: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141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1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1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64"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z w:val="18"/>
              </w:rPr>
              <w:t>0.52</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z w:val="18"/>
              </w:rPr>
              <w:t>0.27</w:t>
            </w: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z w:val="18"/>
              </w:rPr>
              <w:t>0.52</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z w:val="18"/>
              </w:rPr>
              <w:t>0.27</w:t>
            </w: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-107,713,721.68</w:t>
            </w: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168,244,750.00</w:t>
            </w: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71,095,861.33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66,042,550.75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262,292,619.79</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34,700,267.64</w:t>
            </w: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71,095,861.33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66,042,550.75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262,292,619.79</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34,700,267.64</w:t>
            </w:r>
          </w:p>
        </w:tc>
      </w:tr>
      <w:tr>
        <w:trPr>
          <w:trHeight w:val="330" w:hRule="exact"/>
        </w:trPr>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bl>
    <w:p>
      <w:pPr>
        <w:spacing w:line="219" w:lineRule="exact" w:before="0"/>
        <w:ind w:left="154" w:right="89" w:firstLine="0"/>
        <w:jc w:val="left"/>
        <w:rPr>
          <w:rFonts w:ascii="宋体" w:hAnsi="宋体" w:cs="宋体" w:eastAsia="宋体" w:hint="default"/>
          <w:sz w:val="18"/>
          <w:szCs w:val="18"/>
        </w:rPr>
      </w:pPr>
      <w:r>
        <w:rPr>
          <w:rFonts w:ascii="宋体" w:hAnsi="宋体" w:cs="宋体" w:eastAsia="宋体" w:hint="default"/>
          <w:sz w:val="18"/>
          <w:szCs w:val="18"/>
        </w:rPr>
        <w:t>本期发生同一控制下企业合并的，被合并方在合并前实现的净利润为：</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line="240" w:lineRule="auto" w:before="1"/>
        <w:rPr>
          <w:rFonts w:ascii="宋体" w:hAnsi="宋体" w:cs="宋体" w:eastAsia="宋体" w:hint="default"/>
          <w:sz w:val="21"/>
          <w:szCs w:val="21"/>
        </w:rPr>
      </w:pPr>
    </w:p>
    <w:p>
      <w:pPr>
        <w:pStyle w:val="Heading2"/>
        <w:spacing w:line="240" w:lineRule="auto"/>
        <w:ind w:right="0"/>
        <w:jc w:val="center"/>
        <w:rPr>
          <w:b w:val="0"/>
          <w:bCs w:val="0"/>
        </w:rPr>
      </w:pPr>
      <w:r>
        <w:rPr/>
        <w:t>现金流量表</w:t>
      </w:r>
      <w:r>
        <w:rPr>
          <w:b w:val="0"/>
          <w:bCs w:val="0"/>
        </w:rPr>
      </w:r>
    </w:p>
    <w:p>
      <w:pPr>
        <w:spacing w:line="240" w:lineRule="auto" w:before="6"/>
        <w:rPr>
          <w:rFonts w:ascii="宋体" w:hAnsi="宋体" w:cs="宋体" w:eastAsia="宋体" w:hint="default"/>
          <w:b/>
          <w:bCs/>
          <w:sz w:val="23"/>
          <w:szCs w:val="23"/>
        </w:rPr>
      </w:pPr>
    </w:p>
    <w:p>
      <w:pPr>
        <w:tabs>
          <w:tab w:pos="5103" w:val="left" w:leader="none"/>
          <w:tab w:pos="8261" w:val="left" w:leader="none"/>
        </w:tabs>
        <w:spacing w:before="0"/>
        <w:ind w:left="154" w:right="89" w:firstLine="0"/>
        <w:jc w:val="left"/>
        <w:rPr>
          <w:rFonts w:ascii="宋体" w:hAnsi="宋体" w:cs="宋体" w:eastAsia="宋体" w:hint="default"/>
          <w:sz w:val="18"/>
          <w:szCs w:val="18"/>
        </w:rPr>
      </w:pPr>
      <w:r>
        <w:rPr>
          <w:rFonts w:ascii="宋体" w:hAnsi="宋体" w:cs="宋体" w:eastAsia="宋体" w:hint="default"/>
          <w:sz w:val="18"/>
          <w:szCs w:val="18"/>
        </w:rPr>
        <w:t>编制单位：广州御银科技股份有限公司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tab/>
        <w:t>单位：元</w:t>
      </w:r>
    </w:p>
    <w:tbl>
      <w:tblPr>
        <w:tblW w:w="0" w:type="auto"/>
        <w:jc w:val="left"/>
        <w:tblInd w:w="149" w:type="dxa"/>
        <w:tblLayout w:type="fixed"/>
        <w:tblCellMar>
          <w:top w:w="0" w:type="dxa"/>
          <w:left w:w="0" w:type="dxa"/>
          <w:bottom w:w="0" w:type="dxa"/>
          <w:right w:w="0" w:type="dxa"/>
        </w:tblCellMar>
        <w:tblLook w:val="01E0"/>
      </w:tblPr>
      <w:tblGrid>
        <w:gridCol w:w="3544"/>
        <w:gridCol w:w="1418"/>
        <w:gridCol w:w="1417"/>
        <w:gridCol w:w="1418"/>
        <w:gridCol w:w="1464"/>
      </w:tblGrid>
      <w:tr>
        <w:trPr>
          <w:trHeight w:val="170" w:hRule="exact"/>
        </w:trPr>
        <w:tc>
          <w:tcPr>
            <w:tcW w:w="3544" w:type="dxa"/>
            <w:tcBorders>
              <w:top w:val="single" w:sz="4" w:space="0" w:color="000000"/>
              <w:left w:val="single" w:sz="4" w:space="0" w:color="000000"/>
              <w:bottom w:val="nil" w:sz="6" w:space="0" w:color="auto"/>
              <w:right w:val="single" w:sz="4" w:space="0" w:color="000000"/>
            </w:tcBorders>
            <w:shd w:val="clear" w:color="auto" w:fill="DCDCDC"/>
          </w:tcPr>
          <w:p>
            <w:pPr/>
          </w:p>
        </w:tc>
        <w:tc>
          <w:tcPr>
            <w:tcW w:w="2836"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left="1"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2882"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160" w:hRule="exact"/>
        </w:trPr>
        <w:tc>
          <w:tcPr>
            <w:tcW w:w="3544"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836" w:type="dxa"/>
            <w:gridSpan w:val="2"/>
            <w:vMerge/>
            <w:tcBorders>
              <w:left w:val="single" w:sz="4" w:space="0" w:color="000000"/>
              <w:bottom w:val="single" w:sz="4" w:space="0" w:color="000000"/>
              <w:right w:val="single" w:sz="4" w:space="0" w:color="000000"/>
            </w:tcBorders>
            <w:shd w:val="clear" w:color="auto" w:fill="DCDCDC"/>
          </w:tcPr>
          <w:p>
            <w:pPr/>
          </w:p>
        </w:tc>
        <w:tc>
          <w:tcPr>
            <w:tcW w:w="2882" w:type="dxa"/>
            <w:gridSpan w:val="2"/>
            <w:vMerge/>
            <w:tcBorders>
              <w:left w:val="single" w:sz="4" w:space="0" w:color="000000"/>
              <w:bottom w:val="single" w:sz="4" w:space="0" w:color="000000"/>
              <w:right w:val="single" w:sz="4" w:space="0" w:color="000000"/>
            </w:tcBorders>
            <w:shd w:val="clear" w:color="auto" w:fill="DCDCDC"/>
          </w:tcPr>
          <w:p>
            <w:pPr/>
          </w:p>
        </w:tc>
      </w:tr>
      <w:tr>
        <w:trPr>
          <w:trHeight w:val="160" w:hRule="exact"/>
        </w:trPr>
        <w:tc>
          <w:tcPr>
            <w:tcW w:w="3544" w:type="dxa"/>
            <w:vMerge/>
            <w:tcBorders>
              <w:left w:val="single" w:sz="4" w:space="0" w:color="000000"/>
              <w:bottom w:val="nil" w:sz="6" w:space="0" w:color="auto"/>
              <w:right w:val="single" w:sz="4" w:space="0" w:color="000000"/>
            </w:tcBorders>
            <w:shd w:val="clear" w:color="auto" w:fill="DCDCDC"/>
          </w:tcPr>
          <w:p>
            <w:pPr/>
          </w:p>
        </w:tc>
        <w:tc>
          <w:tcPr>
            <w:tcW w:w="141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417"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left="433" w:right="0"/>
              <w:jc w:val="left"/>
              <w:rPr>
                <w:rFonts w:ascii="宋体" w:hAnsi="宋体" w:cs="宋体" w:eastAsia="宋体" w:hint="default"/>
                <w:sz w:val="18"/>
                <w:szCs w:val="18"/>
              </w:rPr>
            </w:pPr>
            <w:r>
              <w:rPr>
                <w:rFonts w:ascii="宋体" w:hAnsi="宋体" w:cs="宋体" w:eastAsia="宋体" w:hint="default"/>
                <w:sz w:val="18"/>
                <w:szCs w:val="18"/>
              </w:rPr>
              <w:t>母公司</w:t>
            </w:r>
          </w:p>
        </w:tc>
        <w:tc>
          <w:tcPr>
            <w:tcW w:w="141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464"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6"/>
              <w:ind w:left="455" w:right="0"/>
              <w:jc w:val="left"/>
              <w:rPr>
                <w:rFonts w:ascii="宋体" w:hAnsi="宋体" w:cs="宋体" w:eastAsia="宋体" w:hint="default"/>
                <w:sz w:val="18"/>
                <w:szCs w:val="18"/>
              </w:rPr>
            </w:pPr>
            <w:r>
              <w:rPr>
                <w:rFonts w:ascii="宋体" w:hAnsi="宋体" w:cs="宋体" w:eastAsia="宋体" w:hint="default"/>
                <w:sz w:val="18"/>
                <w:szCs w:val="18"/>
              </w:rPr>
              <w:t>母公司</w:t>
            </w:r>
          </w:p>
        </w:tc>
      </w:tr>
      <w:tr>
        <w:trPr>
          <w:trHeight w:val="170" w:hRule="exact"/>
        </w:trPr>
        <w:tc>
          <w:tcPr>
            <w:tcW w:w="3544" w:type="dxa"/>
            <w:tcBorders>
              <w:top w:val="nil" w:sz="6" w:space="0" w:color="auto"/>
              <w:left w:val="single" w:sz="4" w:space="0" w:color="000000"/>
              <w:bottom w:val="single" w:sz="4" w:space="0" w:color="000000"/>
              <w:right w:val="single" w:sz="4" w:space="0" w:color="000000"/>
            </w:tcBorders>
            <w:shd w:val="clear" w:color="auto" w:fill="DCDCDC"/>
          </w:tcPr>
          <w:p>
            <w:pPr/>
          </w:p>
        </w:tc>
        <w:tc>
          <w:tcPr>
            <w:tcW w:w="1418" w:type="dxa"/>
            <w:vMerge/>
            <w:tcBorders>
              <w:left w:val="single" w:sz="4" w:space="0" w:color="000000"/>
              <w:bottom w:val="single" w:sz="4" w:space="0" w:color="000000"/>
              <w:right w:val="single" w:sz="4" w:space="0" w:color="000000"/>
            </w:tcBorders>
            <w:shd w:val="clear" w:color="auto" w:fill="DCDCDC"/>
          </w:tcPr>
          <w:p>
            <w:pPr/>
          </w:p>
        </w:tc>
        <w:tc>
          <w:tcPr>
            <w:tcW w:w="1417" w:type="dxa"/>
            <w:vMerge/>
            <w:tcBorders>
              <w:left w:val="single" w:sz="4" w:space="0" w:color="000000"/>
              <w:bottom w:val="single" w:sz="4" w:space="0" w:color="000000"/>
              <w:right w:val="single" w:sz="4" w:space="0" w:color="000000"/>
            </w:tcBorders>
            <w:shd w:val="clear" w:color="auto" w:fill="DCDCDC"/>
          </w:tcPr>
          <w:p>
            <w:pPr/>
          </w:p>
        </w:tc>
        <w:tc>
          <w:tcPr>
            <w:tcW w:w="1418" w:type="dxa"/>
            <w:vMerge/>
            <w:tcBorders>
              <w:left w:val="single" w:sz="4" w:space="0" w:color="000000"/>
              <w:bottom w:val="single" w:sz="4" w:space="0" w:color="000000"/>
              <w:right w:val="single" w:sz="4" w:space="0" w:color="000000"/>
            </w:tcBorders>
            <w:shd w:val="clear" w:color="auto" w:fill="DCDCDC"/>
          </w:tcPr>
          <w:p>
            <w:pPr/>
          </w:p>
        </w:tc>
        <w:tc>
          <w:tcPr>
            <w:tcW w:w="1464" w:type="dxa"/>
            <w:vMerge/>
            <w:tcBorders>
              <w:left w:val="single" w:sz="4" w:space="0" w:color="000000"/>
              <w:bottom w:val="single" w:sz="4" w:space="0" w:color="000000"/>
              <w:right w:val="single" w:sz="4" w:space="0" w:color="000000"/>
            </w:tcBorders>
            <w:shd w:val="clear" w:color="auto" w:fill="DCDCDC"/>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141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1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1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64"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644,531,464.93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583,774,280.88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492,159,589.74</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448,515,783.06</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right="449"/>
              <w:jc w:val="right"/>
              <w:rPr>
                <w:rFonts w:ascii="宋体" w:hAnsi="宋体" w:cs="宋体" w:eastAsia="宋体" w:hint="default"/>
                <w:sz w:val="18"/>
                <w:szCs w:val="18"/>
              </w:rPr>
            </w:pPr>
            <w:r>
              <w:rPr>
                <w:rFonts w:ascii="宋体" w:hAnsi="宋体" w:cs="宋体" w:eastAsia="宋体" w:hint="default"/>
                <w:sz w:val="18"/>
                <w:szCs w:val="18"/>
              </w:rPr>
              <w:t>客户存款和同业存放款项净增加额</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right="449"/>
              <w:jc w:val="right"/>
              <w:rPr>
                <w:rFonts w:ascii="宋体" w:hAnsi="宋体" w:cs="宋体" w:eastAsia="宋体" w:hint="default"/>
                <w:sz w:val="18"/>
                <w:szCs w:val="18"/>
              </w:rPr>
            </w:pPr>
            <w:r>
              <w:rPr>
                <w:rFonts w:ascii="宋体" w:hAnsi="宋体" w:cs="宋体" w:eastAsia="宋体" w:hint="default"/>
                <w:sz w:val="18"/>
                <w:szCs w:val="18"/>
              </w:rPr>
              <w:t>向其他金融机构拆入资金净增加额</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处置交易性金融资产净增加额</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19,578,481.45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4,332,842.36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15,949,162.83</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5,675,026.20</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58,414,599.60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63,392,840.81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7,195,942.78</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3,631,677.07</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56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722,524,545.98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651,499,964.05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515,304,695.35</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457,822,486.33</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424,661,794.63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399,125,820.96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242,857,387.82</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260,531,964.94</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right="449"/>
              <w:jc w:val="right"/>
              <w:rPr>
                <w:rFonts w:ascii="宋体" w:hAnsi="宋体" w:cs="宋体" w:eastAsia="宋体" w:hint="default"/>
                <w:sz w:val="18"/>
                <w:szCs w:val="18"/>
              </w:rPr>
            </w:pPr>
            <w:r>
              <w:rPr>
                <w:rFonts w:ascii="宋体" w:hAnsi="宋体" w:cs="宋体" w:eastAsia="宋体" w:hint="default"/>
                <w:sz w:val="18"/>
                <w:szCs w:val="18"/>
              </w:rPr>
              <w:t>存放中央银行和同业款项净增加额</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right="449"/>
              <w:jc w:val="righ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36,570,399.23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32,140,507.49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33,313,075.28</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28,864,328.75</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51,414,396.81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35,014,537.41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52,543,432.99</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31,864,416.18</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84" w:top="980" w:bottom="1180" w:left="980" w:right="130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49" w:type="dxa"/>
        <w:tblLayout w:type="fixed"/>
        <w:tblCellMar>
          <w:top w:w="0" w:type="dxa"/>
          <w:left w:w="0" w:type="dxa"/>
          <w:bottom w:w="0" w:type="dxa"/>
          <w:right w:w="0" w:type="dxa"/>
        </w:tblCellMar>
        <w:tblLook w:val="01E0"/>
      </w:tblPr>
      <w:tblGrid>
        <w:gridCol w:w="3544"/>
        <w:gridCol w:w="1418"/>
        <w:gridCol w:w="1417"/>
        <w:gridCol w:w="1418"/>
        <w:gridCol w:w="1464"/>
      </w:tblGrid>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159,391,624.51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98,318,625.15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149,642,900.71</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125,904,016.64</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56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672,038,215.18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564,599,491.01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478,356,796.80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447,164,726.51</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74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50,486,330.80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86,900,473.04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36,947,898.55</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10,657,759.82</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141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1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1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64"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z w:val="18"/>
              </w:rPr>
              <w:t>7,308.00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z w:val="18"/>
              </w:rPr>
              <w:t>7,308.00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z w:val="18"/>
              </w:rPr>
              <w:t>6,072.00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z w:val="18"/>
              </w:rPr>
              <w:t>6,072.00</w:t>
            </w:r>
          </w:p>
        </w:tc>
      </w:tr>
      <w:tr>
        <w:trPr>
          <w:trHeight w:val="65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26" w:lineRule="auto" w:before="56"/>
              <w:ind w:left="22" w:right="89"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 产收回的现金净额</w:t>
            </w:r>
          </w:p>
        </w:tc>
        <w:tc>
          <w:tcPr>
            <w:tcW w:w="141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147,000.00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147,000.00</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649"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26" w:lineRule="auto" w:before="56"/>
              <w:ind w:left="22" w:right="89"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 净额</w:t>
            </w:r>
          </w:p>
        </w:tc>
        <w:tc>
          <w:tcPr>
            <w:tcW w:w="1418" w:type="dxa"/>
            <w:tcBorders>
              <w:top w:val="single" w:sz="4" w:space="0" w:color="000000"/>
              <w:left w:val="single" w:sz="13" w:space="0" w:color="DCDCDC"/>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156,197.88</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382"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z w:val="18"/>
              </w:rPr>
              <w:t>154,308.00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z w:val="18"/>
              </w:rPr>
              <w:t>310,505.88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z w:val="18"/>
              </w:rPr>
              <w:t>6,072.00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z w:val="18"/>
              </w:rPr>
              <w:t>6,072.00</w:t>
            </w:r>
          </w:p>
        </w:tc>
      </w:tr>
      <w:tr>
        <w:trPr>
          <w:trHeight w:val="65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26" w:lineRule="auto" w:before="57"/>
              <w:ind w:left="22" w:right="89"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 产支付的现金</w:t>
            </w:r>
          </w:p>
        </w:tc>
        <w:tc>
          <w:tcPr>
            <w:tcW w:w="141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196,514,803.42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157,382,771.20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130,030,707.45</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129,539,416.85</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25,000,000.00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45,000,000.00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11,800,000.00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2,670,460.00</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65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26" w:lineRule="auto" w:before="56"/>
              <w:ind w:left="22" w:right="89"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 净额</w:t>
            </w:r>
          </w:p>
        </w:tc>
        <w:tc>
          <w:tcPr>
            <w:tcW w:w="1418" w:type="dxa"/>
            <w:tcBorders>
              <w:top w:val="single" w:sz="4" w:space="0" w:color="000000"/>
              <w:left w:val="single" w:sz="13" w:space="0" w:color="DCDCDC"/>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56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221,514,803.42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202,382,771.20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141,830,707.45</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132,209,876.85</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74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-221,360,495.42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-202,072,265.32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-141,824,635.45</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-132,203,804.85</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0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141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1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1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64"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649"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26" w:lineRule="auto" w:before="56"/>
              <w:ind w:left="22" w:right="89" w:firstLine="36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 现金</w:t>
            </w:r>
          </w:p>
        </w:tc>
        <w:tc>
          <w:tcPr>
            <w:tcW w:w="1418" w:type="dxa"/>
            <w:tcBorders>
              <w:top w:val="single" w:sz="4" w:space="0" w:color="000000"/>
              <w:left w:val="single" w:sz="13" w:space="0" w:color="DCDCDC"/>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38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473,691,340.00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405,000,000.00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507,988,041.00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507,988,041.00</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38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38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56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473,691,340.00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405,000,000.00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507,988,041.00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507,988,041.00</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38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350,195,610.00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350,195,610.00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538,988,041.00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
              <w:jc w:val="right"/>
              <w:rPr>
                <w:rFonts w:ascii="Times New Roman" w:hAnsi="Times New Roman" w:cs="Times New Roman" w:eastAsia="Times New Roman" w:hint="default"/>
                <w:sz w:val="18"/>
                <w:szCs w:val="18"/>
              </w:rPr>
            </w:pPr>
            <w:r>
              <w:rPr>
                <w:rFonts w:ascii="Times New Roman"/>
                <w:spacing w:val="-1"/>
                <w:sz w:val="18"/>
              </w:rPr>
              <w:t>538,988,041.00</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7"/>
              <w:ind w:left="382"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9"/>
              <w:jc w:val="right"/>
              <w:rPr>
                <w:rFonts w:ascii="Times New Roman" w:hAnsi="Times New Roman" w:cs="Times New Roman" w:eastAsia="Times New Roman" w:hint="default"/>
                <w:sz w:val="18"/>
                <w:szCs w:val="18"/>
              </w:rPr>
            </w:pPr>
            <w:r>
              <w:rPr>
                <w:rFonts w:ascii="Times New Roman"/>
                <w:spacing w:val="-1"/>
                <w:sz w:val="18"/>
              </w:rPr>
              <w:t>6,667,005.17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6,640,651.09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2,240,228.67</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Times New Roman" w:hAnsi="Times New Roman" w:cs="Times New Roman" w:eastAsia="Times New Roman" w:hint="default"/>
                <w:sz w:val="18"/>
                <w:szCs w:val="18"/>
              </w:rPr>
            </w:pPr>
            <w:r>
              <w:rPr>
                <w:rFonts w:ascii="Times New Roman"/>
                <w:spacing w:val="-1"/>
                <w:sz w:val="18"/>
              </w:rPr>
              <w:t>2,165,256.03</w:t>
            </w:r>
          </w:p>
        </w:tc>
      </w:tr>
      <w:tr>
        <w:trPr>
          <w:trHeight w:val="65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26" w:lineRule="auto" w:before="57"/>
              <w:ind w:left="22" w:right="89"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其中：子公司支付给少数股东的股利、 利润</w:t>
            </w:r>
          </w:p>
        </w:tc>
        <w:tc>
          <w:tcPr>
            <w:tcW w:w="1418" w:type="dxa"/>
            <w:tcBorders>
              <w:top w:val="single" w:sz="4" w:space="0" w:color="000000"/>
              <w:left w:val="single" w:sz="13" w:space="0" w:color="DCDCDC"/>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56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356,862,615.17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356,836,261.09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541,228,269.67</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541,153,297.03</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74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116,828,724.83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48,163,738.91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-33,240,228.67</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-33,165,256.03</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1418"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-54,045,439.79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-67,008,053.37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-138,116,965.57</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Times New Roman" w:hAnsi="Times New Roman" w:cs="Times New Roman" w:eastAsia="Times New Roman" w:hint="default"/>
                <w:sz w:val="18"/>
                <w:szCs w:val="18"/>
              </w:rPr>
            </w:pPr>
            <w:r>
              <w:rPr>
                <w:rFonts w:ascii="Times New Roman"/>
                <w:spacing w:val="-1"/>
                <w:sz w:val="18"/>
              </w:rPr>
              <w:t>-154,711,301.06</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38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224,913,575.61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200,083,534.25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363,030,541.18</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354,794,835.31</w:t>
            </w:r>
          </w:p>
        </w:tc>
      </w:tr>
      <w:tr>
        <w:trPr>
          <w:trHeight w:val="330" w:hRule="exact"/>
        </w:trPr>
        <w:tc>
          <w:tcPr>
            <w:tcW w:w="35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9"/>
              <w:jc w:val="right"/>
              <w:rPr>
                <w:rFonts w:ascii="Times New Roman" w:hAnsi="Times New Roman" w:cs="Times New Roman" w:eastAsia="Times New Roman" w:hint="default"/>
                <w:sz w:val="18"/>
                <w:szCs w:val="18"/>
              </w:rPr>
            </w:pPr>
            <w:r>
              <w:rPr>
                <w:rFonts w:ascii="Times New Roman"/>
                <w:spacing w:val="-1"/>
                <w:sz w:val="18"/>
              </w:rPr>
              <w:t>170,868,135.82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133,075,480.88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224,913,575.61</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Times New Roman" w:hAnsi="Times New Roman" w:cs="Times New Roman" w:eastAsia="Times New Roman" w:hint="default"/>
                <w:sz w:val="18"/>
                <w:szCs w:val="18"/>
              </w:rPr>
            </w:pPr>
            <w:r>
              <w:rPr>
                <w:rFonts w:ascii="Times New Roman"/>
                <w:spacing w:val="-1"/>
                <w:sz w:val="18"/>
              </w:rPr>
              <w:t>200,083,534.25</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84" w:top="980" w:bottom="1180" w:left="980" w:right="1300"/>
        </w:sect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8"/>
          <w:szCs w:val="28"/>
        </w:rPr>
      </w:pPr>
    </w:p>
    <w:p>
      <w:pPr>
        <w:pStyle w:val="Heading2"/>
        <w:spacing w:line="240" w:lineRule="auto" w:before="26"/>
        <w:ind w:left="6094" w:right="6172"/>
        <w:jc w:val="center"/>
        <w:rPr>
          <w:b w:val="0"/>
          <w:bCs w:val="0"/>
        </w:rPr>
      </w:pPr>
      <w:r>
        <w:rPr/>
        <w:t>合并所有者权益变动表</w:t>
      </w:r>
      <w:r>
        <w:rPr>
          <w:b w:val="0"/>
          <w:bCs w:val="0"/>
        </w:rPr>
      </w:r>
    </w:p>
    <w:p>
      <w:pPr>
        <w:spacing w:line="240" w:lineRule="auto" w:before="6"/>
        <w:rPr>
          <w:rFonts w:ascii="宋体" w:hAnsi="宋体" w:cs="宋体" w:eastAsia="宋体" w:hint="default"/>
          <w:b/>
          <w:bCs/>
          <w:sz w:val="26"/>
          <w:szCs w:val="26"/>
        </w:rPr>
      </w:pPr>
    </w:p>
    <w:p>
      <w:pPr>
        <w:tabs>
          <w:tab w:pos="6993" w:val="left" w:leader="none"/>
          <w:tab w:pos="12432" w:val="left" w:leader="none"/>
        </w:tabs>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编制单位：广州御银科技股份有限公司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年度</w:t>
        <w:tab/>
        <w:t>单位：元</w:t>
      </w:r>
    </w:p>
    <w:p>
      <w:pPr>
        <w:spacing w:line="240" w:lineRule="auto" w:before="13"/>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2210"/>
        <w:gridCol w:w="767"/>
        <w:gridCol w:w="709"/>
        <w:gridCol w:w="425"/>
        <w:gridCol w:w="425"/>
        <w:gridCol w:w="709"/>
        <w:gridCol w:w="425"/>
        <w:gridCol w:w="709"/>
        <w:gridCol w:w="284"/>
        <w:gridCol w:w="425"/>
        <w:gridCol w:w="850"/>
        <w:gridCol w:w="851"/>
        <w:gridCol w:w="709"/>
        <w:gridCol w:w="568"/>
        <w:gridCol w:w="566"/>
        <w:gridCol w:w="708"/>
        <w:gridCol w:w="709"/>
        <w:gridCol w:w="769"/>
        <w:gridCol w:w="223"/>
        <w:gridCol w:w="426"/>
        <w:gridCol w:w="1223"/>
      </w:tblGrid>
      <w:tr>
        <w:trPr>
          <w:trHeight w:val="322" w:hRule="exact"/>
        </w:trPr>
        <w:tc>
          <w:tcPr>
            <w:tcW w:w="221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5728" w:type="dxa"/>
            <w:gridSpan w:val="10"/>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6752" w:type="dxa"/>
            <w:gridSpan w:val="10"/>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322" w:hRule="exact"/>
        </w:trPr>
        <w:tc>
          <w:tcPr>
            <w:tcW w:w="2210" w:type="dxa"/>
            <w:vMerge/>
            <w:tcBorders>
              <w:left w:val="single" w:sz="4" w:space="0" w:color="000000"/>
              <w:right w:val="single" w:sz="4" w:space="0" w:color="000000"/>
            </w:tcBorders>
            <w:shd w:val="clear" w:color="auto" w:fill="DCDCDC"/>
          </w:tcPr>
          <w:p>
            <w:pPr/>
          </w:p>
        </w:tc>
        <w:tc>
          <w:tcPr>
            <w:tcW w:w="4453" w:type="dxa"/>
            <w:gridSpan w:val="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231" w:right="0"/>
              <w:jc w:val="left"/>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425"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26" w:right="26"/>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85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25"/>
                <w:szCs w:val="25"/>
              </w:rPr>
            </w:pPr>
          </w:p>
          <w:p>
            <w:pPr>
              <w:pStyle w:val="TableParagraph"/>
              <w:spacing w:line="316" w:lineRule="auto"/>
              <w:ind w:left="149" w:right="58"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c>
          <w:tcPr>
            <w:tcW w:w="5104" w:type="dxa"/>
            <w:gridSpan w:val="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556" w:right="0"/>
              <w:jc w:val="left"/>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42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27" w:right="26"/>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1223"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25"/>
                <w:szCs w:val="25"/>
              </w:rPr>
            </w:pPr>
          </w:p>
          <w:p>
            <w:pPr>
              <w:pStyle w:val="TableParagraph"/>
              <w:spacing w:line="316" w:lineRule="auto"/>
              <w:ind w:left="515" w:right="65" w:hanging="450"/>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946" w:hRule="exact"/>
        </w:trPr>
        <w:tc>
          <w:tcPr>
            <w:tcW w:w="2210" w:type="dxa"/>
            <w:vMerge/>
            <w:tcBorders>
              <w:left w:val="single" w:sz="4" w:space="0" w:color="000000"/>
              <w:bottom w:val="single" w:sz="4" w:space="0" w:color="000000"/>
              <w:right w:val="single" w:sz="4" w:space="0" w:color="000000"/>
            </w:tcBorders>
            <w:shd w:val="clear" w:color="auto" w:fill="DCDCDC"/>
          </w:tcPr>
          <w:p>
            <w:pPr/>
          </w:p>
        </w:tc>
        <w:tc>
          <w:tcPr>
            <w:tcW w:w="7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22" w:right="20" w:hanging="2"/>
              <w:jc w:val="center"/>
              <w:rPr>
                <w:rFonts w:ascii="宋体" w:hAnsi="宋体" w:cs="宋体" w:eastAsia="宋体" w:hint="default"/>
                <w:sz w:val="18"/>
                <w:szCs w:val="18"/>
              </w:rPr>
            </w:pPr>
            <w:r>
              <w:rPr>
                <w:rFonts w:ascii="宋体" w:hAnsi="宋体" w:cs="宋体" w:eastAsia="宋体" w:hint="default"/>
                <w:sz w:val="18"/>
                <w:szCs w:val="18"/>
              </w:rPr>
              <w:t>实收资 </w:t>
            </w:r>
            <w:r>
              <w:rPr>
                <w:rFonts w:ascii="宋体" w:hAnsi="宋体" w:cs="宋体" w:eastAsia="宋体" w:hint="default"/>
                <w:spacing w:val="-3"/>
                <w:sz w:val="18"/>
                <w:szCs w:val="18"/>
              </w:rPr>
              <w:t>本（或股</w:t>
            </w:r>
            <w:r>
              <w:rPr>
                <w:rFonts w:ascii="宋体" w:hAnsi="宋体" w:cs="宋体" w:eastAsia="宋体" w:hint="default"/>
                <w:sz w:val="18"/>
                <w:szCs w:val="18"/>
              </w:rPr>
              <w:t> 本）</w:t>
            </w:r>
          </w:p>
        </w:tc>
        <w:tc>
          <w:tcPr>
            <w:tcW w:w="7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59" w:right="78"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4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26" w:right="26"/>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4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6" w:right="26"/>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7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59" w:right="78"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4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26" w:right="26"/>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7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69" w:right="78"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2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46" w:right="46"/>
              <w:jc w:val="left"/>
              <w:rPr>
                <w:rFonts w:ascii="宋体" w:hAnsi="宋体" w:cs="宋体" w:eastAsia="宋体" w:hint="default"/>
                <w:sz w:val="18"/>
                <w:szCs w:val="18"/>
              </w:rPr>
            </w:pPr>
            <w:r>
              <w:rPr>
                <w:rFonts w:ascii="宋体" w:hAnsi="宋体" w:cs="宋体" w:eastAsia="宋体" w:hint="default"/>
                <w:sz w:val="18"/>
                <w:szCs w:val="18"/>
              </w:rPr>
              <w:t>其 他</w:t>
            </w:r>
          </w:p>
        </w:tc>
        <w:tc>
          <w:tcPr>
            <w:tcW w:w="425" w:type="dxa"/>
            <w:vMerge/>
            <w:tcBorders>
              <w:left w:val="single" w:sz="4" w:space="0" w:color="000000"/>
              <w:bottom w:val="single" w:sz="4" w:space="0" w:color="000000"/>
              <w:right w:val="single" w:sz="4" w:space="0" w:color="000000"/>
            </w:tcBorders>
            <w:shd w:val="clear" w:color="auto" w:fill="DCDCDC"/>
          </w:tcPr>
          <w:p>
            <w:pPr/>
          </w:p>
        </w:tc>
        <w:tc>
          <w:tcPr>
            <w:tcW w:w="850" w:type="dxa"/>
            <w:vMerge/>
            <w:tcBorders>
              <w:left w:val="single" w:sz="4" w:space="0" w:color="000000"/>
              <w:bottom w:val="single" w:sz="4" w:space="0" w:color="000000"/>
              <w:right w:val="single" w:sz="4" w:space="0" w:color="000000"/>
            </w:tcBorders>
            <w:shd w:val="clear" w:color="auto" w:fill="DCDCDC"/>
          </w:tcPr>
          <w:p>
            <w:pPr/>
          </w:p>
        </w:tc>
        <w:tc>
          <w:tcPr>
            <w:tcW w:w="8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9" w:right="0"/>
              <w:jc w:val="left"/>
              <w:rPr>
                <w:rFonts w:ascii="宋体" w:hAnsi="宋体" w:cs="宋体" w:eastAsia="宋体" w:hint="default"/>
                <w:sz w:val="18"/>
                <w:szCs w:val="18"/>
              </w:rPr>
            </w:pPr>
            <w:r>
              <w:rPr>
                <w:rFonts w:ascii="宋体" w:hAnsi="宋体" w:cs="宋体" w:eastAsia="宋体" w:hint="default"/>
                <w:sz w:val="18"/>
                <w:szCs w:val="18"/>
              </w:rPr>
              <w:t>实收资本</w:t>
            </w:r>
          </w:p>
          <w:p>
            <w:pPr>
              <w:pStyle w:val="TableParagraph"/>
              <w:spacing w:line="316" w:lineRule="auto" w:before="76"/>
              <w:ind w:left="239" w:right="149" w:hanging="90"/>
              <w:jc w:val="left"/>
              <w:rPr>
                <w:rFonts w:ascii="宋体" w:hAnsi="宋体" w:cs="宋体" w:eastAsia="宋体" w:hint="default"/>
                <w:sz w:val="18"/>
                <w:szCs w:val="18"/>
              </w:rPr>
            </w:pPr>
            <w:r>
              <w:rPr>
                <w:rFonts w:ascii="宋体" w:hAnsi="宋体" w:cs="宋体" w:eastAsia="宋体" w:hint="default"/>
                <w:sz w:val="18"/>
                <w:szCs w:val="18"/>
              </w:rPr>
              <w:t>（或股 本）</w:t>
            </w:r>
          </w:p>
        </w:tc>
        <w:tc>
          <w:tcPr>
            <w:tcW w:w="7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59" w:right="78"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5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98" w:right="23" w:hanging="76"/>
              <w:jc w:val="left"/>
              <w:rPr>
                <w:rFonts w:ascii="宋体" w:hAnsi="宋体" w:cs="宋体" w:eastAsia="宋体" w:hint="default"/>
                <w:sz w:val="18"/>
                <w:szCs w:val="18"/>
              </w:rPr>
            </w:pPr>
            <w:r>
              <w:rPr>
                <w:rFonts w:ascii="宋体" w:hAnsi="宋体" w:cs="宋体" w:eastAsia="宋体" w:hint="default"/>
                <w:spacing w:val="-10"/>
                <w:sz w:val="18"/>
                <w:szCs w:val="18"/>
              </w:rPr>
              <w:t>减：库</w:t>
            </w:r>
            <w:r>
              <w:rPr>
                <w:rFonts w:ascii="宋体" w:hAnsi="宋体" w:cs="宋体" w:eastAsia="宋体" w:hint="default"/>
                <w:sz w:val="18"/>
                <w:szCs w:val="18"/>
              </w:rPr>
              <w:t> 存股</w:t>
            </w:r>
          </w:p>
        </w:tc>
        <w:tc>
          <w:tcPr>
            <w:tcW w:w="5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7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57" w:right="78"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7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79" w:right="78"/>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7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99" w:right="108"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22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2" w:right="8"/>
              <w:jc w:val="left"/>
              <w:rPr>
                <w:rFonts w:ascii="宋体" w:hAnsi="宋体" w:cs="宋体" w:eastAsia="宋体" w:hint="default"/>
                <w:sz w:val="18"/>
                <w:szCs w:val="18"/>
              </w:rPr>
            </w:pPr>
            <w:r>
              <w:rPr>
                <w:rFonts w:ascii="宋体" w:hAnsi="宋体" w:cs="宋体" w:eastAsia="宋体" w:hint="default"/>
                <w:sz w:val="18"/>
                <w:szCs w:val="18"/>
              </w:rPr>
              <w:t>其 他</w:t>
            </w:r>
          </w:p>
        </w:tc>
        <w:tc>
          <w:tcPr>
            <w:tcW w:w="426" w:type="dxa"/>
            <w:vMerge/>
            <w:tcBorders>
              <w:left w:val="single" w:sz="4" w:space="0" w:color="000000"/>
              <w:bottom w:val="single" w:sz="4" w:space="0" w:color="000000"/>
              <w:right w:val="single" w:sz="4" w:space="0" w:color="000000"/>
            </w:tcBorders>
            <w:shd w:val="clear" w:color="auto" w:fill="DCDCDC"/>
          </w:tcPr>
          <w:p>
            <w:pPr/>
          </w:p>
        </w:tc>
        <w:tc>
          <w:tcPr>
            <w:tcW w:w="1223" w:type="dxa"/>
            <w:vMerge/>
            <w:tcBorders>
              <w:left w:val="single" w:sz="4" w:space="0" w:color="000000"/>
              <w:bottom w:val="single" w:sz="4" w:space="0" w:color="000000"/>
              <w:right w:val="single" w:sz="4" w:space="0" w:color="000000"/>
            </w:tcBorders>
            <w:shd w:val="clear" w:color="auto" w:fill="DCDCDC"/>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82" w:right="0"/>
              <w:jc w:val="center"/>
              <w:rPr>
                <w:rFonts w:ascii="Times New Roman" w:hAnsi="Times New Roman" w:cs="Times New Roman" w:eastAsia="Times New Roman" w:hint="default"/>
                <w:sz w:val="18"/>
                <w:szCs w:val="18"/>
              </w:rPr>
            </w:pPr>
            <w:r>
              <w:rPr>
                <w:rFonts w:ascii="Times New Roman"/>
                <w:sz w:val="18"/>
              </w:rPr>
              <w:t>264,946,</w:t>
            </w:r>
          </w:p>
          <w:p>
            <w:pPr>
              <w:pStyle w:val="TableParagraph"/>
              <w:spacing w:line="240" w:lineRule="auto" w:before="105"/>
              <w:ind w:left="218" w:right="0"/>
              <w:jc w:val="center"/>
              <w:rPr>
                <w:rFonts w:ascii="Times New Roman" w:hAnsi="Times New Roman" w:cs="Times New Roman" w:eastAsia="Times New Roman" w:hint="default"/>
                <w:sz w:val="18"/>
                <w:szCs w:val="18"/>
              </w:rPr>
            </w:pPr>
            <w:r>
              <w:rPr>
                <w:rFonts w:ascii="Times New Roman"/>
                <w:sz w:val="18"/>
              </w:rPr>
              <w:t>500.00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 w:right="0"/>
              <w:jc w:val="center"/>
              <w:rPr>
                <w:rFonts w:ascii="Times New Roman" w:hAnsi="Times New Roman" w:cs="Times New Roman" w:eastAsia="Times New Roman" w:hint="default"/>
                <w:sz w:val="18"/>
                <w:szCs w:val="18"/>
              </w:rPr>
            </w:pPr>
            <w:r>
              <w:rPr>
                <w:rFonts w:ascii="Times New Roman"/>
                <w:sz w:val="18"/>
              </w:rPr>
              <w:t>686,099,</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408.17</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 w:right="0"/>
              <w:jc w:val="left"/>
              <w:rPr>
                <w:rFonts w:ascii="Times New Roman" w:hAnsi="Times New Roman" w:cs="Times New Roman" w:eastAsia="Times New Roman" w:hint="default"/>
                <w:sz w:val="18"/>
                <w:szCs w:val="18"/>
              </w:rPr>
            </w:pPr>
            <w:r>
              <w:rPr>
                <w:rFonts w:ascii="Times New Roman"/>
                <w:sz w:val="18"/>
              </w:rPr>
              <w:t>27,227,3</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23.41</w:t>
            </w: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 w:right="0"/>
              <w:jc w:val="center"/>
              <w:rPr>
                <w:rFonts w:ascii="Times New Roman" w:hAnsi="Times New Roman" w:cs="Times New Roman" w:eastAsia="Times New Roman" w:hint="default"/>
                <w:sz w:val="18"/>
                <w:szCs w:val="18"/>
              </w:rPr>
            </w:pPr>
            <w:r>
              <w:rPr>
                <w:rFonts w:ascii="Times New Roman"/>
                <w:sz w:val="18"/>
              </w:rPr>
              <w:t>262,502,</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641.33</w:t>
            </w: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2" w:right="0"/>
              <w:jc w:val="left"/>
              <w:rPr>
                <w:rFonts w:ascii="Times New Roman" w:hAnsi="Times New Roman" w:cs="Times New Roman" w:eastAsia="Times New Roman" w:hint="default"/>
                <w:sz w:val="18"/>
                <w:szCs w:val="18"/>
              </w:rPr>
            </w:pPr>
            <w:r>
              <w:rPr>
                <w:rFonts w:ascii="Times New Roman"/>
                <w:sz w:val="18"/>
              </w:rPr>
              <w:t>1,240,775,</w:t>
            </w:r>
          </w:p>
          <w:p>
            <w:pPr>
              <w:pStyle w:val="TableParagraph"/>
              <w:spacing w:line="240" w:lineRule="auto" w:before="105"/>
              <w:ind w:left="322" w:right="0"/>
              <w:jc w:val="left"/>
              <w:rPr>
                <w:rFonts w:ascii="Times New Roman" w:hAnsi="Times New Roman" w:cs="Times New Roman" w:eastAsia="Times New Roman" w:hint="default"/>
                <w:sz w:val="18"/>
                <w:szCs w:val="18"/>
              </w:rPr>
            </w:pPr>
            <w:r>
              <w:rPr>
                <w:rFonts w:ascii="Times New Roman"/>
                <w:sz w:val="18"/>
              </w:rPr>
              <w:t>872.91</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98" w:right="0"/>
              <w:jc w:val="left"/>
              <w:rPr>
                <w:rFonts w:ascii="Times New Roman" w:hAnsi="Times New Roman" w:cs="Times New Roman" w:eastAsia="Times New Roman" w:hint="default"/>
                <w:sz w:val="18"/>
                <w:szCs w:val="18"/>
              </w:rPr>
            </w:pPr>
            <w:r>
              <w:rPr>
                <w:rFonts w:ascii="Times New Roman"/>
                <w:sz w:val="18"/>
              </w:rPr>
              <w:t>264,946,5</w:t>
            </w:r>
          </w:p>
          <w:p>
            <w:pPr>
              <w:pStyle w:val="TableParagraph"/>
              <w:spacing w:line="240" w:lineRule="auto" w:before="105"/>
              <w:ind w:left="413" w:right="0"/>
              <w:jc w:val="left"/>
              <w:rPr>
                <w:rFonts w:ascii="Times New Roman" w:hAnsi="Times New Roman" w:cs="Times New Roman" w:eastAsia="Times New Roman" w:hint="default"/>
                <w:sz w:val="18"/>
                <w:szCs w:val="18"/>
              </w:rPr>
            </w:pPr>
            <w:r>
              <w:rPr>
                <w:rFonts w:ascii="Times New Roman"/>
                <w:sz w:val="18"/>
              </w:rPr>
              <w:t>00.00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 w:right="0"/>
              <w:jc w:val="center"/>
              <w:rPr>
                <w:rFonts w:ascii="Times New Roman" w:hAnsi="Times New Roman" w:cs="Times New Roman" w:eastAsia="Times New Roman" w:hint="default"/>
                <w:sz w:val="18"/>
                <w:szCs w:val="18"/>
              </w:rPr>
            </w:pPr>
            <w:r>
              <w:rPr>
                <w:rFonts w:ascii="Times New Roman"/>
                <w:sz w:val="18"/>
              </w:rPr>
              <w:t>517,854,</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658.17</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4" w:right="0"/>
              <w:jc w:val="left"/>
              <w:rPr>
                <w:rFonts w:ascii="Times New Roman" w:hAnsi="Times New Roman" w:cs="Times New Roman" w:eastAsia="Times New Roman" w:hint="default"/>
                <w:sz w:val="18"/>
                <w:szCs w:val="18"/>
              </w:rPr>
            </w:pPr>
            <w:r>
              <w:rPr>
                <w:rFonts w:ascii="Times New Roman"/>
                <w:sz w:val="18"/>
              </w:rPr>
              <w:t>23,757,2</w:t>
            </w:r>
          </w:p>
          <w:p>
            <w:pPr>
              <w:pStyle w:val="TableParagraph"/>
              <w:spacing w:line="240" w:lineRule="auto" w:before="105"/>
              <w:ind w:left="269" w:right="0"/>
              <w:jc w:val="left"/>
              <w:rPr>
                <w:rFonts w:ascii="Times New Roman" w:hAnsi="Times New Roman" w:cs="Times New Roman" w:eastAsia="Times New Roman" w:hint="default"/>
                <w:sz w:val="18"/>
                <w:szCs w:val="18"/>
              </w:rPr>
            </w:pPr>
            <w:r>
              <w:rPr>
                <w:rFonts w:ascii="Times New Roman"/>
                <w:sz w:val="18"/>
              </w:rPr>
              <w:t>96.65</w:t>
            </w: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82" w:right="0"/>
              <w:jc w:val="center"/>
              <w:rPr>
                <w:rFonts w:ascii="Times New Roman" w:hAnsi="Times New Roman" w:cs="Times New Roman" w:eastAsia="Times New Roman" w:hint="default"/>
                <w:sz w:val="18"/>
                <w:szCs w:val="18"/>
              </w:rPr>
            </w:pPr>
            <w:r>
              <w:rPr>
                <w:rFonts w:ascii="Times New Roman"/>
                <w:sz w:val="18"/>
              </w:rPr>
              <w:t>171,924,</w:t>
            </w:r>
          </w:p>
          <w:p>
            <w:pPr>
              <w:pStyle w:val="TableParagraph"/>
              <w:spacing w:line="240" w:lineRule="auto" w:before="105"/>
              <w:ind w:left="218" w:right="0"/>
              <w:jc w:val="center"/>
              <w:rPr>
                <w:rFonts w:ascii="Times New Roman" w:hAnsi="Times New Roman" w:cs="Times New Roman" w:eastAsia="Times New Roman" w:hint="default"/>
                <w:sz w:val="18"/>
                <w:szCs w:val="18"/>
              </w:rPr>
            </w:pPr>
            <w:r>
              <w:rPr>
                <w:rFonts w:ascii="Times New Roman"/>
                <w:sz w:val="18"/>
              </w:rPr>
              <w:t>798.30</w:t>
            </w: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978,483,253.12</w:t>
            </w:r>
          </w:p>
        </w:tc>
      </w:tr>
      <w:tr>
        <w:trPr>
          <w:trHeight w:val="323"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02"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02"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533"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6"/>
              <w:ind w:left="2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2" w:right="0"/>
              <w:jc w:val="center"/>
              <w:rPr>
                <w:rFonts w:ascii="Times New Roman" w:hAnsi="Times New Roman" w:cs="Times New Roman" w:eastAsia="Times New Roman" w:hint="default"/>
                <w:sz w:val="18"/>
                <w:szCs w:val="18"/>
              </w:rPr>
            </w:pPr>
            <w:r>
              <w:rPr>
                <w:rFonts w:ascii="Times New Roman"/>
                <w:sz w:val="18"/>
              </w:rPr>
              <w:t>264,946,</w:t>
            </w:r>
          </w:p>
          <w:p>
            <w:pPr>
              <w:pStyle w:val="TableParagraph"/>
              <w:spacing w:line="240" w:lineRule="auto" w:before="105"/>
              <w:ind w:left="218" w:right="0"/>
              <w:jc w:val="center"/>
              <w:rPr>
                <w:rFonts w:ascii="Times New Roman" w:hAnsi="Times New Roman" w:cs="Times New Roman" w:eastAsia="Times New Roman" w:hint="default"/>
                <w:sz w:val="18"/>
                <w:szCs w:val="18"/>
              </w:rPr>
            </w:pPr>
            <w:r>
              <w:rPr>
                <w:rFonts w:ascii="Times New Roman"/>
                <w:sz w:val="18"/>
              </w:rPr>
              <w:t>500.00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center"/>
              <w:rPr>
                <w:rFonts w:ascii="Times New Roman" w:hAnsi="Times New Roman" w:cs="Times New Roman" w:eastAsia="Times New Roman" w:hint="default"/>
                <w:sz w:val="18"/>
                <w:szCs w:val="18"/>
              </w:rPr>
            </w:pPr>
            <w:r>
              <w:rPr>
                <w:rFonts w:ascii="Times New Roman"/>
                <w:sz w:val="18"/>
              </w:rPr>
              <w:t>686,099,</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408.17</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5" w:right="0"/>
              <w:jc w:val="left"/>
              <w:rPr>
                <w:rFonts w:ascii="Times New Roman" w:hAnsi="Times New Roman" w:cs="Times New Roman" w:eastAsia="Times New Roman" w:hint="default"/>
                <w:sz w:val="18"/>
                <w:szCs w:val="18"/>
              </w:rPr>
            </w:pPr>
            <w:r>
              <w:rPr>
                <w:rFonts w:ascii="Times New Roman"/>
                <w:sz w:val="18"/>
              </w:rPr>
              <w:t>27,227,3</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23.41</w:t>
            </w: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center"/>
              <w:rPr>
                <w:rFonts w:ascii="Times New Roman" w:hAnsi="Times New Roman" w:cs="Times New Roman" w:eastAsia="Times New Roman" w:hint="default"/>
                <w:sz w:val="18"/>
                <w:szCs w:val="18"/>
              </w:rPr>
            </w:pPr>
            <w:r>
              <w:rPr>
                <w:rFonts w:ascii="Times New Roman"/>
                <w:sz w:val="18"/>
              </w:rPr>
              <w:t>262,502,</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641.33</w:t>
            </w: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2" w:right="0"/>
              <w:jc w:val="left"/>
              <w:rPr>
                <w:rFonts w:ascii="Times New Roman" w:hAnsi="Times New Roman" w:cs="Times New Roman" w:eastAsia="Times New Roman" w:hint="default"/>
                <w:sz w:val="18"/>
                <w:szCs w:val="18"/>
              </w:rPr>
            </w:pPr>
            <w:r>
              <w:rPr>
                <w:rFonts w:ascii="Times New Roman"/>
                <w:sz w:val="18"/>
              </w:rPr>
              <w:t>1,240,775,</w:t>
            </w:r>
          </w:p>
          <w:p>
            <w:pPr>
              <w:pStyle w:val="TableParagraph"/>
              <w:spacing w:line="240" w:lineRule="auto" w:before="105"/>
              <w:ind w:left="322" w:right="0"/>
              <w:jc w:val="left"/>
              <w:rPr>
                <w:rFonts w:ascii="Times New Roman" w:hAnsi="Times New Roman" w:cs="Times New Roman" w:eastAsia="Times New Roman" w:hint="default"/>
                <w:sz w:val="18"/>
                <w:szCs w:val="18"/>
              </w:rPr>
            </w:pPr>
            <w:r>
              <w:rPr>
                <w:rFonts w:ascii="Times New Roman"/>
                <w:sz w:val="18"/>
              </w:rPr>
              <w:t>872.91</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8" w:right="0"/>
              <w:jc w:val="left"/>
              <w:rPr>
                <w:rFonts w:ascii="Times New Roman" w:hAnsi="Times New Roman" w:cs="Times New Roman" w:eastAsia="Times New Roman" w:hint="default"/>
                <w:sz w:val="18"/>
                <w:szCs w:val="18"/>
              </w:rPr>
            </w:pPr>
            <w:r>
              <w:rPr>
                <w:rFonts w:ascii="Times New Roman"/>
                <w:sz w:val="18"/>
              </w:rPr>
              <w:t>264,946,5</w:t>
            </w:r>
          </w:p>
          <w:p>
            <w:pPr>
              <w:pStyle w:val="TableParagraph"/>
              <w:spacing w:line="240" w:lineRule="auto" w:before="105"/>
              <w:ind w:left="413" w:right="0"/>
              <w:jc w:val="left"/>
              <w:rPr>
                <w:rFonts w:ascii="Times New Roman" w:hAnsi="Times New Roman" w:cs="Times New Roman" w:eastAsia="Times New Roman" w:hint="default"/>
                <w:sz w:val="18"/>
                <w:szCs w:val="18"/>
              </w:rPr>
            </w:pPr>
            <w:r>
              <w:rPr>
                <w:rFonts w:ascii="Times New Roman"/>
                <w:sz w:val="18"/>
              </w:rPr>
              <w:t>00.00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center"/>
              <w:rPr>
                <w:rFonts w:ascii="Times New Roman" w:hAnsi="Times New Roman" w:cs="Times New Roman" w:eastAsia="Times New Roman" w:hint="default"/>
                <w:sz w:val="18"/>
                <w:szCs w:val="18"/>
              </w:rPr>
            </w:pPr>
            <w:r>
              <w:rPr>
                <w:rFonts w:ascii="Times New Roman"/>
                <w:sz w:val="18"/>
              </w:rPr>
              <w:t>517,854,</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658.17</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 w:right="0"/>
              <w:jc w:val="left"/>
              <w:rPr>
                <w:rFonts w:ascii="Times New Roman" w:hAnsi="Times New Roman" w:cs="Times New Roman" w:eastAsia="Times New Roman" w:hint="default"/>
                <w:sz w:val="18"/>
                <w:szCs w:val="18"/>
              </w:rPr>
            </w:pPr>
            <w:r>
              <w:rPr>
                <w:rFonts w:ascii="Times New Roman"/>
                <w:sz w:val="18"/>
              </w:rPr>
              <w:t>23,757,2</w:t>
            </w:r>
          </w:p>
          <w:p>
            <w:pPr>
              <w:pStyle w:val="TableParagraph"/>
              <w:spacing w:line="240" w:lineRule="auto" w:before="105"/>
              <w:ind w:left="269" w:right="0"/>
              <w:jc w:val="left"/>
              <w:rPr>
                <w:rFonts w:ascii="Times New Roman" w:hAnsi="Times New Roman" w:cs="Times New Roman" w:eastAsia="Times New Roman" w:hint="default"/>
                <w:sz w:val="18"/>
                <w:szCs w:val="18"/>
              </w:rPr>
            </w:pPr>
            <w:r>
              <w:rPr>
                <w:rFonts w:ascii="Times New Roman"/>
                <w:sz w:val="18"/>
              </w:rPr>
              <w:t>96.65</w:t>
            </w: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2" w:right="0"/>
              <w:jc w:val="center"/>
              <w:rPr>
                <w:rFonts w:ascii="Times New Roman" w:hAnsi="Times New Roman" w:cs="Times New Roman" w:eastAsia="Times New Roman" w:hint="default"/>
                <w:sz w:val="18"/>
                <w:szCs w:val="18"/>
              </w:rPr>
            </w:pPr>
            <w:r>
              <w:rPr>
                <w:rFonts w:ascii="Times New Roman"/>
                <w:sz w:val="18"/>
              </w:rPr>
              <w:t>171,924,</w:t>
            </w:r>
          </w:p>
          <w:p>
            <w:pPr>
              <w:pStyle w:val="TableParagraph"/>
              <w:spacing w:line="240" w:lineRule="auto" w:before="105"/>
              <w:ind w:left="218" w:right="0"/>
              <w:jc w:val="center"/>
              <w:rPr>
                <w:rFonts w:ascii="Times New Roman" w:hAnsi="Times New Roman" w:cs="Times New Roman" w:eastAsia="Times New Roman" w:hint="default"/>
                <w:sz w:val="18"/>
                <w:szCs w:val="18"/>
              </w:rPr>
            </w:pPr>
            <w:r>
              <w:rPr>
                <w:rFonts w:ascii="Times New Roman"/>
                <w:sz w:val="18"/>
              </w:rPr>
              <w:t>798.30</w:t>
            </w: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978,483,253.12</w:t>
            </w: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22" w:right="22"/>
              <w:jc w:val="left"/>
              <w:rPr>
                <w:rFonts w:ascii="宋体" w:hAnsi="宋体" w:cs="宋体" w:eastAsia="宋体" w:hint="default"/>
                <w:sz w:val="18"/>
                <w:szCs w:val="18"/>
              </w:rPr>
            </w:pPr>
            <w:r>
              <w:rPr>
                <w:rFonts w:ascii="宋体" w:hAnsi="宋体" w:cs="宋体" w:eastAsia="宋体" w:hint="default"/>
                <w:sz w:val="18"/>
                <w:szCs w:val="18"/>
              </w:rPr>
              <w:t>三、本年增减变动金额（减 少以“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Times New Roman" w:hAnsi="Times New Roman" w:cs="Times New Roman" w:eastAsia="Times New Roman" w:hint="default"/>
                <w:sz w:val="18"/>
                <w:szCs w:val="18"/>
              </w:rPr>
            </w:pPr>
            <w:r>
              <w:rPr>
                <w:rFonts w:ascii="Times New Roman"/>
                <w:sz w:val="18"/>
              </w:rPr>
              <w:t>79,483,9</w:t>
            </w:r>
          </w:p>
          <w:p>
            <w:pPr>
              <w:pStyle w:val="TableParagraph"/>
              <w:spacing w:line="240" w:lineRule="auto" w:before="105"/>
              <w:ind w:left="329" w:right="0"/>
              <w:jc w:val="left"/>
              <w:rPr>
                <w:rFonts w:ascii="Times New Roman" w:hAnsi="Times New Roman" w:cs="Times New Roman" w:eastAsia="Times New Roman" w:hint="default"/>
                <w:sz w:val="18"/>
                <w:szCs w:val="18"/>
              </w:rPr>
            </w:pPr>
            <w:r>
              <w:rPr>
                <w:rFonts w:ascii="Times New Roman"/>
                <w:sz w:val="18"/>
              </w:rPr>
              <w:t>50.00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8" w:right="0"/>
              <w:jc w:val="center"/>
              <w:rPr>
                <w:rFonts w:ascii="Times New Roman" w:hAnsi="Times New Roman" w:cs="Times New Roman" w:eastAsia="Times New Roman" w:hint="default"/>
                <w:sz w:val="18"/>
                <w:szCs w:val="18"/>
              </w:rPr>
            </w:pPr>
            <w:r>
              <w:rPr>
                <w:rFonts w:ascii="Times New Roman"/>
                <w:sz w:val="18"/>
              </w:rPr>
              <w:t>-184,665</w:t>
            </w:r>
          </w:p>
          <w:p>
            <w:pPr>
              <w:pStyle w:val="TableParagraph"/>
              <w:spacing w:line="240" w:lineRule="auto" w:before="105"/>
              <w:ind w:left="112" w:right="0"/>
              <w:jc w:val="center"/>
              <w:rPr>
                <w:rFonts w:ascii="Times New Roman" w:hAnsi="Times New Roman" w:cs="Times New Roman" w:eastAsia="Times New Roman" w:hint="default"/>
                <w:sz w:val="18"/>
                <w:szCs w:val="18"/>
              </w:rPr>
            </w:pPr>
            <w:r>
              <w:rPr>
                <w:rFonts w:ascii="Times New Roman"/>
                <w:sz w:val="18"/>
              </w:rPr>
              <w:t>,141.57</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 w:right="0"/>
              <w:jc w:val="left"/>
              <w:rPr>
                <w:rFonts w:ascii="Times New Roman" w:hAnsi="Times New Roman" w:cs="Times New Roman" w:eastAsia="Times New Roman" w:hint="default"/>
                <w:sz w:val="18"/>
                <w:szCs w:val="18"/>
              </w:rPr>
            </w:pPr>
            <w:r>
              <w:rPr>
                <w:rFonts w:ascii="Times New Roman"/>
                <w:sz w:val="18"/>
              </w:rPr>
              <w:t>6,604,25</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5.08</w:t>
            </w: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 w:right="0"/>
              <w:jc w:val="center"/>
              <w:rPr>
                <w:rFonts w:ascii="Times New Roman" w:hAnsi="Times New Roman" w:cs="Times New Roman" w:eastAsia="Times New Roman" w:hint="default"/>
                <w:sz w:val="18"/>
                <w:szCs w:val="18"/>
              </w:rPr>
            </w:pPr>
            <w:r>
              <w:rPr>
                <w:rFonts w:ascii="Times New Roman"/>
                <w:sz w:val="18"/>
              </w:rPr>
              <w:t>172,205,</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327.93</w:t>
            </w: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97" w:right="0"/>
              <w:jc w:val="left"/>
              <w:rPr>
                <w:rFonts w:ascii="Times New Roman" w:hAnsi="Times New Roman" w:cs="Times New Roman" w:eastAsia="Times New Roman" w:hint="default"/>
                <w:sz w:val="18"/>
                <w:szCs w:val="18"/>
              </w:rPr>
            </w:pPr>
            <w:r>
              <w:rPr>
                <w:rFonts w:ascii="Times New Roman"/>
                <w:sz w:val="18"/>
              </w:rPr>
              <w:t>73,628,39</w:t>
            </w:r>
          </w:p>
          <w:p>
            <w:pPr>
              <w:pStyle w:val="TableParagraph"/>
              <w:spacing w:line="240" w:lineRule="auto" w:before="105"/>
              <w:ind w:left="502" w:right="0"/>
              <w:jc w:val="left"/>
              <w:rPr>
                <w:rFonts w:ascii="Times New Roman" w:hAnsi="Times New Roman" w:cs="Times New Roman" w:eastAsia="Times New Roman" w:hint="default"/>
                <w:sz w:val="18"/>
                <w:szCs w:val="18"/>
              </w:rPr>
            </w:pPr>
            <w:r>
              <w:rPr>
                <w:rFonts w:ascii="Times New Roman"/>
                <w:sz w:val="18"/>
              </w:rPr>
              <w:t>1.44</w:t>
            </w: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 w:right="0"/>
              <w:jc w:val="center"/>
              <w:rPr>
                <w:rFonts w:ascii="Times New Roman" w:hAnsi="Times New Roman" w:cs="Times New Roman" w:eastAsia="Times New Roman" w:hint="default"/>
                <w:sz w:val="18"/>
                <w:szCs w:val="18"/>
              </w:rPr>
            </w:pPr>
            <w:r>
              <w:rPr>
                <w:rFonts w:ascii="Times New Roman"/>
                <w:sz w:val="18"/>
              </w:rPr>
              <w:t>168,244,</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750.00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4" w:right="0"/>
              <w:jc w:val="left"/>
              <w:rPr>
                <w:rFonts w:ascii="Times New Roman" w:hAnsi="Times New Roman" w:cs="Times New Roman" w:eastAsia="Times New Roman" w:hint="default"/>
                <w:sz w:val="18"/>
                <w:szCs w:val="18"/>
              </w:rPr>
            </w:pPr>
            <w:r>
              <w:rPr>
                <w:rFonts w:ascii="Times New Roman"/>
                <w:sz w:val="18"/>
              </w:rPr>
              <w:t>3,470,02</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6.76</w:t>
            </w: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5" w:right="0"/>
              <w:jc w:val="left"/>
              <w:rPr>
                <w:rFonts w:ascii="Times New Roman" w:hAnsi="Times New Roman" w:cs="Times New Roman" w:eastAsia="Times New Roman" w:hint="default"/>
                <w:sz w:val="18"/>
                <w:szCs w:val="18"/>
              </w:rPr>
            </w:pPr>
            <w:r>
              <w:rPr>
                <w:rFonts w:ascii="Times New Roman"/>
                <w:sz w:val="18"/>
              </w:rPr>
              <w:t>90,577,8</w:t>
            </w:r>
          </w:p>
          <w:p>
            <w:pPr>
              <w:pStyle w:val="TableParagraph"/>
              <w:spacing w:line="240" w:lineRule="auto" w:before="105"/>
              <w:ind w:left="331" w:right="0"/>
              <w:jc w:val="left"/>
              <w:rPr>
                <w:rFonts w:ascii="Times New Roman" w:hAnsi="Times New Roman" w:cs="Times New Roman" w:eastAsia="Times New Roman" w:hint="default"/>
                <w:sz w:val="18"/>
                <w:szCs w:val="18"/>
              </w:rPr>
            </w:pPr>
            <w:r>
              <w:rPr>
                <w:rFonts w:ascii="Times New Roman"/>
                <w:sz w:val="18"/>
              </w:rPr>
              <w:t>43.03</w:t>
            </w: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262,292,619.79</w:t>
            </w: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 w:right="0"/>
              <w:jc w:val="center"/>
              <w:rPr>
                <w:rFonts w:ascii="Times New Roman" w:hAnsi="Times New Roman" w:cs="Times New Roman" w:eastAsia="Times New Roman" w:hint="default"/>
                <w:sz w:val="18"/>
                <w:szCs w:val="18"/>
              </w:rPr>
            </w:pPr>
            <w:r>
              <w:rPr>
                <w:rFonts w:ascii="Times New Roman"/>
                <w:sz w:val="18"/>
              </w:rPr>
              <w:t>178,809,</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583.01</w:t>
            </w: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97" w:right="0"/>
              <w:jc w:val="left"/>
              <w:rPr>
                <w:rFonts w:ascii="Times New Roman" w:hAnsi="Times New Roman" w:cs="Times New Roman" w:eastAsia="Times New Roman" w:hint="default"/>
                <w:sz w:val="18"/>
                <w:szCs w:val="18"/>
              </w:rPr>
            </w:pPr>
            <w:r>
              <w:rPr>
                <w:rFonts w:ascii="Times New Roman"/>
                <w:sz w:val="18"/>
              </w:rPr>
              <w:t>178,809,5</w:t>
            </w:r>
          </w:p>
          <w:p>
            <w:pPr>
              <w:pStyle w:val="TableParagraph"/>
              <w:spacing w:line="240" w:lineRule="auto" w:before="105"/>
              <w:ind w:left="412" w:right="0"/>
              <w:jc w:val="left"/>
              <w:rPr>
                <w:rFonts w:ascii="Times New Roman" w:hAnsi="Times New Roman" w:cs="Times New Roman" w:eastAsia="Times New Roman" w:hint="default"/>
                <w:sz w:val="18"/>
                <w:szCs w:val="18"/>
              </w:rPr>
            </w:pPr>
            <w:r>
              <w:rPr>
                <w:rFonts w:ascii="Times New Roman"/>
                <w:sz w:val="18"/>
              </w:rPr>
              <w:t>83.01</w:t>
            </w: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5" w:right="0"/>
              <w:jc w:val="left"/>
              <w:rPr>
                <w:rFonts w:ascii="Times New Roman" w:hAnsi="Times New Roman" w:cs="Times New Roman" w:eastAsia="Times New Roman" w:hint="default"/>
                <w:sz w:val="18"/>
                <w:szCs w:val="18"/>
              </w:rPr>
            </w:pPr>
            <w:r>
              <w:rPr>
                <w:rFonts w:ascii="Times New Roman"/>
                <w:sz w:val="18"/>
              </w:rPr>
              <w:t>94,047,8</w:t>
            </w:r>
          </w:p>
          <w:p>
            <w:pPr>
              <w:pStyle w:val="TableParagraph"/>
              <w:spacing w:line="240" w:lineRule="auto" w:before="105"/>
              <w:ind w:left="331" w:right="0"/>
              <w:jc w:val="left"/>
              <w:rPr>
                <w:rFonts w:ascii="Times New Roman" w:hAnsi="Times New Roman" w:cs="Times New Roman" w:eastAsia="Times New Roman" w:hint="default"/>
                <w:sz w:val="18"/>
                <w:szCs w:val="18"/>
              </w:rPr>
            </w:pPr>
            <w:r>
              <w:rPr>
                <w:rFonts w:ascii="Times New Roman"/>
                <w:sz w:val="18"/>
              </w:rPr>
              <w:t>69.79</w:t>
            </w: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94,047,869.79</w:t>
            </w:r>
          </w:p>
        </w:tc>
      </w:tr>
      <w:tr>
        <w:trPr>
          <w:trHeight w:val="635"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 w:right="0"/>
              <w:jc w:val="center"/>
              <w:rPr>
                <w:rFonts w:ascii="Times New Roman" w:hAnsi="Times New Roman" w:cs="Times New Roman" w:eastAsia="Times New Roman" w:hint="default"/>
                <w:sz w:val="18"/>
                <w:szCs w:val="18"/>
              </w:rPr>
            </w:pPr>
            <w:r>
              <w:rPr>
                <w:rFonts w:ascii="Times New Roman"/>
                <w:sz w:val="18"/>
              </w:rPr>
              <w:t>-107,713</w:t>
            </w:r>
          </w:p>
          <w:p>
            <w:pPr>
              <w:pStyle w:val="TableParagraph"/>
              <w:spacing w:line="240" w:lineRule="auto" w:before="105"/>
              <w:ind w:left="112" w:right="0"/>
              <w:jc w:val="center"/>
              <w:rPr>
                <w:rFonts w:ascii="Times New Roman" w:hAnsi="Times New Roman" w:cs="Times New Roman" w:eastAsia="Times New Roman" w:hint="default"/>
                <w:sz w:val="18"/>
                <w:szCs w:val="18"/>
              </w:rPr>
            </w:pPr>
            <w:r>
              <w:rPr>
                <w:rFonts w:ascii="Times New Roman"/>
                <w:sz w:val="18"/>
              </w:rPr>
              <w:t>,721.68</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7" w:right="0"/>
              <w:jc w:val="left"/>
              <w:rPr>
                <w:rFonts w:ascii="Times New Roman" w:hAnsi="Times New Roman" w:cs="Times New Roman" w:eastAsia="Times New Roman" w:hint="default"/>
                <w:sz w:val="18"/>
                <w:szCs w:val="18"/>
              </w:rPr>
            </w:pPr>
            <w:r>
              <w:rPr>
                <w:rFonts w:ascii="Times New Roman"/>
                <w:sz w:val="18"/>
              </w:rPr>
              <w:t>-107,713,7</w:t>
            </w:r>
          </w:p>
          <w:p>
            <w:pPr>
              <w:pStyle w:val="TableParagraph"/>
              <w:spacing w:line="240" w:lineRule="auto" w:before="105"/>
              <w:ind w:left="412" w:right="0"/>
              <w:jc w:val="left"/>
              <w:rPr>
                <w:rFonts w:ascii="Times New Roman" w:hAnsi="Times New Roman" w:cs="Times New Roman" w:eastAsia="Times New Roman" w:hint="default"/>
                <w:sz w:val="18"/>
                <w:szCs w:val="18"/>
              </w:rPr>
            </w:pPr>
            <w:r>
              <w:rPr>
                <w:rFonts w:ascii="Times New Roman"/>
                <w:sz w:val="18"/>
              </w:rPr>
              <w:t>21.68</w:t>
            </w: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center"/>
              <w:rPr>
                <w:rFonts w:ascii="Times New Roman" w:hAnsi="Times New Roman" w:cs="Times New Roman" w:eastAsia="Times New Roman" w:hint="default"/>
                <w:sz w:val="18"/>
                <w:szCs w:val="18"/>
              </w:rPr>
            </w:pPr>
            <w:r>
              <w:rPr>
                <w:rFonts w:ascii="Times New Roman"/>
                <w:sz w:val="18"/>
              </w:rPr>
              <w:t>168,244,</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750.00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168,244,750.00</w:t>
            </w: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8" w:right="0"/>
              <w:jc w:val="center"/>
              <w:rPr>
                <w:rFonts w:ascii="Times New Roman" w:hAnsi="Times New Roman" w:cs="Times New Roman" w:eastAsia="Times New Roman" w:hint="default"/>
                <w:sz w:val="18"/>
                <w:szCs w:val="18"/>
              </w:rPr>
            </w:pPr>
            <w:r>
              <w:rPr>
                <w:rFonts w:ascii="Times New Roman"/>
                <w:sz w:val="18"/>
              </w:rPr>
              <w:t>-107,713</w:t>
            </w:r>
          </w:p>
          <w:p>
            <w:pPr>
              <w:pStyle w:val="TableParagraph"/>
              <w:spacing w:line="240" w:lineRule="auto" w:before="105"/>
              <w:ind w:left="112" w:right="0"/>
              <w:jc w:val="center"/>
              <w:rPr>
                <w:rFonts w:ascii="Times New Roman" w:hAnsi="Times New Roman" w:cs="Times New Roman" w:eastAsia="Times New Roman" w:hint="default"/>
                <w:sz w:val="18"/>
                <w:szCs w:val="18"/>
              </w:rPr>
            </w:pPr>
            <w:r>
              <w:rPr>
                <w:rFonts w:ascii="Times New Roman"/>
                <w:sz w:val="18"/>
              </w:rPr>
              <w:t>,721.68</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 w:right="0"/>
              <w:jc w:val="center"/>
              <w:rPr>
                <w:rFonts w:ascii="Times New Roman" w:hAnsi="Times New Roman" w:cs="Times New Roman" w:eastAsia="Times New Roman" w:hint="default"/>
                <w:sz w:val="18"/>
                <w:szCs w:val="18"/>
              </w:rPr>
            </w:pPr>
            <w:r>
              <w:rPr>
                <w:rFonts w:ascii="Times New Roman"/>
                <w:sz w:val="18"/>
              </w:rPr>
              <w:t>178,809,</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583.01</w:t>
            </w: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97" w:right="0"/>
              <w:jc w:val="left"/>
              <w:rPr>
                <w:rFonts w:ascii="Times New Roman" w:hAnsi="Times New Roman" w:cs="Times New Roman" w:eastAsia="Times New Roman" w:hint="default"/>
                <w:sz w:val="18"/>
                <w:szCs w:val="18"/>
              </w:rPr>
            </w:pPr>
            <w:r>
              <w:rPr>
                <w:rFonts w:ascii="Times New Roman"/>
                <w:sz w:val="18"/>
              </w:rPr>
              <w:t>71,095,86</w:t>
            </w:r>
          </w:p>
          <w:p>
            <w:pPr>
              <w:pStyle w:val="TableParagraph"/>
              <w:spacing w:line="240" w:lineRule="auto" w:before="105"/>
              <w:ind w:left="502" w:right="0"/>
              <w:jc w:val="left"/>
              <w:rPr>
                <w:rFonts w:ascii="Times New Roman" w:hAnsi="Times New Roman" w:cs="Times New Roman" w:eastAsia="Times New Roman" w:hint="default"/>
                <w:sz w:val="18"/>
                <w:szCs w:val="18"/>
              </w:rPr>
            </w:pPr>
            <w:r>
              <w:rPr>
                <w:rFonts w:ascii="Times New Roman"/>
                <w:sz w:val="18"/>
              </w:rPr>
              <w:t>1.33</w:t>
            </w: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 w:right="0"/>
              <w:jc w:val="center"/>
              <w:rPr>
                <w:rFonts w:ascii="Times New Roman" w:hAnsi="Times New Roman" w:cs="Times New Roman" w:eastAsia="Times New Roman" w:hint="default"/>
                <w:sz w:val="18"/>
                <w:szCs w:val="18"/>
              </w:rPr>
            </w:pPr>
            <w:r>
              <w:rPr>
                <w:rFonts w:ascii="Times New Roman"/>
                <w:sz w:val="18"/>
              </w:rPr>
              <w:t>168,244,</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750.00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5" w:right="0"/>
              <w:jc w:val="left"/>
              <w:rPr>
                <w:rFonts w:ascii="Times New Roman" w:hAnsi="Times New Roman" w:cs="Times New Roman" w:eastAsia="Times New Roman" w:hint="default"/>
                <w:sz w:val="18"/>
                <w:szCs w:val="18"/>
              </w:rPr>
            </w:pPr>
            <w:r>
              <w:rPr>
                <w:rFonts w:ascii="Times New Roman"/>
                <w:sz w:val="18"/>
              </w:rPr>
              <w:t>94,047,8</w:t>
            </w:r>
          </w:p>
          <w:p>
            <w:pPr>
              <w:pStyle w:val="TableParagraph"/>
              <w:spacing w:line="240" w:lineRule="auto" w:before="105"/>
              <w:ind w:left="331" w:right="0"/>
              <w:jc w:val="left"/>
              <w:rPr>
                <w:rFonts w:ascii="Times New Roman" w:hAnsi="Times New Roman" w:cs="Times New Roman" w:eastAsia="Times New Roman" w:hint="default"/>
                <w:sz w:val="18"/>
                <w:szCs w:val="18"/>
              </w:rPr>
            </w:pPr>
            <w:r>
              <w:rPr>
                <w:rFonts w:ascii="Times New Roman"/>
                <w:sz w:val="18"/>
              </w:rPr>
              <w:t>69.79</w:t>
            </w: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262,292,619.79</w:t>
            </w: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22" w:right="22" w:firstLine="180"/>
              <w:jc w:val="left"/>
              <w:rPr>
                <w:rFonts w:ascii="宋体" w:hAnsi="宋体" w:cs="宋体" w:eastAsia="宋体" w:hint="default"/>
                <w:sz w:val="18"/>
                <w:szCs w:val="18"/>
              </w:rPr>
            </w:pPr>
            <w:r>
              <w:rPr>
                <w:rFonts w:ascii="宋体" w:hAnsi="宋体" w:cs="宋体" w:eastAsia="宋体" w:hint="default"/>
                <w:sz w:val="18"/>
                <w:szCs w:val="18"/>
              </w:rPr>
              <w:t>（三）所有者投入和减少 资本</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 w:right="0"/>
              <w:jc w:val="left"/>
              <w:rPr>
                <w:rFonts w:ascii="Times New Roman" w:hAnsi="Times New Roman" w:cs="Times New Roman" w:eastAsia="Times New Roman" w:hint="default"/>
                <w:sz w:val="18"/>
                <w:szCs w:val="18"/>
              </w:rPr>
            </w:pPr>
            <w:r>
              <w:rPr>
                <w:rFonts w:ascii="Times New Roman"/>
                <w:sz w:val="18"/>
              </w:rPr>
              <w:t>2,532,53</w:t>
            </w:r>
          </w:p>
          <w:p>
            <w:pPr>
              <w:pStyle w:val="TableParagraph"/>
              <w:spacing w:line="240" w:lineRule="auto" w:before="105"/>
              <w:ind w:left="367" w:right="0"/>
              <w:jc w:val="left"/>
              <w:rPr>
                <w:rFonts w:ascii="Times New Roman" w:hAnsi="Times New Roman" w:cs="Times New Roman" w:eastAsia="Times New Roman" w:hint="default"/>
                <w:sz w:val="18"/>
                <w:szCs w:val="18"/>
              </w:rPr>
            </w:pPr>
            <w:r>
              <w:rPr>
                <w:rFonts w:ascii="Times New Roman"/>
                <w:sz w:val="18"/>
              </w:rPr>
              <w:t>0.11</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2,532,530.</w:t>
            </w:r>
          </w:p>
          <w:p>
            <w:pPr>
              <w:pStyle w:val="TableParagraph"/>
              <w:spacing w:line="240" w:lineRule="auto" w:before="105"/>
              <w:ind w:right="29"/>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bl>
    <w:p>
      <w:pPr>
        <w:spacing w:after="0"/>
        <w:sectPr>
          <w:headerReference w:type="default" r:id="rId23"/>
          <w:footerReference w:type="default" r:id="rId24"/>
          <w:pgSz w:w="16840" w:h="11910" w:orient="landscape"/>
          <w:pgMar w:header="877" w:footer="1252" w:top="1100" w:bottom="1440" w:left="980" w:right="900"/>
          <w:pgNumType w:start="89"/>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210"/>
        <w:gridCol w:w="767"/>
        <w:gridCol w:w="709"/>
        <w:gridCol w:w="425"/>
        <w:gridCol w:w="425"/>
        <w:gridCol w:w="709"/>
        <w:gridCol w:w="425"/>
        <w:gridCol w:w="709"/>
        <w:gridCol w:w="284"/>
        <w:gridCol w:w="425"/>
        <w:gridCol w:w="850"/>
        <w:gridCol w:w="851"/>
        <w:gridCol w:w="709"/>
        <w:gridCol w:w="568"/>
        <w:gridCol w:w="566"/>
        <w:gridCol w:w="708"/>
        <w:gridCol w:w="709"/>
        <w:gridCol w:w="769"/>
        <w:gridCol w:w="223"/>
        <w:gridCol w:w="426"/>
        <w:gridCol w:w="1223"/>
      </w:tblGrid>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10"/>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 者权益的金额</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 w:right="0"/>
              <w:jc w:val="left"/>
              <w:rPr>
                <w:rFonts w:ascii="Times New Roman" w:hAnsi="Times New Roman" w:cs="Times New Roman" w:eastAsia="Times New Roman" w:hint="default"/>
                <w:sz w:val="18"/>
                <w:szCs w:val="18"/>
              </w:rPr>
            </w:pPr>
            <w:r>
              <w:rPr>
                <w:rFonts w:ascii="Times New Roman"/>
                <w:sz w:val="18"/>
              </w:rPr>
              <w:t>2,532,53</w:t>
            </w:r>
          </w:p>
          <w:p>
            <w:pPr>
              <w:pStyle w:val="TableParagraph"/>
              <w:spacing w:line="240" w:lineRule="auto" w:before="105"/>
              <w:ind w:left="367" w:right="0"/>
              <w:jc w:val="left"/>
              <w:rPr>
                <w:rFonts w:ascii="Times New Roman" w:hAnsi="Times New Roman" w:cs="Times New Roman" w:eastAsia="Times New Roman" w:hint="default"/>
                <w:sz w:val="18"/>
                <w:szCs w:val="18"/>
              </w:rPr>
            </w:pPr>
            <w:r>
              <w:rPr>
                <w:rFonts w:ascii="Times New Roman"/>
                <w:sz w:val="18"/>
              </w:rPr>
              <w:t>0.11</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2,532,530.</w:t>
            </w:r>
          </w:p>
          <w:p>
            <w:pPr>
              <w:pStyle w:val="TableParagraph"/>
              <w:spacing w:line="240" w:lineRule="auto" w:before="105"/>
              <w:ind w:right="29"/>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 w:right="0"/>
              <w:jc w:val="left"/>
              <w:rPr>
                <w:rFonts w:ascii="Times New Roman" w:hAnsi="Times New Roman" w:cs="Times New Roman" w:eastAsia="Times New Roman" w:hint="default"/>
                <w:sz w:val="18"/>
                <w:szCs w:val="18"/>
              </w:rPr>
            </w:pPr>
            <w:r>
              <w:rPr>
                <w:rFonts w:ascii="Times New Roman"/>
                <w:sz w:val="18"/>
              </w:rPr>
              <w:t>6,604,25</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5.08</w:t>
            </w: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2" w:right="0"/>
              <w:jc w:val="center"/>
              <w:rPr>
                <w:rFonts w:ascii="Times New Roman" w:hAnsi="Times New Roman" w:cs="Times New Roman" w:eastAsia="Times New Roman" w:hint="default"/>
                <w:sz w:val="18"/>
                <w:szCs w:val="18"/>
              </w:rPr>
            </w:pPr>
            <w:r>
              <w:rPr>
                <w:rFonts w:ascii="Times New Roman"/>
                <w:sz w:val="18"/>
              </w:rPr>
              <w:t>-6,604,2</w:t>
            </w:r>
          </w:p>
          <w:p>
            <w:pPr>
              <w:pStyle w:val="TableParagraph"/>
              <w:spacing w:line="240" w:lineRule="auto" w:before="105"/>
              <w:ind w:left="248" w:right="0"/>
              <w:jc w:val="center"/>
              <w:rPr>
                <w:rFonts w:ascii="Times New Roman" w:hAnsi="Times New Roman" w:cs="Times New Roman" w:eastAsia="Times New Roman" w:hint="default"/>
                <w:sz w:val="18"/>
                <w:szCs w:val="18"/>
              </w:rPr>
            </w:pPr>
            <w:r>
              <w:rPr>
                <w:rFonts w:ascii="Times New Roman"/>
                <w:sz w:val="18"/>
              </w:rPr>
              <w:t>55.08</w:t>
            </w: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4" w:right="0"/>
              <w:jc w:val="left"/>
              <w:rPr>
                <w:rFonts w:ascii="Times New Roman" w:hAnsi="Times New Roman" w:cs="Times New Roman" w:eastAsia="Times New Roman" w:hint="default"/>
                <w:sz w:val="18"/>
                <w:szCs w:val="18"/>
              </w:rPr>
            </w:pPr>
            <w:r>
              <w:rPr>
                <w:rFonts w:ascii="Times New Roman"/>
                <w:sz w:val="18"/>
              </w:rPr>
              <w:t>3,470,02</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6.76</w:t>
            </w: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 w:right="0"/>
              <w:jc w:val="left"/>
              <w:rPr>
                <w:rFonts w:ascii="Times New Roman" w:hAnsi="Times New Roman" w:cs="Times New Roman" w:eastAsia="Times New Roman" w:hint="default"/>
                <w:sz w:val="18"/>
                <w:szCs w:val="18"/>
              </w:rPr>
            </w:pPr>
            <w:r>
              <w:rPr>
                <w:rFonts w:ascii="Times New Roman"/>
                <w:sz w:val="18"/>
              </w:rPr>
              <w:t>-3,470,02</w:t>
            </w:r>
          </w:p>
          <w:p>
            <w:pPr>
              <w:pStyle w:val="TableParagraph"/>
              <w:spacing w:line="240" w:lineRule="auto" w:before="105"/>
              <w:ind w:left="421" w:right="0"/>
              <w:jc w:val="left"/>
              <w:rPr>
                <w:rFonts w:ascii="Times New Roman" w:hAnsi="Times New Roman" w:cs="Times New Roman" w:eastAsia="Times New Roman" w:hint="default"/>
                <w:sz w:val="18"/>
                <w:szCs w:val="18"/>
              </w:rPr>
            </w:pPr>
            <w:r>
              <w:rPr>
                <w:rFonts w:ascii="Times New Roman"/>
                <w:sz w:val="18"/>
              </w:rPr>
              <w:t>6.76</w:t>
            </w: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 w:right="0"/>
              <w:jc w:val="left"/>
              <w:rPr>
                <w:rFonts w:ascii="Times New Roman" w:hAnsi="Times New Roman" w:cs="Times New Roman" w:eastAsia="Times New Roman" w:hint="default"/>
                <w:sz w:val="18"/>
                <w:szCs w:val="18"/>
              </w:rPr>
            </w:pPr>
            <w:r>
              <w:rPr>
                <w:rFonts w:ascii="Times New Roman"/>
                <w:sz w:val="18"/>
              </w:rPr>
              <w:t>6,604,25</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5.08</w:t>
            </w: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2" w:right="0"/>
              <w:jc w:val="center"/>
              <w:rPr>
                <w:rFonts w:ascii="Times New Roman" w:hAnsi="Times New Roman" w:cs="Times New Roman" w:eastAsia="Times New Roman" w:hint="default"/>
                <w:sz w:val="18"/>
                <w:szCs w:val="18"/>
              </w:rPr>
            </w:pPr>
            <w:r>
              <w:rPr>
                <w:rFonts w:ascii="Times New Roman"/>
                <w:sz w:val="18"/>
              </w:rPr>
              <w:t>-6,604,2</w:t>
            </w:r>
          </w:p>
          <w:p>
            <w:pPr>
              <w:pStyle w:val="TableParagraph"/>
              <w:spacing w:line="240" w:lineRule="auto" w:before="105"/>
              <w:ind w:left="248" w:right="0"/>
              <w:jc w:val="center"/>
              <w:rPr>
                <w:rFonts w:ascii="Times New Roman" w:hAnsi="Times New Roman" w:cs="Times New Roman" w:eastAsia="Times New Roman" w:hint="default"/>
                <w:sz w:val="18"/>
                <w:szCs w:val="18"/>
              </w:rPr>
            </w:pPr>
            <w:r>
              <w:rPr>
                <w:rFonts w:ascii="Times New Roman"/>
                <w:sz w:val="18"/>
              </w:rPr>
              <w:t>55.08</w:t>
            </w: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4" w:right="0"/>
              <w:jc w:val="left"/>
              <w:rPr>
                <w:rFonts w:ascii="Times New Roman" w:hAnsi="Times New Roman" w:cs="Times New Roman" w:eastAsia="Times New Roman" w:hint="default"/>
                <w:sz w:val="18"/>
                <w:szCs w:val="18"/>
              </w:rPr>
            </w:pPr>
            <w:r>
              <w:rPr>
                <w:rFonts w:ascii="Times New Roman"/>
                <w:sz w:val="18"/>
              </w:rPr>
              <w:t>3,470,02</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6.76</w:t>
            </w: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 w:right="0"/>
              <w:jc w:val="left"/>
              <w:rPr>
                <w:rFonts w:ascii="Times New Roman" w:hAnsi="Times New Roman" w:cs="Times New Roman" w:eastAsia="Times New Roman" w:hint="default"/>
                <w:sz w:val="18"/>
                <w:szCs w:val="18"/>
              </w:rPr>
            </w:pPr>
            <w:r>
              <w:rPr>
                <w:rFonts w:ascii="Times New Roman"/>
                <w:sz w:val="18"/>
              </w:rPr>
              <w:t>-3,470,02</w:t>
            </w:r>
          </w:p>
          <w:p>
            <w:pPr>
              <w:pStyle w:val="TableParagraph"/>
              <w:spacing w:line="240" w:lineRule="auto" w:before="105"/>
              <w:ind w:left="421" w:right="0"/>
              <w:jc w:val="left"/>
              <w:rPr>
                <w:rFonts w:ascii="Times New Roman" w:hAnsi="Times New Roman" w:cs="Times New Roman" w:eastAsia="Times New Roman" w:hint="default"/>
                <w:sz w:val="18"/>
                <w:szCs w:val="18"/>
              </w:rPr>
            </w:pPr>
            <w:r>
              <w:rPr>
                <w:rFonts w:ascii="Times New Roman"/>
                <w:sz w:val="18"/>
              </w:rPr>
              <w:t>6.76</w:t>
            </w: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105"/>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10"/>
              <w:ind w:left="22" w:right="111"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 的分配</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1"/>
              <w:ind w:left="22" w:right="21" w:firstLine="180"/>
              <w:jc w:val="left"/>
              <w:rPr>
                <w:rFonts w:ascii="宋体" w:hAnsi="宋体" w:cs="宋体" w:eastAsia="宋体" w:hint="default"/>
                <w:sz w:val="18"/>
                <w:szCs w:val="18"/>
              </w:rPr>
            </w:pPr>
            <w:r>
              <w:rPr>
                <w:rFonts w:ascii="宋体" w:hAnsi="宋体" w:cs="宋体" w:eastAsia="宋体" w:hint="default"/>
                <w:sz w:val="18"/>
                <w:szCs w:val="18"/>
              </w:rPr>
              <w:t>（五）所有者权益内部结 转</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Times New Roman" w:hAnsi="Times New Roman" w:cs="Times New Roman" w:eastAsia="Times New Roman" w:hint="default"/>
                <w:sz w:val="18"/>
                <w:szCs w:val="18"/>
              </w:rPr>
            </w:pPr>
            <w:r>
              <w:rPr>
                <w:rFonts w:ascii="Times New Roman"/>
                <w:sz w:val="18"/>
              </w:rPr>
              <w:t>79,483,9</w:t>
            </w:r>
          </w:p>
          <w:p>
            <w:pPr>
              <w:pStyle w:val="TableParagraph"/>
              <w:spacing w:line="240" w:lineRule="auto" w:before="105"/>
              <w:ind w:left="330" w:right="0"/>
              <w:jc w:val="left"/>
              <w:rPr>
                <w:rFonts w:ascii="Times New Roman" w:hAnsi="Times New Roman" w:cs="Times New Roman" w:eastAsia="Times New Roman" w:hint="default"/>
                <w:sz w:val="18"/>
                <w:szCs w:val="18"/>
              </w:rPr>
            </w:pPr>
            <w:r>
              <w:rPr>
                <w:rFonts w:ascii="Times New Roman"/>
                <w:sz w:val="18"/>
              </w:rPr>
              <w:t>50.00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2" w:right="0"/>
              <w:jc w:val="center"/>
              <w:rPr>
                <w:rFonts w:ascii="Times New Roman" w:hAnsi="Times New Roman" w:cs="Times New Roman" w:eastAsia="Times New Roman" w:hint="default"/>
                <w:sz w:val="18"/>
                <w:szCs w:val="18"/>
              </w:rPr>
            </w:pPr>
            <w:r>
              <w:rPr>
                <w:rFonts w:ascii="Times New Roman"/>
                <w:sz w:val="18"/>
              </w:rPr>
              <w:t>-79,483,</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950.00</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Times New Roman" w:hAnsi="Times New Roman" w:cs="Times New Roman" w:eastAsia="Times New Roman" w:hint="default"/>
                <w:sz w:val="18"/>
                <w:szCs w:val="18"/>
              </w:rPr>
            </w:pPr>
            <w:r>
              <w:rPr>
                <w:rFonts w:ascii="Times New Roman"/>
                <w:sz w:val="18"/>
              </w:rPr>
              <w:t>79,483,9</w:t>
            </w:r>
          </w:p>
          <w:p>
            <w:pPr>
              <w:pStyle w:val="TableParagraph"/>
              <w:spacing w:line="240" w:lineRule="auto" w:before="105"/>
              <w:ind w:left="330" w:right="0"/>
              <w:jc w:val="left"/>
              <w:rPr>
                <w:rFonts w:ascii="Times New Roman" w:hAnsi="Times New Roman" w:cs="Times New Roman" w:eastAsia="Times New Roman" w:hint="default"/>
                <w:sz w:val="18"/>
                <w:szCs w:val="18"/>
              </w:rPr>
            </w:pPr>
            <w:r>
              <w:rPr>
                <w:rFonts w:ascii="Times New Roman"/>
                <w:sz w:val="18"/>
              </w:rPr>
              <w:t>50.00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2" w:right="0"/>
              <w:jc w:val="center"/>
              <w:rPr>
                <w:rFonts w:ascii="Times New Roman" w:hAnsi="Times New Roman" w:cs="Times New Roman" w:eastAsia="Times New Roman" w:hint="default"/>
                <w:sz w:val="18"/>
                <w:szCs w:val="18"/>
              </w:rPr>
            </w:pPr>
            <w:r>
              <w:rPr>
                <w:rFonts w:ascii="Times New Roman"/>
                <w:sz w:val="18"/>
              </w:rPr>
              <w:t>-79,483,</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950.00</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105"/>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02"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02"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2" w:right="0"/>
              <w:jc w:val="center"/>
              <w:rPr>
                <w:rFonts w:ascii="Times New Roman" w:hAnsi="Times New Roman" w:cs="Times New Roman" w:eastAsia="Times New Roman" w:hint="default"/>
                <w:sz w:val="18"/>
                <w:szCs w:val="18"/>
              </w:rPr>
            </w:pPr>
            <w:r>
              <w:rPr>
                <w:rFonts w:ascii="Times New Roman"/>
                <w:sz w:val="18"/>
              </w:rPr>
              <w:t>344,430,</w:t>
            </w:r>
          </w:p>
          <w:p>
            <w:pPr>
              <w:pStyle w:val="TableParagraph"/>
              <w:spacing w:line="240" w:lineRule="auto" w:before="105"/>
              <w:ind w:left="219" w:right="0"/>
              <w:jc w:val="center"/>
              <w:rPr>
                <w:rFonts w:ascii="Times New Roman" w:hAnsi="Times New Roman" w:cs="Times New Roman" w:eastAsia="Times New Roman" w:hint="default"/>
                <w:sz w:val="18"/>
                <w:szCs w:val="18"/>
              </w:rPr>
            </w:pPr>
            <w:r>
              <w:rPr>
                <w:rFonts w:ascii="Times New Roman"/>
                <w:sz w:val="18"/>
              </w:rPr>
              <w:t>450.00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center"/>
              <w:rPr>
                <w:rFonts w:ascii="Times New Roman" w:hAnsi="Times New Roman" w:cs="Times New Roman" w:eastAsia="Times New Roman" w:hint="default"/>
                <w:sz w:val="18"/>
                <w:szCs w:val="18"/>
              </w:rPr>
            </w:pPr>
            <w:r>
              <w:rPr>
                <w:rFonts w:ascii="Times New Roman"/>
                <w:sz w:val="18"/>
              </w:rPr>
              <w:t>501,434,</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266.60</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5" w:right="0"/>
              <w:jc w:val="left"/>
              <w:rPr>
                <w:rFonts w:ascii="Times New Roman" w:hAnsi="Times New Roman" w:cs="Times New Roman" w:eastAsia="Times New Roman" w:hint="default"/>
                <w:sz w:val="18"/>
                <w:szCs w:val="18"/>
              </w:rPr>
            </w:pPr>
            <w:r>
              <w:rPr>
                <w:rFonts w:ascii="Times New Roman"/>
                <w:sz w:val="18"/>
              </w:rPr>
              <w:t>33,831,5</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78.49</w:t>
            </w: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center"/>
              <w:rPr>
                <w:rFonts w:ascii="Times New Roman" w:hAnsi="Times New Roman" w:cs="Times New Roman" w:eastAsia="Times New Roman" w:hint="default"/>
                <w:sz w:val="18"/>
                <w:szCs w:val="18"/>
              </w:rPr>
            </w:pPr>
            <w:r>
              <w:rPr>
                <w:rFonts w:ascii="Times New Roman"/>
                <w:sz w:val="18"/>
              </w:rPr>
              <w:t>434,707,</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969.26</w:t>
            </w:r>
          </w:p>
        </w:tc>
        <w:tc>
          <w:tcPr>
            <w:tcW w:w="28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2" w:right="0"/>
              <w:jc w:val="left"/>
              <w:rPr>
                <w:rFonts w:ascii="Times New Roman" w:hAnsi="Times New Roman" w:cs="Times New Roman" w:eastAsia="Times New Roman" w:hint="default"/>
                <w:sz w:val="18"/>
                <w:szCs w:val="18"/>
              </w:rPr>
            </w:pPr>
            <w:r>
              <w:rPr>
                <w:rFonts w:ascii="Times New Roman"/>
                <w:sz w:val="18"/>
              </w:rPr>
              <w:t>1,314,404,</w:t>
            </w:r>
          </w:p>
          <w:p>
            <w:pPr>
              <w:pStyle w:val="TableParagraph"/>
              <w:spacing w:line="240" w:lineRule="auto" w:before="105"/>
              <w:ind w:left="322" w:right="0"/>
              <w:jc w:val="left"/>
              <w:rPr>
                <w:rFonts w:ascii="Times New Roman" w:hAnsi="Times New Roman" w:cs="Times New Roman" w:eastAsia="Times New Roman" w:hint="default"/>
                <w:sz w:val="18"/>
                <w:szCs w:val="18"/>
              </w:rPr>
            </w:pPr>
            <w:r>
              <w:rPr>
                <w:rFonts w:ascii="Times New Roman"/>
                <w:sz w:val="18"/>
              </w:rPr>
              <w:t>264.35</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8" w:right="0"/>
              <w:jc w:val="left"/>
              <w:rPr>
                <w:rFonts w:ascii="Times New Roman" w:hAnsi="Times New Roman" w:cs="Times New Roman" w:eastAsia="Times New Roman" w:hint="default"/>
                <w:sz w:val="18"/>
                <w:szCs w:val="18"/>
              </w:rPr>
            </w:pPr>
            <w:r>
              <w:rPr>
                <w:rFonts w:ascii="Times New Roman"/>
                <w:sz w:val="18"/>
              </w:rPr>
              <w:t>264,946,5</w:t>
            </w:r>
          </w:p>
          <w:p>
            <w:pPr>
              <w:pStyle w:val="TableParagraph"/>
              <w:spacing w:line="240" w:lineRule="auto" w:before="105"/>
              <w:ind w:left="413" w:right="0"/>
              <w:jc w:val="left"/>
              <w:rPr>
                <w:rFonts w:ascii="Times New Roman" w:hAnsi="Times New Roman" w:cs="Times New Roman" w:eastAsia="Times New Roman" w:hint="default"/>
                <w:sz w:val="18"/>
                <w:szCs w:val="18"/>
              </w:rPr>
            </w:pPr>
            <w:r>
              <w:rPr>
                <w:rFonts w:ascii="Times New Roman"/>
                <w:sz w:val="18"/>
              </w:rPr>
              <w:t>00.00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center"/>
              <w:rPr>
                <w:rFonts w:ascii="Times New Roman" w:hAnsi="Times New Roman" w:cs="Times New Roman" w:eastAsia="Times New Roman" w:hint="default"/>
                <w:sz w:val="18"/>
                <w:szCs w:val="18"/>
              </w:rPr>
            </w:pPr>
            <w:r>
              <w:rPr>
                <w:rFonts w:ascii="Times New Roman"/>
                <w:sz w:val="18"/>
              </w:rPr>
              <w:t>686,099,</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408.17</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 w:right="0"/>
              <w:jc w:val="left"/>
              <w:rPr>
                <w:rFonts w:ascii="Times New Roman" w:hAnsi="Times New Roman" w:cs="Times New Roman" w:eastAsia="Times New Roman" w:hint="default"/>
                <w:sz w:val="18"/>
                <w:szCs w:val="18"/>
              </w:rPr>
            </w:pPr>
            <w:r>
              <w:rPr>
                <w:rFonts w:ascii="Times New Roman"/>
                <w:sz w:val="18"/>
              </w:rPr>
              <w:t>27,227,3</w:t>
            </w:r>
          </w:p>
          <w:p>
            <w:pPr>
              <w:pStyle w:val="TableParagraph"/>
              <w:spacing w:line="240" w:lineRule="auto" w:before="105"/>
              <w:ind w:left="269" w:right="0"/>
              <w:jc w:val="left"/>
              <w:rPr>
                <w:rFonts w:ascii="Times New Roman" w:hAnsi="Times New Roman" w:cs="Times New Roman" w:eastAsia="Times New Roman" w:hint="default"/>
                <w:sz w:val="18"/>
                <w:szCs w:val="18"/>
              </w:rPr>
            </w:pPr>
            <w:r>
              <w:rPr>
                <w:rFonts w:ascii="Times New Roman"/>
                <w:sz w:val="18"/>
              </w:rPr>
              <w:t>23.41</w:t>
            </w:r>
          </w:p>
        </w:tc>
        <w:tc>
          <w:tcPr>
            <w:tcW w:w="709" w:type="dxa"/>
            <w:tcBorders>
              <w:top w:val="single" w:sz="4" w:space="0" w:color="000000"/>
              <w:left w:val="single" w:sz="4" w:space="0" w:color="000000"/>
              <w:bottom w:val="single" w:sz="4" w:space="0" w:color="000000"/>
              <w:right w:val="single" w:sz="4" w:space="0" w:color="000000"/>
            </w:tcBorders>
          </w:tcPr>
          <w:p>
            <w:pPr/>
          </w:p>
        </w:tc>
        <w:tc>
          <w:tcPr>
            <w:tcW w:w="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2" w:right="0"/>
              <w:jc w:val="center"/>
              <w:rPr>
                <w:rFonts w:ascii="Times New Roman" w:hAnsi="Times New Roman" w:cs="Times New Roman" w:eastAsia="Times New Roman" w:hint="default"/>
                <w:sz w:val="18"/>
                <w:szCs w:val="18"/>
              </w:rPr>
            </w:pPr>
            <w:r>
              <w:rPr>
                <w:rFonts w:ascii="Times New Roman"/>
                <w:sz w:val="18"/>
              </w:rPr>
              <w:t>262,502,</w:t>
            </w:r>
          </w:p>
          <w:p>
            <w:pPr>
              <w:pStyle w:val="TableParagraph"/>
              <w:spacing w:line="240" w:lineRule="auto" w:before="105"/>
              <w:ind w:left="218" w:right="0"/>
              <w:jc w:val="center"/>
              <w:rPr>
                <w:rFonts w:ascii="Times New Roman" w:hAnsi="Times New Roman" w:cs="Times New Roman" w:eastAsia="Times New Roman" w:hint="default"/>
                <w:sz w:val="18"/>
                <w:szCs w:val="18"/>
              </w:rPr>
            </w:pPr>
            <w:r>
              <w:rPr>
                <w:rFonts w:ascii="Times New Roman"/>
                <w:sz w:val="18"/>
              </w:rPr>
              <w:t>641.33</w:t>
            </w:r>
          </w:p>
        </w:tc>
        <w:tc>
          <w:tcPr>
            <w:tcW w:w="223"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pacing w:val="-1"/>
                <w:sz w:val="18"/>
              </w:rPr>
              <w:t>1,240,775,872.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91</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877" w:footer="1252" w:top="1100" w:bottom="1440" w:left="980" w:right="900"/>
        </w:sectPr>
      </w:pPr>
    </w:p>
    <w:p>
      <w:pPr>
        <w:spacing w:line="240" w:lineRule="auto" w:before="5"/>
        <w:rPr>
          <w:rFonts w:ascii="Times New Roman" w:hAnsi="Times New Roman" w:cs="Times New Roman" w:eastAsia="Times New Roman" w:hint="default"/>
          <w:sz w:val="22"/>
          <w:szCs w:val="22"/>
        </w:rPr>
      </w:pPr>
    </w:p>
    <w:p>
      <w:pPr>
        <w:pStyle w:val="Heading2"/>
        <w:spacing w:line="240" w:lineRule="auto" w:before="26"/>
        <w:ind w:left="6094" w:right="6175"/>
        <w:jc w:val="center"/>
        <w:rPr>
          <w:b w:val="0"/>
          <w:bCs w:val="0"/>
        </w:rPr>
      </w:pPr>
      <w:r>
        <w:rPr/>
        <w:t>母公司所有者权益变动表</w:t>
      </w:r>
      <w:r>
        <w:rPr>
          <w:b w:val="0"/>
          <w:bCs w:val="0"/>
        </w:rPr>
      </w:r>
    </w:p>
    <w:p>
      <w:pPr>
        <w:spacing w:line="240" w:lineRule="auto" w:before="6"/>
        <w:rPr>
          <w:rFonts w:ascii="宋体" w:hAnsi="宋体" w:cs="宋体" w:eastAsia="宋体" w:hint="default"/>
          <w:b/>
          <w:bCs/>
          <w:sz w:val="26"/>
          <w:szCs w:val="26"/>
        </w:rPr>
      </w:pPr>
    </w:p>
    <w:p>
      <w:pPr>
        <w:tabs>
          <w:tab w:pos="6633" w:val="left" w:leader="none"/>
          <w:tab w:pos="12072" w:val="left" w:leader="none"/>
        </w:tabs>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编制单位：广州御银科技股份有限公司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w:t>
        <w:tab/>
        <w:t>单位：元</w:t>
      </w:r>
    </w:p>
    <w:p>
      <w:pPr>
        <w:spacing w:line="240" w:lineRule="auto" w:before="13"/>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2210"/>
        <w:gridCol w:w="767"/>
        <w:gridCol w:w="709"/>
        <w:gridCol w:w="425"/>
        <w:gridCol w:w="425"/>
        <w:gridCol w:w="709"/>
        <w:gridCol w:w="425"/>
        <w:gridCol w:w="1276"/>
        <w:gridCol w:w="1277"/>
        <w:gridCol w:w="709"/>
        <w:gridCol w:w="850"/>
        <w:gridCol w:w="425"/>
        <w:gridCol w:w="426"/>
        <w:gridCol w:w="1134"/>
        <w:gridCol w:w="425"/>
        <w:gridCol w:w="1277"/>
        <w:gridCol w:w="1223"/>
      </w:tblGrid>
      <w:tr>
        <w:trPr>
          <w:trHeight w:val="322" w:hRule="exact"/>
        </w:trPr>
        <w:tc>
          <w:tcPr>
            <w:tcW w:w="221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012" w:type="dxa"/>
            <w:gridSpan w:val="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6468" w:type="dxa"/>
            <w:gridSpan w:val="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946" w:hRule="exact"/>
        </w:trPr>
        <w:tc>
          <w:tcPr>
            <w:tcW w:w="2210" w:type="dxa"/>
            <w:vMerge/>
            <w:tcBorders>
              <w:left w:val="single" w:sz="4" w:space="0" w:color="000000"/>
              <w:bottom w:val="single" w:sz="4" w:space="0" w:color="000000"/>
              <w:right w:val="single" w:sz="4" w:space="0" w:color="000000"/>
            </w:tcBorders>
            <w:shd w:val="clear" w:color="auto" w:fill="DCDCDC"/>
          </w:tcPr>
          <w:p>
            <w:pPr/>
          </w:p>
        </w:tc>
        <w:tc>
          <w:tcPr>
            <w:tcW w:w="7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1"/>
              <w:ind w:left="22" w:right="20" w:hanging="2"/>
              <w:jc w:val="center"/>
              <w:rPr>
                <w:rFonts w:ascii="宋体" w:hAnsi="宋体" w:cs="宋体" w:eastAsia="宋体" w:hint="default"/>
                <w:sz w:val="18"/>
                <w:szCs w:val="18"/>
              </w:rPr>
            </w:pPr>
            <w:r>
              <w:rPr>
                <w:rFonts w:ascii="宋体" w:hAnsi="宋体" w:cs="宋体" w:eastAsia="宋体" w:hint="default"/>
                <w:sz w:val="18"/>
                <w:szCs w:val="18"/>
              </w:rPr>
              <w:t>实收资 </w:t>
            </w:r>
            <w:r>
              <w:rPr>
                <w:rFonts w:ascii="宋体" w:hAnsi="宋体" w:cs="宋体" w:eastAsia="宋体" w:hint="default"/>
                <w:spacing w:val="-3"/>
                <w:sz w:val="18"/>
                <w:szCs w:val="18"/>
              </w:rPr>
              <w:t>本（或股</w:t>
            </w:r>
            <w:r>
              <w:rPr>
                <w:rFonts w:ascii="宋体" w:hAnsi="宋体" w:cs="宋体" w:eastAsia="宋体" w:hint="default"/>
                <w:sz w:val="18"/>
                <w:szCs w:val="18"/>
              </w:rPr>
              <w:t> 本）</w:t>
            </w:r>
          </w:p>
        </w:tc>
        <w:tc>
          <w:tcPr>
            <w:tcW w:w="7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59" w:right="78"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4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1"/>
              <w:ind w:left="26" w:right="26"/>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4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6" w:right="26"/>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7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59" w:right="78"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4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1"/>
              <w:ind w:left="26" w:right="26"/>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12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543" w:right="91" w:hanging="450"/>
              <w:jc w:val="left"/>
              <w:rPr>
                <w:rFonts w:ascii="宋体" w:hAnsi="宋体" w:cs="宋体" w:eastAsia="宋体" w:hint="default"/>
                <w:sz w:val="18"/>
                <w:szCs w:val="18"/>
              </w:rPr>
            </w:pPr>
            <w:r>
              <w:rPr>
                <w:rFonts w:ascii="宋体" w:hAnsi="宋体" w:cs="宋体" w:eastAsia="宋体" w:hint="default"/>
                <w:sz w:val="18"/>
                <w:szCs w:val="18"/>
              </w:rPr>
              <w:t>所有者权益合 计</w:t>
            </w:r>
          </w:p>
        </w:tc>
        <w:tc>
          <w:tcPr>
            <w:tcW w:w="7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1"/>
              <w:ind w:left="22" w:right="22"/>
              <w:jc w:val="center"/>
              <w:rPr>
                <w:rFonts w:ascii="宋体" w:hAnsi="宋体" w:cs="宋体" w:eastAsia="宋体" w:hint="default"/>
                <w:sz w:val="18"/>
                <w:szCs w:val="18"/>
              </w:rPr>
            </w:pPr>
            <w:r>
              <w:rPr>
                <w:rFonts w:ascii="宋体" w:hAnsi="宋体" w:cs="宋体" w:eastAsia="宋体" w:hint="default"/>
                <w:sz w:val="18"/>
                <w:szCs w:val="18"/>
              </w:rPr>
              <w:t>实收资 </w:t>
            </w:r>
            <w:r>
              <w:rPr>
                <w:rFonts w:ascii="宋体" w:hAnsi="宋体" w:cs="宋体" w:eastAsia="宋体" w:hint="default"/>
                <w:spacing w:val="-17"/>
                <w:sz w:val="18"/>
                <w:szCs w:val="18"/>
              </w:rPr>
              <w:t>本（或股</w:t>
            </w:r>
            <w:r>
              <w:rPr>
                <w:rFonts w:ascii="宋体" w:hAnsi="宋体" w:cs="宋体" w:eastAsia="宋体" w:hint="default"/>
                <w:sz w:val="18"/>
                <w:szCs w:val="18"/>
              </w:rPr>
              <w:t> 本）</w:t>
            </w:r>
          </w:p>
        </w:tc>
        <w:tc>
          <w:tcPr>
            <w:tcW w:w="8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4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1"/>
              <w:ind w:left="26" w:right="26"/>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4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7" w:right="26"/>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1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4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1"/>
              <w:ind w:left="26" w:right="26"/>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1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未分配利润</w:t>
            </w:r>
          </w:p>
        </w:tc>
        <w:tc>
          <w:tcPr>
            <w:tcW w:w="122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515" w:right="65" w:hanging="450"/>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82" w:right="0"/>
              <w:jc w:val="center"/>
              <w:rPr>
                <w:rFonts w:ascii="Times New Roman" w:hAnsi="Times New Roman" w:cs="Times New Roman" w:eastAsia="Times New Roman" w:hint="default"/>
                <w:sz w:val="18"/>
                <w:szCs w:val="18"/>
              </w:rPr>
            </w:pPr>
            <w:r>
              <w:rPr>
                <w:rFonts w:ascii="Times New Roman"/>
                <w:sz w:val="18"/>
              </w:rPr>
              <w:t>264,946,</w:t>
            </w:r>
          </w:p>
          <w:p>
            <w:pPr>
              <w:pStyle w:val="TableParagraph"/>
              <w:spacing w:line="240" w:lineRule="auto" w:before="105"/>
              <w:ind w:left="218" w:right="0"/>
              <w:jc w:val="center"/>
              <w:rPr>
                <w:rFonts w:ascii="Times New Roman" w:hAnsi="Times New Roman" w:cs="Times New Roman" w:eastAsia="Times New Roman" w:hint="default"/>
                <w:sz w:val="18"/>
                <w:szCs w:val="18"/>
              </w:rPr>
            </w:pPr>
            <w:r>
              <w:rPr>
                <w:rFonts w:ascii="Times New Roman"/>
                <w:sz w:val="18"/>
              </w:rPr>
              <w:t>500.00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 w:right="0"/>
              <w:jc w:val="center"/>
              <w:rPr>
                <w:rFonts w:ascii="Times New Roman" w:hAnsi="Times New Roman" w:cs="Times New Roman" w:eastAsia="Times New Roman" w:hint="default"/>
                <w:sz w:val="18"/>
                <w:szCs w:val="18"/>
              </w:rPr>
            </w:pPr>
            <w:r>
              <w:rPr>
                <w:rFonts w:ascii="Times New Roman"/>
                <w:sz w:val="18"/>
              </w:rPr>
              <w:t>517,854,</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658.17</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 w:right="0"/>
              <w:jc w:val="left"/>
              <w:rPr>
                <w:rFonts w:ascii="Times New Roman" w:hAnsi="Times New Roman" w:cs="Times New Roman" w:eastAsia="Times New Roman" w:hint="default"/>
                <w:sz w:val="18"/>
                <w:szCs w:val="18"/>
              </w:rPr>
            </w:pPr>
            <w:r>
              <w:rPr>
                <w:rFonts w:ascii="Times New Roman"/>
                <w:sz w:val="18"/>
              </w:rPr>
              <w:t>27,227,3</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23.41</w:t>
            </w: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155,279,040.87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965,307,522.45</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 w:right="0"/>
              <w:jc w:val="center"/>
              <w:rPr>
                <w:rFonts w:ascii="Times New Roman" w:hAnsi="Times New Roman" w:cs="Times New Roman" w:eastAsia="Times New Roman" w:hint="default"/>
                <w:sz w:val="18"/>
                <w:szCs w:val="18"/>
              </w:rPr>
            </w:pPr>
            <w:r>
              <w:rPr>
                <w:rFonts w:ascii="Times New Roman"/>
                <w:sz w:val="18"/>
              </w:rPr>
              <w:t>264,946,</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500.00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97" w:right="0"/>
              <w:jc w:val="left"/>
              <w:rPr>
                <w:rFonts w:ascii="Times New Roman" w:hAnsi="Times New Roman" w:cs="Times New Roman" w:eastAsia="Times New Roman" w:hint="default"/>
                <w:sz w:val="18"/>
                <w:szCs w:val="18"/>
              </w:rPr>
            </w:pPr>
            <w:r>
              <w:rPr>
                <w:rFonts w:ascii="Times New Roman"/>
                <w:sz w:val="18"/>
              </w:rPr>
              <w:t>517,854,6</w:t>
            </w:r>
          </w:p>
          <w:p>
            <w:pPr>
              <w:pStyle w:val="TableParagraph"/>
              <w:spacing w:line="240" w:lineRule="auto" w:before="105"/>
              <w:ind w:left="412" w:right="0"/>
              <w:jc w:val="left"/>
              <w:rPr>
                <w:rFonts w:ascii="Times New Roman" w:hAnsi="Times New Roman" w:cs="Times New Roman" w:eastAsia="Times New Roman" w:hint="default"/>
                <w:sz w:val="18"/>
                <w:szCs w:val="18"/>
              </w:rPr>
            </w:pPr>
            <w:r>
              <w:rPr>
                <w:rFonts w:ascii="Times New Roman"/>
                <w:sz w:val="18"/>
              </w:rPr>
              <w:t>58.17</w:t>
            </w: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23,757,296.65</w:t>
            </w: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95" w:right="0"/>
              <w:jc w:val="center"/>
              <w:rPr>
                <w:rFonts w:ascii="Times New Roman" w:hAnsi="Times New Roman" w:cs="Times New Roman" w:eastAsia="Times New Roman" w:hint="default"/>
                <w:sz w:val="18"/>
                <w:szCs w:val="18"/>
              </w:rPr>
            </w:pPr>
            <w:r>
              <w:rPr>
                <w:rFonts w:ascii="Times New Roman"/>
                <w:sz w:val="18"/>
              </w:rPr>
              <w:t>124,048,799.99</w:t>
            </w:r>
          </w:p>
        </w:tc>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930,607,254.81</w:t>
            </w: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02"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02"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82" w:right="0"/>
              <w:jc w:val="center"/>
              <w:rPr>
                <w:rFonts w:ascii="Times New Roman" w:hAnsi="Times New Roman" w:cs="Times New Roman" w:eastAsia="Times New Roman" w:hint="default"/>
                <w:sz w:val="18"/>
                <w:szCs w:val="18"/>
              </w:rPr>
            </w:pPr>
            <w:r>
              <w:rPr>
                <w:rFonts w:ascii="Times New Roman"/>
                <w:sz w:val="18"/>
              </w:rPr>
              <w:t>264,946,</w:t>
            </w:r>
          </w:p>
          <w:p>
            <w:pPr>
              <w:pStyle w:val="TableParagraph"/>
              <w:spacing w:line="240" w:lineRule="auto" w:before="105"/>
              <w:ind w:left="218" w:right="0"/>
              <w:jc w:val="center"/>
              <w:rPr>
                <w:rFonts w:ascii="Times New Roman" w:hAnsi="Times New Roman" w:cs="Times New Roman" w:eastAsia="Times New Roman" w:hint="default"/>
                <w:sz w:val="18"/>
                <w:szCs w:val="18"/>
              </w:rPr>
            </w:pPr>
            <w:r>
              <w:rPr>
                <w:rFonts w:ascii="Times New Roman"/>
                <w:sz w:val="18"/>
              </w:rPr>
              <w:t>500.00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 w:right="0"/>
              <w:jc w:val="center"/>
              <w:rPr>
                <w:rFonts w:ascii="Times New Roman" w:hAnsi="Times New Roman" w:cs="Times New Roman" w:eastAsia="Times New Roman" w:hint="default"/>
                <w:sz w:val="18"/>
                <w:szCs w:val="18"/>
              </w:rPr>
            </w:pPr>
            <w:r>
              <w:rPr>
                <w:rFonts w:ascii="Times New Roman"/>
                <w:sz w:val="18"/>
              </w:rPr>
              <w:t>517,854,</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658.17</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 w:right="0"/>
              <w:jc w:val="left"/>
              <w:rPr>
                <w:rFonts w:ascii="Times New Roman" w:hAnsi="Times New Roman" w:cs="Times New Roman" w:eastAsia="Times New Roman" w:hint="default"/>
                <w:sz w:val="18"/>
                <w:szCs w:val="18"/>
              </w:rPr>
            </w:pPr>
            <w:r>
              <w:rPr>
                <w:rFonts w:ascii="Times New Roman"/>
                <w:sz w:val="18"/>
              </w:rPr>
              <w:t>27,227,3</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23.41</w:t>
            </w: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155,279,040.87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965,307,522.45</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 w:right="0"/>
              <w:jc w:val="center"/>
              <w:rPr>
                <w:rFonts w:ascii="Times New Roman" w:hAnsi="Times New Roman" w:cs="Times New Roman" w:eastAsia="Times New Roman" w:hint="default"/>
                <w:sz w:val="18"/>
                <w:szCs w:val="18"/>
              </w:rPr>
            </w:pPr>
            <w:r>
              <w:rPr>
                <w:rFonts w:ascii="Times New Roman"/>
                <w:sz w:val="18"/>
              </w:rPr>
              <w:t>264,946,</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500.00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97" w:right="0"/>
              <w:jc w:val="left"/>
              <w:rPr>
                <w:rFonts w:ascii="Times New Roman" w:hAnsi="Times New Roman" w:cs="Times New Roman" w:eastAsia="Times New Roman" w:hint="default"/>
                <w:sz w:val="18"/>
                <w:szCs w:val="18"/>
              </w:rPr>
            </w:pPr>
            <w:r>
              <w:rPr>
                <w:rFonts w:ascii="Times New Roman"/>
                <w:sz w:val="18"/>
              </w:rPr>
              <w:t>517,854,6</w:t>
            </w:r>
          </w:p>
          <w:p>
            <w:pPr>
              <w:pStyle w:val="TableParagraph"/>
              <w:spacing w:line="240" w:lineRule="auto" w:before="105"/>
              <w:ind w:left="412" w:right="0"/>
              <w:jc w:val="left"/>
              <w:rPr>
                <w:rFonts w:ascii="Times New Roman" w:hAnsi="Times New Roman" w:cs="Times New Roman" w:eastAsia="Times New Roman" w:hint="default"/>
                <w:sz w:val="18"/>
                <w:szCs w:val="18"/>
              </w:rPr>
            </w:pPr>
            <w:r>
              <w:rPr>
                <w:rFonts w:ascii="Times New Roman"/>
                <w:sz w:val="18"/>
              </w:rPr>
              <w:t>58.17</w:t>
            </w: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23,757,296.65</w:t>
            </w: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95" w:right="0"/>
              <w:jc w:val="center"/>
              <w:rPr>
                <w:rFonts w:ascii="Times New Roman" w:hAnsi="Times New Roman" w:cs="Times New Roman" w:eastAsia="Times New Roman" w:hint="default"/>
                <w:sz w:val="18"/>
                <w:szCs w:val="18"/>
              </w:rPr>
            </w:pPr>
            <w:r>
              <w:rPr>
                <w:rFonts w:ascii="Times New Roman"/>
                <w:sz w:val="18"/>
              </w:rPr>
              <w:t>124,048,799.99</w:t>
            </w:r>
          </w:p>
        </w:tc>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930,607,254.81</w:t>
            </w:r>
          </w:p>
        </w:tc>
      </w:tr>
      <w:tr>
        <w:trPr>
          <w:trHeight w:val="635"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1"/>
              <w:ind w:left="22" w:right="22"/>
              <w:jc w:val="left"/>
              <w:rPr>
                <w:rFonts w:ascii="宋体" w:hAnsi="宋体" w:cs="宋体" w:eastAsia="宋体" w:hint="default"/>
                <w:sz w:val="18"/>
                <w:szCs w:val="18"/>
              </w:rPr>
            </w:pPr>
            <w:r>
              <w:rPr>
                <w:rFonts w:ascii="宋体" w:hAnsi="宋体" w:cs="宋体" w:eastAsia="宋体" w:hint="default"/>
                <w:sz w:val="18"/>
                <w:szCs w:val="18"/>
              </w:rPr>
              <w:t>三、本年增减变动金额（减 少以“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Times New Roman" w:hAnsi="Times New Roman" w:cs="Times New Roman" w:eastAsia="Times New Roman" w:hint="default"/>
                <w:sz w:val="18"/>
                <w:szCs w:val="18"/>
              </w:rPr>
            </w:pPr>
            <w:r>
              <w:rPr>
                <w:rFonts w:ascii="Times New Roman"/>
                <w:sz w:val="18"/>
              </w:rPr>
              <w:t>79,483,9</w:t>
            </w:r>
          </w:p>
          <w:p>
            <w:pPr>
              <w:pStyle w:val="TableParagraph"/>
              <w:spacing w:line="240" w:lineRule="auto" w:before="105"/>
              <w:ind w:left="329" w:right="0"/>
              <w:jc w:val="left"/>
              <w:rPr>
                <w:rFonts w:ascii="Times New Roman" w:hAnsi="Times New Roman" w:cs="Times New Roman" w:eastAsia="Times New Roman" w:hint="default"/>
                <w:sz w:val="18"/>
                <w:szCs w:val="18"/>
              </w:rPr>
            </w:pPr>
            <w:r>
              <w:rPr>
                <w:rFonts w:ascii="Times New Roman"/>
                <w:sz w:val="18"/>
              </w:rPr>
              <w:t>50.00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2" w:right="0"/>
              <w:jc w:val="center"/>
              <w:rPr>
                <w:rFonts w:ascii="Times New Roman" w:hAnsi="Times New Roman" w:cs="Times New Roman" w:eastAsia="Times New Roman" w:hint="default"/>
                <w:sz w:val="18"/>
                <w:szCs w:val="18"/>
              </w:rPr>
            </w:pPr>
            <w:r>
              <w:rPr>
                <w:rFonts w:ascii="Times New Roman"/>
                <w:sz w:val="18"/>
              </w:rPr>
              <w:t>-76,951,</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419.89</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5" w:right="0"/>
              <w:jc w:val="left"/>
              <w:rPr>
                <w:rFonts w:ascii="Times New Roman" w:hAnsi="Times New Roman" w:cs="Times New Roman" w:eastAsia="Times New Roman" w:hint="default"/>
                <w:sz w:val="18"/>
                <w:szCs w:val="18"/>
              </w:rPr>
            </w:pPr>
            <w:r>
              <w:rPr>
                <w:rFonts w:ascii="Times New Roman"/>
                <w:sz w:val="18"/>
              </w:rPr>
              <w:t>6,604,25</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5.08</w:t>
            </w: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59,438,295.67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68,575,080.86</w:t>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3,470,026.76</w:t>
            </w: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85" w:right="0"/>
              <w:jc w:val="center"/>
              <w:rPr>
                <w:rFonts w:ascii="Times New Roman" w:hAnsi="Times New Roman" w:cs="Times New Roman" w:eastAsia="Times New Roman" w:hint="default"/>
                <w:sz w:val="18"/>
                <w:szCs w:val="18"/>
              </w:rPr>
            </w:pPr>
            <w:r>
              <w:rPr>
                <w:rFonts w:ascii="Times New Roman"/>
                <w:sz w:val="18"/>
              </w:rPr>
              <w:t>31,230,240.88</w:t>
            </w:r>
          </w:p>
        </w:tc>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34,700,267.64</w:t>
            </w: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02"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66,042,550.75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66,042,550.75</w:t>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85" w:right="0"/>
              <w:jc w:val="center"/>
              <w:rPr>
                <w:rFonts w:ascii="Times New Roman" w:hAnsi="Times New Roman" w:cs="Times New Roman" w:eastAsia="Times New Roman" w:hint="default"/>
                <w:sz w:val="18"/>
                <w:szCs w:val="18"/>
              </w:rPr>
            </w:pPr>
            <w:r>
              <w:rPr>
                <w:rFonts w:ascii="Times New Roman"/>
                <w:sz w:val="18"/>
              </w:rPr>
              <w:t>34,700,267.64</w:t>
            </w:r>
          </w:p>
        </w:tc>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34,700,267.64</w:t>
            </w: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02"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02"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Times New Roman" w:hAnsi="Times New Roman" w:cs="Times New Roman" w:eastAsia="Times New Roman" w:hint="default"/>
                <w:sz w:val="18"/>
                <w:szCs w:val="18"/>
              </w:rPr>
            </w:pPr>
            <w:r>
              <w:rPr>
                <w:rFonts w:ascii="Times New Roman"/>
                <w:spacing w:val="-1"/>
                <w:sz w:val="18"/>
              </w:rPr>
              <w:t>66,042,550.75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Times New Roman" w:hAnsi="Times New Roman" w:cs="Times New Roman" w:eastAsia="Times New Roman" w:hint="default"/>
                <w:sz w:val="18"/>
                <w:szCs w:val="18"/>
              </w:rPr>
            </w:pPr>
            <w:r>
              <w:rPr>
                <w:rFonts w:ascii="Times New Roman"/>
                <w:spacing w:val="-1"/>
                <w:sz w:val="18"/>
              </w:rPr>
              <w:t>66,042,550.75</w:t>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5" w:right="0"/>
              <w:jc w:val="center"/>
              <w:rPr>
                <w:rFonts w:ascii="Times New Roman" w:hAnsi="Times New Roman" w:cs="Times New Roman" w:eastAsia="Times New Roman" w:hint="default"/>
                <w:sz w:val="18"/>
                <w:szCs w:val="18"/>
              </w:rPr>
            </w:pPr>
            <w:r>
              <w:rPr>
                <w:rFonts w:ascii="Times New Roman"/>
                <w:sz w:val="18"/>
              </w:rPr>
              <w:t>34,700,267.64</w:t>
            </w:r>
          </w:p>
        </w:tc>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pacing w:val="-1"/>
                <w:sz w:val="18"/>
              </w:rPr>
              <w:t>34,700,267.64</w:t>
            </w: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22" w:right="22" w:firstLine="180"/>
              <w:jc w:val="left"/>
              <w:rPr>
                <w:rFonts w:ascii="宋体" w:hAnsi="宋体" w:cs="宋体" w:eastAsia="宋体" w:hint="default"/>
                <w:sz w:val="18"/>
                <w:szCs w:val="18"/>
              </w:rPr>
            </w:pPr>
            <w:r>
              <w:rPr>
                <w:rFonts w:ascii="宋体" w:hAnsi="宋体" w:cs="宋体" w:eastAsia="宋体" w:hint="default"/>
                <w:sz w:val="18"/>
                <w:szCs w:val="18"/>
              </w:rPr>
              <w:t>（三）所有者投入和减少 资本</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 w:right="0"/>
              <w:jc w:val="left"/>
              <w:rPr>
                <w:rFonts w:ascii="Times New Roman" w:hAnsi="Times New Roman" w:cs="Times New Roman" w:eastAsia="Times New Roman" w:hint="default"/>
                <w:sz w:val="18"/>
                <w:szCs w:val="18"/>
              </w:rPr>
            </w:pPr>
            <w:r>
              <w:rPr>
                <w:rFonts w:ascii="Times New Roman"/>
                <w:sz w:val="18"/>
              </w:rPr>
              <w:t>2,532,53</w:t>
            </w:r>
          </w:p>
          <w:p>
            <w:pPr>
              <w:pStyle w:val="TableParagraph"/>
              <w:spacing w:line="240" w:lineRule="auto" w:before="105"/>
              <w:ind w:left="367" w:right="0"/>
              <w:jc w:val="left"/>
              <w:rPr>
                <w:rFonts w:ascii="Times New Roman" w:hAnsi="Times New Roman" w:cs="Times New Roman" w:eastAsia="Times New Roman" w:hint="default"/>
                <w:sz w:val="18"/>
                <w:szCs w:val="18"/>
              </w:rPr>
            </w:pPr>
            <w:r>
              <w:rPr>
                <w:rFonts w:ascii="Times New Roman"/>
                <w:sz w:val="18"/>
              </w:rPr>
              <w:t>0.11</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2,532,530.11</w:t>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11"/>
              <w:ind w:left="22" w:right="10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 者权益的金额</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5" w:right="0"/>
              <w:jc w:val="left"/>
              <w:rPr>
                <w:rFonts w:ascii="Times New Roman" w:hAnsi="Times New Roman" w:cs="Times New Roman" w:eastAsia="Times New Roman" w:hint="default"/>
                <w:sz w:val="18"/>
                <w:szCs w:val="18"/>
              </w:rPr>
            </w:pPr>
            <w:r>
              <w:rPr>
                <w:rFonts w:ascii="Times New Roman"/>
                <w:sz w:val="18"/>
              </w:rPr>
              <w:t>2,532,53</w:t>
            </w:r>
          </w:p>
          <w:p>
            <w:pPr>
              <w:pStyle w:val="TableParagraph"/>
              <w:spacing w:line="240" w:lineRule="auto" w:before="105"/>
              <w:ind w:left="367" w:right="0"/>
              <w:jc w:val="left"/>
              <w:rPr>
                <w:rFonts w:ascii="Times New Roman" w:hAnsi="Times New Roman" w:cs="Times New Roman" w:eastAsia="Times New Roman" w:hint="default"/>
                <w:sz w:val="18"/>
                <w:szCs w:val="18"/>
              </w:rPr>
            </w:pPr>
            <w:r>
              <w:rPr>
                <w:rFonts w:ascii="Times New Roman"/>
                <w:sz w:val="18"/>
              </w:rPr>
              <w:t>0.11</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2,532,530.11</w:t>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 w:right="0"/>
              <w:jc w:val="left"/>
              <w:rPr>
                <w:rFonts w:ascii="Times New Roman" w:hAnsi="Times New Roman" w:cs="Times New Roman" w:eastAsia="Times New Roman" w:hint="default"/>
                <w:sz w:val="18"/>
                <w:szCs w:val="18"/>
              </w:rPr>
            </w:pPr>
            <w:r>
              <w:rPr>
                <w:rFonts w:ascii="Times New Roman"/>
                <w:sz w:val="18"/>
              </w:rPr>
              <w:t>6,604,25</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5.08</w:t>
            </w: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-6,604,255.08</w:t>
            </w: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3,470,026.76</w:t>
            </w: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15" w:right="0"/>
              <w:jc w:val="center"/>
              <w:rPr>
                <w:rFonts w:ascii="Times New Roman" w:hAnsi="Times New Roman" w:cs="Times New Roman" w:eastAsia="Times New Roman" w:hint="default"/>
                <w:sz w:val="18"/>
                <w:szCs w:val="18"/>
              </w:rPr>
            </w:pPr>
            <w:r>
              <w:rPr>
                <w:rFonts w:ascii="Times New Roman"/>
                <w:sz w:val="18"/>
              </w:rPr>
              <w:t>-3,470,026.76</w:t>
            </w: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5" w:right="0"/>
              <w:jc w:val="left"/>
              <w:rPr>
                <w:rFonts w:ascii="Times New Roman" w:hAnsi="Times New Roman" w:cs="Times New Roman" w:eastAsia="Times New Roman" w:hint="default"/>
                <w:sz w:val="18"/>
                <w:szCs w:val="18"/>
              </w:rPr>
            </w:pPr>
            <w:r>
              <w:rPr>
                <w:rFonts w:ascii="Times New Roman"/>
                <w:sz w:val="18"/>
              </w:rPr>
              <w:t>6,604,25</w:t>
            </w: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Times New Roman" w:hAnsi="Times New Roman" w:cs="Times New Roman" w:eastAsia="Times New Roman" w:hint="default"/>
                <w:sz w:val="18"/>
                <w:szCs w:val="18"/>
              </w:rPr>
            </w:pPr>
            <w:r>
              <w:rPr>
                <w:rFonts w:ascii="Times New Roman"/>
                <w:spacing w:val="-1"/>
                <w:sz w:val="18"/>
              </w:rPr>
              <w:t>-6,604,255.08</w:t>
            </w: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pacing w:val="-1"/>
                <w:sz w:val="18"/>
              </w:rPr>
              <w:t>3,470,026.76</w:t>
            </w: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15" w:right="0"/>
              <w:jc w:val="center"/>
              <w:rPr>
                <w:rFonts w:ascii="Times New Roman" w:hAnsi="Times New Roman" w:cs="Times New Roman" w:eastAsia="Times New Roman" w:hint="default"/>
                <w:sz w:val="18"/>
                <w:szCs w:val="18"/>
              </w:rPr>
            </w:pPr>
            <w:r>
              <w:rPr>
                <w:rFonts w:ascii="Times New Roman"/>
                <w:sz w:val="18"/>
              </w:rPr>
              <w:t>-3,470,026.76</w:t>
            </w:r>
          </w:p>
        </w:tc>
        <w:tc>
          <w:tcPr>
            <w:tcW w:w="1223"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77" w:footer="1252" w:top="1100" w:bottom="1440" w:left="980" w:right="90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210"/>
        <w:gridCol w:w="767"/>
        <w:gridCol w:w="709"/>
        <w:gridCol w:w="425"/>
        <w:gridCol w:w="425"/>
        <w:gridCol w:w="709"/>
        <w:gridCol w:w="425"/>
        <w:gridCol w:w="1276"/>
        <w:gridCol w:w="1277"/>
        <w:gridCol w:w="709"/>
        <w:gridCol w:w="850"/>
        <w:gridCol w:w="425"/>
        <w:gridCol w:w="426"/>
        <w:gridCol w:w="1134"/>
        <w:gridCol w:w="425"/>
        <w:gridCol w:w="1277"/>
        <w:gridCol w:w="1223"/>
      </w:tblGrid>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361" w:right="0"/>
              <w:jc w:val="left"/>
              <w:rPr>
                <w:rFonts w:ascii="Times New Roman" w:hAnsi="Times New Roman" w:cs="Times New Roman" w:eastAsia="Times New Roman" w:hint="default"/>
                <w:sz w:val="18"/>
                <w:szCs w:val="18"/>
              </w:rPr>
            </w:pPr>
            <w:r>
              <w:rPr>
                <w:rFonts w:ascii="Times New Roman"/>
                <w:sz w:val="18"/>
              </w:rPr>
              <w:t>5.08</w:t>
            </w: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105"/>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10"/>
              <w:ind w:left="22" w:right="111"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 的分配</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1"/>
              <w:ind w:left="22" w:right="21" w:firstLine="180"/>
              <w:jc w:val="left"/>
              <w:rPr>
                <w:rFonts w:ascii="宋体" w:hAnsi="宋体" w:cs="宋体" w:eastAsia="宋体" w:hint="default"/>
                <w:sz w:val="18"/>
                <w:szCs w:val="18"/>
              </w:rPr>
            </w:pPr>
            <w:r>
              <w:rPr>
                <w:rFonts w:ascii="宋体" w:hAnsi="宋体" w:cs="宋体" w:eastAsia="宋体" w:hint="default"/>
                <w:sz w:val="18"/>
                <w:szCs w:val="18"/>
              </w:rPr>
              <w:t>（五）所有者权益内部结 转</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Times New Roman" w:hAnsi="Times New Roman" w:cs="Times New Roman" w:eastAsia="Times New Roman" w:hint="default"/>
                <w:sz w:val="18"/>
                <w:szCs w:val="18"/>
              </w:rPr>
            </w:pPr>
            <w:r>
              <w:rPr>
                <w:rFonts w:ascii="Times New Roman"/>
                <w:sz w:val="18"/>
              </w:rPr>
              <w:t>79,483,9</w:t>
            </w:r>
          </w:p>
          <w:p>
            <w:pPr>
              <w:pStyle w:val="TableParagraph"/>
              <w:spacing w:line="240" w:lineRule="auto" w:before="105"/>
              <w:ind w:left="330" w:right="0"/>
              <w:jc w:val="left"/>
              <w:rPr>
                <w:rFonts w:ascii="Times New Roman" w:hAnsi="Times New Roman" w:cs="Times New Roman" w:eastAsia="Times New Roman" w:hint="default"/>
                <w:sz w:val="18"/>
                <w:szCs w:val="18"/>
              </w:rPr>
            </w:pPr>
            <w:r>
              <w:rPr>
                <w:rFonts w:ascii="Times New Roman"/>
                <w:sz w:val="18"/>
              </w:rPr>
              <w:t>50.00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2" w:right="0"/>
              <w:jc w:val="center"/>
              <w:rPr>
                <w:rFonts w:ascii="Times New Roman" w:hAnsi="Times New Roman" w:cs="Times New Roman" w:eastAsia="Times New Roman" w:hint="default"/>
                <w:sz w:val="18"/>
                <w:szCs w:val="18"/>
              </w:rPr>
            </w:pPr>
            <w:r>
              <w:rPr>
                <w:rFonts w:ascii="Times New Roman"/>
                <w:sz w:val="18"/>
              </w:rPr>
              <w:t>-79,483,</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950.00</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Times New Roman" w:hAnsi="Times New Roman" w:cs="Times New Roman" w:eastAsia="Times New Roman" w:hint="default"/>
                <w:sz w:val="18"/>
                <w:szCs w:val="18"/>
              </w:rPr>
            </w:pPr>
            <w:r>
              <w:rPr>
                <w:rFonts w:ascii="Times New Roman"/>
                <w:sz w:val="18"/>
              </w:rPr>
              <w:t>79,483,9</w:t>
            </w:r>
          </w:p>
          <w:p>
            <w:pPr>
              <w:pStyle w:val="TableParagraph"/>
              <w:spacing w:line="240" w:lineRule="auto" w:before="105"/>
              <w:ind w:left="330" w:right="0"/>
              <w:jc w:val="left"/>
              <w:rPr>
                <w:rFonts w:ascii="Times New Roman" w:hAnsi="Times New Roman" w:cs="Times New Roman" w:eastAsia="Times New Roman" w:hint="default"/>
                <w:sz w:val="18"/>
                <w:szCs w:val="18"/>
              </w:rPr>
            </w:pPr>
            <w:r>
              <w:rPr>
                <w:rFonts w:ascii="Times New Roman"/>
                <w:sz w:val="18"/>
              </w:rPr>
              <w:t>50.00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2" w:right="0"/>
              <w:jc w:val="center"/>
              <w:rPr>
                <w:rFonts w:ascii="Times New Roman" w:hAnsi="Times New Roman" w:cs="Times New Roman" w:eastAsia="Times New Roman" w:hint="default"/>
                <w:sz w:val="18"/>
                <w:szCs w:val="18"/>
              </w:rPr>
            </w:pPr>
            <w:r>
              <w:rPr>
                <w:rFonts w:ascii="Times New Roman"/>
                <w:sz w:val="18"/>
              </w:rPr>
              <w:t>-79,483,</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950.00</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105"/>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02"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02"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76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23"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2" w:right="0"/>
              <w:jc w:val="center"/>
              <w:rPr>
                <w:rFonts w:ascii="Times New Roman" w:hAnsi="Times New Roman" w:cs="Times New Roman" w:eastAsia="Times New Roman" w:hint="default"/>
                <w:sz w:val="18"/>
                <w:szCs w:val="18"/>
              </w:rPr>
            </w:pPr>
            <w:r>
              <w:rPr>
                <w:rFonts w:ascii="Times New Roman"/>
                <w:sz w:val="18"/>
              </w:rPr>
              <w:t>344,430,</w:t>
            </w:r>
          </w:p>
          <w:p>
            <w:pPr>
              <w:pStyle w:val="TableParagraph"/>
              <w:spacing w:line="240" w:lineRule="auto" w:before="105"/>
              <w:ind w:left="219" w:right="0"/>
              <w:jc w:val="center"/>
              <w:rPr>
                <w:rFonts w:ascii="Times New Roman" w:hAnsi="Times New Roman" w:cs="Times New Roman" w:eastAsia="Times New Roman" w:hint="default"/>
                <w:sz w:val="18"/>
                <w:szCs w:val="18"/>
              </w:rPr>
            </w:pPr>
            <w:r>
              <w:rPr>
                <w:rFonts w:ascii="Times New Roman"/>
                <w:sz w:val="18"/>
              </w:rPr>
              <w:t>450.00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center"/>
              <w:rPr>
                <w:rFonts w:ascii="Times New Roman" w:hAnsi="Times New Roman" w:cs="Times New Roman" w:eastAsia="Times New Roman" w:hint="default"/>
                <w:sz w:val="18"/>
                <w:szCs w:val="18"/>
              </w:rPr>
            </w:pPr>
            <w:r>
              <w:rPr>
                <w:rFonts w:ascii="Times New Roman"/>
                <w:sz w:val="18"/>
              </w:rPr>
              <w:t>440,903,</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238.28</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5" w:right="0"/>
              <w:jc w:val="left"/>
              <w:rPr>
                <w:rFonts w:ascii="Times New Roman" w:hAnsi="Times New Roman" w:cs="Times New Roman" w:eastAsia="Times New Roman" w:hint="default"/>
                <w:sz w:val="18"/>
                <w:szCs w:val="18"/>
              </w:rPr>
            </w:pPr>
            <w:r>
              <w:rPr>
                <w:rFonts w:ascii="Times New Roman"/>
                <w:sz w:val="18"/>
              </w:rPr>
              <w:t>33,831,5</w:t>
            </w:r>
          </w:p>
          <w:p>
            <w:pPr>
              <w:pStyle w:val="TableParagraph"/>
              <w:spacing w:line="240" w:lineRule="auto" w:before="105"/>
              <w:ind w:left="271" w:right="0"/>
              <w:jc w:val="left"/>
              <w:rPr>
                <w:rFonts w:ascii="Times New Roman" w:hAnsi="Times New Roman" w:cs="Times New Roman" w:eastAsia="Times New Roman" w:hint="default"/>
                <w:sz w:val="18"/>
                <w:szCs w:val="18"/>
              </w:rPr>
            </w:pPr>
            <w:r>
              <w:rPr>
                <w:rFonts w:ascii="Times New Roman"/>
                <w:sz w:val="18"/>
              </w:rPr>
              <w:t>78.49</w:t>
            </w:r>
          </w:p>
        </w:tc>
        <w:tc>
          <w:tcPr>
            <w:tcW w:w="425"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18" w:right="0"/>
              <w:jc w:val="left"/>
              <w:rPr>
                <w:rFonts w:ascii="Times New Roman" w:hAnsi="Times New Roman" w:cs="Times New Roman" w:eastAsia="Times New Roman" w:hint="default"/>
                <w:sz w:val="18"/>
                <w:szCs w:val="18"/>
              </w:rPr>
            </w:pPr>
            <w:r>
              <w:rPr>
                <w:rFonts w:ascii="Times New Roman"/>
                <w:sz w:val="18"/>
              </w:rPr>
              <w:t>214,717,336.54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Times New Roman" w:hAnsi="Times New Roman" w:cs="Times New Roman" w:eastAsia="Times New Roman" w:hint="default"/>
                <w:sz w:val="18"/>
                <w:szCs w:val="18"/>
              </w:rPr>
            </w:pPr>
            <w:r>
              <w:rPr>
                <w:rFonts w:ascii="Times New Roman"/>
                <w:spacing w:val="-1"/>
                <w:sz w:val="18"/>
              </w:rPr>
              <w:t>1,033,882,603.3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center"/>
              <w:rPr>
                <w:rFonts w:ascii="Times New Roman" w:hAnsi="Times New Roman" w:cs="Times New Roman" w:eastAsia="Times New Roman" w:hint="default"/>
                <w:sz w:val="18"/>
                <w:szCs w:val="18"/>
              </w:rPr>
            </w:pPr>
            <w:r>
              <w:rPr>
                <w:rFonts w:ascii="Times New Roman"/>
                <w:sz w:val="18"/>
              </w:rPr>
              <w:t>264,946,</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500.00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7" w:right="0"/>
              <w:jc w:val="left"/>
              <w:rPr>
                <w:rFonts w:ascii="Times New Roman" w:hAnsi="Times New Roman" w:cs="Times New Roman" w:eastAsia="Times New Roman" w:hint="default"/>
                <w:sz w:val="18"/>
                <w:szCs w:val="18"/>
              </w:rPr>
            </w:pPr>
            <w:r>
              <w:rPr>
                <w:rFonts w:ascii="Times New Roman"/>
                <w:sz w:val="18"/>
              </w:rPr>
              <w:t>517,854,6</w:t>
            </w:r>
          </w:p>
          <w:p>
            <w:pPr>
              <w:pStyle w:val="TableParagraph"/>
              <w:spacing w:line="240" w:lineRule="auto" w:before="105"/>
              <w:ind w:left="412" w:right="0"/>
              <w:jc w:val="left"/>
              <w:rPr>
                <w:rFonts w:ascii="Times New Roman" w:hAnsi="Times New Roman" w:cs="Times New Roman" w:eastAsia="Times New Roman" w:hint="default"/>
                <w:sz w:val="18"/>
                <w:szCs w:val="18"/>
              </w:rPr>
            </w:pPr>
            <w:r>
              <w:rPr>
                <w:rFonts w:ascii="Times New Roman"/>
                <w:sz w:val="18"/>
              </w:rPr>
              <w:t>58.17</w:t>
            </w:r>
          </w:p>
        </w:tc>
        <w:tc>
          <w:tcPr>
            <w:tcW w:w="425"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27,227,323.41</w:t>
            </w:r>
          </w:p>
        </w:tc>
        <w:tc>
          <w:tcPr>
            <w:tcW w:w="425"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18" w:right="0"/>
              <w:jc w:val="left"/>
              <w:rPr>
                <w:rFonts w:ascii="Times New Roman" w:hAnsi="Times New Roman" w:cs="Times New Roman" w:eastAsia="Times New Roman" w:hint="default"/>
                <w:sz w:val="18"/>
                <w:szCs w:val="18"/>
              </w:rPr>
            </w:pPr>
            <w:r>
              <w:rPr>
                <w:rFonts w:ascii="Times New Roman"/>
                <w:sz w:val="18"/>
              </w:rPr>
              <w:t>155,279,040.87</w:t>
            </w:r>
          </w:p>
        </w:tc>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965,307,522.45</w:t>
            </w:r>
          </w:p>
        </w:tc>
      </w:tr>
    </w:tbl>
    <w:p>
      <w:pPr>
        <w:spacing w:after="0" w:line="240" w:lineRule="auto"/>
        <w:jc w:val="left"/>
        <w:rPr>
          <w:rFonts w:ascii="Times New Roman" w:hAnsi="Times New Roman" w:cs="Times New Roman" w:eastAsia="Times New Roman" w:hint="default"/>
          <w:sz w:val="18"/>
          <w:szCs w:val="18"/>
        </w:rPr>
        <w:sectPr>
          <w:pgSz w:w="16840" w:h="11910" w:orient="landscape"/>
          <w:pgMar w:header="877" w:footer="1252" w:top="1100" w:bottom="1440" w:left="980" w:right="900"/>
        </w:sectPr>
      </w:pPr>
    </w:p>
    <w:p>
      <w:pPr>
        <w:spacing w:line="240" w:lineRule="auto" w:before="10"/>
        <w:rPr>
          <w:rFonts w:ascii="Times New Roman" w:hAnsi="Times New Roman" w:cs="Times New Roman" w:eastAsia="Times New Roman" w:hint="default"/>
          <w:sz w:val="22"/>
          <w:szCs w:val="22"/>
        </w:rPr>
      </w:pPr>
    </w:p>
    <w:p>
      <w:pPr>
        <w:spacing w:line="416" w:lineRule="exact" w:before="42"/>
        <w:ind w:left="2321" w:right="2389" w:firstLine="44"/>
        <w:jc w:val="left"/>
        <w:rPr>
          <w:rFonts w:ascii="宋体" w:hAnsi="宋体" w:cs="宋体" w:eastAsia="宋体" w:hint="default"/>
          <w:sz w:val="32"/>
          <w:szCs w:val="32"/>
        </w:rPr>
      </w:pPr>
      <w:r>
        <w:rPr>
          <w:rFonts w:ascii="宋体" w:hAnsi="宋体" w:cs="宋体" w:eastAsia="宋体" w:hint="default"/>
          <w:b/>
          <w:bCs/>
          <w:sz w:val="32"/>
          <w:szCs w:val="32"/>
        </w:rPr>
        <w:t>广州御银科技股份有限公司</w:t>
      </w:r>
      <w:r>
        <w:rPr>
          <w:rFonts w:ascii="宋体" w:hAnsi="宋体" w:cs="宋体" w:eastAsia="宋体" w:hint="default"/>
          <w:b/>
          <w:bCs/>
          <w:w w:val="99"/>
          <w:sz w:val="32"/>
          <w:szCs w:val="32"/>
        </w:rPr>
        <w:t> </w:t>
      </w:r>
      <w:r>
        <w:rPr>
          <w:rFonts w:ascii="宋体" w:hAnsi="宋体" w:cs="宋体" w:eastAsia="宋体" w:hint="default"/>
          <w:b/>
          <w:bCs/>
          <w:sz w:val="32"/>
          <w:szCs w:val="32"/>
        </w:rPr>
        <w:t>二</w:t>
      </w:r>
      <w:r>
        <w:rPr>
          <w:rFonts w:ascii="宋体" w:hAnsi="宋体" w:cs="宋体" w:eastAsia="宋体" w:hint="default"/>
          <w:b/>
          <w:bCs/>
          <w:spacing w:val="-85"/>
          <w:sz w:val="32"/>
          <w:szCs w:val="32"/>
        </w:rPr>
        <w:t> </w:t>
      </w:r>
      <w:r>
        <w:rPr>
          <w:rFonts w:ascii="Times New Roman" w:hAnsi="Times New Roman" w:cs="Times New Roman" w:eastAsia="Times New Roman" w:hint="default"/>
          <w:b/>
          <w:bCs/>
          <w:sz w:val="32"/>
          <w:szCs w:val="32"/>
        </w:rPr>
        <w:t>O</w:t>
      </w:r>
      <w:r>
        <w:rPr>
          <w:rFonts w:ascii="Times New Roman" w:hAnsi="Times New Roman" w:cs="Times New Roman" w:eastAsia="Times New Roman" w:hint="default"/>
          <w:b/>
          <w:bCs/>
          <w:spacing w:val="-5"/>
          <w:sz w:val="32"/>
          <w:szCs w:val="32"/>
        </w:rPr>
        <w:t> </w:t>
      </w:r>
      <w:r>
        <w:rPr>
          <w:rFonts w:ascii="宋体" w:hAnsi="宋体" w:cs="宋体" w:eastAsia="宋体" w:hint="default"/>
          <w:b/>
          <w:bCs/>
          <w:sz w:val="32"/>
          <w:szCs w:val="32"/>
        </w:rPr>
        <w:t>一一年度财务报表附注</w:t>
      </w:r>
      <w:r>
        <w:rPr>
          <w:rFonts w:ascii="宋体" w:hAnsi="宋体" w:cs="宋体" w:eastAsia="宋体" w:hint="default"/>
          <w:sz w:val="32"/>
          <w:szCs w:val="32"/>
        </w:rPr>
      </w:r>
    </w:p>
    <w:p>
      <w:pPr>
        <w:spacing w:line="240" w:lineRule="auto" w:before="0"/>
        <w:rPr>
          <w:rFonts w:ascii="宋体" w:hAnsi="宋体" w:cs="宋体" w:eastAsia="宋体" w:hint="default"/>
          <w:b/>
          <w:bCs/>
          <w:sz w:val="34"/>
          <w:szCs w:val="34"/>
        </w:rPr>
      </w:pPr>
    </w:p>
    <w:p>
      <w:pPr>
        <w:spacing w:line="240" w:lineRule="auto" w:before="1"/>
        <w:rPr>
          <w:rFonts w:ascii="宋体" w:hAnsi="宋体" w:cs="宋体" w:eastAsia="宋体" w:hint="default"/>
          <w:b/>
          <w:bCs/>
          <w:sz w:val="44"/>
          <w:szCs w:val="44"/>
        </w:rPr>
      </w:pPr>
    </w:p>
    <w:p>
      <w:pPr>
        <w:pStyle w:val="Heading2"/>
        <w:tabs>
          <w:tab w:pos="853" w:val="left" w:leader="none"/>
        </w:tabs>
        <w:spacing w:line="240" w:lineRule="auto"/>
        <w:ind w:left="125" w:right="2389"/>
        <w:jc w:val="left"/>
        <w:rPr>
          <w:b w:val="0"/>
          <w:bCs w:val="0"/>
        </w:rPr>
      </w:pPr>
      <w:r>
        <w:rPr>
          <w:w w:val="95"/>
        </w:rPr>
        <w:t>一、</w:t>
        <w:tab/>
      </w:r>
      <w:r>
        <w:rPr/>
        <w:t>公司基本情况</w:t>
      </w:r>
      <w:r>
        <w:rPr>
          <w:b w:val="0"/>
          <w:bCs w:val="0"/>
        </w:rPr>
      </w:r>
    </w:p>
    <w:p>
      <w:pPr>
        <w:spacing w:line="350" w:lineRule="auto" w:before="129"/>
        <w:ind w:left="857" w:right="215" w:firstLine="0"/>
        <w:jc w:val="both"/>
        <w:rPr>
          <w:rFonts w:ascii="宋体" w:hAnsi="宋体" w:cs="宋体" w:eastAsia="宋体" w:hint="default"/>
          <w:sz w:val="21"/>
          <w:szCs w:val="21"/>
        </w:rPr>
      </w:pPr>
      <w:r>
        <w:rPr>
          <w:rFonts w:ascii="宋体" w:hAnsi="宋体" w:cs="宋体" w:eastAsia="宋体" w:hint="default"/>
          <w:spacing w:val="-5"/>
          <w:sz w:val="21"/>
          <w:szCs w:val="21"/>
        </w:rPr>
        <w:t>广州御银科技股份有限公司（以下简称“公司”或“本公司”）前身广州御银科技有</w:t>
      </w:r>
      <w:r>
        <w:rPr>
          <w:rFonts w:ascii="宋体" w:hAnsi="宋体" w:cs="宋体" w:eastAsia="宋体" w:hint="default"/>
          <w:sz w:val="21"/>
          <w:szCs w:val="21"/>
        </w:rPr>
        <w:t> </w:t>
      </w:r>
      <w:r>
        <w:rPr>
          <w:rFonts w:ascii="宋体" w:hAnsi="宋体" w:cs="宋体" w:eastAsia="宋体" w:hint="default"/>
          <w:spacing w:val="6"/>
          <w:sz w:val="21"/>
          <w:szCs w:val="21"/>
        </w:rPr>
        <w:t>限责任公司由杨文江、增城市御银实业有限公司共同出资组建，注册资本人民币</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Times New Roman" w:hAnsi="Times New Roman" w:cs="Times New Roman" w:eastAsia="Times New Roman" w:hint="default"/>
          <w:sz w:val="21"/>
          <w:szCs w:val="21"/>
        </w:rPr>
        <w:t>15,000,000.00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元，于</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日取得广州市工商行政管理局核发的企业法人</w:t>
      </w:r>
    </w:p>
    <w:p>
      <w:pPr>
        <w:spacing w:line="328" w:lineRule="auto" w:before="2"/>
        <w:ind w:left="857" w:right="213" w:hanging="1"/>
        <w:jc w:val="left"/>
        <w:rPr>
          <w:rFonts w:ascii="宋体" w:hAnsi="宋体" w:cs="宋体" w:eastAsia="宋体" w:hint="default"/>
          <w:sz w:val="21"/>
          <w:szCs w:val="21"/>
        </w:rPr>
      </w:pPr>
      <w:r>
        <w:rPr>
          <w:rFonts w:ascii="宋体" w:hAnsi="宋体" w:cs="宋体" w:eastAsia="宋体" w:hint="default"/>
          <w:spacing w:val="-5"/>
          <w:sz w:val="21"/>
          <w:szCs w:val="21"/>
        </w:rPr>
        <w:t>营业执照（注册号为：</w:t>
      </w:r>
      <w:r>
        <w:rPr>
          <w:rFonts w:ascii="Times New Roman" w:hAnsi="Times New Roman" w:cs="Times New Roman" w:eastAsia="Times New Roman" w:hint="default"/>
          <w:spacing w:val="-5"/>
          <w:sz w:val="21"/>
          <w:szCs w:val="21"/>
        </w:rPr>
        <w:t>4401011108228</w:t>
      </w: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2009</w:t>
      </w:r>
      <w:r>
        <w:rPr>
          <w:rFonts w:ascii="Times New Roman" w:hAnsi="Times New Roman" w:cs="Times New Roman" w:eastAsia="Times New Roman" w:hint="default"/>
          <w:sz w:val="21"/>
          <w:szCs w:val="21"/>
        </w:rPr>
        <w:t> </w:t>
      </w:r>
      <w:r>
        <w:rPr>
          <w:rFonts w:ascii="宋体" w:hAnsi="宋体" w:cs="宋体" w:eastAsia="宋体" w:hint="default"/>
          <w:sz w:val="21"/>
          <w:szCs w:val="21"/>
        </w:rPr>
        <w:t>年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z w:val="21"/>
          <w:szCs w:val="21"/>
        </w:rPr>
        <w:t> </w:t>
      </w:r>
      <w:r>
        <w:rPr>
          <w:rFonts w:ascii="宋体" w:hAnsi="宋体" w:cs="宋体" w:eastAsia="宋体" w:hint="default"/>
          <w:sz w:val="21"/>
          <w:szCs w:val="21"/>
        </w:rPr>
        <w:t>月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1"/>
          <w:sz w:val="21"/>
          <w:szCs w:val="21"/>
        </w:rPr>
        <w:t> </w:t>
      </w:r>
      <w:r>
        <w:rPr>
          <w:rFonts w:ascii="宋体" w:hAnsi="宋体" w:cs="宋体" w:eastAsia="宋体" w:hint="default"/>
          <w:spacing w:val="-1"/>
          <w:sz w:val="21"/>
          <w:szCs w:val="21"/>
        </w:rPr>
        <w:t>日工商变更登记，注册号</w:t>
      </w:r>
      <w:r>
        <w:rPr>
          <w:rFonts w:ascii="宋体" w:hAnsi="宋体" w:cs="宋体" w:eastAsia="宋体" w:hint="default"/>
          <w:sz w:val="21"/>
          <w:szCs w:val="21"/>
        </w:rPr>
        <w:t> 变更为</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440101000034373</w:t>
      </w:r>
      <w:r>
        <w:rPr>
          <w:rFonts w:ascii="宋体" w:hAnsi="宋体" w:cs="宋体" w:eastAsia="宋体" w:hint="default"/>
          <w:sz w:val="21"/>
          <w:szCs w:val="21"/>
        </w:rPr>
        <w:t>，公司的实际控制人为杨文江。</w:t>
      </w:r>
    </w:p>
    <w:p>
      <w:pPr>
        <w:spacing w:line="240" w:lineRule="auto" w:before="3"/>
        <w:rPr>
          <w:rFonts w:ascii="宋体" w:hAnsi="宋体" w:cs="宋体" w:eastAsia="宋体" w:hint="default"/>
          <w:sz w:val="23"/>
          <w:szCs w:val="23"/>
        </w:rPr>
      </w:pPr>
    </w:p>
    <w:p>
      <w:pPr>
        <w:spacing w:line="328" w:lineRule="auto" w:before="0"/>
        <w:ind w:left="857" w:right="104" w:firstLine="0"/>
        <w:jc w:val="left"/>
        <w:rPr>
          <w:rFonts w:ascii="宋体" w:hAnsi="宋体" w:cs="宋体" w:eastAsia="宋体" w:hint="default"/>
          <w:sz w:val="21"/>
          <w:szCs w:val="21"/>
        </w:rPr>
      </w:pPr>
      <w:r>
        <w:rPr>
          <w:rFonts w:ascii="宋体" w:hAnsi="宋体" w:cs="宋体" w:eastAsia="宋体" w:hint="default"/>
          <w:sz w:val="21"/>
          <w:szCs w:val="21"/>
        </w:rPr>
        <w:t>公司经广州市经济委员会穗经</w:t>
      </w:r>
      <w:r>
        <w:rPr>
          <w:rFonts w:ascii="Times New Roman" w:hAnsi="Times New Roman" w:cs="Times New Roman" w:eastAsia="Times New Roman" w:hint="default"/>
          <w:sz w:val="21"/>
          <w:szCs w:val="21"/>
        </w:rPr>
        <w:t>[2003]88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号《关于同意设立广州御银科技股份有限公 </w:t>
      </w:r>
      <w:r>
        <w:rPr>
          <w:rFonts w:ascii="宋体" w:hAnsi="宋体" w:cs="宋体" w:eastAsia="宋体" w:hint="default"/>
          <w:spacing w:val="-7"/>
          <w:sz w:val="21"/>
          <w:szCs w:val="21"/>
        </w:rPr>
        <w:t>司的批复》批准，以公司截至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日经审计净资产</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30,200,000.00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元按</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p>
    <w:p>
      <w:pPr>
        <w:spacing w:before="24"/>
        <w:ind w:left="857"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比例折股，整体变更为股份公司。改制后，公司的股本总额为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30,200,000.00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9"/>
        <w:rPr>
          <w:rFonts w:ascii="宋体" w:hAnsi="宋体" w:cs="宋体" w:eastAsia="宋体" w:hint="default"/>
          <w:sz w:val="29"/>
          <w:szCs w:val="29"/>
        </w:rPr>
      </w:pPr>
    </w:p>
    <w:p>
      <w:pPr>
        <w:spacing w:before="0"/>
        <w:ind w:left="857"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日，发行人召开</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年度股东大会，审议通过了</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年度利润分</w:t>
      </w:r>
    </w:p>
    <w:p>
      <w:pPr>
        <w:spacing w:before="110"/>
        <w:ind w:left="857" w:right="0" w:firstLine="0"/>
        <w:jc w:val="both"/>
        <w:rPr>
          <w:rFonts w:ascii="宋体" w:hAnsi="宋体" w:cs="宋体" w:eastAsia="宋体" w:hint="default"/>
          <w:sz w:val="21"/>
          <w:szCs w:val="21"/>
        </w:rPr>
      </w:pPr>
      <w:r>
        <w:rPr>
          <w:rFonts w:ascii="宋体" w:hAnsi="宋体" w:cs="宋体" w:eastAsia="宋体" w:hint="default"/>
          <w:spacing w:val="-6"/>
          <w:sz w:val="21"/>
          <w:szCs w:val="21"/>
        </w:rPr>
        <w:t>配方案，决定以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日股份公司总股本</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30,200,000</w:t>
      </w:r>
      <w:r>
        <w:rPr>
          <w:rFonts w:ascii="Times New Roman" w:hAnsi="Times New Roman" w:cs="Times New Roman" w:eastAsia="Times New Roman" w:hint="default"/>
          <w:spacing w:val="-1"/>
          <w:sz w:val="21"/>
          <w:szCs w:val="21"/>
        </w:rPr>
        <w:t> </w:t>
      </w:r>
      <w:r>
        <w:rPr>
          <w:rFonts w:ascii="宋体" w:hAnsi="宋体" w:cs="宋体" w:eastAsia="宋体" w:hint="default"/>
          <w:spacing w:val="-5"/>
          <w:sz w:val="21"/>
          <w:szCs w:val="21"/>
        </w:rPr>
        <w:t>股为基数，向全体股</w:t>
      </w:r>
    </w:p>
    <w:p>
      <w:pPr>
        <w:spacing w:before="109"/>
        <w:ind w:left="857" w:right="0" w:firstLine="0"/>
        <w:jc w:val="both"/>
        <w:rPr>
          <w:rFonts w:ascii="宋体" w:hAnsi="宋体" w:cs="宋体" w:eastAsia="宋体" w:hint="default"/>
          <w:sz w:val="21"/>
          <w:szCs w:val="21"/>
        </w:rPr>
      </w:pPr>
      <w:r>
        <w:rPr>
          <w:rFonts w:ascii="宋体" w:hAnsi="宋体" w:cs="宋体" w:eastAsia="宋体" w:hint="default"/>
          <w:sz w:val="21"/>
          <w:szCs w:val="21"/>
        </w:rPr>
        <w:t>东每</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股送股票红利</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6.56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股，共向股东派送股票股利</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19,811,200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股，本次利润分</w:t>
      </w:r>
    </w:p>
    <w:p>
      <w:pPr>
        <w:spacing w:before="109"/>
        <w:ind w:left="857" w:right="0" w:firstLine="0"/>
        <w:jc w:val="both"/>
        <w:rPr>
          <w:rFonts w:ascii="宋体" w:hAnsi="宋体" w:cs="宋体" w:eastAsia="宋体" w:hint="default"/>
          <w:sz w:val="21"/>
          <w:szCs w:val="21"/>
        </w:rPr>
      </w:pPr>
      <w:r>
        <w:rPr>
          <w:rFonts w:ascii="宋体" w:hAnsi="宋体" w:cs="宋体" w:eastAsia="宋体" w:hint="default"/>
          <w:sz w:val="21"/>
          <w:szCs w:val="21"/>
        </w:rPr>
        <w:t>配完成后，公司的股本总额为</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50,011,200.00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元。</w:t>
      </w:r>
    </w:p>
    <w:p>
      <w:pPr>
        <w:spacing w:line="240" w:lineRule="auto" w:before="10"/>
        <w:rPr>
          <w:rFonts w:ascii="宋体" w:hAnsi="宋体" w:cs="宋体" w:eastAsia="宋体" w:hint="default"/>
          <w:sz w:val="29"/>
          <w:szCs w:val="29"/>
        </w:rPr>
      </w:pPr>
    </w:p>
    <w:p>
      <w:pPr>
        <w:spacing w:before="0"/>
        <w:ind w:left="857"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日，发行人召开</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年第二次临时股东大会，审议通过了《关于增</w:t>
      </w:r>
    </w:p>
    <w:p>
      <w:pPr>
        <w:spacing w:before="109"/>
        <w:ind w:left="857" w:right="0" w:firstLine="0"/>
        <w:jc w:val="both"/>
        <w:rPr>
          <w:rFonts w:ascii="宋体" w:hAnsi="宋体" w:cs="宋体" w:eastAsia="宋体" w:hint="default"/>
          <w:sz w:val="21"/>
          <w:szCs w:val="21"/>
        </w:rPr>
      </w:pPr>
      <w:r>
        <w:rPr>
          <w:rFonts w:ascii="宋体" w:hAnsi="宋体" w:cs="宋体" w:eastAsia="宋体" w:hint="default"/>
          <w:sz w:val="21"/>
          <w:szCs w:val="21"/>
        </w:rPr>
        <w:t>资扩股议案》，同意公司以每股</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2.88</w:t>
      </w:r>
      <w:r>
        <w:rPr>
          <w:rFonts w:ascii="Times New Roman" w:hAnsi="Times New Roman" w:cs="Times New Roman" w:eastAsia="Times New Roman" w:hint="default"/>
          <w:spacing w:val="49"/>
          <w:sz w:val="21"/>
          <w:szCs w:val="21"/>
        </w:rPr>
        <w:t> </w:t>
      </w:r>
      <w:r>
        <w:rPr>
          <w:rFonts w:ascii="宋体" w:hAnsi="宋体" w:cs="宋体" w:eastAsia="宋体" w:hint="default"/>
          <w:sz w:val="21"/>
          <w:szCs w:val="21"/>
        </w:rPr>
        <w:t>元的发行价格，增发</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5,556,800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股新股。本次</w:t>
      </w:r>
    </w:p>
    <w:p>
      <w:pPr>
        <w:spacing w:before="110"/>
        <w:ind w:left="857" w:right="0" w:firstLine="0"/>
        <w:jc w:val="both"/>
        <w:rPr>
          <w:rFonts w:ascii="宋体" w:hAnsi="宋体" w:cs="宋体" w:eastAsia="宋体" w:hint="default"/>
          <w:sz w:val="21"/>
          <w:szCs w:val="21"/>
        </w:rPr>
      </w:pPr>
      <w:r>
        <w:rPr>
          <w:rFonts w:ascii="宋体" w:hAnsi="宋体" w:cs="宋体" w:eastAsia="宋体" w:hint="default"/>
          <w:sz w:val="21"/>
          <w:szCs w:val="21"/>
        </w:rPr>
        <w:t>增资扩股后股本总额为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55,568,000.00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p>
    <w:p>
      <w:pPr>
        <w:spacing w:line="240" w:lineRule="auto" w:before="9"/>
        <w:rPr>
          <w:rFonts w:ascii="宋体" w:hAnsi="宋体" w:cs="宋体" w:eastAsia="宋体" w:hint="default"/>
          <w:sz w:val="29"/>
          <w:szCs w:val="29"/>
        </w:rPr>
      </w:pPr>
    </w:p>
    <w:p>
      <w:pPr>
        <w:spacing w:before="0"/>
        <w:ind w:left="857" w:right="0" w:firstLine="0"/>
        <w:jc w:val="both"/>
        <w:rPr>
          <w:rFonts w:ascii="Times New Roman" w:hAnsi="Times New Roman" w:cs="Times New Roman" w:eastAsia="Times New Roman" w:hint="default"/>
          <w:sz w:val="21"/>
          <w:szCs w:val="21"/>
        </w:rPr>
      </w:pPr>
      <w:r>
        <w:rPr>
          <w:rFonts w:ascii="宋体" w:hAnsi="宋体" w:cs="宋体" w:eastAsia="宋体" w:hint="default"/>
          <w:sz w:val="21"/>
          <w:szCs w:val="21"/>
        </w:rPr>
        <w:t>经中国证券监督管理委员会以证监发行字</w:t>
      </w:r>
      <w:r>
        <w:rPr>
          <w:rFonts w:ascii="Times New Roman" w:hAnsi="Times New Roman" w:cs="Times New Roman" w:eastAsia="Times New Roman" w:hint="default"/>
          <w:sz w:val="21"/>
          <w:szCs w:val="21"/>
        </w:rPr>
        <w:t>[2007]</w:t>
      </w:r>
      <w:r>
        <w:rPr>
          <w:rFonts w:ascii="宋体" w:hAnsi="宋体" w:cs="宋体" w:eastAsia="宋体" w:hint="default"/>
          <w:sz w:val="21"/>
          <w:szCs w:val="21"/>
        </w:rPr>
        <w:t>号</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350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文核准，于</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22</w:t>
      </w:r>
    </w:p>
    <w:p>
      <w:pPr>
        <w:spacing w:line="328" w:lineRule="auto" w:before="110"/>
        <w:ind w:left="857" w:right="212" w:firstLine="0"/>
        <w:jc w:val="left"/>
        <w:rPr>
          <w:rFonts w:ascii="宋体" w:hAnsi="宋体" w:cs="宋体" w:eastAsia="宋体" w:hint="default"/>
          <w:sz w:val="21"/>
          <w:szCs w:val="21"/>
        </w:rPr>
      </w:pPr>
      <w:r>
        <w:rPr>
          <w:rFonts w:ascii="宋体" w:hAnsi="宋体" w:cs="宋体" w:eastAsia="宋体" w:hint="default"/>
          <w:sz w:val="21"/>
          <w:szCs w:val="21"/>
        </w:rPr>
        <w:t>日发行</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19,000,000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股，本公司股票已于</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月在深圳证券交易所上市，所属 行业为专用设备制造业。</w:t>
      </w:r>
    </w:p>
    <w:p>
      <w:pPr>
        <w:spacing w:line="240" w:lineRule="auto" w:before="1"/>
        <w:rPr>
          <w:rFonts w:ascii="宋体" w:hAnsi="宋体" w:cs="宋体" w:eastAsia="宋体" w:hint="default"/>
          <w:sz w:val="25"/>
          <w:szCs w:val="25"/>
        </w:rPr>
      </w:pPr>
    </w:p>
    <w:p>
      <w:pPr>
        <w:spacing w:before="0"/>
        <w:ind w:left="857" w:right="0" w:firstLine="0"/>
        <w:jc w:val="both"/>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日公司的股本总额为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74,568,000.00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9"/>
        <w:rPr>
          <w:rFonts w:ascii="宋体" w:hAnsi="宋体" w:cs="宋体" w:eastAsia="宋体" w:hint="default"/>
          <w:sz w:val="29"/>
          <w:szCs w:val="29"/>
        </w:rPr>
      </w:pPr>
    </w:p>
    <w:p>
      <w:pPr>
        <w:spacing w:before="0"/>
        <w:ind w:left="857"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日通过股东大会决议</w:t>
      </w:r>
      <w:r>
        <w:rPr>
          <w:rFonts w:ascii="Times New Roman" w:hAnsi="Times New Roman" w:cs="Times New Roman" w:eastAsia="Times New Roman" w:hint="default"/>
          <w:sz w:val="21"/>
          <w:szCs w:val="21"/>
        </w:rPr>
        <w:t>:</w:t>
      </w:r>
      <w:r>
        <w:rPr>
          <w:rFonts w:ascii="宋体" w:hAnsi="宋体" w:cs="宋体" w:eastAsia="宋体" w:hint="default"/>
          <w:sz w:val="21"/>
          <w:szCs w:val="21"/>
        </w:rPr>
        <w:t>资本公积转增股本方案</w:t>
      </w:r>
      <w:r>
        <w:rPr>
          <w:rFonts w:ascii="Times New Roman" w:hAnsi="Times New Roman" w:cs="Times New Roman" w:eastAsia="Times New Roman" w:hint="default"/>
          <w:sz w:val="21"/>
          <w:szCs w:val="21"/>
        </w:rPr>
        <w:t>,</w:t>
      </w:r>
      <w:r>
        <w:rPr>
          <w:rFonts w:ascii="宋体" w:hAnsi="宋体" w:cs="宋体" w:eastAsia="宋体" w:hint="default"/>
          <w:sz w:val="21"/>
          <w:szCs w:val="21"/>
        </w:rPr>
        <w:t>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年末公司总股</w:t>
      </w:r>
    </w:p>
    <w:p>
      <w:pPr>
        <w:spacing w:before="110"/>
        <w:ind w:left="857" w:right="0" w:firstLine="0"/>
        <w:jc w:val="both"/>
        <w:rPr>
          <w:rFonts w:ascii="宋体" w:hAnsi="宋体" w:cs="宋体" w:eastAsia="宋体" w:hint="default"/>
          <w:sz w:val="21"/>
          <w:szCs w:val="21"/>
        </w:rPr>
      </w:pPr>
      <w:r>
        <w:rPr>
          <w:rFonts w:ascii="宋体" w:hAnsi="宋体" w:cs="宋体" w:eastAsia="宋体" w:hint="default"/>
          <w:sz w:val="21"/>
          <w:szCs w:val="21"/>
        </w:rPr>
        <w:t>本</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74,568,000</w:t>
      </w:r>
      <w:r>
        <w:rPr>
          <w:rFonts w:ascii="Times New Roman" w:hAnsi="Times New Roman" w:cs="Times New Roman" w:eastAsia="Times New Roman" w:hint="default"/>
          <w:spacing w:val="-1"/>
          <w:sz w:val="21"/>
          <w:szCs w:val="21"/>
        </w:rPr>
        <w:t> </w:t>
      </w:r>
      <w:r>
        <w:rPr>
          <w:rFonts w:ascii="宋体" w:hAnsi="宋体" w:cs="宋体" w:eastAsia="宋体" w:hint="default"/>
          <w:spacing w:val="-7"/>
          <w:sz w:val="21"/>
          <w:szCs w:val="21"/>
        </w:rPr>
        <w:t>股为基数，每</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股转增</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pacing w:val="-11"/>
          <w:sz w:val="21"/>
          <w:szCs w:val="21"/>
        </w:rPr>
        <w:t>股。截止</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日公司的股本总</w:t>
      </w:r>
    </w:p>
    <w:p>
      <w:pPr>
        <w:spacing w:before="109"/>
        <w:ind w:left="857" w:right="0" w:firstLine="0"/>
        <w:jc w:val="both"/>
        <w:rPr>
          <w:rFonts w:ascii="宋体" w:hAnsi="宋体" w:cs="宋体" w:eastAsia="宋体" w:hint="default"/>
          <w:sz w:val="21"/>
          <w:szCs w:val="21"/>
        </w:rPr>
      </w:pPr>
      <w:r>
        <w:rPr>
          <w:rFonts w:ascii="宋体" w:hAnsi="宋体" w:cs="宋体" w:eastAsia="宋体" w:hint="default"/>
          <w:sz w:val="21"/>
          <w:szCs w:val="21"/>
        </w:rPr>
        <w:t>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149,136,000.00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after="0"/>
        <w:jc w:val="both"/>
        <w:rPr>
          <w:rFonts w:ascii="宋体" w:hAnsi="宋体" w:cs="宋体" w:eastAsia="宋体" w:hint="default"/>
          <w:sz w:val="21"/>
          <w:szCs w:val="21"/>
        </w:rPr>
        <w:sectPr>
          <w:headerReference w:type="default" r:id="rId25"/>
          <w:footerReference w:type="default" r:id="rId26"/>
          <w:pgSz w:w="11910" w:h="16840"/>
          <w:pgMar w:header="885" w:footer="1256" w:top="1120" w:bottom="1440" w:left="1660" w:right="1580"/>
          <w:pgNumType w:start="93"/>
        </w:sectPr>
      </w:pPr>
    </w:p>
    <w:p>
      <w:pPr>
        <w:spacing w:line="240" w:lineRule="auto" w:before="10"/>
        <w:rPr>
          <w:rFonts w:ascii="宋体" w:hAnsi="宋体" w:cs="宋体" w:eastAsia="宋体" w:hint="default"/>
          <w:sz w:val="28"/>
          <w:szCs w:val="28"/>
        </w:rPr>
      </w:pPr>
    </w:p>
    <w:p>
      <w:pPr>
        <w:spacing w:before="35"/>
        <w:ind w:left="857" w:right="91" w:firstLine="0"/>
        <w:jc w:val="left"/>
        <w:rPr>
          <w:rFonts w:ascii="宋体" w:hAnsi="宋体" w:cs="宋体" w:eastAsia="宋体" w:hint="default"/>
          <w:sz w:val="21"/>
          <w:szCs w:val="21"/>
        </w:rPr>
      </w:pPr>
      <w:r>
        <w:rPr>
          <w:rFonts w:ascii="宋体" w:hAnsi="宋体" w:cs="宋体" w:eastAsia="宋体" w:hint="default"/>
          <w:sz w:val="21"/>
          <w:szCs w:val="21"/>
        </w:rPr>
        <w:t>经公司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pacing w:val="-7"/>
          <w:sz w:val="21"/>
          <w:szCs w:val="21"/>
        </w:rPr>
        <w:t>年度股东大会审议通过，以</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年年末总股本</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149,136,000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股为基数向</w:t>
      </w:r>
    </w:p>
    <w:p>
      <w:pPr>
        <w:spacing w:before="109"/>
        <w:ind w:left="857" w:right="91" w:firstLine="0"/>
        <w:jc w:val="left"/>
        <w:rPr>
          <w:rFonts w:ascii="宋体" w:hAnsi="宋体" w:cs="宋体" w:eastAsia="宋体" w:hint="default"/>
          <w:sz w:val="21"/>
          <w:szCs w:val="21"/>
        </w:rPr>
      </w:pPr>
      <w:r>
        <w:rPr>
          <w:rFonts w:ascii="宋体" w:hAnsi="宋体" w:cs="宋体" w:eastAsia="宋体" w:hint="default"/>
          <w:sz w:val="21"/>
          <w:szCs w:val="21"/>
        </w:rPr>
        <w:t>全体股东按每</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股转增</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股的比例转增股本，送转完成后公司总股本增至</w:t>
      </w:r>
    </w:p>
    <w:p>
      <w:pPr>
        <w:spacing w:before="110"/>
        <w:ind w:left="857"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223,704,000</w:t>
      </w:r>
      <w:r>
        <w:rPr>
          <w:rFonts w:ascii="Times New Roman" w:hAnsi="Times New Roman" w:cs="Times New Roman" w:eastAsia="Times New Roman" w:hint="default"/>
          <w:spacing w:val="49"/>
          <w:sz w:val="21"/>
          <w:szCs w:val="21"/>
        </w:rPr>
        <w:t> </w:t>
      </w:r>
      <w:r>
        <w:rPr>
          <w:rFonts w:ascii="宋体" w:hAnsi="宋体" w:cs="宋体" w:eastAsia="宋体" w:hint="default"/>
          <w:sz w:val="21"/>
          <w:szCs w:val="21"/>
        </w:rPr>
        <w:t>股。资本公积金转增股本的方案已于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日实施。</w:t>
      </w:r>
    </w:p>
    <w:p>
      <w:pPr>
        <w:spacing w:line="240" w:lineRule="auto" w:before="9"/>
        <w:rPr>
          <w:rFonts w:ascii="宋体" w:hAnsi="宋体" w:cs="宋体" w:eastAsia="宋体" w:hint="default"/>
          <w:sz w:val="29"/>
          <w:szCs w:val="29"/>
        </w:rPr>
      </w:pPr>
    </w:p>
    <w:p>
      <w:pPr>
        <w:spacing w:before="0"/>
        <w:ind w:left="857" w:right="91"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经中国证券监督管理委员会证监许可</w:t>
      </w:r>
      <w:r>
        <w:rPr>
          <w:rFonts w:ascii="Times New Roman" w:hAnsi="Times New Roman" w:cs="Times New Roman" w:eastAsia="Times New Roman" w:hint="default"/>
          <w:sz w:val="21"/>
          <w:szCs w:val="21"/>
        </w:rPr>
        <w:t>[2009]962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号文核准，公司于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13</w:t>
      </w:r>
    </w:p>
    <w:p>
      <w:pPr>
        <w:spacing w:before="110"/>
        <w:ind w:left="857" w:right="91"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日以非公开发行股票的方式向</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6"/>
          <w:sz w:val="21"/>
          <w:szCs w:val="21"/>
        </w:rPr>
        <w:t> </w:t>
      </w:r>
      <w:r>
        <w:rPr>
          <w:rFonts w:ascii="宋体" w:hAnsi="宋体" w:cs="宋体" w:eastAsia="宋体" w:hint="default"/>
          <w:spacing w:val="-2"/>
          <w:sz w:val="21"/>
          <w:szCs w:val="21"/>
        </w:rPr>
        <w:t>家</w:t>
      </w:r>
      <w:r>
        <w:rPr>
          <w:rFonts w:ascii="宋体" w:hAnsi="宋体" w:cs="宋体" w:eastAsia="宋体" w:hint="default"/>
          <w:sz w:val="21"/>
          <w:szCs w:val="21"/>
        </w:rPr>
        <w:t>特定投资者发行了</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1,24</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,50</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股人</w:t>
      </w:r>
      <w:r>
        <w:rPr>
          <w:rFonts w:ascii="宋体" w:hAnsi="宋体" w:cs="宋体" w:eastAsia="宋体" w:hint="default"/>
          <w:spacing w:val="-2"/>
          <w:sz w:val="21"/>
          <w:szCs w:val="21"/>
        </w:rPr>
        <w:t>民</w:t>
      </w:r>
      <w:r>
        <w:rPr>
          <w:rFonts w:ascii="宋体" w:hAnsi="宋体" w:cs="宋体" w:eastAsia="宋体" w:hint="default"/>
          <w:sz w:val="21"/>
          <w:szCs w:val="21"/>
        </w:rPr>
        <w:t>币普通</w:t>
      </w:r>
      <w:r>
        <w:rPr>
          <w:rFonts w:ascii="宋体" w:hAnsi="宋体" w:cs="宋体" w:eastAsia="宋体" w:hint="default"/>
          <w:spacing w:val="-105"/>
          <w:sz w:val="21"/>
          <w:szCs w:val="21"/>
        </w:rPr>
        <w:t>股</w:t>
      </w:r>
      <w:r>
        <w:rPr>
          <w:rFonts w:ascii="宋体" w:hAnsi="宋体" w:cs="宋体" w:eastAsia="宋体" w:hint="default"/>
          <w:sz w:val="21"/>
          <w:szCs w:val="21"/>
        </w:rPr>
        <w:t>（</w:t>
      </w:r>
      <w:r>
        <w:rPr>
          <w:rFonts w:ascii="Times New Roman" w:hAnsi="Times New Roman" w:cs="Times New Roman" w:eastAsia="Times New Roman" w:hint="default"/>
          <w:w w:val="99"/>
          <w:sz w:val="21"/>
          <w:szCs w:val="21"/>
        </w:rPr>
        <w:t>A</w:t>
      </w:r>
      <w:r>
        <w:rPr>
          <w:rFonts w:ascii="Times New Roman" w:hAnsi="Times New Roman" w:cs="Times New Roman" w:eastAsia="Times New Roman" w:hint="default"/>
          <w:sz w:val="21"/>
          <w:szCs w:val="21"/>
        </w:rPr>
      </w:r>
    </w:p>
    <w:p>
      <w:pPr>
        <w:spacing w:before="109"/>
        <w:ind w:left="857" w:right="91" w:firstLine="0"/>
        <w:jc w:val="left"/>
        <w:rPr>
          <w:rFonts w:ascii="宋体" w:hAnsi="宋体" w:cs="宋体" w:eastAsia="宋体" w:hint="default"/>
          <w:sz w:val="21"/>
          <w:szCs w:val="21"/>
        </w:rPr>
      </w:pPr>
      <w:r>
        <w:rPr>
          <w:rFonts w:ascii="宋体" w:hAnsi="宋体" w:cs="宋体" w:eastAsia="宋体" w:hint="default"/>
          <w:sz w:val="21"/>
          <w:szCs w:val="21"/>
        </w:rPr>
        <w:t>股），发行价为人民币</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股。经深圳证券交易所同意，公司非公开发行的股</w:t>
      </w:r>
    </w:p>
    <w:p>
      <w:pPr>
        <w:spacing w:before="109"/>
        <w:ind w:left="857" w:right="91" w:firstLine="0"/>
        <w:jc w:val="left"/>
        <w:rPr>
          <w:rFonts w:ascii="宋体" w:hAnsi="宋体" w:cs="宋体" w:eastAsia="宋体" w:hint="default"/>
          <w:sz w:val="21"/>
          <w:szCs w:val="21"/>
        </w:rPr>
      </w:pPr>
      <w:r>
        <w:rPr>
          <w:rFonts w:ascii="宋体" w:hAnsi="宋体" w:cs="宋体" w:eastAsia="宋体" w:hint="default"/>
          <w:sz w:val="21"/>
          <w:szCs w:val="21"/>
        </w:rPr>
        <w:t>票于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3"/>
          <w:sz w:val="21"/>
          <w:szCs w:val="21"/>
        </w:rPr>
        <w:t> </w:t>
      </w:r>
      <w:r>
        <w:rPr>
          <w:rFonts w:ascii="宋体" w:hAnsi="宋体" w:cs="宋体" w:eastAsia="宋体" w:hint="default"/>
          <w:spacing w:val="-4"/>
          <w:sz w:val="21"/>
          <w:szCs w:val="21"/>
        </w:rPr>
        <w:t>日在深圳证券交易所挂牌上市。非公开发行后公司总股本增至</w:t>
      </w:r>
    </w:p>
    <w:p>
      <w:pPr>
        <w:spacing w:before="110"/>
        <w:ind w:left="857"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264,946,500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股。截止</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日公司的股本总额为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264,946,500.00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9"/>
        <w:rPr>
          <w:rFonts w:ascii="宋体" w:hAnsi="宋体" w:cs="宋体" w:eastAsia="宋体" w:hint="default"/>
          <w:sz w:val="29"/>
          <w:szCs w:val="29"/>
        </w:rPr>
      </w:pPr>
    </w:p>
    <w:p>
      <w:pPr>
        <w:spacing w:before="0"/>
        <w:ind w:left="857" w:right="91" w:firstLine="0"/>
        <w:jc w:val="left"/>
        <w:rPr>
          <w:rFonts w:ascii="宋体" w:hAnsi="宋体" w:cs="宋体" w:eastAsia="宋体" w:hint="default"/>
          <w:sz w:val="21"/>
          <w:szCs w:val="21"/>
        </w:rPr>
      </w:pPr>
      <w:r>
        <w:rPr>
          <w:rFonts w:ascii="宋体" w:hAnsi="宋体" w:cs="宋体" w:eastAsia="宋体" w:hint="default"/>
          <w:sz w:val="21"/>
          <w:szCs w:val="21"/>
        </w:rPr>
        <w:t>经公司</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年度股东大会审议通过，以</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年年末总股本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26,494.65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万股为基数，</w:t>
      </w:r>
    </w:p>
    <w:p>
      <w:pPr>
        <w:spacing w:before="110"/>
        <w:ind w:left="857" w:right="91" w:firstLine="0"/>
        <w:jc w:val="left"/>
        <w:rPr>
          <w:rFonts w:ascii="宋体" w:hAnsi="宋体" w:cs="宋体" w:eastAsia="宋体" w:hint="default"/>
          <w:sz w:val="21"/>
          <w:szCs w:val="21"/>
        </w:rPr>
      </w:pPr>
      <w:r>
        <w:rPr>
          <w:rFonts w:ascii="宋体" w:hAnsi="宋体" w:cs="宋体" w:eastAsia="宋体" w:hint="default"/>
          <w:sz w:val="21"/>
          <w:szCs w:val="21"/>
        </w:rPr>
        <w:t>向全体股东以资本公积金按每</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 </w:t>
      </w:r>
      <w:r>
        <w:rPr>
          <w:rFonts w:ascii="宋体" w:hAnsi="宋体" w:cs="宋体" w:eastAsia="宋体" w:hint="default"/>
          <w:sz w:val="21"/>
          <w:szCs w:val="21"/>
        </w:rPr>
        <w:t>股转增</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 </w:t>
      </w:r>
      <w:r>
        <w:rPr>
          <w:rFonts w:ascii="宋体" w:hAnsi="宋体" w:cs="宋体" w:eastAsia="宋体" w:hint="default"/>
          <w:spacing w:val="-5"/>
          <w:sz w:val="21"/>
          <w:szCs w:val="21"/>
        </w:rPr>
        <w:t>股的比例转增股本，送转完成后，公司总</w:t>
      </w:r>
    </w:p>
    <w:p>
      <w:pPr>
        <w:spacing w:before="109"/>
        <w:ind w:left="857" w:right="91" w:firstLine="0"/>
        <w:jc w:val="left"/>
        <w:rPr>
          <w:rFonts w:ascii="宋体" w:hAnsi="宋体" w:cs="宋体" w:eastAsia="宋体" w:hint="default"/>
          <w:sz w:val="21"/>
          <w:szCs w:val="21"/>
        </w:rPr>
      </w:pPr>
      <w:r>
        <w:rPr>
          <w:rFonts w:ascii="宋体" w:hAnsi="宋体" w:cs="宋体" w:eastAsia="宋体" w:hint="default"/>
          <w:sz w:val="21"/>
          <w:szCs w:val="21"/>
        </w:rPr>
        <w:t>股本增至</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34,443.045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万股。资本公积金转增股本的方案已于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日实施。</w:t>
      </w:r>
    </w:p>
    <w:p>
      <w:pPr>
        <w:spacing w:line="240" w:lineRule="auto" w:before="10"/>
        <w:rPr>
          <w:rFonts w:ascii="宋体" w:hAnsi="宋体" w:cs="宋体" w:eastAsia="宋体" w:hint="default"/>
          <w:sz w:val="29"/>
          <w:szCs w:val="29"/>
        </w:rPr>
      </w:pPr>
    </w:p>
    <w:p>
      <w:pPr>
        <w:spacing w:before="0"/>
        <w:ind w:left="857" w:right="91" w:firstLine="0"/>
        <w:jc w:val="left"/>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日公司注册资本为</w:t>
      </w:r>
      <w:r>
        <w:rPr>
          <w:rFonts w:ascii="宋体" w:hAnsi="宋体" w:cs="宋体" w:eastAsia="宋体" w:hint="default"/>
          <w:spacing w:val="-2"/>
          <w:sz w:val="21"/>
          <w:szCs w:val="21"/>
        </w:rPr>
        <w:t> </w:t>
      </w:r>
      <w:r>
        <w:rPr>
          <w:rFonts w:ascii="Times New Roman" w:hAnsi="Times New Roman" w:cs="Times New Roman" w:eastAsia="Times New Roman" w:hint="default"/>
          <w:sz w:val="21"/>
          <w:szCs w:val="21"/>
        </w:rPr>
        <w:t>344,430,450.00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p>
    <w:p>
      <w:pPr>
        <w:spacing w:line="240" w:lineRule="auto" w:before="9"/>
        <w:rPr>
          <w:rFonts w:ascii="宋体" w:hAnsi="宋体" w:cs="宋体" w:eastAsia="宋体" w:hint="default"/>
          <w:sz w:val="29"/>
          <w:szCs w:val="29"/>
        </w:rPr>
      </w:pPr>
    </w:p>
    <w:p>
      <w:pPr>
        <w:spacing w:line="350" w:lineRule="auto" w:before="0"/>
        <w:ind w:left="857" w:right="91" w:firstLine="0"/>
        <w:jc w:val="left"/>
        <w:rPr>
          <w:rFonts w:ascii="宋体" w:hAnsi="宋体" w:cs="宋体" w:eastAsia="宋体" w:hint="default"/>
          <w:sz w:val="21"/>
          <w:szCs w:val="21"/>
        </w:rPr>
      </w:pPr>
      <w:r>
        <w:rPr>
          <w:rFonts w:ascii="宋体" w:hAnsi="宋体" w:cs="宋体" w:eastAsia="宋体" w:hint="default"/>
          <w:sz w:val="21"/>
          <w:szCs w:val="21"/>
        </w:rPr>
        <w:t>公司属专用设备制造业，主要的经营业务包括：电子产品、通讯产品、电脑软件、 </w:t>
      </w:r>
      <w:r>
        <w:rPr>
          <w:rFonts w:ascii="宋体" w:hAnsi="宋体" w:cs="宋体" w:eastAsia="宋体" w:hint="default"/>
          <w:spacing w:val="-8"/>
          <w:sz w:val="21"/>
          <w:szCs w:val="21"/>
        </w:rPr>
        <w:t>金融机具网络、自动柜员机及点钞机设备系统的研究、开发、生产（限分公司生产）。</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维修、维护、租赁：计算机及其配件、金融机具设备及配件。安全技术防范工程设 计、施工、维修。商品信息咨询、技术咨询。批发和零售贸易（国家专营专控商品 除外）。</w:t>
      </w:r>
    </w:p>
    <w:p>
      <w:pPr>
        <w:spacing w:line="240" w:lineRule="auto" w:before="7"/>
        <w:rPr>
          <w:rFonts w:ascii="宋体" w:hAnsi="宋体" w:cs="宋体" w:eastAsia="宋体" w:hint="default"/>
          <w:sz w:val="23"/>
          <w:szCs w:val="23"/>
        </w:rPr>
      </w:pPr>
    </w:p>
    <w:p>
      <w:pPr>
        <w:spacing w:line="578" w:lineRule="auto" w:before="0"/>
        <w:ind w:left="857" w:right="2313" w:firstLine="0"/>
        <w:jc w:val="left"/>
        <w:rPr>
          <w:rFonts w:ascii="宋体" w:hAnsi="宋体" w:cs="宋体" w:eastAsia="宋体" w:hint="default"/>
          <w:sz w:val="21"/>
          <w:szCs w:val="21"/>
        </w:rPr>
      </w:pPr>
      <w:r>
        <w:rPr>
          <w:rFonts w:ascii="宋体" w:hAnsi="宋体" w:cs="宋体" w:eastAsia="宋体" w:hint="default"/>
          <w:sz w:val="21"/>
          <w:szCs w:val="21"/>
        </w:rPr>
        <w:t>主要产品为自动柜员机，报告期内生产经营良好。 公司住所：广州市天河区五山路金山大厦</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层</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06</w:t>
      </w:r>
      <w:r>
        <w:rPr>
          <w:rFonts w:ascii="宋体" w:hAnsi="宋体" w:cs="宋体" w:eastAsia="宋体" w:hint="default"/>
          <w:sz w:val="21"/>
          <w:szCs w:val="21"/>
        </w:rPr>
        <w:t>、</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房。 公司法定代表人：杨文江。</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pStyle w:val="Heading2"/>
        <w:tabs>
          <w:tab w:pos="853" w:val="left" w:leader="none"/>
        </w:tabs>
        <w:spacing w:line="240" w:lineRule="auto"/>
        <w:ind w:left="125" w:right="91"/>
        <w:jc w:val="left"/>
        <w:rPr>
          <w:b w:val="0"/>
          <w:bCs w:val="0"/>
        </w:rPr>
      </w:pPr>
      <w:r>
        <w:rPr>
          <w:w w:val="95"/>
        </w:rPr>
        <w:t>二、</w:t>
        <w:tab/>
      </w:r>
      <w:r>
        <w:rPr/>
        <w:t>主要会计政策、会计估计和前期差错</w:t>
      </w:r>
      <w:r>
        <w:rPr>
          <w:b w:val="0"/>
          <w:bCs w:val="0"/>
        </w:rPr>
      </w:r>
    </w:p>
    <w:p>
      <w:pPr>
        <w:tabs>
          <w:tab w:pos="853" w:val="left" w:leader="none"/>
        </w:tabs>
        <w:spacing w:line="328" w:lineRule="auto" w:before="129"/>
        <w:ind w:left="857" w:right="197"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财务报表的编制基础</w:t>
      </w:r>
      <w:r>
        <w:rPr>
          <w:rFonts w:ascii="宋体" w:hAnsi="宋体" w:cs="宋体" w:eastAsia="宋体" w:hint="default"/>
          <w:b/>
          <w:bCs/>
          <w:spacing w:val="1"/>
          <w:w w:val="99"/>
          <w:sz w:val="21"/>
          <w:szCs w:val="21"/>
        </w:rPr>
        <w:t> </w:t>
      </w:r>
      <w:r>
        <w:rPr>
          <w:rFonts w:ascii="宋体" w:hAnsi="宋体" w:cs="宋体" w:eastAsia="宋体" w:hint="default"/>
          <w:sz w:val="21"/>
          <w:szCs w:val="21"/>
        </w:rPr>
        <w:t>公司以持续经营为基础，根据实际发生的交易和事项，按照财政部于 </w:t>
      </w:r>
      <w:r>
        <w:rPr>
          <w:rFonts w:ascii="Times New Roman" w:hAnsi="Times New Roman" w:cs="Times New Roman" w:eastAsia="Times New Roman" w:hint="default"/>
          <w:sz w:val="21"/>
          <w:szCs w:val="21"/>
        </w:rPr>
        <w:t>2006 </w:t>
      </w:r>
      <w:r>
        <w:rPr>
          <w:rFonts w:ascii="宋体" w:hAnsi="宋体" w:cs="宋体" w:eastAsia="宋体" w:hint="default"/>
          <w:sz w:val="21"/>
          <w:szCs w:val="21"/>
        </w:rPr>
        <w:t>年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月</w:t>
      </w:r>
    </w:p>
    <w:p>
      <w:pPr>
        <w:spacing w:line="331" w:lineRule="auto" w:before="24"/>
        <w:ind w:left="857" w:right="187"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15 </w:t>
      </w:r>
      <w:r>
        <w:rPr>
          <w:rFonts w:ascii="宋体" w:hAnsi="宋体" w:cs="宋体" w:eastAsia="宋体" w:hint="default"/>
          <w:sz w:val="21"/>
          <w:szCs w:val="21"/>
        </w:rPr>
        <w:t>日颁布的《企业会计准则</w:t>
      </w:r>
      <w:r>
        <w:rPr>
          <w:rFonts w:ascii="Times New Roman" w:hAnsi="Times New Roman" w:cs="Times New Roman" w:eastAsia="Times New Roman" w:hint="default"/>
          <w:sz w:val="21"/>
          <w:szCs w:val="21"/>
        </w:rPr>
        <w:t>——</w:t>
      </w:r>
      <w:r>
        <w:rPr>
          <w:rFonts w:ascii="宋体" w:hAnsi="宋体" w:cs="宋体" w:eastAsia="宋体" w:hint="default"/>
          <w:sz w:val="21"/>
          <w:szCs w:val="21"/>
        </w:rPr>
        <w:t>基本准则》和 </w:t>
      </w:r>
      <w:r>
        <w:rPr>
          <w:rFonts w:ascii="Times New Roman" w:hAnsi="Times New Roman" w:cs="Times New Roman" w:eastAsia="Times New Roman" w:hint="default"/>
          <w:sz w:val="21"/>
          <w:szCs w:val="21"/>
        </w:rPr>
        <w:t>38</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项具体会计准则、其后颁布的企 </w:t>
      </w:r>
      <w:r>
        <w:rPr>
          <w:rFonts w:ascii="宋体" w:hAnsi="宋体" w:cs="宋体" w:eastAsia="宋体" w:hint="default"/>
          <w:spacing w:val="7"/>
          <w:sz w:val="21"/>
          <w:szCs w:val="21"/>
        </w:rPr>
        <w:t>业会计准则应用指南、企业会计准则解释及其他相关规定</w:t>
      </w:r>
      <w:r>
        <w:rPr>
          <w:rFonts w:ascii="Times New Roman" w:hAnsi="Times New Roman" w:cs="Times New Roman" w:eastAsia="Times New Roman" w:hint="default"/>
          <w:spacing w:val="7"/>
          <w:sz w:val="21"/>
          <w:szCs w:val="21"/>
        </w:rPr>
        <w:t>(</w:t>
      </w:r>
      <w:r>
        <w:rPr>
          <w:rFonts w:ascii="宋体" w:hAnsi="宋体" w:cs="宋体" w:eastAsia="宋体" w:hint="default"/>
          <w:spacing w:val="7"/>
          <w:sz w:val="21"/>
          <w:szCs w:val="21"/>
        </w:rPr>
        <w:t>以下合称</w:t>
      </w:r>
      <w:r>
        <w:rPr>
          <w:rFonts w:ascii="Times New Roman" w:hAnsi="Times New Roman" w:cs="Times New Roman" w:eastAsia="Times New Roman" w:hint="default"/>
          <w:spacing w:val="7"/>
          <w:sz w:val="21"/>
          <w:szCs w:val="21"/>
        </w:rPr>
        <w:t>“</w:t>
      </w:r>
      <w:r>
        <w:rPr>
          <w:rFonts w:ascii="宋体" w:hAnsi="宋体" w:cs="宋体" w:eastAsia="宋体" w:hint="default"/>
          <w:spacing w:val="7"/>
          <w:sz w:val="21"/>
          <w:szCs w:val="21"/>
        </w:rPr>
        <w:t>企业会计准</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则</w:t>
      </w:r>
      <w:r>
        <w:rPr>
          <w:rFonts w:ascii="Times New Roman" w:hAnsi="Times New Roman" w:cs="Times New Roman" w:eastAsia="Times New Roman" w:hint="default"/>
          <w:sz w:val="21"/>
          <w:szCs w:val="21"/>
        </w:rPr>
        <w:t>”)</w:t>
      </w:r>
      <w:r>
        <w:rPr>
          <w:rFonts w:ascii="宋体" w:hAnsi="宋体" w:cs="宋体" w:eastAsia="宋体" w:hint="default"/>
          <w:sz w:val="21"/>
          <w:szCs w:val="21"/>
        </w:rPr>
        <w:t>、以及中国证券监督管理委员会《公开发行证券的公司信息披露编报规则第</w:t>
      </w:r>
      <w:r>
        <w:rPr>
          <w:rFonts w:ascii="宋体" w:hAnsi="宋体" w:cs="宋体" w:eastAsia="宋体" w:hint="default"/>
          <w:spacing w:val="-32"/>
          <w:sz w:val="21"/>
          <w:szCs w:val="21"/>
        </w:rPr>
        <w:t> </w:t>
      </w:r>
      <w:r>
        <w:rPr>
          <w:rFonts w:ascii="Times New Roman" w:hAnsi="Times New Roman" w:cs="Times New Roman" w:eastAsia="Times New Roman" w:hint="default"/>
          <w:sz w:val="21"/>
          <w:szCs w:val="21"/>
        </w:rPr>
        <w:t>15 </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r>
        <w:rPr>
          <w:rFonts w:ascii="宋体" w:hAnsi="宋体" w:cs="宋体" w:eastAsia="宋体" w:hint="default"/>
          <w:sz w:val="21"/>
          <w:szCs w:val="21"/>
        </w:rPr>
        <w:t>财务报告的一般规定》</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年修订</w:t>
      </w:r>
      <w:r>
        <w:rPr>
          <w:rFonts w:ascii="Times New Roman" w:hAnsi="Times New Roman" w:cs="Times New Roman" w:eastAsia="Times New Roman" w:hint="default"/>
          <w:sz w:val="21"/>
          <w:szCs w:val="21"/>
        </w:rPr>
        <w:t>)</w:t>
      </w:r>
      <w:r>
        <w:rPr>
          <w:rFonts w:ascii="宋体" w:hAnsi="宋体" w:cs="宋体" w:eastAsia="宋体" w:hint="default"/>
          <w:sz w:val="21"/>
          <w:szCs w:val="21"/>
        </w:rPr>
        <w:t>的披露规定编制财务报表。</w:t>
      </w:r>
    </w:p>
    <w:p>
      <w:pPr>
        <w:spacing w:after="0" w:line="331" w:lineRule="auto"/>
        <w:jc w:val="both"/>
        <w:rPr>
          <w:rFonts w:ascii="宋体" w:hAnsi="宋体" w:cs="宋体" w:eastAsia="宋体" w:hint="default"/>
          <w:sz w:val="21"/>
          <w:szCs w:val="21"/>
        </w:rPr>
        <w:sectPr>
          <w:pgSz w:w="11910" w:h="16840"/>
          <w:pgMar w:header="885" w:footer="1256" w:top="1120" w:bottom="1440" w:left="1660" w:right="1600"/>
        </w:sectPr>
      </w:pPr>
    </w:p>
    <w:p>
      <w:pPr>
        <w:spacing w:line="240" w:lineRule="auto" w:before="10"/>
        <w:rPr>
          <w:rFonts w:ascii="宋体" w:hAnsi="宋体" w:cs="宋体" w:eastAsia="宋体" w:hint="default"/>
          <w:sz w:val="28"/>
          <w:szCs w:val="28"/>
        </w:rPr>
      </w:pPr>
    </w:p>
    <w:p>
      <w:pPr>
        <w:tabs>
          <w:tab w:pos="853" w:val="left" w:leader="none"/>
        </w:tabs>
        <w:spacing w:line="340" w:lineRule="auto" w:before="35"/>
        <w:ind w:left="857" w:right="216"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遵循企业会计准则的声明</w:t>
      </w:r>
      <w:r>
        <w:rPr>
          <w:rFonts w:ascii="宋体" w:hAnsi="宋体" w:cs="宋体" w:eastAsia="宋体" w:hint="default"/>
          <w:b/>
          <w:bCs/>
          <w:w w:val="99"/>
          <w:sz w:val="21"/>
          <w:szCs w:val="21"/>
        </w:rPr>
        <w:t> </w:t>
      </w:r>
      <w:r>
        <w:rPr>
          <w:rFonts w:ascii="宋体" w:hAnsi="宋体" w:cs="宋体" w:eastAsia="宋体" w:hint="default"/>
          <w:sz w:val="21"/>
          <w:szCs w:val="21"/>
        </w:rPr>
        <w:t>公司所编制的财务报表符合企业会计准则的要求，真实、完整地反映了报告期公司</w:t>
      </w:r>
      <w:r>
        <w:rPr>
          <w:rFonts w:ascii="宋体" w:hAnsi="宋体" w:cs="宋体" w:eastAsia="宋体" w:hint="default"/>
          <w:spacing w:val="1"/>
          <w:sz w:val="21"/>
          <w:szCs w:val="21"/>
        </w:rPr>
        <w:t> </w:t>
      </w:r>
      <w:r>
        <w:rPr>
          <w:rFonts w:ascii="宋体" w:hAnsi="宋体" w:cs="宋体" w:eastAsia="宋体" w:hint="default"/>
          <w:sz w:val="21"/>
          <w:szCs w:val="21"/>
        </w:rPr>
        <w:t>的财务状况、经营成果、现金流量等有关信息。</w:t>
      </w:r>
    </w:p>
    <w:p>
      <w:pPr>
        <w:spacing w:line="240" w:lineRule="auto" w:before="0"/>
        <w:rPr>
          <w:rFonts w:ascii="宋体" w:hAnsi="宋体" w:cs="宋体" w:eastAsia="宋体" w:hint="default"/>
          <w:sz w:val="20"/>
          <w:szCs w:val="20"/>
        </w:rPr>
      </w:pPr>
    </w:p>
    <w:p>
      <w:pPr>
        <w:tabs>
          <w:tab w:pos="853" w:val="left" w:leader="none"/>
        </w:tabs>
        <w:spacing w:before="174"/>
        <w:ind w:left="125" w:right="238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会计期间</w:t>
      </w:r>
      <w:r>
        <w:rPr>
          <w:rFonts w:ascii="宋体" w:hAnsi="宋体" w:cs="宋体" w:eastAsia="宋体" w:hint="default"/>
          <w:sz w:val="21"/>
          <w:szCs w:val="21"/>
        </w:rPr>
      </w:r>
    </w:p>
    <w:p>
      <w:pPr>
        <w:spacing w:before="110"/>
        <w:ind w:left="857" w:right="2389" w:firstLine="0"/>
        <w:jc w:val="left"/>
        <w:rPr>
          <w:rFonts w:ascii="宋体" w:hAnsi="宋体" w:cs="宋体" w:eastAsia="宋体" w:hint="default"/>
          <w:sz w:val="21"/>
          <w:szCs w:val="21"/>
        </w:rPr>
      </w:pPr>
      <w:r>
        <w:rPr>
          <w:rFonts w:ascii="宋体" w:hAnsi="宋体" w:cs="宋体" w:eastAsia="宋体" w:hint="default"/>
          <w:sz w:val="21"/>
          <w:szCs w:val="21"/>
        </w:rPr>
        <w:t>自公历</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日至</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日止为一个会计年度。</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853" w:val="left" w:leader="none"/>
        </w:tabs>
        <w:spacing w:line="331" w:lineRule="auto" w:before="0"/>
        <w:ind w:left="857" w:right="5284"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记账本位币</w:t>
      </w:r>
      <w:r>
        <w:rPr>
          <w:rFonts w:ascii="宋体" w:hAnsi="宋体" w:cs="宋体" w:eastAsia="宋体" w:hint="default"/>
          <w:b/>
          <w:bCs/>
          <w:w w:val="99"/>
          <w:sz w:val="21"/>
          <w:szCs w:val="21"/>
        </w:rPr>
        <w:t> </w:t>
      </w:r>
      <w:r>
        <w:rPr>
          <w:rFonts w:ascii="宋体" w:hAnsi="宋体" w:cs="宋体" w:eastAsia="宋体" w:hint="default"/>
          <w:sz w:val="21"/>
          <w:szCs w:val="21"/>
        </w:rPr>
        <w:t>采用人民币为记账本位币。</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853" w:val="left" w:leader="none"/>
        </w:tabs>
        <w:spacing w:before="0"/>
        <w:ind w:left="125" w:right="238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五</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同一控制下和非同一控制下企业合并的会计处理方法</w:t>
      </w:r>
      <w:r>
        <w:rPr>
          <w:rFonts w:ascii="宋体" w:hAnsi="宋体" w:cs="宋体" w:eastAsia="宋体" w:hint="default"/>
          <w:sz w:val="21"/>
          <w:szCs w:val="21"/>
        </w:rPr>
      </w:r>
    </w:p>
    <w:p>
      <w:pPr>
        <w:tabs>
          <w:tab w:pos="1396" w:val="left" w:leader="none"/>
        </w:tabs>
        <w:spacing w:line="348" w:lineRule="auto" w:before="110"/>
        <w:ind w:left="1399" w:right="111"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同一控制下企业合并</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本公司在企业合并中取得的资产和负债，按照合并日在被合并方的账面价值计</w:t>
      </w:r>
      <w:r>
        <w:rPr>
          <w:rFonts w:ascii="宋体" w:hAnsi="宋体" w:cs="宋体" w:eastAsia="宋体" w:hint="default"/>
          <w:sz w:val="21"/>
          <w:szCs w:val="21"/>
        </w:rPr>
        <w:t> </w:t>
      </w:r>
      <w:r>
        <w:rPr>
          <w:rFonts w:ascii="宋体" w:hAnsi="宋体" w:cs="宋体" w:eastAsia="宋体" w:hint="default"/>
          <w:spacing w:val="-3"/>
          <w:sz w:val="21"/>
          <w:szCs w:val="21"/>
        </w:rPr>
        <w:t>量。被合并各方采用的会计政策与本公司不一致的，本公司在合并日按照本公</w:t>
      </w:r>
      <w:r>
        <w:rPr>
          <w:rFonts w:ascii="宋体" w:hAnsi="宋体" w:cs="宋体" w:eastAsia="宋体" w:hint="default"/>
          <w:sz w:val="21"/>
          <w:szCs w:val="21"/>
        </w:rPr>
        <w:t> 司会计政策进行调整，在此基础上按照调整后的账面价值确认。 </w:t>
      </w:r>
      <w:r>
        <w:rPr>
          <w:rFonts w:ascii="宋体" w:hAnsi="宋体" w:cs="宋体" w:eastAsia="宋体" w:hint="default"/>
          <w:spacing w:val="-3"/>
          <w:sz w:val="21"/>
          <w:szCs w:val="21"/>
        </w:rPr>
        <w:t>在合并中取得的净资产账面价值与支付的合并对价账面价值（或发行股份面值</w:t>
      </w:r>
      <w:r>
        <w:rPr>
          <w:rFonts w:ascii="宋体" w:hAnsi="宋体" w:cs="宋体" w:eastAsia="宋体" w:hint="default"/>
          <w:sz w:val="21"/>
          <w:szCs w:val="21"/>
        </w:rPr>
        <w:t> </w:t>
      </w:r>
      <w:r>
        <w:rPr>
          <w:rFonts w:ascii="宋体" w:hAnsi="宋体" w:cs="宋体" w:eastAsia="宋体" w:hint="default"/>
          <w:spacing w:val="-3"/>
          <w:sz w:val="21"/>
          <w:szCs w:val="21"/>
        </w:rPr>
        <w:t>总额）的差额，调整资本公积中的股本溢价，资本公积中的股本溢价不足冲减</w:t>
      </w:r>
      <w:r>
        <w:rPr>
          <w:rFonts w:ascii="宋体" w:hAnsi="宋体" w:cs="宋体" w:eastAsia="宋体" w:hint="default"/>
          <w:sz w:val="21"/>
          <w:szCs w:val="21"/>
        </w:rPr>
        <w:t> 的，调整留存收益。 </w:t>
      </w:r>
      <w:r>
        <w:rPr>
          <w:rFonts w:ascii="宋体" w:hAnsi="宋体" w:cs="宋体" w:eastAsia="宋体" w:hint="default"/>
          <w:spacing w:val="-3"/>
          <w:sz w:val="21"/>
          <w:szCs w:val="21"/>
        </w:rPr>
        <w:t>本公司为进行企业合并而发生的各项直接相关费用，包括为进行企业合并而支</w:t>
      </w:r>
      <w:r>
        <w:rPr>
          <w:rFonts w:ascii="宋体" w:hAnsi="宋体" w:cs="宋体" w:eastAsia="宋体" w:hint="default"/>
          <w:sz w:val="21"/>
          <w:szCs w:val="21"/>
        </w:rPr>
        <w:t> 付的审计费用、评估费用、法律服务费等，于发生时计入当期损益。 </w:t>
      </w:r>
      <w:r>
        <w:rPr>
          <w:rFonts w:ascii="宋体" w:hAnsi="宋体" w:cs="宋体" w:eastAsia="宋体" w:hint="default"/>
          <w:spacing w:val="-6"/>
          <w:sz w:val="21"/>
          <w:szCs w:val="21"/>
        </w:rPr>
        <w:t>企业合并中发行权益性证券发生的手续费、佣金等，抵减权益性证券溢价收入，</w:t>
      </w:r>
      <w:r>
        <w:rPr>
          <w:rFonts w:ascii="宋体" w:hAnsi="宋体" w:cs="宋体" w:eastAsia="宋体" w:hint="default"/>
          <w:sz w:val="21"/>
          <w:szCs w:val="21"/>
        </w:rPr>
        <w:t> 溢价收入不足冲减的，冲减留存收益。</w:t>
      </w:r>
    </w:p>
    <w:p>
      <w:pPr>
        <w:spacing w:line="240" w:lineRule="auto" w:before="0"/>
        <w:rPr>
          <w:rFonts w:ascii="宋体" w:hAnsi="宋体" w:cs="宋体" w:eastAsia="宋体" w:hint="default"/>
          <w:sz w:val="20"/>
          <w:szCs w:val="20"/>
        </w:rPr>
      </w:pPr>
    </w:p>
    <w:p>
      <w:pPr>
        <w:tabs>
          <w:tab w:pos="1396" w:val="left" w:leader="none"/>
        </w:tabs>
        <w:spacing w:line="345" w:lineRule="auto" w:before="159"/>
        <w:ind w:left="1400" w:right="12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非同一控制下的企业合并</w:t>
      </w:r>
      <w:r>
        <w:rPr>
          <w:rFonts w:ascii="宋体" w:hAnsi="宋体" w:cs="宋体" w:eastAsia="宋体" w:hint="default"/>
          <w:b/>
          <w:bCs/>
          <w:w w:val="99"/>
          <w:sz w:val="21"/>
          <w:szCs w:val="21"/>
        </w:rPr>
        <w:t> </w:t>
      </w:r>
      <w:r>
        <w:rPr>
          <w:rFonts w:ascii="宋体" w:hAnsi="宋体" w:cs="宋体" w:eastAsia="宋体" w:hint="default"/>
          <w:spacing w:val="-3"/>
          <w:sz w:val="21"/>
          <w:szCs w:val="21"/>
        </w:rPr>
        <w:t>本公司在购买日对作为企业合并对价付出的资产、发生或承担的负债按照公允</w:t>
      </w:r>
      <w:r>
        <w:rPr>
          <w:rFonts w:ascii="宋体" w:hAnsi="宋体" w:cs="宋体" w:eastAsia="宋体" w:hint="default"/>
          <w:sz w:val="21"/>
          <w:szCs w:val="21"/>
        </w:rPr>
        <w:t> 价值计量。公允价值与其账面价值的差额，计入当期损益。 </w:t>
      </w:r>
      <w:r>
        <w:rPr>
          <w:rFonts w:ascii="宋体" w:hAnsi="宋体" w:cs="宋体" w:eastAsia="宋体" w:hint="default"/>
          <w:spacing w:val="3"/>
          <w:sz w:val="21"/>
          <w:szCs w:val="21"/>
        </w:rPr>
        <w:t>本公司在购买日对合并成本进行分配，确认所取得的被购买方各项可辨认资</w:t>
      </w:r>
      <w:r>
        <w:rPr>
          <w:rFonts w:ascii="宋体" w:hAnsi="宋体" w:cs="宋体" w:eastAsia="宋体" w:hint="default"/>
          <w:spacing w:val="3"/>
          <w:sz w:val="21"/>
          <w:szCs w:val="21"/>
        </w:rPr>
        <w:t> </w:t>
      </w:r>
      <w:r>
        <w:rPr>
          <w:rFonts w:ascii="宋体" w:hAnsi="宋体" w:cs="宋体" w:eastAsia="宋体" w:hint="default"/>
          <w:sz w:val="21"/>
          <w:szCs w:val="21"/>
        </w:rPr>
        <w:t>产、负债及或有负债的公允价值。</w:t>
      </w:r>
      <w:r>
        <w:rPr>
          <w:rFonts w:ascii="宋体" w:hAnsi="宋体" w:cs="宋体" w:eastAsia="宋体" w:hint="default"/>
          <w:sz w:val="21"/>
          <w:szCs w:val="21"/>
        </w:rPr>
        <w:t> </w:t>
      </w:r>
      <w:r>
        <w:rPr>
          <w:rFonts w:ascii="宋体" w:hAnsi="宋体" w:cs="宋体" w:eastAsia="宋体" w:hint="default"/>
          <w:spacing w:val="3"/>
          <w:sz w:val="21"/>
          <w:szCs w:val="21"/>
        </w:rPr>
        <w:t>本公司对合并成本大于合并中取得的被购买方可辨认净资产公允价值份额的</w:t>
      </w:r>
      <w:r>
        <w:rPr>
          <w:rFonts w:ascii="宋体" w:hAnsi="宋体" w:cs="宋体" w:eastAsia="宋体" w:hint="default"/>
          <w:spacing w:val="3"/>
          <w:sz w:val="21"/>
          <w:szCs w:val="21"/>
        </w:rPr>
        <w:t> </w:t>
      </w:r>
      <w:r>
        <w:rPr>
          <w:rFonts w:ascii="宋体" w:hAnsi="宋体" w:cs="宋体" w:eastAsia="宋体" w:hint="default"/>
          <w:spacing w:val="-3"/>
          <w:sz w:val="21"/>
          <w:szCs w:val="21"/>
        </w:rPr>
        <w:t>差额，确认为商誉；合并成本小于合并中取得的被购买方可辨认净资产公允价</w:t>
      </w:r>
      <w:r>
        <w:rPr>
          <w:rFonts w:ascii="宋体" w:hAnsi="宋体" w:cs="宋体" w:eastAsia="宋体" w:hint="default"/>
          <w:sz w:val="21"/>
          <w:szCs w:val="21"/>
        </w:rPr>
        <w:t> 值份额的差额，经复核后，计入当期损益。 </w:t>
      </w:r>
      <w:r>
        <w:rPr>
          <w:rFonts w:ascii="宋体" w:hAnsi="宋体" w:cs="宋体" w:eastAsia="宋体" w:hint="default"/>
          <w:spacing w:val="-3"/>
          <w:sz w:val="21"/>
          <w:szCs w:val="21"/>
        </w:rPr>
        <w:t>企业合并中取得的被购买方除无形资产外的其他各项资产（不仅限于被购买方</w:t>
      </w:r>
      <w:r>
        <w:rPr>
          <w:rFonts w:ascii="宋体" w:hAnsi="宋体" w:cs="宋体" w:eastAsia="宋体" w:hint="default"/>
          <w:sz w:val="21"/>
          <w:szCs w:val="21"/>
        </w:rPr>
        <w:t> </w:t>
      </w:r>
      <w:r>
        <w:rPr>
          <w:rFonts w:ascii="宋体" w:hAnsi="宋体" w:cs="宋体" w:eastAsia="宋体" w:hint="default"/>
          <w:spacing w:val="-3"/>
          <w:sz w:val="21"/>
          <w:szCs w:val="21"/>
        </w:rPr>
        <w:t>原已确认的资产），其所带来的经济利益很可能流入本公司且公允价值能够可</w:t>
      </w:r>
      <w:r>
        <w:rPr>
          <w:rFonts w:ascii="宋体" w:hAnsi="宋体" w:cs="宋体" w:eastAsia="宋体" w:hint="default"/>
          <w:sz w:val="21"/>
          <w:szCs w:val="21"/>
        </w:rPr>
        <w:t> 靠计量的，单独确认并按公允价值计量；公允价值能够可靠计量的无形资产，</w:t>
      </w:r>
    </w:p>
    <w:p>
      <w:pPr>
        <w:spacing w:after="0" w:line="345" w:lineRule="auto"/>
        <w:jc w:val="left"/>
        <w:rPr>
          <w:rFonts w:ascii="宋体" w:hAnsi="宋体" w:cs="宋体" w:eastAsia="宋体" w:hint="default"/>
          <w:sz w:val="21"/>
          <w:szCs w:val="21"/>
        </w:rPr>
        <w:sectPr>
          <w:pgSz w:w="11910" w:h="16840"/>
          <w:pgMar w:header="885" w:footer="1256" w:top="1120" w:bottom="1440" w:left="1660" w:right="1580"/>
        </w:sectPr>
      </w:pPr>
    </w:p>
    <w:p>
      <w:pPr>
        <w:spacing w:line="240" w:lineRule="auto" w:before="10"/>
        <w:rPr>
          <w:rFonts w:ascii="宋体" w:hAnsi="宋体" w:cs="宋体" w:eastAsia="宋体" w:hint="default"/>
          <w:sz w:val="28"/>
          <w:szCs w:val="28"/>
        </w:rPr>
      </w:pPr>
    </w:p>
    <w:p>
      <w:pPr>
        <w:spacing w:line="348" w:lineRule="auto" w:before="35"/>
        <w:ind w:left="1400" w:right="119" w:firstLine="0"/>
        <w:jc w:val="left"/>
        <w:rPr>
          <w:rFonts w:ascii="宋体" w:hAnsi="宋体" w:cs="宋体" w:eastAsia="宋体" w:hint="default"/>
          <w:sz w:val="21"/>
          <w:szCs w:val="21"/>
        </w:rPr>
      </w:pPr>
      <w:r>
        <w:rPr>
          <w:rFonts w:ascii="宋体" w:hAnsi="宋体" w:cs="宋体" w:eastAsia="宋体" w:hint="default"/>
          <w:spacing w:val="-3"/>
          <w:sz w:val="21"/>
          <w:szCs w:val="21"/>
        </w:rPr>
        <w:t>单独确认为无形资产并按公允价值计量；取得的被购买方除或有负债以外的其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他各项负债，履行有关义务很可能导致经济利益流出本公司且公允价值能够可</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靠计量的，单独确认并按照公允价值计量；取得的被购买方或有负债，其公允</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价值能可靠计量的，单独确认为负债并按照公允价值计量。 </w:t>
      </w:r>
      <w:r>
        <w:rPr>
          <w:rFonts w:ascii="宋体" w:hAnsi="宋体" w:cs="宋体" w:eastAsia="宋体" w:hint="default"/>
          <w:spacing w:val="-3"/>
          <w:sz w:val="21"/>
          <w:szCs w:val="21"/>
        </w:rPr>
        <w:t>本公司在企业合并中取得的被购买方的可抵扣暂时性差异，在购买日不符合递</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延所得税资产确认条件的，不予以确认。购买日后</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个月内，如取得新的或 </w:t>
      </w:r>
      <w:r>
        <w:rPr>
          <w:rFonts w:ascii="宋体" w:hAnsi="宋体" w:cs="宋体" w:eastAsia="宋体" w:hint="default"/>
          <w:spacing w:val="-3"/>
          <w:sz w:val="21"/>
          <w:szCs w:val="21"/>
        </w:rPr>
        <w:t>进一步的信息表明购买日的相关情况已经存在，预期被购买方在购买日可抵扣</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暂时性差异带来的经济利益能够实现的，确认相关的递延所得税资产，同时减</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少商誉，商誉不足冲减的，差额部分确认为当期损益；除上述情况以外，确认</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与企业合并相关的递延所得税资产，计入当期损益。 </w:t>
      </w:r>
      <w:r>
        <w:rPr>
          <w:rFonts w:ascii="宋体" w:hAnsi="宋体" w:cs="宋体" w:eastAsia="宋体" w:hint="default"/>
          <w:spacing w:val="-3"/>
          <w:sz w:val="21"/>
          <w:szCs w:val="21"/>
        </w:rPr>
        <w:t>非同一控制下企业合并，购买方为企业合并发生的审计、法律服务、评估咨询</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3"/>
          <w:sz w:val="21"/>
          <w:szCs w:val="21"/>
        </w:rPr>
        <w:t>等中介费用以及其他相关管理费用，应当于发生时计入当期损益；购买方作为</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合并对价发行的权益性证券或债务性证券的交易费用，应当计入权益性证券或</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债务性证券的初始确认金额。</w:t>
      </w:r>
    </w:p>
    <w:p>
      <w:pPr>
        <w:spacing w:line="240" w:lineRule="auto" w:before="0"/>
        <w:rPr>
          <w:rFonts w:ascii="宋体" w:hAnsi="宋体" w:cs="宋体" w:eastAsia="宋体" w:hint="default"/>
          <w:sz w:val="20"/>
          <w:szCs w:val="20"/>
        </w:rPr>
      </w:pPr>
    </w:p>
    <w:p>
      <w:pPr>
        <w:tabs>
          <w:tab w:pos="853" w:val="left" w:leader="none"/>
        </w:tabs>
        <w:spacing w:line="340" w:lineRule="auto" w:before="150"/>
        <w:ind w:left="857" w:right="136"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六</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合并财务报表的编制方法</w:t>
      </w:r>
      <w:r>
        <w:rPr>
          <w:rFonts w:ascii="宋体" w:hAnsi="宋体" w:cs="宋体" w:eastAsia="宋体" w:hint="default"/>
          <w:b/>
          <w:bCs/>
          <w:w w:val="99"/>
          <w:sz w:val="21"/>
          <w:szCs w:val="21"/>
        </w:rPr>
        <w:t> </w:t>
      </w:r>
      <w:r>
        <w:rPr>
          <w:rFonts w:ascii="宋体" w:hAnsi="宋体" w:cs="宋体" w:eastAsia="宋体" w:hint="default"/>
          <w:sz w:val="21"/>
          <w:szCs w:val="21"/>
        </w:rPr>
        <w:t>本公司合并财务报表的合并范围以控制为基础确定，所有子公司均纳入合并财务报</w:t>
      </w:r>
      <w:r>
        <w:rPr>
          <w:rFonts w:ascii="宋体" w:hAnsi="宋体" w:cs="宋体" w:eastAsia="宋体" w:hint="default"/>
          <w:spacing w:val="1"/>
          <w:sz w:val="21"/>
          <w:szCs w:val="21"/>
        </w:rPr>
        <w:t> </w:t>
      </w:r>
      <w:r>
        <w:rPr>
          <w:rFonts w:ascii="宋体" w:hAnsi="宋体" w:cs="宋体" w:eastAsia="宋体" w:hint="default"/>
          <w:sz w:val="21"/>
          <w:szCs w:val="21"/>
        </w:rPr>
        <w:t>表。</w:t>
      </w:r>
      <w:r>
        <w:rPr>
          <w:rFonts w:ascii="宋体" w:hAnsi="宋体" w:cs="宋体" w:eastAsia="宋体" w:hint="default"/>
          <w:sz w:val="21"/>
          <w:szCs w:val="21"/>
        </w:rPr>
        <w:t> 所有纳入合并财务报表合并范围的子公司所采用的会计政策、会计期间与本公司一</w:t>
      </w:r>
      <w:r>
        <w:rPr>
          <w:rFonts w:ascii="宋体" w:hAnsi="宋体" w:cs="宋体" w:eastAsia="宋体" w:hint="default"/>
          <w:spacing w:val="1"/>
          <w:sz w:val="21"/>
          <w:szCs w:val="21"/>
        </w:rPr>
        <w:t> </w:t>
      </w:r>
      <w:r>
        <w:rPr>
          <w:rFonts w:ascii="宋体" w:hAnsi="宋体" w:cs="宋体" w:eastAsia="宋体" w:hint="default"/>
          <w:sz w:val="21"/>
          <w:szCs w:val="21"/>
        </w:rPr>
        <w:t>致，如子公司采用的会计政策、会计期间与本公司不一致的，在编制合并财务报表</w:t>
      </w:r>
      <w:r>
        <w:rPr>
          <w:rFonts w:ascii="宋体" w:hAnsi="宋体" w:cs="宋体" w:eastAsia="宋体" w:hint="default"/>
          <w:spacing w:val="1"/>
          <w:sz w:val="21"/>
          <w:szCs w:val="21"/>
        </w:rPr>
        <w:t> </w:t>
      </w:r>
      <w:r>
        <w:rPr>
          <w:rFonts w:ascii="宋体" w:hAnsi="宋体" w:cs="宋体" w:eastAsia="宋体" w:hint="default"/>
          <w:sz w:val="21"/>
          <w:szCs w:val="21"/>
        </w:rPr>
        <w:t>时，按本公司的会计政策、会计期间进行必要的调整。对于非同一控制下企业合并</w:t>
      </w:r>
      <w:r>
        <w:rPr>
          <w:rFonts w:ascii="宋体" w:hAnsi="宋体" w:cs="宋体" w:eastAsia="宋体" w:hint="default"/>
          <w:spacing w:val="1"/>
          <w:sz w:val="21"/>
          <w:szCs w:val="21"/>
        </w:rPr>
        <w:t> </w:t>
      </w:r>
      <w:r>
        <w:rPr>
          <w:rFonts w:ascii="宋体" w:hAnsi="宋体" w:cs="宋体" w:eastAsia="宋体" w:hint="default"/>
          <w:sz w:val="21"/>
          <w:szCs w:val="21"/>
        </w:rPr>
        <w:t>取得的子公司，以购买日可辨认净资产公允价值为基础对其财务报表进行调整。合</w:t>
      </w:r>
      <w:r>
        <w:rPr>
          <w:rFonts w:ascii="宋体" w:hAnsi="宋体" w:cs="宋体" w:eastAsia="宋体" w:hint="default"/>
          <w:spacing w:val="1"/>
          <w:sz w:val="21"/>
          <w:szCs w:val="21"/>
        </w:rPr>
        <w:t> </w:t>
      </w:r>
      <w:r>
        <w:rPr>
          <w:rFonts w:ascii="宋体" w:hAnsi="宋体" w:cs="宋体" w:eastAsia="宋体" w:hint="default"/>
          <w:sz w:val="21"/>
          <w:szCs w:val="21"/>
        </w:rPr>
        <w:t>并财务报表以本公司及子公司的财务报表为基础，根据其他有关资料，按照权益法</w:t>
      </w:r>
      <w:r>
        <w:rPr>
          <w:rFonts w:ascii="宋体" w:hAnsi="宋体" w:cs="宋体" w:eastAsia="宋体" w:hint="default"/>
          <w:spacing w:val="1"/>
          <w:sz w:val="21"/>
          <w:szCs w:val="21"/>
        </w:rPr>
        <w:t> </w:t>
      </w:r>
      <w:r>
        <w:rPr>
          <w:rFonts w:ascii="宋体" w:hAnsi="宋体" w:cs="宋体" w:eastAsia="宋体" w:hint="default"/>
          <w:sz w:val="21"/>
          <w:szCs w:val="21"/>
        </w:rPr>
        <w:t>调整对子公司的长期股权投资后，由本公司编制。</w:t>
      </w:r>
      <w:r>
        <w:rPr>
          <w:rFonts w:ascii="宋体" w:hAnsi="宋体" w:cs="宋体" w:eastAsia="宋体" w:hint="default"/>
          <w:sz w:val="21"/>
          <w:szCs w:val="21"/>
        </w:rPr>
        <w:t> 合并财务报表时抵销本公司与各子公司、各子公司相互之间发生的内部交易对合并</w:t>
      </w:r>
      <w:r>
        <w:rPr>
          <w:rFonts w:ascii="宋体" w:hAnsi="宋体" w:cs="宋体" w:eastAsia="宋体" w:hint="default"/>
          <w:spacing w:val="1"/>
          <w:sz w:val="21"/>
          <w:szCs w:val="21"/>
        </w:rPr>
        <w:t> </w:t>
      </w:r>
      <w:r>
        <w:rPr>
          <w:rFonts w:ascii="宋体" w:hAnsi="宋体" w:cs="宋体" w:eastAsia="宋体" w:hint="default"/>
          <w:sz w:val="21"/>
          <w:szCs w:val="21"/>
        </w:rPr>
        <w:t>资产负债表、合并利润表、合并现金流量表、合并所有者权益变动表的影响。</w:t>
      </w:r>
      <w:r>
        <w:rPr>
          <w:rFonts w:ascii="宋体" w:hAnsi="宋体" w:cs="宋体" w:eastAsia="宋体" w:hint="default"/>
          <w:sz w:val="21"/>
          <w:szCs w:val="21"/>
        </w:rPr>
        <w:t> 子公司少数股东应占的权益和损益分别在合并资产负债表中所有者权益项目下和合</w:t>
      </w:r>
      <w:r>
        <w:rPr>
          <w:rFonts w:ascii="宋体" w:hAnsi="宋体" w:cs="宋体" w:eastAsia="宋体" w:hint="default"/>
          <w:spacing w:val="1"/>
          <w:sz w:val="21"/>
          <w:szCs w:val="21"/>
        </w:rPr>
        <w:t> </w:t>
      </w:r>
      <w:r>
        <w:rPr>
          <w:rFonts w:ascii="宋体" w:hAnsi="宋体" w:cs="宋体" w:eastAsia="宋体" w:hint="default"/>
          <w:sz w:val="21"/>
          <w:szCs w:val="21"/>
        </w:rPr>
        <w:t>并利润表中净利润项目下单独列示。子公司少数股东分担的当期亏损超过了少数股</w:t>
      </w:r>
      <w:r>
        <w:rPr>
          <w:rFonts w:ascii="宋体" w:hAnsi="宋体" w:cs="宋体" w:eastAsia="宋体" w:hint="default"/>
          <w:spacing w:val="1"/>
          <w:sz w:val="21"/>
          <w:szCs w:val="21"/>
        </w:rPr>
        <w:t> </w:t>
      </w:r>
      <w:r>
        <w:rPr>
          <w:rFonts w:ascii="宋体" w:hAnsi="宋体" w:cs="宋体" w:eastAsia="宋体" w:hint="default"/>
          <w:sz w:val="21"/>
          <w:szCs w:val="21"/>
        </w:rPr>
        <w:t>东在该子公司期初所有者权益中所享有份额而形成的余额，冲减少数股东权益。</w:t>
      </w:r>
      <w:r>
        <w:rPr>
          <w:rFonts w:ascii="宋体" w:hAnsi="宋体" w:cs="宋体" w:eastAsia="宋体" w:hint="default"/>
          <w:sz w:val="21"/>
          <w:szCs w:val="21"/>
        </w:rPr>
        <w:t> 在报告期内，若因同一控制下企业合并增加子公司的，则调整合并资产负债表的期</w:t>
      </w:r>
      <w:r>
        <w:rPr>
          <w:rFonts w:ascii="宋体" w:hAnsi="宋体" w:cs="宋体" w:eastAsia="宋体" w:hint="default"/>
          <w:spacing w:val="1"/>
          <w:sz w:val="21"/>
          <w:szCs w:val="21"/>
        </w:rPr>
        <w:t> </w:t>
      </w:r>
      <w:r>
        <w:rPr>
          <w:rFonts w:ascii="宋体" w:hAnsi="宋体" w:cs="宋体" w:eastAsia="宋体" w:hint="default"/>
          <w:sz w:val="21"/>
          <w:szCs w:val="21"/>
        </w:rPr>
        <w:t>初数；将子公司合并当期期初至报告期末的收入、费用、利润纳入合并利润表；将</w:t>
      </w:r>
      <w:r>
        <w:rPr>
          <w:rFonts w:ascii="宋体" w:hAnsi="宋体" w:cs="宋体" w:eastAsia="宋体" w:hint="default"/>
          <w:spacing w:val="1"/>
          <w:sz w:val="21"/>
          <w:szCs w:val="21"/>
        </w:rPr>
        <w:t> </w:t>
      </w:r>
      <w:r>
        <w:rPr>
          <w:rFonts w:ascii="宋体" w:hAnsi="宋体" w:cs="宋体" w:eastAsia="宋体" w:hint="default"/>
          <w:sz w:val="21"/>
          <w:szCs w:val="21"/>
        </w:rPr>
        <w:t>子公司合并当期期初至报告期末的现金流量纳入合并现金流量表，同时对比报表的</w:t>
      </w:r>
      <w:r>
        <w:rPr>
          <w:rFonts w:ascii="宋体" w:hAnsi="宋体" w:cs="宋体" w:eastAsia="宋体" w:hint="default"/>
          <w:spacing w:val="1"/>
          <w:sz w:val="21"/>
          <w:szCs w:val="21"/>
        </w:rPr>
        <w:t> </w:t>
      </w:r>
      <w:r>
        <w:rPr>
          <w:rFonts w:ascii="宋体" w:hAnsi="宋体" w:cs="宋体" w:eastAsia="宋体" w:hint="default"/>
          <w:sz w:val="21"/>
          <w:szCs w:val="21"/>
        </w:rPr>
        <w:t>相关项目进行调整，视同合并后的报告主体在以前期间一直存在。</w:t>
      </w:r>
      <w:r>
        <w:rPr>
          <w:rFonts w:ascii="宋体" w:hAnsi="宋体" w:cs="宋体" w:eastAsia="宋体" w:hint="default"/>
          <w:sz w:val="21"/>
          <w:szCs w:val="21"/>
        </w:rPr>
        <w:t> 在报告期内，若因非同一控制下企业合并增加子公司的，则不调整合并资产负债表</w:t>
      </w:r>
      <w:r>
        <w:rPr>
          <w:rFonts w:ascii="宋体" w:hAnsi="宋体" w:cs="宋体" w:eastAsia="宋体" w:hint="default"/>
          <w:spacing w:val="1"/>
          <w:sz w:val="21"/>
          <w:szCs w:val="21"/>
        </w:rPr>
        <w:t> </w:t>
      </w:r>
      <w:r>
        <w:rPr>
          <w:rFonts w:ascii="宋体" w:hAnsi="宋体" w:cs="宋体" w:eastAsia="宋体" w:hint="default"/>
          <w:sz w:val="21"/>
          <w:szCs w:val="21"/>
        </w:rPr>
        <w:t>期初数；将子公司自购买日至报告期末的收入、费用、利润纳入合并利润表；该子</w:t>
      </w:r>
    </w:p>
    <w:p>
      <w:pPr>
        <w:spacing w:after="0" w:line="340" w:lineRule="auto"/>
        <w:jc w:val="left"/>
        <w:rPr>
          <w:rFonts w:ascii="宋体" w:hAnsi="宋体" w:cs="宋体" w:eastAsia="宋体" w:hint="default"/>
          <w:sz w:val="21"/>
          <w:szCs w:val="21"/>
        </w:rPr>
        <w:sectPr>
          <w:pgSz w:w="11910" w:h="16840"/>
          <w:pgMar w:header="885" w:footer="1256" w:top="1120" w:bottom="1440" w:left="1660" w:right="1660"/>
        </w:sectPr>
      </w:pPr>
    </w:p>
    <w:p>
      <w:pPr>
        <w:spacing w:line="240" w:lineRule="auto" w:before="13"/>
        <w:rPr>
          <w:rFonts w:ascii="宋体" w:hAnsi="宋体" w:cs="宋体" w:eastAsia="宋体" w:hint="default"/>
          <w:sz w:val="27"/>
          <w:szCs w:val="27"/>
        </w:rPr>
      </w:pPr>
    </w:p>
    <w:p>
      <w:pPr>
        <w:spacing w:line="340" w:lineRule="auto" w:before="35"/>
        <w:ind w:left="857" w:right="104" w:firstLine="0"/>
        <w:jc w:val="left"/>
        <w:rPr>
          <w:rFonts w:ascii="宋体" w:hAnsi="宋体" w:cs="宋体" w:eastAsia="宋体" w:hint="default"/>
          <w:sz w:val="21"/>
          <w:szCs w:val="21"/>
        </w:rPr>
      </w:pPr>
      <w:r>
        <w:rPr>
          <w:rFonts w:ascii="宋体" w:hAnsi="宋体" w:cs="宋体" w:eastAsia="宋体" w:hint="default"/>
          <w:sz w:val="21"/>
          <w:szCs w:val="21"/>
        </w:rPr>
        <w:t>公司自购买日至报告期末的现金流量纳入合并现金流量表。通过多次交易分步实现</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非同一控制下企业合并时，对于购买日之前持有的被购买方的股权，本公司按照该</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股权在购买日的公允价值进行重新计量，公允价值与其账面价值的差额计入当期投</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资收益。购买日之前持有的被购买方的股权涉及其他综合收益的，与其相关的其他</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综合收益转为购买日所属当期投资收益。</w:t>
      </w:r>
      <w:r>
        <w:rPr>
          <w:rFonts w:ascii="宋体" w:hAnsi="宋体" w:cs="宋体" w:eastAsia="宋体" w:hint="default"/>
          <w:sz w:val="21"/>
          <w:szCs w:val="21"/>
        </w:rPr>
        <w:t> 在报告期内，本公司处置子公司，则该子公司期初至处置日的收入、费用、利润纳</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入合并利润表；该子公司期初至处置日的现金流量纳入合并现金流量表。因处置部</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3"/>
          <w:sz w:val="21"/>
          <w:szCs w:val="21"/>
        </w:rPr>
        <w:t>分股权投资或其他原因丧失了对原有子公司控制权时，对于处置后的剩余股权投资，</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本公司按照其在丧失控制权日的公允价值进行重新计量。处置股权取得的对价与剩</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余股权公允价值之和，减去按原持股比例计算应享有原有子公司自购买日开始持续</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计算的净资产的份额之间的差额，计入丧失控制权当期的投资收益。与原有子公司</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股权投资相关的其他综合收益，在丧失控制权时转为当期投资收益。</w:t>
      </w:r>
      <w:r>
        <w:rPr>
          <w:rFonts w:ascii="宋体" w:hAnsi="宋体" w:cs="宋体" w:eastAsia="宋体" w:hint="default"/>
          <w:sz w:val="21"/>
          <w:szCs w:val="21"/>
        </w:rPr>
        <w:t> 本公司因购买少数股权新取得的长期股权投资与按照新增持股比例计算应享有子公</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司的可辨认净资产份额之间的差额，以及在不丧失控制权的情况下因部分处置对子</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公司的股权投资而取得的处置价款与处置长期股权投资相对应享有子公司净资产份</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额的差额，均调整合并资产负债表中的资本公积中的股本溢价，资本公积中的股本</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溢价不足冲减的，调整留存收益。</w:t>
      </w:r>
    </w:p>
    <w:p>
      <w:pPr>
        <w:spacing w:line="240" w:lineRule="auto" w:before="0"/>
        <w:rPr>
          <w:rFonts w:ascii="宋体" w:hAnsi="宋体" w:cs="宋体" w:eastAsia="宋体" w:hint="default"/>
          <w:sz w:val="20"/>
          <w:szCs w:val="20"/>
        </w:rPr>
      </w:pPr>
    </w:p>
    <w:p>
      <w:pPr>
        <w:tabs>
          <w:tab w:pos="853" w:val="left" w:leader="none"/>
        </w:tabs>
        <w:spacing w:line="333" w:lineRule="auto" w:before="155"/>
        <w:ind w:left="857" w:right="111"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七</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现金及现金等价物的确定标准</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在编制现金流量表时，将本公司库存现金以及可以随时用于支付的存款确认为现金。</w:t>
      </w:r>
      <w:r>
        <w:rPr>
          <w:rFonts w:ascii="宋体" w:hAnsi="宋体" w:cs="宋体" w:eastAsia="宋体" w:hint="default"/>
          <w:sz w:val="21"/>
          <w:szCs w:val="21"/>
        </w:rPr>
        <w:t> </w:t>
      </w:r>
      <w:r>
        <w:rPr>
          <w:rFonts w:ascii="宋体" w:hAnsi="宋体" w:cs="宋体" w:eastAsia="宋体" w:hint="default"/>
          <w:spacing w:val="-3"/>
          <w:sz w:val="21"/>
          <w:szCs w:val="21"/>
        </w:rPr>
        <w:t>将同时具备期限短（从购买日起三个月内到期）、流动性强、易于转换为已知现金、</w:t>
      </w:r>
      <w:r>
        <w:rPr>
          <w:rFonts w:ascii="宋体" w:hAnsi="宋体" w:cs="宋体" w:eastAsia="宋体" w:hint="default"/>
          <w:sz w:val="21"/>
          <w:szCs w:val="21"/>
        </w:rPr>
        <w:t> 价值变动风险很小四个条件的投资，确定为现金等价物。</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tabs>
          <w:tab w:pos="853" w:val="left" w:leader="none"/>
        </w:tabs>
        <w:spacing w:before="0"/>
        <w:ind w:left="125" w:right="238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八</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外币业务和外币报表折算</w:t>
      </w:r>
      <w:r>
        <w:rPr>
          <w:rFonts w:ascii="宋体" w:hAnsi="宋体" w:cs="宋体" w:eastAsia="宋体" w:hint="default"/>
          <w:sz w:val="21"/>
          <w:szCs w:val="21"/>
        </w:rPr>
      </w:r>
    </w:p>
    <w:p>
      <w:pPr>
        <w:tabs>
          <w:tab w:pos="1396" w:val="left" w:leader="none"/>
        </w:tabs>
        <w:spacing w:before="110"/>
        <w:ind w:left="857" w:right="238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外币业务</w:t>
      </w:r>
      <w:r>
        <w:rPr>
          <w:rFonts w:ascii="宋体" w:hAnsi="宋体" w:cs="宋体" w:eastAsia="宋体" w:hint="default"/>
          <w:sz w:val="21"/>
          <w:szCs w:val="21"/>
        </w:rPr>
      </w:r>
    </w:p>
    <w:p>
      <w:pPr>
        <w:spacing w:line="350" w:lineRule="auto" w:before="109"/>
        <w:ind w:left="1400" w:right="206" w:firstLine="0"/>
        <w:jc w:val="left"/>
        <w:rPr>
          <w:rFonts w:ascii="宋体" w:hAnsi="宋体" w:cs="宋体" w:eastAsia="宋体" w:hint="default"/>
          <w:sz w:val="21"/>
          <w:szCs w:val="21"/>
        </w:rPr>
      </w:pPr>
      <w:r>
        <w:rPr>
          <w:rFonts w:ascii="宋体" w:hAnsi="宋体" w:cs="宋体" w:eastAsia="宋体" w:hint="default"/>
          <w:spacing w:val="3"/>
          <w:sz w:val="21"/>
          <w:szCs w:val="21"/>
        </w:rPr>
        <w:t>外币业务采用交易发生日的即期汇率作为折算汇率将外币金额折合成人民币 </w:t>
      </w:r>
      <w:r>
        <w:rPr>
          <w:rFonts w:ascii="宋体" w:hAnsi="宋体" w:cs="宋体" w:eastAsia="宋体" w:hint="default"/>
          <w:sz w:val="21"/>
          <w:szCs w:val="21"/>
        </w:rPr>
        <w:t>记账。</w:t>
      </w:r>
      <w:r>
        <w:rPr>
          <w:rFonts w:ascii="宋体" w:hAnsi="宋体" w:cs="宋体" w:eastAsia="宋体" w:hint="default"/>
          <w:sz w:val="21"/>
          <w:szCs w:val="21"/>
        </w:rPr>
        <w:t> </w:t>
      </w:r>
      <w:r>
        <w:rPr>
          <w:rFonts w:ascii="宋体" w:hAnsi="宋体" w:cs="宋体" w:eastAsia="宋体" w:hint="default"/>
          <w:spacing w:val="-3"/>
          <w:sz w:val="21"/>
          <w:szCs w:val="21"/>
        </w:rPr>
        <w:t>外币货币性项目余额按资产负债表日即期汇率折算，由此产生的汇兑差额，除</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属于与购建符合资本化条件的资产相关的外币专门借款产生的汇兑差额按照</w:t>
      </w:r>
      <w:r>
        <w:rPr>
          <w:rFonts w:ascii="宋体" w:hAnsi="宋体" w:cs="宋体" w:eastAsia="宋体" w:hint="default"/>
          <w:spacing w:val="3"/>
          <w:sz w:val="21"/>
          <w:szCs w:val="21"/>
        </w:rPr>
        <w:t> </w:t>
      </w:r>
      <w:r>
        <w:rPr>
          <w:rFonts w:ascii="宋体" w:hAnsi="宋体" w:cs="宋体" w:eastAsia="宋体" w:hint="default"/>
          <w:spacing w:val="-3"/>
          <w:sz w:val="21"/>
          <w:szCs w:val="21"/>
        </w:rPr>
        <w:t>借款费用资本化的原则处理外，均计入当期损益。以历史成本计量的外币非货</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币性项目，仍采用交易发生日的即期汇率折算，不改变其记账本位币金额。以</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3"/>
          <w:sz w:val="21"/>
          <w:szCs w:val="21"/>
        </w:rPr>
        <w:t>公允价值计量的外币非货币性项目，采用公允价值确定日的即期汇率折算，由</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此产生的汇兑差额计入当期损益或资本公积。</w:t>
      </w:r>
    </w:p>
    <w:p>
      <w:pPr>
        <w:spacing w:line="240" w:lineRule="auto" w:before="0"/>
        <w:rPr>
          <w:rFonts w:ascii="宋体" w:hAnsi="宋体" w:cs="宋体" w:eastAsia="宋体" w:hint="default"/>
          <w:sz w:val="20"/>
          <w:szCs w:val="20"/>
        </w:rPr>
      </w:pPr>
    </w:p>
    <w:p>
      <w:pPr>
        <w:tabs>
          <w:tab w:pos="1396" w:val="left" w:leader="none"/>
        </w:tabs>
        <w:spacing w:before="167"/>
        <w:ind w:left="857" w:right="238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外币财务报表的折算</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5" w:footer="1256" w:top="1120" w:bottom="1440" w:left="1660" w:right="1580"/>
        </w:sectPr>
      </w:pPr>
    </w:p>
    <w:p>
      <w:pPr>
        <w:spacing w:line="240" w:lineRule="auto" w:before="10"/>
        <w:rPr>
          <w:rFonts w:ascii="宋体" w:hAnsi="宋体" w:cs="宋体" w:eastAsia="宋体" w:hint="default"/>
          <w:b/>
          <w:bCs/>
          <w:sz w:val="28"/>
          <w:szCs w:val="28"/>
        </w:rPr>
      </w:pPr>
    </w:p>
    <w:p>
      <w:pPr>
        <w:spacing w:line="345" w:lineRule="auto" w:before="35"/>
        <w:ind w:left="1399" w:right="119" w:firstLine="0"/>
        <w:jc w:val="left"/>
        <w:rPr>
          <w:rFonts w:ascii="宋体" w:hAnsi="宋体" w:cs="宋体" w:eastAsia="宋体" w:hint="default"/>
          <w:sz w:val="21"/>
          <w:szCs w:val="21"/>
        </w:rPr>
      </w:pPr>
      <w:r>
        <w:rPr>
          <w:rFonts w:ascii="宋体" w:hAnsi="宋体" w:cs="宋体" w:eastAsia="宋体" w:hint="default"/>
          <w:spacing w:val="-3"/>
          <w:sz w:val="21"/>
          <w:szCs w:val="21"/>
        </w:rPr>
        <w:t>资产负债表中的资产和负债项目，采用资产负债表日的即期汇率折算；所有者</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2"/>
          <w:sz w:val="21"/>
          <w:szCs w:val="21"/>
        </w:rPr>
        <w:t>权益项目除</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未分配利润</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项目外，其他项目采用发生时的即期汇率折算。利润</w:t>
      </w:r>
      <w:r>
        <w:rPr>
          <w:rFonts w:ascii="宋体" w:hAnsi="宋体" w:cs="宋体" w:eastAsia="宋体" w:hint="default"/>
          <w:sz w:val="21"/>
          <w:szCs w:val="21"/>
        </w:rPr>
        <w:t> </w:t>
      </w:r>
      <w:r>
        <w:rPr>
          <w:rFonts w:ascii="宋体" w:hAnsi="宋体" w:cs="宋体" w:eastAsia="宋体" w:hint="default"/>
          <w:spacing w:val="-3"/>
          <w:sz w:val="21"/>
          <w:szCs w:val="21"/>
        </w:rPr>
        <w:t>表中的收入和费用项目，采用交易发生日的即期汇率折算。按照上述折算产生</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的外币财务报表折算差额，在资产负债表所有者权益项目下单独列示。 </w:t>
      </w:r>
      <w:r>
        <w:rPr>
          <w:rFonts w:ascii="宋体" w:hAnsi="宋体" w:cs="宋体" w:eastAsia="宋体" w:hint="default"/>
          <w:spacing w:val="-3"/>
          <w:sz w:val="21"/>
          <w:szCs w:val="21"/>
        </w:rPr>
        <w:t>处置境外经营时，将资产负债表中所有者权益项目下列示的、与该境外经营相</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关的外币财务报表折算差额，自所有者权益项目转入处置当期损益；部分处置</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境外经营的，按处置的比例计算处置部分的外币财务报表折算差额，转入处置</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当期损益。</w:t>
      </w:r>
    </w:p>
    <w:p>
      <w:pPr>
        <w:spacing w:line="240" w:lineRule="auto" w:before="0"/>
        <w:rPr>
          <w:rFonts w:ascii="宋体" w:hAnsi="宋体" w:cs="宋体" w:eastAsia="宋体" w:hint="default"/>
          <w:sz w:val="20"/>
          <w:szCs w:val="20"/>
        </w:rPr>
      </w:pPr>
    </w:p>
    <w:p>
      <w:pPr>
        <w:tabs>
          <w:tab w:pos="853" w:val="left" w:leader="none"/>
          <w:tab w:pos="1396" w:val="left" w:leader="none"/>
        </w:tabs>
        <w:spacing w:line="340" w:lineRule="auto" w:before="171"/>
        <w:ind w:left="857" w:right="3314"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九</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金融工具</w:t>
      </w:r>
      <w:r>
        <w:rPr>
          <w:rFonts w:ascii="宋体" w:hAnsi="宋体" w:cs="宋体" w:eastAsia="宋体" w:hint="default"/>
          <w:b/>
          <w:bCs/>
          <w:spacing w:val="1"/>
          <w:w w:val="99"/>
          <w:sz w:val="21"/>
          <w:szCs w:val="21"/>
        </w:rPr>
        <w:t> </w:t>
      </w:r>
      <w:r>
        <w:rPr>
          <w:rFonts w:ascii="宋体" w:hAnsi="宋体" w:cs="宋体" w:eastAsia="宋体" w:hint="default"/>
          <w:sz w:val="21"/>
          <w:szCs w:val="21"/>
        </w:rPr>
        <w:t>金融工具包括金融资产、金融负债和权益工具。 </w: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金融工具的分类</w:t>
      </w:r>
      <w:r>
        <w:rPr>
          <w:rFonts w:ascii="宋体" w:hAnsi="宋体" w:cs="宋体" w:eastAsia="宋体" w:hint="default"/>
          <w:sz w:val="21"/>
          <w:szCs w:val="21"/>
        </w:rPr>
      </w:r>
    </w:p>
    <w:p>
      <w:pPr>
        <w:spacing w:line="350" w:lineRule="auto" w:before="11"/>
        <w:ind w:left="1400" w:right="137" w:firstLine="0"/>
        <w:jc w:val="both"/>
        <w:rPr>
          <w:rFonts w:ascii="宋体" w:hAnsi="宋体" w:cs="宋体" w:eastAsia="宋体" w:hint="default"/>
          <w:sz w:val="21"/>
          <w:szCs w:val="21"/>
        </w:rPr>
      </w:pPr>
      <w:r>
        <w:rPr>
          <w:rFonts w:ascii="宋体" w:hAnsi="宋体" w:cs="宋体" w:eastAsia="宋体" w:hint="default"/>
          <w:spacing w:val="-3"/>
          <w:sz w:val="21"/>
          <w:szCs w:val="21"/>
        </w:rPr>
        <w:t>管理层按照取得持有金融资产和承担金融负债的目的，将其划分为：以公允价</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值计量且其变动计入当期损益的金融资产或金融负债，包括交易性金融资产或</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金融负债（和直接指定为以公允价值计量且其变动计入当期损益的金融资产或</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金融负债）；持有至到期投资；应收款项；可供出售金融资产；其他金融负债</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等。</w:t>
      </w:r>
    </w:p>
    <w:p>
      <w:pPr>
        <w:spacing w:line="240" w:lineRule="auto" w:before="0"/>
        <w:rPr>
          <w:rFonts w:ascii="宋体" w:hAnsi="宋体" w:cs="宋体" w:eastAsia="宋体" w:hint="default"/>
          <w:sz w:val="20"/>
          <w:szCs w:val="20"/>
        </w:rPr>
      </w:pPr>
    </w:p>
    <w:p>
      <w:pPr>
        <w:tabs>
          <w:tab w:pos="1396" w:val="left" w:leader="none"/>
        </w:tabs>
        <w:spacing w:before="148"/>
        <w:ind w:left="857" w:right="11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金融工具的确认依据和计量方法</w:t>
      </w:r>
      <w:r>
        <w:rPr>
          <w:rFonts w:ascii="宋体" w:hAnsi="宋体" w:cs="宋体" w:eastAsia="宋体" w:hint="default"/>
          <w:sz w:val="21"/>
          <w:szCs w:val="21"/>
        </w:rPr>
      </w:r>
    </w:p>
    <w:p>
      <w:pPr>
        <w:spacing w:line="338" w:lineRule="auto" w:before="99"/>
        <w:ind w:left="1400" w:right="126"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）以公允价值计量且其变动计入当期损益的金融资产（金融负债） </w:t>
      </w:r>
      <w:r>
        <w:rPr>
          <w:rFonts w:ascii="宋体" w:hAnsi="宋体" w:cs="宋体" w:eastAsia="宋体" w:hint="default"/>
          <w:spacing w:val="-3"/>
          <w:sz w:val="21"/>
          <w:szCs w:val="21"/>
        </w:rPr>
        <w:t>取得时以公允价值（扣除已宣告但尚未发放的现金股利或已到付息期但尚未领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取的债券利息）作为初始确认金额，相关的交易费用计入当期损益。 </w:t>
      </w:r>
      <w:r>
        <w:rPr>
          <w:rFonts w:ascii="宋体" w:hAnsi="宋体" w:cs="宋体" w:eastAsia="宋体" w:hint="default"/>
          <w:spacing w:val="-3"/>
          <w:sz w:val="21"/>
          <w:szCs w:val="21"/>
        </w:rPr>
        <w:t>持有期间将取得的利息或现金股利确认为投资收益，期末将公允价值变动计入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当期损益。 </w:t>
      </w:r>
      <w:r>
        <w:rPr>
          <w:rFonts w:ascii="宋体" w:hAnsi="宋体" w:cs="宋体" w:eastAsia="宋体" w:hint="default"/>
          <w:spacing w:val="-3"/>
          <w:sz w:val="21"/>
          <w:szCs w:val="21"/>
        </w:rPr>
        <w:t>处置时，其公允价值与初始入账金额之间的差额确认为投资收益，同时调整公</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允价值变动损益。</w:t>
      </w:r>
    </w:p>
    <w:p>
      <w:pPr>
        <w:spacing w:line="240" w:lineRule="auto" w:before="0"/>
        <w:rPr>
          <w:rFonts w:ascii="宋体" w:hAnsi="宋体" w:cs="宋体" w:eastAsia="宋体" w:hint="default"/>
          <w:sz w:val="20"/>
          <w:szCs w:val="20"/>
        </w:rPr>
      </w:pPr>
    </w:p>
    <w:p>
      <w:pPr>
        <w:spacing w:line="336" w:lineRule="auto" w:before="157"/>
        <w:ind w:left="1400" w:right="126"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 </w:t>
      </w:r>
      <w:r>
        <w:rPr>
          <w:rFonts w:ascii="宋体" w:hAnsi="宋体" w:cs="宋体" w:eastAsia="宋体" w:hint="default"/>
          <w:spacing w:val="-3"/>
          <w:sz w:val="21"/>
          <w:szCs w:val="21"/>
        </w:rPr>
        <w:t>取得时按公允价值（扣除已到付息期但尚未领取的债券利息）和相关交易费用</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之和作为初始确认金额。 </w:t>
      </w:r>
      <w:r>
        <w:rPr>
          <w:rFonts w:ascii="宋体" w:hAnsi="宋体" w:cs="宋体" w:eastAsia="宋体" w:hint="default"/>
          <w:spacing w:val="-3"/>
          <w:sz w:val="21"/>
          <w:szCs w:val="21"/>
        </w:rPr>
        <w:t>持有期间按照摊余成本和实际利率计算确认利息收入，计入投资收益。实际利</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率在取得时确定，在该预期存续期间或适用的更短期间内保持不变。 处置时，将所取得价款与该投资账面价值之间的差额计入投资收益。</w:t>
      </w:r>
    </w:p>
    <w:p>
      <w:pPr>
        <w:spacing w:line="240" w:lineRule="auto" w:before="0"/>
        <w:rPr>
          <w:rFonts w:ascii="宋体" w:hAnsi="宋体" w:cs="宋体" w:eastAsia="宋体" w:hint="default"/>
          <w:sz w:val="20"/>
          <w:szCs w:val="20"/>
        </w:rPr>
      </w:pPr>
    </w:p>
    <w:p>
      <w:pPr>
        <w:spacing w:before="159"/>
        <w:ind w:left="1400" w:right="11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）应收款项</w:t>
      </w:r>
    </w:p>
    <w:p>
      <w:pPr>
        <w:spacing w:after="0"/>
        <w:jc w:val="left"/>
        <w:rPr>
          <w:rFonts w:ascii="宋体" w:hAnsi="宋体" w:cs="宋体" w:eastAsia="宋体" w:hint="default"/>
          <w:sz w:val="21"/>
          <w:szCs w:val="21"/>
        </w:rPr>
        <w:sectPr>
          <w:pgSz w:w="11910" w:h="16840"/>
          <w:pgMar w:header="885" w:footer="1256" w:top="1120" w:bottom="1440" w:left="1660" w:right="1660"/>
        </w:sectPr>
      </w:pPr>
    </w:p>
    <w:p>
      <w:pPr>
        <w:spacing w:line="240" w:lineRule="auto" w:before="13"/>
        <w:rPr>
          <w:rFonts w:ascii="宋体" w:hAnsi="宋体" w:cs="宋体" w:eastAsia="宋体" w:hint="default"/>
          <w:sz w:val="27"/>
          <w:szCs w:val="27"/>
        </w:rPr>
      </w:pPr>
    </w:p>
    <w:p>
      <w:pPr>
        <w:spacing w:line="340" w:lineRule="auto" w:before="35"/>
        <w:ind w:left="1400" w:right="84" w:firstLine="0"/>
        <w:jc w:val="left"/>
        <w:rPr>
          <w:rFonts w:ascii="宋体" w:hAnsi="宋体" w:cs="宋体" w:eastAsia="宋体" w:hint="default"/>
          <w:sz w:val="21"/>
          <w:szCs w:val="21"/>
        </w:rPr>
      </w:pPr>
      <w:r>
        <w:rPr>
          <w:rFonts w:ascii="宋体" w:hAnsi="宋体" w:cs="宋体" w:eastAsia="宋体" w:hint="default"/>
          <w:spacing w:val="-3"/>
          <w:sz w:val="21"/>
          <w:szCs w:val="21"/>
        </w:rPr>
        <w:t>公司对外销售商品或提供劳务形成的应收债权，以及公司持有的其他企业的不</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包括在活跃市场上有报价的债务工具的债权，包括应收账款、其他应收款等， </w:t>
      </w:r>
      <w:r>
        <w:rPr>
          <w:rFonts w:ascii="宋体" w:hAnsi="宋体" w:cs="宋体" w:eastAsia="宋体" w:hint="default"/>
          <w:spacing w:val="-3"/>
          <w:sz w:val="21"/>
          <w:szCs w:val="21"/>
        </w:rPr>
        <w:t>以向购货方应收的合同或协议价款作为初始确认金额；具有融资性质的，按其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现值进行初始确认。 </w:t>
      </w:r>
      <w:r>
        <w:rPr>
          <w:rFonts w:ascii="宋体" w:hAnsi="宋体" w:cs="宋体" w:eastAsia="宋体" w:hint="default"/>
          <w:spacing w:val="3"/>
          <w:sz w:val="21"/>
          <w:szCs w:val="21"/>
        </w:rPr>
        <w:t>收回或处置时，将取得的价款与该应收款项账面价值之间的差额计入当期损</w:t>
      </w:r>
      <w:r>
        <w:rPr>
          <w:rFonts w:ascii="宋体" w:hAnsi="宋体" w:cs="宋体" w:eastAsia="宋体" w:hint="default"/>
          <w:spacing w:val="3"/>
          <w:sz w:val="21"/>
          <w:szCs w:val="21"/>
        </w:rPr>
        <w:t> </w:t>
      </w:r>
      <w:r>
        <w:rPr>
          <w:rFonts w:ascii="宋体" w:hAnsi="宋体" w:cs="宋体" w:eastAsia="宋体" w:hint="default"/>
          <w:sz w:val="21"/>
          <w:szCs w:val="21"/>
        </w:rPr>
        <w:t>益。</w:t>
      </w:r>
    </w:p>
    <w:p>
      <w:pPr>
        <w:spacing w:line="240" w:lineRule="auto" w:before="0"/>
        <w:rPr>
          <w:rFonts w:ascii="宋体" w:hAnsi="宋体" w:cs="宋体" w:eastAsia="宋体" w:hint="default"/>
          <w:sz w:val="20"/>
          <w:szCs w:val="20"/>
        </w:rPr>
      </w:pPr>
    </w:p>
    <w:p>
      <w:pPr>
        <w:spacing w:line="338" w:lineRule="auto" w:before="155"/>
        <w:ind w:left="1400" w:right="186"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）可供出售金融资产 </w:t>
      </w:r>
      <w:r>
        <w:rPr>
          <w:rFonts w:ascii="宋体" w:hAnsi="宋体" w:cs="宋体" w:eastAsia="宋体" w:hint="default"/>
          <w:spacing w:val="-3"/>
          <w:sz w:val="21"/>
          <w:szCs w:val="21"/>
        </w:rPr>
        <w:t>取得时按公允价值（扣除已宣告但尚未发放的现金股利或已到付息期但尚未领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取的债券利息）和相关交易费用之和作为初始确认金额。 </w:t>
      </w:r>
      <w:r>
        <w:rPr>
          <w:rFonts w:ascii="宋体" w:hAnsi="宋体" w:cs="宋体" w:eastAsia="宋体" w:hint="default"/>
          <w:spacing w:val="-3"/>
          <w:sz w:val="21"/>
          <w:szCs w:val="21"/>
        </w:rPr>
        <w:t>持有期间将取得的利息或现金股利确认为投资收益。期末以公允价值计量且将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5"/>
          <w:sz w:val="21"/>
          <w:szCs w:val="21"/>
        </w:rPr>
        <w:t>公允价值变动计入资本公积（其他资本公积）。</w:t>
      </w:r>
      <w:r>
        <w:rPr>
          <w:rFonts w:ascii="宋体" w:hAnsi="宋体" w:cs="宋体" w:eastAsia="宋体" w:hint="default"/>
          <w:sz w:val="21"/>
          <w:szCs w:val="21"/>
        </w:rPr>
        <w:t> </w:t>
      </w:r>
      <w:r>
        <w:rPr>
          <w:rFonts w:ascii="宋体" w:hAnsi="宋体" w:cs="宋体" w:eastAsia="宋体" w:hint="default"/>
          <w:spacing w:val="-3"/>
          <w:sz w:val="21"/>
          <w:szCs w:val="21"/>
        </w:rPr>
        <w:t>处置时，将取得的价款与该金融资产账面价值之间的差额，计入投资损益；同</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3"/>
          <w:sz w:val="21"/>
          <w:szCs w:val="21"/>
        </w:rPr>
        <w:t>时，将原直接计入所有者权益的公允价值变动累计额对应处置部分的金额转</w:t>
      </w:r>
      <w:r>
        <w:rPr>
          <w:rFonts w:ascii="宋体" w:hAnsi="宋体" w:cs="宋体" w:eastAsia="宋体" w:hint="default"/>
          <w:spacing w:val="3"/>
          <w:sz w:val="21"/>
          <w:szCs w:val="21"/>
        </w:rPr>
        <w:t> </w:t>
      </w:r>
      <w:r>
        <w:rPr>
          <w:rFonts w:ascii="宋体" w:hAnsi="宋体" w:cs="宋体" w:eastAsia="宋体" w:hint="default"/>
          <w:sz w:val="21"/>
          <w:szCs w:val="21"/>
        </w:rPr>
        <w:t>出，计入投资损益。</w:t>
      </w:r>
    </w:p>
    <w:p>
      <w:pPr>
        <w:spacing w:line="240" w:lineRule="auto" w:before="0"/>
        <w:rPr>
          <w:rFonts w:ascii="宋体" w:hAnsi="宋体" w:cs="宋体" w:eastAsia="宋体" w:hint="default"/>
          <w:sz w:val="20"/>
          <w:szCs w:val="20"/>
        </w:rPr>
      </w:pPr>
    </w:p>
    <w:p>
      <w:pPr>
        <w:spacing w:line="331" w:lineRule="auto" w:before="157"/>
        <w:ind w:left="1400" w:right="186"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）其他金融负债 </w:t>
      </w:r>
      <w:r>
        <w:rPr>
          <w:rFonts w:ascii="宋体" w:hAnsi="宋体" w:cs="宋体" w:eastAsia="宋体" w:hint="default"/>
          <w:spacing w:val="-3"/>
          <w:sz w:val="21"/>
          <w:szCs w:val="21"/>
        </w:rPr>
        <w:t>按其公允价值和相关交易费用之和作为初始确认金额。采用摊余成本进行后续</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计量。</w:t>
      </w:r>
    </w:p>
    <w:p>
      <w:pPr>
        <w:spacing w:line="240" w:lineRule="auto" w:before="0"/>
        <w:rPr>
          <w:rFonts w:ascii="宋体" w:hAnsi="宋体" w:cs="宋体" w:eastAsia="宋体" w:hint="default"/>
          <w:sz w:val="20"/>
          <w:szCs w:val="20"/>
        </w:rPr>
      </w:pPr>
    </w:p>
    <w:p>
      <w:pPr>
        <w:tabs>
          <w:tab w:pos="1396" w:val="left" w:leader="none"/>
        </w:tabs>
        <w:spacing w:line="338" w:lineRule="auto" w:before="163"/>
        <w:ind w:left="1400" w:right="197"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金融资产转移的确认依据和计量方法</w:t>
      </w:r>
      <w:r>
        <w:rPr>
          <w:rFonts w:ascii="宋体" w:hAnsi="宋体" w:cs="宋体" w:eastAsia="宋体" w:hint="default"/>
          <w:b/>
          <w:bCs/>
          <w:w w:val="99"/>
          <w:sz w:val="21"/>
          <w:szCs w:val="21"/>
        </w:rPr>
        <w:t> </w:t>
      </w:r>
      <w:r>
        <w:rPr>
          <w:rFonts w:ascii="宋体" w:hAnsi="宋体" w:cs="宋体" w:eastAsia="宋体" w:hint="default"/>
          <w:spacing w:val="-3"/>
          <w:sz w:val="21"/>
          <w:szCs w:val="21"/>
        </w:rPr>
        <w:t>公司发生金融资产转移时，如已将金融资产所有权上几乎所有的风险和报酬转</w:t>
      </w:r>
      <w:r>
        <w:rPr>
          <w:rFonts w:ascii="宋体" w:hAnsi="宋体" w:cs="宋体" w:eastAsia="宋体" w:hint="default"/>
          <w:sz w:val="21"/>
          <w:szCs w:val="21"/>
        </w:rPr>
        <w:t> </w:t>
      </w:r>
      <w:r>
        <w:rPr>
          <w:rFonts w:ascii="宋体" w:hAnsi="宋体" w:cs="宋体" w:eastAsia="宋体" w:hint="default"/>
          <w:spacing w:val="-3"/>
          <w:sz w:val="21"/>
          <w:szCs w:val="21"/>
        </w:rPr>
        <w:t>移给转入方，则终止确认该金融资产；如保留了金融资产所有权上几乎所有的</w:t>
      </w:r>
      <w:r>
        <w:rPr>
          <w:rFonts w:ascii="宋体" w:hAnsi="宋体" w:cs="宋体" w:eastAsia="宋体" w:hint="default"/>
          <w:sz w:val="21"/>
          <w:szCs w:val="21"/>
        </w:rPr>
        <w:t> 风险和报酬的，则不终止确认该金融资产。 </w:t>
      </w:r>
      <w:r>
        <w:rPr>
          <w:rFonts w:ascii="宋体" w:hAnsi="宋体" w:cs="宋体" w:eastAsia="宋体" w:hint="default"/>
          <w:spacing w:val="-3"/>
          <w:sz w:val="21"/>
          <w:szCs w:val="21"/>
        </w:rPr>
        <w:t>在判断金融资产转移是否满足上述金融资产终止确认条件时，采用实质重于形</w:t>
      </w:r>
      <w:r>
        <w:rPr>
          <w:rFonts w:ascii="宋体" w:hAnsi="宋体" w:cs="宋体" w:eastAsia="宋体" w:hint="default"/>
          <w:sz w:val="21"/>
          <w:szCs w:val="21"/>
        </w:rPr>
        <w:t> </w:t>
      </w:r>
      <w:r>
        <w:rPr>
          <w:rFonts w:ascii="宋体" w:hAnsi="宋体" w:cs="宋体" w:eastAsia="宋体" w:hint="default"/>
          <w:spacing w:val="-3"/>
          <w:sz w:val="21"/>
          <w:szCs w:val="21"/>
        </w:rPr>
        <w:t>式的原则。公司将金融资产转移区分为金融资产整体转移和部分转移。金融资</w:t>
      </w:r>
      <w:r>
        <w:rPr>
          <w:rFonts w:ascii="宋体" w:hAnsi="宋体" w:cs="宋体" w:eastAsia="宋体" w:hint="default"/>
          <w:sz w:val="21"/>
          <w:szCs w:val="21"/>
        </w:rPr>
        <w:t> 产整体转移满足终止确认条件的，将下列两项金额的差额计入当期损益：</w:t>
      </w:r>
    </w:p>
    <w:p>
      <w:pPr>
        <w:spacing w:before="29"/>
        <w:ind w:left="1400"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）所转移金融资产的账面价值；</w:t>
      </w:r>
    </w:p>
    <w:p>
      <w:pPr>
        <w:spacing w:before="99"/>
        <w:ind w:left="1400"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）因转移而收到的对价，与原直接计入所有者权益的公允价值变动累计额</w:t>
      </w:r>
    </w:p>
    <w:p>
      <w:pPr>
        <w:spacing w:line="331" w:lineRule="auto" w:before="99"/>
        <w:ind w:left="1400" w:right="84" w:firstLine="0"/>
        <w:jc w:val="left"/>
        <w:rPr>
          <w:rFonts w:ascii="宋体" w:hAnsi="宋体" w:cs="宋体" w:eastAsia="宋体" w:hint="default"/>
          <w:sz w:val="21"/>
          <w:szCs w:val="21"/>
        </w:rPr>
      </w:pPr>
      <w:r>
        <w:rPr>
          <w:rFonts w:ascii="宋体" w:hAnsi="宋体" w:cs="宋体" w:eastAsia="宋体" w:hint="default"/>
          <w:sz w:val="21"/>
          <w:szCs w:val="21"/>
        </w:rPr>
        <w:t>（涉及转移的金融资产为可供出售金融资产的情形）之和。 金融资产部分转移满足终止确认条件的，将所转移金融资产整体的账面价值， 在终止确认部分和未终止确认部分之间，按照各自的相对公允价值进行分摊， 并将下列两项金额的差额计入当期损益：</w:t>
      </w:r>
    </w:p>
    <w:p>
      <w:pPr>
        <w:spacing w:before="25"/>
        <w:ind w:left="1400"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）终止确认部分的账面价值；</w:t>
      </w:r>
    </w:p>
    <w:p>
      <w:pPr>
        <w:spacing w:before="89"/>
        <w:ind w:left="1400"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）终止确认部分的对价，与原直接计入所有者权益的公允价值变动累计额</w:t>
      </w:r>
    </w:p>
    <w:p>
      <w:pPr>
        <w:spacing w:after="0"/>
        <w:jc w:val="left"/>
        <w:rPr>
          <w:rFonts w:ascii="宋体" w:hAnsi="宋体" w:cs="宋体" w:eastAsia="宋体" w:hint="default"/>
          <w:sz w:val="21"/>
          <w:szCs w:val="21"/>
        </w:rPr>
        <w:sectPr>
          <w:pgSz w:w="11910" w:h="16840"/>
          <w:pgMar w:header="885" w:footer="1256" w:top="1120" w:bottom="1440" w:left="1660" w:right="1600"/>
        </w:sectPr>
      </w:pPr>
    </w:p>
    <w:p>
      <w:pPr>
        <w:spacing w:line="240" w:lineRule="auto" w:before="2"/>
        <w:rPr>
          <w:rFonts w:ascii="宋体" w:hAnsi="宋体" w:cs="宋体" w:eastAsia="宋体" w:hint="default"/>
          <w:sz w:val="27"/>
          <w:szCs w:val="27"/>
        </w:rPr>
      </w:pPr>
    </w:p>
    <w:p>
      <w:pPr>
        <w:spacing w:line="331" w:lineRule="auto" w:before="35"/>
        <w:ind w:left="1400" w:right="186" w:firstLine="0"/>
        <w:jc w:val="left"/>
        <w:rPr>
          <w:rFonts w:ascii="宋体" w:hAnsi="宋体" w:cs="宋体" w:eastAsia="宋体" w:hint="default"/>
          <w:sz w:val="21"/>
          <w:szCs w:val="21"/>
        </w:rPr>
      </w:pPr>
      <w:r>
        <w:rPr>
          <w:rFonts w:ascii="宋体" w:hAnsi="宋体" w:cs="宋体" w:eastAsia="宋体" w:hint="default"/>
          <w:spacing w:val="3"/>
          <w:sz w:val="21"/>
          <w:szCs w:val="21"/>
        </w:rPr>
        <w:t>中对应终止确认部分的金额（涉及转移的金融资产为可供出售金融资产的情 </w:t>
      </w:r>
      <w:r>
        <w:rPr>
          <w:rFonts w:ascii="宋体" w:hAnsi="宋体" w:cs="宋体" w:eastAsia="宋体" w:hint="default"/>
          <w:sz w:val="21"/>
          <w:szCs w:val="21"/>
        </w:rPr>
        <w:t>形）之和。</w:t>
      </w:r>
      <w:r>
        <w:rPr>
          <w:rFonts w:ascii="宋体" w:hAnsi="宋体" w:cs="宋体" w:eastAsia="宋体" w:hint="default"/>
          <w:sz w:val="21"/>
          <w:szCs w:val="21"/>
        </w:rPr>
        <w:t> </w:t>
      </w:r>
      <w:r>
        <w:rPr>
          <w:rFonts w:ascii="宋体" w:hAnsi="宋体" w:cs="宋体" w:eastAsia="宋体" w:hint="default"/>
          <w:spacing w:val="-3"/>
          <w:sz w:val="21"/>
          <w:szCs w:val="21"/>
        </w:rPr>
        <w:t>金融资产转移不满足终止确认条件的，继续确认该金融资产，所收到的对价确</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认为一项金融负债。</w:t>
      </w:r>
    </w:p>
    <w:p>
      <w:pPr>
        <w:spacing w:line="240" w:lineRule="auto" w:before="0"/>
        <w:rPr>
          <w:rFonts w:ascii="宋体" w:hAnsi="宋体" w:cs="宋体" w:eastAsia="宋体" w:hint="default"/>
          <w:sz w:val="20"/>
          <w:szCs w:val="20"/>
        </w:rPr>
      </w:pPr>
    </w:p>
    <w:p>
      <w:pPr>
        <w:tabs>
          <w:tab w:pos="1396" w:val="left" w:leader="none"/>
        </w:tabs>
        <w:spacing w:line="328" w:lineRule="auto" w:before="143"/>
        <w:ind w:left="1400" w:right="10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金融负债终止确认条件</w:t>
      </w:r>
      <w:r>
        <w:rPr>
          <w:rFonts w:ascii="宋体" w:hAnsi="宋体" w:cs="宋体" w:eastAsia="宋体" w:hint="default"/>
          <w:b/>
          <w:bCs/>
          <w:w w:val="99"/>
          <w:sz w:val="21"/>
          <w:szCs w:val="21"/>
        </w:rPr>
        <w:t> </w:t>
      </w:r>
      <w:r>
        <w:rPr>
          <w:rFonts w:ascii="宋体" w:hAnsi="宋体" w:cs="宋体" w:eastAsia="宋体" w:hint="default"/>
          <w:spacing w:val="-3"/>
          <w:sz w:val="21"/>
          <w:szCs w:val="21"/>
        </w:rPr>
        <w:t>金融负债的现时义务全部或部分已经解除的，则终止确认该金融负债或其一部</w:t>
      </w:r>
      <w:r>
        <w:rPr>
          <w:rFonts w:ascii="宋体" w:hAnsi="宋体" w:cs="宋体" w:eastAsia="宋体" w:hint="default"/>
          <w:sz w:val="21"/>
          <w:szCs w:val="21"/>
        </w:rPr>
        <w:t> 分；本公司若与债权人签定协议，以承担新金融负债方式替换现存金融负债， </w:t>
      </w:r>
      <w:r>
        <w:rPr>
          <w:rFonts w:ascii="宋体" w:hAnsi="宋体" w:cs="宋体" w:eastAsia="宋体" w:hint="default"/>
          <w:spacing w:val="-3"/>
          <w:sz w:val="21"/>
          <w:szCs w:val="21"/>
        </w:rPr>
        <w:t>且新金融负债与现存金融负债的合同条款实质上不同的，则终止确认现存金融</w:t>
      </w:r>
      <w:r>
        <w:rPr>
          <w:rFonts w:ascii="宋体" w:hAnsi="宋体" w:cs="宋体" w:eastAsia="宋体" w:hint="default"/>
          <w:sz w:val="21"/>
          <w:szCs w:val="21"/>
        </w:rPr>
        <w:t> 负债，并同时确认新金融负债。 </w:t>
      </w:r>
      <w:r>
        <w:rPr>
          <w:rFonts w:ascii="宋体" w:hAnsi="宋体" w:cs="宋体" w:eastAsia="宋体" w:hint="default"/>
          <w:spacing w:val="-3"/>
          <w:sz w:val="21"/>
          <w:szCs w:val="21"/>
        </w:rPr>
        <w:t>对现存金融负债全部或部分合同条款作出实质性修改的，则终止确认现存金融</w:t>
      </w:r>
      <w:r>
        <w:rPr>
          <w:rFonts w:ascii="宋体" w:hAnsi="宋体" w:cs="宋体" w:eastAsia="宋体" w:hint="default"/>
          <w:sz w:val="21"/>
          <w:szCs w:val="21"/>
        </w:rPr>
        <w:t> 负债或其一部分，同时将修改条款后的金融负债确认为一项新金融负债。 </w:t>
      </w:r>
      <w:r>
        <w:rPr>
          <w:rFonts w:ascii="宋体" w:hAnsi="宋体" w:cs="宋体" w:eastAsia="宋体" w:hint="default"/>
          <w:spacing w:val="3"/>
          <w:sz w:val="21"/>
          <w:szCs w:val="21"/>
        </w:rPr>
        <w:t>金融负债全部或部分终止确认时，终止确认的金融负债账面价值与支付对价</w:t>
      </w:r>
      <w:r>
        <w:rPr>
          <w:rFonts w:ascii="宋体" w:hAnsi="宋体" w:cs="宋体" w:eastAsia="宋体" w:hint="default"/>
          <w:sz w:val="21"/>
          <w:szCs w:val="21"/>
        </w:rPr>
      </w:r>
    </w:p>
    <w:p>
      <w:pPr>
        <w:spacing w:line="331" w:lineRule="auto" w:before="28"/>
        <w:ind w:left="1400" w:right="84" w:firstLine="0"/>
        <w:jc w:val="left"/>
        <w:rPr>
          <w:rFonts w:ascii="宋体" w:hAnsi="宋体" w:cs="宋体" w:eastAsia="宋体" w:hint="default"/>
          <w:sz w:val="21"/>
          <w:szCs w:val="21"/>
        </w:rPr>
      </w:pPr>
      <w:r>
        <w:rPr>
          <w:rFonts w:ascii="宋体" w:hAnsi="宋体" w:cs="宋体" w:eastAsia="宋体" w:hint="default"/>
          <w:sz w:val="21"/>
          <w:szCs w:val="21"/>
        </w:rPr>
        <w:t>（包括转出的非现金资产或承担的新金融负债）之间的差额，计入当期损益。 </w:t>
      </w:r>
      <w:r>
        <w:rPr>
          <w:rFonts w:ascii="宋体" w:hAnsi="宋体" w:cs="宋体" w:eastAsia="宋体" w:hint="default"/>
          <w:spacing w:val="-3"/>
          <w:sz w:val="21"/>
          <w:szCs w:val="21"/>
        </w:rPr>
        <w:t>本公司若回购部分金融负债的，在回购日按照继续确认部分与终止确认部分的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相对公允价值，将该金融负债整体的账面价值进行分配。分配给终止确认部分</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的账面价值与支付的对价（包括转出的非现金资产或承担的新金融负债）之间</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的差额，计入当期损益。</w:t>
      </w:r>
    </w:p>
    <w:p>
      <w:pPr>
        <w:spacing w:line="240" w:lineRule="auto" w:before="0"/>
        <w:rPr>
          <w:rFonts w:ascii="宋体" w:hAnsi="宋体" w:cs="宋体" w:eastAsia="宋体" w:hint="default"/>
          <w:sz w:val="20"/>
          <w:szCs w:val="20"/>
        </w:rPr>
      </w:pPr>
    </w:p>
    <w:p>
      <w:pPr>
        <w:tabs>
          <w:tab w:pos="1396" w:val="left" w:leader="none"/>
        </w:tabs>
        <w:spacing w:line="312" w:lineRule="auto" w:before="144"/>
        <w:ind w:left="1400" w:right="52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金融资产和金融负债公允价值的确定方法</w:t>
      </w:r>
      <w:r>
        <w:rPr>
          <w:rFonts w:ascii="宋体" w:hAnsi="宋体" w:cs="宋体" w:eastAsia="宋体" w:hint="default"/>
          <w:b/>
          <w:bCs/>
          <w:spacing w:val="1"/>
          <w:w w:val="99"/>
          <w:sz w:val="21"/>
          <w:szCs w:val="21"/>
        </w:rPr>
        <w:t> </w:t>
      </w:r>
      <w:r>
        <w:rPr>
          <w:rFonts w:ascii="宋体" w:hAnsi="宋体" w:cs="宋体" w:eastAsia="宋体" w:hint="default"/>
          <w:sz w:val="21"/>
          <w:szCs w:val="21"/>
        </w:rPr>
        <w:t>本公司采用公允价值计量的金融资产和金融负债全部活跃市场中的报价。</w:t>
      </w:r>
    </w:p>
    <w:p>
      <w:pPr>
        <w:spacing w:line="240" w:lineRule="auto" w:before="0"/>
        <w:rPr>
          <w:rFonts w:ascii="宋体" w:hAnsi="宋体" w:cs="宋体" w:eastAsia="宋体" w:hint="default"/>
          <w:sz w:val="20"/>
          <w:szCs w:val="20"/>
        </w:rPr>
      </w:pPr>
    </w:p>
    <w:p>
      <w:pPr>
        <w:tabs>
          <w:tab w:pos="1396" w:val="left" w:leader="none"/>
        </w:tabs>
        <w:spacing w:line="326" w:lineRule="auto" w:before="161"/>
        <w:ind w:left="1400" w:right="195"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金融资产（不含应收款项）减值准备计提</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除以公允价值计量且其变动计入当期损益的金融资产外，本公司于资产负债表</w:t>
      </w:r>
      <w:r>
        <w:rPr>
          <w:rFonts w:ascii="宋体" w:hAnsi="宋体" w:cs="宋体" w:eastAsia="宋体" w:hint="default"/>
          <w:sz w:val="21"/>
          <w:szCs w:val="21"/>
        </w:rPr>
        <w:t> </w:t>
      </w:r>
      <w:r>
        <w:rPr>
          <w:rFonts w:ascii="宋体" w:hAnsi="宋体" w:cs="宋体" w:eastAsia="宋体" w:hint="default"/>
          <w:spacing w:val="-3"/>
          <w:sz w:val="21"/>
          <w:szCs w:val="21"/>
        </w:rPr>
        <w:t>日对金融资产的账面价值进行检查，如果有客观证据表明某项金融资产发生减</w:t>
      </w:r>
      <w:r>
        <w:rPr>
          <w:rFonts w:ascii="宋体" w:hAnsi="宋体" w:cs="宋体" w:eastAsia="宋体" w:hint="default"/>
          <w:sz w:val="21"/>
          <w:szCs w:val="21"/>
        </w:rPr>
        <w:t> 值的，计提减值准备。</w:t>
      </w:r>
    </w:p>
    <w:p>
      <w:pPr>
        <w:spacing w:line="312" w:lineRule="auto" w:before="9"/>
        <w:ind w:left="1400" w:right="186"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）可供出售金融资产的减值准备： </w:t>
      </w:r>
      <w:r>
        <w:rPr>
          <w:rFonts w:ascii="宋体" w:hAnsi="宋体" w:cs="宋体" w:eastAsia="宋体" w:hint="default"/>
          <w:spacing w:val="-3"/>
          <w:sz w:val="21"/>
          <w:szCs w:val="21"/>
        </w:rPr>
        <w:t>期末如果可供出售金融资产的公允价值发生较大幅度下降，或在综合考虑各种</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相关因素后，预期这种下降趋势属于非暂时性的，就认定其已发生减值，将原</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3"/>
          <w:sz w:val="21"/>
          <w:szCs w:val="21"/>
        </w:rPr>
        <w:t>直接计入所有者权益的公允价值下降形成的累计损失一并转出，确认减值损</w:t>
      </w:r>
      <w:r>
        <w:rPr>
          <w:rFonts w:ascii="宋体" w:hAnsi="宋体" w:cs="宋体" w:eastAsia="宋体" w:hint="default"/>
          <w:spacing w:val="3"/>
          <w:sz w:val="21"/>
          <w:szCs w:val="21"/>
        </w:rPr>
        <w:t> </w:t>
      </w:r>
      <w:r>
        <w:rPr>
          <w:rFonts w:ascii="宋体" w:hAnsi="宋体" w:cs="宋体" w:eastAsia="宋体" w:hint="default"/>
          <w:sz w:val="21"/>
          <w:szCs w:val="21"/>
        </w:rPr>
        <w:t>失。</w:t>
      </w:r>
      <w:r>
        <w:rPr>
          <w:rFonts w:ascii="宋体" w:hAnsi="宋体" w:cs="宋体" w:eastAsia="宋体" w:hint="default"/>
          <w:sz w:val="21"/>
          <w:szCs w:val="21"/>
        </w:rPr>
        <w:t> </w:t>
      </w:r>
      <w:r>
        <w:rPr>
          <w:rFonts w:ascii="宋体" w:hAnsi="宋体" w:cs="宋体" w:eastAsia="宋体" w:hint="default"/>
          <w:spacing w:val="-3"/>
          <w:sz w:val="21"/>
          <w:szCs w:val="21"/>
        </w:rPr>
        <w:t>对于已确认减值损失的可供出售债务工具，在随后的会计期间公允价值已上升</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且客观上与确认原减值损失确认后发生的事项有关的，原确认的减值损失予以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转回，计入当期损益。 可供出售权益工具投资发生的减值损失，不得通过损益转回。</w:t>
      </w:r>
    </w:p>
    <w:p>
      <w:pPr>
        <w:spacing w:line="297" w:lineRule="auto" w:before="22"/>
        <w:ind w:left="1400" w:right="714"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）持有至到期投资的减值准备： 持有至到期投资减值损失的计量比照应收款项减值损失计量方法处理。</w:t>
      </w:r>
    </w:p>
    <w:p>
      <w:pPr>
        <w:spacing w:after="0" w:line="297" w:lineRule="auto"/>
        <w:jc w:val="left"/>
        <w:rPr>
          <w:rFonts w:ascii="宋体" w:hAnsi="宋体" w:cs="宋体" w:eastAsia="宋体" w:hint="default"/>
          <w:sz w:val="21"/>
          <w:szCs w:val="21"/>
        </w:rPr>
        <w:sectPr>
          <w:footerReference w:type="default" r:id="rId27"/>
          <w:pgSz w:w="11910" w:h="16840"/>
          <w:pgMar w:footer="1256" w:header="885" w:top="1120" w:bottom="1440" w:left="1660" w:right="16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tabs>
          <w:tab w:pos="853" w:val="left" w:leader="none"/>
        </w:tabs>
        <w:spacing w:before="0"/>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十</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应收款项坏账准备</w:t>
      </w:r>
      <w:r>
        <w:rPr>
          <w:rFonts w:ascii="宋体" w:hAnsi="宋体" w:cs="宋体" w:eastAsia="宋体" w:hint="default"/>
          <w:sz w:val="21"/>
          <w:szCs w:val="21"/>
        </w:rPr>
      </w:r>
    </w:p>
    <w:p>
      <w:pPr>
        <w:tabs>
          <w:tab w:pos="1396" w:val="left" w:leader="none"/>
        </w:tabs>
        <w:spacing w:line="312" w:lineRule="auto" w:before="69"/>
        <w:ind w:left="1400" w:right="38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单项金额重大的应收款项坏账准备计提：</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单项金额重大的判断依据或金额标准：单项应收款占应收款项余额的</w:t>
      </w:r>
      <w:r>
        <w:rPr>
          <w:rFonts w:ascii="宋体" w:hAnsi="宋体" w:cs="宋体" w:eastAsia="宋体" w:hint="default"/>
          <w:spacing w:val="-49"/>
          <w:sz w:val="21"/>
          <w:szCs w:val="21"/>
        </w:rPr>
        <w:t> </w:t>
      </w:r>
      <w:r>
        <w:rPr>
          <w:rFonts w:ascii="宋体" w:hAnsi="宋体" w:cs="宋体" w:eastAsia="宋体" w:hint="default"/>
          <w:sz w:val="21"/>
          <w:szCs w:val="21"/>
        </w:rPr>
        <w:t>10%以上</w:t>
      </w:r>
      <w:r>
        <w:rPr>
          <w:rFonts w:ascii="宋体" w:hAnsi="宋体" w:cs="宋体" w:eastAsia="宋体" w:hint="default"/>
          <w:spacing w:val="-1"/>
          <w:sz w:val="21"/>
          <w:szCs w:val="21"/>
        </w:rPr>
        <w:t> </w:t>
      </w:r>
      <w:r>
        <w:rPr>
          <w:rFonts w:ascii="宋体" w:hAnsi="宋体" w:cs="宋体" w:eastAsia="宋体" w:hint="default"/>
          <w:sz w:val="21"/>
          <w:szCs w:val="21"/>
        </w:rPr>
        <w:t>或应收款项前五名为单项金额重大的应收款项。</w:t>
      </w:r>
      <w:r>
        <w:rPr>
          <w:rFonts w:ascii="宋体" w:hAnsi="宋体" w:cs="宋体" w:eastAsia="宋体" w:hint="default"/>
          <w:sz w:val="21"/>
          <w:szCs w:val="21"/>
        </w:rPr>
        <w:t> 单项金额重大应收款项坏账准备的计提方法：对于单项金额重大的应收款项， </w:t>
      </w:r>
      <w:r>
        <w:rPr>
          <w:rFonts w:ascii="宋体" w:hAnsi="宋体" w:cs="宋体" w:eastAsia="宋体" w:hint="default"/>
          <w:spacing w:val="-3"/>
          <w:sz w:val="21"/>
          <w:szCs w:val="21"/>
        </w:rPr>
        <w:t>单独进行减值测试。有客观证据表明其发生了减值的，根据其未来现金流量现</w:t>
      </w:r>
      <w:r>
        <w:rPr>
          <w:rFonts w:ascii="宋体" w:hAnsi="宋体" w:cs="宋体" w:eastAsia="宋体" w:hint="default"/>
          <w:sz w:val="21"/>
          <w:szCs w:val="21"/>
        </w:rPr>
        <w:t> 值低于其账面价值的差额，确认减值损失，并据此计提相应的坏账准备。</w:t>
      </w:r>
    </w:p>
    <w:p>
      <w:pPr>
        <w:spacing w:line="240" w:lineRule="auto" w:before="3"/>
        <w:rPr>
          <w:rFonts w:ascii="宋体" w:hAnsi="宋体" w:cs="宋体" w:eastAsia="宋体" w:hint="default"/>
          <w:sz w:val="29"/>
          <w:szCs w:val="29"/>
        </w:rPr>
      </w:pPr>
    </w:p>
    <w:p>
      <w:pPr>
        <w:tabs>
          <w:tab w:pos="1396"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按组合计提坏账准备应收款项：</w:t>
      </w:r>
      <w:r>
        <w:rPr>
          <w:rFonts w:ascii="宋体" w:hAnsi="宋体" w:cs="宋体" w:eastAsia="宋体" w:hint="default"/>
          <w:sz w:val="21"/>
          <w:szCs w:val="21"/>
        </w:rPr>
      </w:r>
    </w:p>
    <w:p>
      <w:pPr>
        <w:spacing w:line="30" w:lineRule="exact"/>
        <w:ind w:left="734" w:right="0" w:firstLine="0"/>
        <w:rPr>
          <w:rFonts w:ascii="宋体" w:hAnsi="宋体" w:cs="宋体" w:eastAsia="宋体" w:hint="default"/>
          <w:sz w:val="3"/>
          <w:szCs w:val="3"/>
        </w:rPr>
      </w:pPr>
      <w:r>
        <w:rPr>
          <w:rFonts w:ascii="宋体" w:hAnsi="宋体" w:cs="宋体" w:eastAsia="宋体" w:hint="default"/>
          <w:position w:val="0"/>
          <w:sz w:val="3"/>
          <w:szCs w:val="3"/>
        </w:rPr>
        <w:pict>
          <v:group style="width:389.2pt;height:1.5pt;mso-position-horizontal-relative:char;mso-position-vertical-relative:line" coordorigin="0,0" coordsize="7784,30">
            <v:group style="position:absolute;left:15;top:15;width:7754;height:2" coordorigin="15,15" coordsize="7754,2">
              <v:shape style="position:absolute;left:15;top:15;width:7754;height:2" coordorigin="15,15" coordsize="7754,0" path="m15,15l7768,15e" filled="false" stroked="true" strokeweight="1.5pt" strokecolor="#000000">
                <v:path arrowok="t"/>
              </v:shape>
            </v:group>
          </v:group>
        </w:pict>
      </w:r>
      <w:r>
        <w:rPr>
          <w:rFonts w:ascii="宋体" w:hAnsi="宋体" w:cs="宋体" w:eastAsia="宋体" w:hint="default"/>
          <w:position w:val="0"/>
          <w:sz w:val="3"/>
          <w:szCs w:val="3"/>
        </w:rPr>
      </w:r>
    </w:p>
    <w:p>
      <w:pPr>
        <w:spacing w:before="32"/>
        <w:ind w:left="3878" w:right="3536" w:firstLine="0"/>
        <w:jc w:val="center"/>
        <w:rPr>
          <w:rFonts w:ascii="宋体" w:hAnsi="宋体" w:cs="宋体" w:eastAsia="宋体" w:hint="default"/>
          <w:sz w:val="21"/>
          <w:szCs w:val="21"/>
        </w:rPr>
      </w:pPr>
      <w:r>
        <w:rPr>
          <w:rFonts w:ascii="宋体" w:hAnsi="宋体" w:cs="宋体" w:eastAsia="宋体" w:hint="default"/>
          <w:sz w:val="21"/>
          <w:szCs w:val="21"/>
        </w:rPr>
        <w:t>确定组合的依据</w:t>
      </w:r>
    </w:p>
    <w:p>
      <w:pPr>
        <w:spacing w:line="240" w:lineRule="auto" w:before="12"/>
        <w:rPr>
          <w:rFonts w:ascii="宋体" w:hAnsi="宋体" w:cs="宋体" w:eastAsia="宋体" w:hint="default"/>
          <w:sz w:val="4"/>
          <w:szCs w:val="4"/>
        </w:rPr>
      </w:pPr>
    </w:p>
    <w:p>
      <w:pPr>
        <w:spacing w:line="1575" w:lineRule="exact"/>
        <w:ind w:left="720"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390.5pt;height:78.8pt;mso-position-horizontal-relative:char;mso-position-vertical-relative:line" coordorigin="0,0" coordsize="7810,1576">
            <v:shape style="position:absolute;left:0;top:0;width:7810;height:1576" type="#_x0000_t75" stroked="false">
              <v:imagedata r:id="rId29" o:title=""/>
            </v:shape>
            <v:shape style="position:absolute;left:152;top:484;width:578;height:982" type="#_x0000_t202" filled="false" stroked="false">
              <v:textbox inset="0,0,0,0">
                <w:txbxContent>
                  <w:p>
                    <w:pPr>
                      <w:spacing w:line="226" w:lineRule="exact" w:before="0"/>
                      <w:ind w:left="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p>
                  <w:p>
                    <w:pPr>
                      <w:spacing w:line="240" w:lineRule="auto" w:before="0"/>
                      <w:rPr>
                        <w:rFonts w:ascii="宋体" w:hAnsi="宋体" w:cs="宋体" w:eastAsia="宋体" w:hint="default"/>
                        <w:sz w:val="22"/>
                        <w:szCs w:val="22"/>
                      </w:rPr>
                    </w:pPr>
                  </w:p>
                  <w:p>
                    <w:pPr>
                      <w:spacing w:line="286" w:lineRule="exact" w:before="181"/>
                      <w:ind w:left="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p>
                </w:txbxContent>
              </v:textbox>
              <w10:wrap type="none"/>
            </v:shape>
            <v:shape style="position:absolute;left:2662;top:110;width:5014;height:134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7"/>
                        <w:sz w:val="21"/>
                        <w:szCs w:val="21"/>
                      </w:rPr>
                      <w:t>对单项金额重大单独测试未发生减值的应收款项会同</w:t>
                    </w:r>
                  </w:p>
                  <w:p>
                    <w:pPr>
                      <w:spacing w:line="326" w:lineRule="auto" w:before="99"/>
                      <w:ind w:left="0" w:right="1" w:firstLine="0"/>
                      <w:jc w:val="left"/>
                      <w:rPr>
                        <w:rFonts w:ascii="宋体" w:hAnsi="宋体" w:cs="宋体" w:eastAsia="宋体" w:hint="default"/>
                        <w:sz w:val="21"/>
                        <w:szCs w:val="21"/>
                      </w:rPr>
                    </w:pPr>
                    <w:r>
                      <w:rPr>
                        <w:rFonts w:ascii="宋体" w:hAnsi="宋体" w:cs="宋体" w:eastAsia="宋体" w:hint="default"/>
                        <w:spacing w:val="-2"/>
                        <w:sz w:val="21"/>
                        <w:szCs w:val="21"/>
                      </w:rPr>
                      <w:t>单项金额不重大的应收款项，本公司以账龄作为信用风</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险特征组合。</w:t>
                    </w:r>
                  </w:p>
                  <w:p>
                    <w:pPr>
                      <w:spacing w:before="34"/>
                      <w:ind w:left="0" w:right="0" w:firstLine="0"/>
                      <w:jc w:val="left"/>
                      <w:rPr>
                        <w:rFonts w:ascii="宋体" w:hAnsi="宋体" w:cs="宋体" w:eastAsia="宋体" w:hint="default"/>
                        <w:sz w:val="21"/>
                        <w:szCs w:val="21"/>
                      </w:rPr>
                    </w:pPr>
                    <w:r>
                      <w:rPr>
                        <w:rFonts w:ascii="宋体" w:hAnsi="宋体" w:cs="宋体" w:eastAsia="宋体" w:hint="default"/>
                        <w:sz w:val="21"/>
                        <w:szCs w:val="21"/>
                      </w:rPr>
                      <w:t>其他应收款—应收政府补助-增值税退税</w:t>
                    </w:r>
                  </w:p>
                </w:txbxContent>
              </v:textbox>
              <w10:wrap type="none"/>
            </v:shape>
          </v:group>
        </w:pict>
      </w:r>
      <w:r>
        <w:rPr>
          <w:rFonts w:ascii="宋体" w:hAnsi="宋体" w:cs="宋体" w:eastAsia="宋体" w:hint="default"/>
          <w:position w:val="-31"/>
          <w:sz w:val="20"/>
          <w:szCs w:val="20"/>
        </w:rPr>
      </w:r>
    </w:p>
    <w:p>
      <w:pPr>
        <w:spacing w:line="263" w:lineRule="exact" w:before="0"/>
        <w:ind w:left="1168" w:right="0" w:firstLine="0"/>
        <w:jc w:val="left"/>
        <w:rPr>
          <w:rFonts w:ascii="宋体" w:hAnsi="宋体" w:cs="宋体" w:eastAsia="宋体" w:hint="default"/>
          <w:sz w:val="21"/>
          <w:szCs w:val="21"/>
        </w:rPr>
      </w:pPr>
      <w:r>
        <w:rPr>
          <w:rFonts w:ascii="宋体" w:hAnsi="宋体" w:cs="宋体" w:eastAsia="宋体" w:hint="default"/>
          <w:sz w:val="21"/>
          <w:szCs w:val="21"/>
        </w:rPr>
        <w:t>按组合计提坏账准备的计提方法（账龄分析法、余额百分比法、其他方法）</w:t>
      </w:r>
    </w:p>
    <w:p>
      <w:pPr>
        <w:spacing w:line="240" w:lineRule="auto" w:before="12"/>
        <w:rPr>
          <w:rFonts w:ascii="宋体" w:hAnsi="宋体" w:cs="宋体" w:eastAsia="宋体" w:hint="default"/>
          <w:sz w:val="4"/>
          <w:szCs w:val="4"/>
        </w:rPr>
      </w:pPr>
    </w:p>
    <w:p>
      <w:pPr>
        <w:spacing w:line="818" w:lineRule="exact"/>
        <w:ind w:left="720"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390.55pt;height:40.950pt;mso-position-horizontal-relative:char;mso-position-vertical-relative:line" coordorigin="0,0" coordsize="7811,819">
            <v:group style="position:absolute;left:15;top:803;width:2535;height:2" coordorigin="15,803" coordsize="2535,2">
              <v:shape style="position:absolute;left:15;top:803;width:2535;height:2" coordorigin="15,803" coordsize="2535,0" path="m15,803l2549,803e" filled="false" stroked="true" strokeweight="1.5pt" strokecolor="#000000">
                <v:path arrowok="t"/>
              </v:shape>
              <v:shape style="position:absolute;left:1;top:0;width:7810;height:788" type="#_x0000_t75" stroked="false">
                <v:imagedata r:id="rId30" o:title=""/>
              </v:shape>
            </v:group>
            <v:group style="position:absolute;left:2549;top:803;width:5234;height:2" coordorigin="2549,803" coordsize="5234,2">
              <v:shape style="position:absolute;left:2549;top:803;width:5234;height:2" coordorigin="2549,803" coordsize="5234,0" path="m2549,803l7783,803e" filled="false" stroked="true" strokeweight="1.5pt" strokecolor="#000000">
                <v:path arrowok="t"/>
              </v:shape>
              <v:shape style="position:absolute;left:153;top:110;width:578;height:607" type="#_x0000_t202" filled="false" stroked="false">
                <v:textbox inset="0,0,0,0">
                  <w:txbxContent>
                    <w:p>
                      <w:pPr>
                        <w:spacing w:line="226" w:lineRule="exact" w:before="0"/>
                        <w:ind w:left="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p>
                    <w:p>
                      <w:pPr>
                        <w:spacing w:line="286" w:lineRule="exact" w:before="94"/>
                        <w:ind w:left="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p>
                  </w:txbxContent>
                </v:textbox>
                <w10:wrap type="none"/>
              </v:shape>
              <v:shape style="position:absolute;left:2662;top:110;width:1260;height:59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账龄分析法</w:t>
                      </w:r>
                    </w:p>
                    <w:p>
                      <w:pPr>
                        <w:spacing w:before="110"/>
                        <w:ind w:left="0" w:right="0" w:firstLine="0"/>
                        <w:jc w:val="left"/>
                        <w:rPr>
                          <w:rFonts w:ascii="宋体" w:hAnsi="宋体" w:cs="宋体" w:eastAsia="宋体" w:hint="default"/>
                          <w:sz w:val="21"/>
                          <w:szCs w:val="21"/>
                        </w:rPr>
                      </w:pPr>
                      <w:r>
                        <w:rPr>
                          <w:rFonts w:ascii="宋体" w:hAnsi="宋体" w:cs="宋体" w:eastAsia="宋体" w:hint="default"/>
                          <w:sz w:val="21"/>
                          <w:szCs w:val="21"/>
                        </w:rPr>
                        <w:t>余额百分比法</w:t>
                      </w:r>
                    </w:p>
                  </w:txbxContent>
                </v:textbox>
                <w10:wrap type="none"/>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spacing w:before="35"/>
        <w:ind w:left="1400" w:right="0" w:firstLine="0"/>
        <w:jc w:val="left"/>
        <w:rPr>
          <w:rFonts w:ascii="宋体" w:hAnsi="宋体" w:cs="宋体" w:eastAsia="宋体" w:hint="default"/>
          <w:sz w:val="21"/>
          <w:szCs w:val="21"/>
        </w:rPr>
      </w:pPr>
      <w:r>
        <w:rPr/>
        <w:pict>
          <v:group style="position:absolute;margin-left:119.010002pt;margin-top:17.073832pt;width:390.6pt;height:98.65pt;mso-position-horizontal-relative:page;mso-position-vertical-relative:paragraph;z-index:-827056" coordorigin="2380,341" coordsize="7812,1973">
            <v:group style="position:absolute;left:2410;top:356;width:7754;height:2" coordorigin="2410,356" coordsize="7754,2">
              <v:shape style="position:absolute;left:2410;top:356;width:7754;height:2" coordorigin="2410,356" coordsize="7754,0" path="m2410,356l10163,356e" filled="false" stroked="true" strokeweight="1.5pt" strokecolor="#000000">
                <v:path arrowok="t"/>
              </v:shape>
              <v:shape style="position:absolute;left:5167;top:343;width:2576;height:432" type="#_x0000_t75" stroked="false">
                <v:imagedata r:id="rId31" o:title=""/>
              </v:shape>
            </v:group>
            <v:group style="position:absolute;left:2395;top:2299;width:2801;height:2" coordorigin="2395,2299" coordsize="2801,2">
              <v:shape style="position:absolute;left:2395;top:2299;width:2801;height:2" coordorigin="2395,2299" coordsize="2801,0" path="m2395,2299l5196,2299e" filled="false" stroked="true" strokeweight="1.5pt" strokecolor="#000000">
                <v:path arrowok="t"/>
              </v:shape>
            </v:group>
            <v:group style="position:absolute;left:5196;top:2299;width:2510;height:2" coordorigin="5196,2299" coordsize="2510,2">
              <v:shape style="position:absolute;left:5196;top:2299;width:2510;height:2" coordorigin="5196,2299" coordsize="2510,0" path="m5196,2299l7705,2299e" filled="false" stroked="true" strokeweight="1.5pt" strokecolor="#000000">
                <v:path arrowok="t"/>
              </v:shape>
              <v:shape style="position:absolute;left:2381;top:727;width:7811;height:1558" type="#_x0000_t75" stroked="false">
                <v:imagedata r:id="rId32" o:title=""/>
              </v:shape>
            </v:group>
            <v:group style="position:absolute;left:7705;top:2299;width:2458;height:2" coordorigin="7705,2299" coordsize="2458,2">
              <v:shape style="position:absolute;left:7705;top:2299;width:2458;height:2" coordorigin="7705,2299" coordsize="2458,0" path="m7705,2299l10163,2299e" filled="false" stroked="true" strokeweight="1.5pt" strokecolor="#000000">
                <v:path arrowok="t"/>
              </v:shape>
            </v:group>
            <w10:wrap type="none"/>
          </v:group>
        </w:pict>
      </w:r>
      <w:r>
        <w:rPr>
          <w:rFonts w:ascii="宋体" w:hAnsi="宋体" w:cs="宋体" w:eastAsia="宋体" w:hint="default"/>
          <w:sz w:val="21"/>
          <w:szCs w:val="21"/>
        </w:rPr>
        <w:t>组合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中，采用账龄分析法计提坏账准备的：</w:t>
      </w:r>
    </w:p>
    <w:p>
      <w:pPr>
        <w:spacing w:line="240" w:lineRule="auto" w:before="5"/>
        <w:rPr>
          <w:rFonts w:ascii="宋体" w:hAnsi="宋体" w:cs="宋体" w:eastAsia="宋体" w:hint="default"/>
          <w:sz w:val="2"/>
          <w:szCs w:val="2"/>
        </w:rPr>
      </w:pPr>
    </w:p>
    <w:tbl>
      <w:tblPr>
        <w:tblW w:w="0" w:type="auto"/>
        <w:jc w:val="left"/>
        <w:tblInd w:w="822" w:type="dxa"/>
        <w:tblLayout w:type="fixed"/>
        <w:tblCellMar>
          <w:top w:w="0" w:type="dxa"/>
          <w:left w:w="0" w:type="dxa"/>
          <w:bottom w:w="0" w:type="dxa"/>
          <w:right w:w="0" w:type="dxa"/>
        </w:tblCellMar>
        <w:tblLook w:val="01E0"/>
      </w:tblPr>
      <w:tblGrid>
        <w:gridCol w:w="2424"/>
        <w:gridCol w:w="2723"/>
        <w:gridCol w:w="2452"/>
      </w:tblGrid>
      <w:tr>
        <w:trPr>
          <w:trHeight w:val="399" w:hRule="exact"/>
        </w:trPr>
        <w:tc>
          <w:tcPr>
            <w:tcW w:w="2424" w:type="dxa"/>
            <w:tcBorders>
              <w:top w:val="nil" w:sz="6" w:space="0" w:color="auto"/>
              <w:left w:val="nil" w:sz="6" w:space="0" w:color="auto"/>
              <w:bottom w:val="nil" w:sz="6" w:space="0" w:color="auto"/>
              <w:right w:val="nil" w:sz="6" w:space="0" w:color="auto"/>
            </w:tcBorders>
          </w:tcPr>
          <w:p>
            <w:pPr>
              <w:pStyle w:val="TableParagraph"/>
              <w:spacing w:line="240" w:lineRule="auto" w:before="31"/>
              <w:ind w:left="221"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73"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应收账款计提比例</w:t>
            </w:r>
            <w:r>
              <w:rPr>
                <w:rFonts w:ascii="Times New Roman" w:hAnsi="Times New Roman" w:cs="Times New Roman" w:eastAsia="Times New Roman" w:hint="default"/>
                <w:sz w:val="21"/>
                <w:szCs w:val="21"/>
              </w:rPr>
              <w:t>(%)</w:t>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7"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其他应收款计提比例</w:t>
            </w:r>
            <w:r>
              <w:rPr>
                <w:rFonts w:ascii="Times New Roman" w:hAnsi="Times New Roman" w:cs="Times New Roman" w:eastAsia="Times New Roman" w:hint="default"/>
                <w:sz w:val="21"/>
                <w:szCs w:val="21"/>
              </w:rPr>
              <w:t>(%)</w:t>
            </w:r>
          </w:p>
        </w:tc>
      </w:tr>
      <w:tr>
        <w:trPr>
          <w:trHeight w:val="385" w:hRule="exact"/>
        </w:trPr>
        <w:tc>
          <w:tcPr>
            <w:tcW w:w="2424"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年以内（含</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75" w:right="0"/>
              <w:jc w:val="center"/>
              <w:rPr>
                <w:rFonts w:ascii="Times New Roman" w:hAnsi="Times New Roman" w:cs="Times New Roman" w:eastAsia="Times New Roman" w:hint="default"/>
                <w:sz w:val="21"/>
                <w:szCs w:val="21"/>
              </w:rPr>
            </w:pPr>
            <w:r>
              <w:rPr>
                <w:rFonts w:ascii="Times New Roman"/>
                <w:sz w:val="21"/>
              </w:rPr>
              <w:t>5</w:t>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60" w:right="0"/>
              <w:jc w:val="center"/>
              <w:rPr>
                <w:rFonts w:ascii="Times New Roman" w:hAnsi="Times New Roman" w:cs="Times New Roman" w:eastAsia="Times New Roman" w:hint="default"/>
                <w:sz w:val="21"/>
                <w:szCs w:val="21"/>
              </w:rPr>
            </w:pPr>
            <w:r>
              <w:rPr>
                <w:rFonts w:ascii="Times New Roman"/>
                <w:sz w:val="21"/>
              </w:rPr>
              <w:t>5</w:t>
            </w:r>
          </w:p>
        </w:tc>
      </w:tr>
      <w:tr>
        <w:trPr>
          <w:trHeight w:val="384" w:hRule="exact"/>
        </w:trPr>
        <w:tc>
          <w:tcPr>
            <w:tcW w:w="242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75" w:right="0"/>
              <w:jc w:val="center"/>
              <w:rPr>
                <w:rFonts w:ascii="Times New Roman" w:hAnsi="Times New Roman" w:cs="Times New Roman" w:eastAsia="Times New Roman" w:hint="default"/>
                <w:sz w:val="21"/>
                <w:szCs w:val="21"/>
              </w:rPr>
            </w:pPr>
            <w:r>
              <w:rPr>
                <w:rFonts w:ascii="Times New Roman"/>
                <w:sz w:val="21"/>
              </w:rPr>
              <w:t>10</w:t>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61" w:right="0"/>
              <w:jc w:val="center"/>
              <w:rPr>
                <w:rFonts w:ascii="Times New Roman" w:hAnsi="Times New Roman" w:cs="Times New Roman" w:eastAsia="Times New Roman" w:hint="default"/>
                <w:sz w:val="21"/>
                <w:szCs w:val="21"/>
              </w:rPr>
            </w:pPr>
            <w:r>
              <w:rPr>
                <w:rFonts w:ascii="Times New Roman"/>
                <w:sz w:val="21"/>
              </w:rPr>
              <w:t>10</w:t>
            </w:r>
          </w:p>
        </w:tc>
      </w:tr>
      <w:tr>
        <w:trPr>
          <w:trHeight w:val="385" w:hRule="exact"/>
        </w:trPr>
        <w:tc>
          <w:tcPr>
            <w:tcW w:w="242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75" w:right="0"/>
              <w:jc w:val="center"/>
              <w:rPr>
                <w:rFonts w:ascii="Times New Roman" w:hAnsi="Times New Roman" w:cs="Times New Roman" w:eastAsia="Times New Roman" w:hint="default"/>
                <w:sz w:val="21"/>
                <w:szCs w:val="21"/>
              </w:rPr>
            </w:pPr>
            <w:r>
              <w:rPr>
                <w:rFonts w:ascii="Times New Roman"/>
                <w:sz w:val="21"/>
              </w:rPr>
              <w:t>50</w:t>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61" w:right="0"/>
              <w:jc w:val="center"/>
              <w:rPr>
                <w:rFonts w:ascii="Times New Roman" w:hAnsi="Times New Roman" w:cs="Times New Roman" w:eastAsia="Times New Roman" w:hint="default"/>
                <w:sz w:val="21"/>
                <w:szCs w:val="21"/>
              </w:rPr>
            </w:pPr>
            <w:r>
              <w:rPr>
                <w:rFonts w:ascii="Times New Roman"/>
                <w:sz w:val="21"/>
              </w:rPr>
              <w:t>50</w:t>
            </w:r>
          </w:p>
        </w:tc>
      </w:tr>
      <w:tr>
        <w:trPr>
          <w:trHeight w:val="390" w:hRule="exact"/>
        </w:trPr>
        <w:tc>
          <w:tcPr>
            <w:tcW w:w="2424"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年以上</w:t>
            </w:r>
          </w:p>
        </w:tc>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75" w:right="0"/>
              <w:jc w:val="center"/>
              <w:rPr>
                <w:rFonts w:ascii="Times New Roman" w:hAnsi="Times New Roman" w:cs="Times New Roman" w:eastAsia="Times New Roman" w:hint="default"/>
                <w:sz w:val="21"/>
                <w:szCs w:val="21"/>
              </w:rPr>
            </w:pPr>
            <w:r>
              <w:rPr>
                <w:rFonts w:ascii="Times New Roman"/>
                <w:sz w:val="21"/>
              </w:rPr>
              <w:t>90</w:t>
            </w:r>
          </w:p>
        </w:tc>
        <w:tc>
          <w:tcPr>
            <w:tcW w:w="2452"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61" w:right="0"/>
              <w:jc w:val="center"/>
              <w:rPr>
                <w:rFonts w:ascii="Times New Roman" w:hAnsi="Times New Roman" w:cs="Times New Roman" w:eastAsia="Times New Roman" w:hint="default"/>
                <w:sz w:val="21"/>
                <w:szCs w:val="21"/>
              </w:rPr>
            </w:pPr>
            <w:r>
              <w:rPr>
                <w:rFonts w:ascii="Times New Roman"/>
                <w:sz w:val="21"/>
              </w:rPr>
              <w:t>90</w:t>
            </w:r>
          </w:p>
        </w:tc>
      </w:tr>
    </w:tbl>
    <w:p>
      <w:pPr>
        <w:spacing w:line="240" w:lineRule="auto" w:before="5"/>
        <w:rPr>
          <w:rFonts w:ascii="宋体" w:hAnsi="宋体" w:cs="宋体" w:eastAsia="宋体" w:hint="default"/>
          <w:sz w:val="29"/>
          <w:szCs w:val="29"/>
        </w:rPr>
      </w:pPr>
    </w:p>
    <w:p>
      <w:pPr>
        <w:spacing w:before="35"/>
        <w:ind w:left="1399" w:right="0" w:firstLine="0"/>
        <w:jc w:val="left"/>
        <w:rPr>
          <w:rFonts w:ascii="宋体" w:hAnsi="宋体" w:cs="宋体" w:eastAsia="宋体" w:hint="default"/>
          <w:sz w:val="21"/>
          <w:szCs w:val="21"/>
        </w:rPr>
      </w:pPr>
      <w:r>
        <w:rPr>
          <w:rFonts w:ascii="宋体" w:hAnsi="宋体" w:cs="宋体" w:eastAsia="宋体" w:hint="default"/>
          <w:sz w:val="21"/>
          <w:szCs w:val="21"/>
        </w:rPr>
        <w:t>组合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中，采用余额百分比法计提坏账准备的：</w:t>
      </w:r>
    </w:p>
    <w:p>
      <w:pPr>
        <w:spacing w:line="1192" w:lineRule="exact"/>
        <w:ind w:left="720"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04.25pt;height:59.65pt;mso-position-horizontal-relative:char;mso-position-vertical-relative:line" coordorigin="0,0" coordsize="8085,1193">
            <v:group style="position:absolute;left:29;top:15;width:8037;height:2" coordorigin="29,15" coordsize="8037,2">
              <v:shape style="position:absolute;left:29;top:15;width:8037;height:2" coordorigin="29,15" coordsize="8037,0" path="m29,15l8066,15e" filled="false" stroked="true" strokeweight="1.5pt" strokecolor="#000000">
                <v:path arrowok="t"/>
              </v:shape>
            </v:group>
            <v:group style="position:absolute;left:15;top:1178;width:2801;height:2" coordorigin="15,1178" coordsize="2801,2">
              <v:shape style="position:absolute;left:15;top:1178;width:2801;height:2" coordorigin="15,1178" coordsize="2801,0" path="m15,1178l2816,1178e" filled="false" stroked="true" strokeweight="1.5pt" strokecolor="#000000">
                <v:path arrowok="t"/>
              </v:shape>
              <v:shape style="position:absolute;left:1;top:1;width:8084;height:1190" type="#_x0000_t75" stroked="false">
                <v:imagedata r:id="rId33" o:title=""/>
              </v:shape>
            </v:group>
            <v:group style="position:absolute;left:2816;top:1178;width:2601;height:2" coordorigin="2816,1178" coordsize="2601,2">
              <v:shape style="position:absolute;left:2816;top:1178;width:2601;height:2" coordorigin="2816,1178" coordsize="2601,0" path="m2816,1178l5416,1178e" filled="false" stroked="true" strokeweight="1.5pt" strokecolor="#000000">
                <v:path arrowok="t"/>
              </v:shape>
              <v:shape style="position:absolute;left:5387;top:385;width:67;height:806" type="#_x0000_t75" stroked="false">
                <v:imagedata r:id="rId34" o:title=""/>
              </v:shape>
            </v:group>
            <v:group style="position:absolute;left:5416;top:1178;width:2650;height:2" coordorigin="5416,1178" coordsize="2650,2">
              <v:shape style="position:absolute;left:5416;top:1178;width:2650;height:2" coordorigin="5416,1178" coordsize="2650,0" path="m5416,1178l8066,1178e" filled="false" stroked="true" strokeweight="1.5pt" strokecolor="#000000">
                <v:path arrowok="t"/>
              </v:shape>
              <v:shape style="position:absolute;left:137;top:111;width:2581;height:98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组合名称</w:t>
                      </w:r>
                    </w:p>
                    <w:p>
                      <w:pPr>
                        <w:spacing w:before="109"/>
                        <w:ind w:left="0" w:right="0" w:firstLine="0"/>
                        <w:jc w:val="center"/>
                        <w:rPr>
                          <w:rFonts w:ascii="宋体" w:hAnsi="宋体" w:cs="宋体" w:eastAsia="宋体" w:hint="default"/>
                          <w:sz w:val="21"/>
                          <w:szCs w:val="21"/>
                        </w:rPr>
                      </w:pPr>
                      <w:r>
                        <w:rPr>
                          <w:rFonts w:ascii="宋体" w:hAnsi="宋体" w:cs="宋体" w:eastAsia="宋体" w:hint="default"/>
                          <w:spacing w:val="4"/>
                          <w:sz w:val="21"/>
                          <w:szCs w:val="21"/>
                        </w:rPr>
                        <w:t>其他应收款</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应收政府补助</w:t>
                      </w:r>
                      <w:r>
                        <w:rPr>
                          <w:rFonts w:ascii="宋体" w:hAnsi="宋体" w:cs="宋体" w:eastAsia="宋体" w:hint="default"/>
                          <w:sz w:val="21"/>
                          <w:szCs w:val="21"/>
                        </w:rPr>
                      </w:r>
                    </w:p>
                    <w:p>
                      <w:pPr>
                        <w:spacing w:line="286" w:lineRule="exact" w:before="83"/>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增值税退税</w:t>
                      </w:r>
                    </w:p>
                  </w:txbxContent>
                </v:textbox>
                <w10:wrap type="none"/>
              </v:shape>
              <v:shape style="position:absolute;left:3131;top:111;width:1995;height:222" type="#_x0000_t202" filled="false" stroked="false">
                <v:textbox inset="0,0,0,0">
                  <w:txbxContent>
                    <w:p>
                      <w:pPr>
                        <w:spacing w:line="221" w:lineRule="exact" w:before="0"/>
                        <w:ind w:left="0"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应收账款计提比例</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r>
                    </w:p>
                  </w:txbxContent>
                </v:textbox>
                <w10:wrap type="none"/>
              </v:shape>
              <v:shape style="position:absolute;left:5649;top:111;width:2205;height:222" type="#_x0000_t202" filled="false" stroked="false">
                <v:textbox inset="0,0,0,0">
                  <w:txbxContent>
                    <w:p>
                      <w:pPr>
                        <w:spacing w:line="221" w:lineRule="exact" w:before="0"/>
                        <w:ind w:left="0"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其他应收款计提比例</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r>
                    </w:p>
                  </w:txbxContent>
                </v:textbox>
                <w10:wrap type="none"/>
              </v:shape>
              <v:shape style="position:absolute;left:3937;top:694;width:36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0.00</w:t>
                      </w:r>
                      <w:r>
                        <w:rPr>
                          <w:rFonts w:ascii="Times New Roman"/>
                          <w:sz w:val="21"/>
                        </w:rPr>
                      </w:r>
                    </w:p>
                  </w:txbxContent>
                </v:textbox>
                <w10:wrap type="none"/>
              </v:shape>
              <v:shape style="position:absolute;left:6560;top:694;width:36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0.00</w:t>
                      </w:r>
                      <w:r>
                        <w:rPr>
                          <w:rFonts w:ascii="Times New Roman"/>
                          <w:sz w:val="21"/>
                        </w:rPr>
                      </w:r>
                    </w:p>
                  </w:txbxContent>
                </v:textbox>
                <w10:wrap type="none"/>
              </v:shape>
            </v:group>
          </v:group>
        </w:pict>
      </w:r>
      <w:r>
        <w:rPr>
          <w:rFonts w:ascii="宋体" w:hAnsi="宋体" w:cs="宋体" w:eastAsia="宋体" w:hint="default"/>
          <w:position w:val="-23"/>
          <w:sz w:val="20"/>
          <w:szCs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tabs>
          <w:tab w:pos="1396" w:val="left" w:leader="none"/>
        </w:tabs>
        <w:spacing w:line="343" w:lineRule="auto" w:before="35"/>
        <w:ind w:left="1400" w:right="38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单项金额虽不重大但单项计提坏账准备的应收账款：</w:t>
      </w:r>
      <w:r>
        <w:rPr>
          <w:rFonts w:ascii="宋体" w:hAnsi="宋体" w:cs="宋体" w:eastAsia="宋体" w:hint="default"/>
          <w:b/>
          <w:bCs/>
          <w:spacing w:val="1"/>
          <w:w w:val="99"/>
          <w:sz w:val="21"/>
          <w:szCs w:val="21"/>
        </w:rPr>
        <w:t> </w:t>
      </w:r>
      <w:r>
        <w:rPr>
          <w:rFonts w:ascii="宋体" w:hAnsi="宋体" w:cs="宋体" w:eastAsia="宋体" w:hint="default"/>
          <w:sz w:val="21"/>
          <w:szCs w:val="21"/>
        </w:rPr>
        <w:t>单项计提坏账准备的理由:</w:t>
      </w:r>
      <w:r>
        <w:rPr>
          <w:rFonts w:ascii="宋体" w:hAnsi="宋体" w:cs="宋体" w:eastAsia="宋体" w:hint="default"/>
          <w:spacing w:val="-2"/>
          <w:sz w:val="21"/>
          <w:szCs w:val="21"/>
        </w:rPr>
        <w:t> </w:t>
      </w:r>
      <w:r>
        <w:rPr>
          <w:rFonts w:ascii="宋体" w:hAnsi="宋体" w:cs="宋体" w:eastAsia="宋体" w:hint="default"/>
          <w:sz w:val="21"/>
          <w:szCs w:val="21"/>
        </w:rPr>
        <w:t>对单项金额不重大但个别信用风险特征明显不同，</w:t>
      </w:r>
      <w:r>
        <w:rPr>
          <w:rFonts w:ascii="宋体" w:hAnsi="宋体" w:cs="宋体" w:eastAsia="宋体" w:hint="default"/>
          <w:sz w:val="21"/>
          <w:szCs w:val="21"/>
        </w:rPr>
        <w:t> </w:t>
      </w:r>
      <w:r>
        <w:rPr>
          <w:rFonts w:ascii="宋体" w:hAnsi="宋体" w:cs="宋体" w:eastAsia="宋体" w:hint="default"/>
          <w:spacing w:val="-3"/>
          <w:sz w:val="21"/>
          <w:szCs w:val="21"/>
        </w:rPr>
        <w:t>已有客观证据表明其发生了减值的应收款项，按账龄分析法计提的坏账准备不</w:t>
      </w:r>
      <w:r>
        <w:rPr>
          <w:rFonts w:ascii="宋体" w:hAnsi="宋体" w:cs="宋体" w:eastAsia="宋体" w:hint="default"/>
          <w:sz w:val="21"/>
          <w:szCs w:val="21"/>
        </w:rPr>
        <w:t> 能反映实际情况。</w:t>
      </w:r>
    </w:p>
    <w:p>
      <w:pPr>
        <w:spacing w:before="34"/>
        <w:ind w:left="1400" w:right="0" w:firstLine="0"/>
        <w:jc w:val="left"/>
        <w:rPr>
          <w:rFonts w:ascii="宋体" w:hAnsi="宋体" w:cs="宋体" w:eastAsia="宋体" w:hint="default"/>
          <w:sz w:val="21"/>
          <w:szCs w:val="21"/>
        </w:rPr>
      </w:pPr>
      <w:r>
        <w:rPr>
          <w:rFonts w:ascii="宋体" w:hAnsi="宋体" w:cs="宋体" w:eastAsia="宋体" w:hint="default"/>
          <w:sz w:val="21"/>
          <w:szCs w:val="21"/>
        </w:rPr>
        <w:t>坏账准备的计提方法: 单独进行减值测试</w:t>
      </w:r>
      <w:r>
        <w:rPr>
          <w:rFonts w:ascii="宋体" w:hAnsi="宋体" w:cs="宋体" w:eastAsia="宋体" w:hint="default"/>
          <w:spacing w:val="-94"/>
          <w:sz w:val="21"/>
          <w:szCs w:val="21"/>
        </w:rPr>
        <w:t>，</w:t>
      </w:r>
      <w:r>
        <w:rPr>
          <w:rFonts w:ascii="宋体" w:hAnsi="宋体" w:cs="宋体" w:eastAsia="宋体" w:hint="default"/>
          <w:sz w:val="21"/>
          <w:szCs w:val="21"/>
        </w:rPr>
        <w:t>根据其未来现金流量现值低于其账</w:t>
      </w:r>
    </w:p>
    <w:p>
      <w:pPr>
        <w:spacing w:after="0"/>
        <w:jc w:val="left"/>
        <w:rPr>
          <w:rFonts w:ascii="宋体" w:hAnsi="宋体" w:cs="宋体" w:eastAsia="宋体" w:hint="default"/>
          <w:sz w:val="21"/>
          <w:szCs w:val="21"/>
        </w:rPr>
        <w:sectPr>
          <w:footerReference w:type="default" r:id="rId28"/>
          <w:pgSz w:w="11910" w:h="16840"/>
          <w:pgMar w:footer="1256" w:header="885" w:top="1120" w:bottom="1440" w:left="1660" w:right="1320"/>
          <w:pgNumType w:start="101"/>
        </w:sectPr>
      </w:pPr>
    </w:p>
    <w:p>
      <w:pPr>
        <w:spacing w:line="240" w:lineRule="auto" w:before="10"/>
        <w:rPr>
          <w:rFonts w:ascii="宋体" w:hAnsi="宋体" w:cs="宋体" w:eastAsia="宋体" w:hint="default"/>
          <w:sz w:val="28"/>
          <w:szCs w:val="28"/>
        </w:rPr>
      </w:pPr>
    </w:p>
    <w:p>
      <w:pPr>
        <w:spacing w:before="35"/>
        <w:ind w:left="1400" w:right="213" w:firstLine="0"/>
        <w:jc w:val="left"/>
        <w:rPr>
          <w:rFonts w:ascii="宋体" w:hAnsi="宋体" w:cs="宋体" w:eastAsia="宋体" w:hint="default"/>
          <w:sz w:val="21"/>
          <w:szCs w:val="21"/>
        </w:rPr>
      </w:pPr>
      <w:r>
        <w:rPr>
          <w:rFonts w:ascii="宋体" w:hAnsi="宋体" w:cs="宋体" w:eastAsia="宋体" w:hint="default"/>
          <w:sz w:val="21"/>
          <w:szCs w:val="21"/>
        </w:rPr>
        <w:t>面价值的差额，确认减值损失，并据此计提相应的坏账准备。</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spacing w:before="0"/>
        <w:ind w:left="125" w:right="238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存货</w:t>
      </w:r>
      <w:r>
        <w:rPr>
          <w:rFonts w:ascii="宋体" w:hAnsi="宋体" w:cs="宋体" w:eastAsia="宋体" w:hint="default"/>
          <w:sz w:val="21"/>
          <w:szCs w:val="21"/>
        </w:rPr>
      </w:r>
    </w:p>
    <w:p>
      <w:pPr>
        <w:tabs>
          <w:tab w:pos="1396" w:val="left" w:leader="none"/>
        </w:tabs>
        <w:spacing w:before="109"/>
        <w:ind w:left="857" w:right="238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存货的分类</w:t>
      </w:r>
      <w:r>
        <w:rPr>
          <w:rFonts w:ascii="宋体" w:hAnsi="宋体" w:cs="宋体" w:eastAsia="宋体" w:hint="default"/>
          <w:sz w:val="21"/>
          <w:szCs w:val="21"/>
        </w:rPr>
      </w:r>
    </w:p>
    <w:p>
      <w:pPr>
        <w:spacing w:before="109"/>
        <w:ind w:left="1400" w:right="213" w:firstLine="0"/>
        <w:jc w:val="left"/>
        <w:rPr>
          <w:rFonts w:ascii="宋体" w:hAnsi="宋体" w:cs="宋体" w:eastAsia="宋体" w:hint="default"/>
          <w:sz w:val="21"/>
          <w:szCs w:val="21"/>
        </w:rPr>
      </w:pPr>
      <w:r>
        <w:rPr>
          <w:rFonts w:ascii="宋体" w:hAnsi="宋体" w:cs="宋体" w:eastAsia="宋体" w:hint="default"/>
          <w:sz w:val="21"/>
          <w:szCs w:val="21"/>
        </w:rPr>
        <w:t>存货分类为：原材料、半成品、库存商品、在产品、发出商品等。</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tabs>
          <w:tab w:pos="1396" w:val="left" w:leader="none"/>
        </w:tabs>
        <w:spacing w:line="328" w:lineRule="auto" w:before="0"/>
        <w:ind w:left="1400" w:right="432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发出存货的计价方法</w:t>
      </w:r>
      <w:r>
        <w:rPr>
          <w:rFonts w:ascii="宋体" w:hAnsi="宋体" w:cs="宋体" w:eastAsia="宋体" w:hint="default"/>
          <w:b/>
          <w:bCs/>
          <w:spacing w:val="1"/>
          <w:w w:val="99"/>
          <w:sz w:val="21"/>
          <w:szCs w:val="21"/>
        </w:rPr>
        <w:t> </w:t>
      </w:r>
      <w:r>
        <w:rPr>
          <w:rFonts w:ascii="宋体" w:hAnsi="宋体" w:cs="宋体" w:eastAsia="宋体" w:hint="default"/>
          <w:sz w:val="21"/>
          <w:szCs w:val="21"/>
        </w:rPr>
        <w:t>存货发出时按加权平均法计价。</w:t>
      </w:r>
    </w:p>
    <w:p>
      <w:pPr>
        <w:tabs>
          <w:tab w:pos="1396" w:val="left" w:leader="none"/>
        </w:tabs>
        <w:spacing w:line="348" w:lineRule="auto" w:before="48"/>
        <w:ind w:left="1400" w:right="111"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存货可变现净值的确定依据及存货跌价准备的计提方法</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期末对存货进行全面清查后，按超库龄原材料提取或调整存货跌价准备及按存</w:t>
      </w:r>
      <w:r>
        <w:rPr>
          <w:rFonts w:ascii="宋体" w:hAnsi="宋体" w:cs="宋体" w:eastAsia="宋体" w:hint="default"/>
          <w:sz w:val="21"/>
          <w:szCs w:val="21"/>
        </w:rPr>
        <w:t> 货的成本与可变现净值孰低提取或调整存货跌价准备。 </w:t>
      </w:r>
      <w:r>
        <w:rPr>
          <w:rFonts w:ascii="宋体" w:hAnsi="宋体" w:cs="宋体" w:eastAsia="宋体" w:hint="default"/>
          <w:spacing w:val="-3"/>
          <w:sz w:val="21"/>
          <w:szCs w:val="21"/>
        </w:rPr>
        <w:t>产成品、库存商品和用于出售的材料等直接用于出售的商品存货，在正常生产</w:t>
      </w:r>
      <w:r>
        <w:rPr>
          <w:rFonts w:ascii="宋体" w:hAnsi="宋体" w:cs="宋体" w:eastAsia="宋体" w:hint="default"/>
          <w:sz w:val="21"/>
          <w:szCs w:val="21"/>
        </w:rPr>
        <w:t> 经营过程中，以该存货的估计售价减去估计的销售费用和相关税费后的金额， </w:t>
      </w:r>
      <w:r>
        <w:rPr>
          <w:rFonts w:ascii="宋体" w:hAnsi="宋体" w:cs="宋体" w:eastAsia="宋体" w:hint="default"/>
          <w:spacing w:val="-3"/>
          <w:sz w:val="21"/>
          <w:szCs w:val="21"/>
        </w:rPr>
        <w:t>确定其可变现净值；需要经过加工的材料存货，在正常生产经营过程中，以所</w:t>
      </w:r>
      <w:r>
        <w:rPr>
          <w:rFonts w:ascii="宋体" w:hAnsi="宋体" w:cs="宋体" w:eastAsia="宋体" w:hint="default"/>
          <w:sz w:val="21"/>
          <w:szCs w:val="21"/>
        </w:rPr>
        <w:t> </w:t>
      </w:r>
      <w:r>
        <w:rPr>
          <w:rFonts w:ascii="宋体" w:hAnsi="宋体" w:cs="宋体" w:eastAsia="宋体" w:hint="default"/>
          <w:spacing w:val="-3"/>
          <w:sz w:val="21"/>
          <w:szCs w:val="21"/>
        </w:rPr>
        <w:t>生产的产成品的估计售价减去至完工时估计将要发生的成本、估计的销售费用</w:t>
      </w:r>
      <w:r>
        <w:rPr>
          <w:rFonts w:ascii="宋体" w:hAnsi="宋体" w:cs="宋体" w:eastAsia="宋体" w:hint="default"/>
          <w:sz w:val="21"/>
          <w:szCs w:val="21"/>
        </w:rPr>
        <w:t> </w:t>
      </w:r>
      <w:r>
        <w:rPr>
          <w:rFonts w:ascii="宋体" w:hAnsi="宋体" w:cs="宋体" w:eastAsia="宋体" w:hint="default"/>
          <w:spacing w:val="-3"/>
          <w:sz w:val="21"/>
          <w:szCs w:val="21"/>
        </w:rPr>
        <w:t>和相关税费后的金额，确定其可变现净值；为执行销售合同或者劳务合同而持</w:t>
      </w:r>
      <w:r>
        <w:rPr>
          <w:rFonts w:ascii="宋体" w:hAnsi="宋体" w:cs="宋体" w:eastAsia="宋体" w:hint="default"/>
          <w:sz w:val="21"/>
          <w:szCs w:val="21"/>
        </w:rPr>
        <w:t> </w:t>
      </w:r>
      <w:r>
        <w:rPr>
          <w:rFonts w:ascii="宋体" w:hAnsi="宋体" w:cs="宋体" w:eastAsia="宋体" w:hint="default"/>
          <w:spacing w:val="-3"/>
          <w:sz w:val="21"/>
          <w:szCs w:val="21"/>
        </w:rPr>
        <w:t>有的存货，其可变现净值以合同价格为基础计算，若持有存货的数量多于销售</w:t>
      </w:r>
      <w:r>
        <w:rPr>
          <w:rFonts w:ascii="宋体" w:hAnsi="宋体" w:cs="宋体" w:eastAsia="宋体" w:hint="default"/>
          <w:sz w:val="21"/>
          <w:szCs w:val="21"/>
        </w:rPr>
        <w:t> 合同订购数量的，超出部分的存货的可变现净值以一般销售价格为基础计算。 </w:t>
      </w:r>
      <w:r>
        <w:rPr>
          <w:rFonts w:ascii="宋体" w:hAnsi="宋体" w:cs="宋体" w:eastAsia="宋体" w:hint="default"/>
          <w:spacing w:val="-6"/>
          <w:sz w:val="21"/>
          <w:szCs w:val="21"/>
        </w:rPr>
        <w:t>期末按照单个存货项目计提存货跌价准备；但对于数量繁多、单价较低的存货，</w:t>
      </w:r>
      <w:r>
        <w:rPr>
          <w:rFonts w:ascii="宋体" w:hAnsi="宋体" w:cs="宋体" w:eastAsia="宋体" w:hint="default"/>
          <w:sz w:val="21"/>
          <w:szCs w:val="21"/>
        </w:rPr>
        <w:t> 按照存货类别计提存货跌价准备；与在同一地区生产和销售的产品系列相关、 </w:t>
      </w:r>
      <w:r>
        <w:rPr>
          <w:rFonts w:ascii="宋体" w:hAnsi="宋体" w:cs="宋体" w:eastAsia="宋体" w:hint="default"/>
          <w:spacing w:val="-3"/>
          <w:sz w:val="21"/>
          <w:szCs w:val="21"/>
        </w:rPr>
        <w:t>具有相同或类似最终用途或目的，且难以与其他项目分开计量的存货，则合并</w:t>
      </w:r>
      <w:r>
        <w:rPr>
          <w:rFonts w:ascii="宋体" w:hAnsi="宋体" w:cs="宋体" w:eastAsia="宋体" w:hint="default"/>
          <w:sz w:val="21"/>
          <w:szCs w:val="21"/>
        </w:rPr>
        <w:t> 计提存货跌价准备。 </w:t>
      </w:r>
      <w:r>
        <w:rPr>
          <w:rFonts w:ascii="宋体" w:hAnsi="宋体" w:cs="宋体" w:eastAsia="宋体" w:hint="default"/>
          <w:spacing w:val="-3"/>
          <w:sz w:val="21"/>
          <w:szCs w:val="21"/>
        </w:rPr>
        <w:t>以前减记存货价值的影响因素已经消失的，减记的金额予以恢复，并在原已计</w:t>
      </w:r>
      <w:r>
        <w:rPr>
          <w:rFonts w:ascii="宋体" w:hAnsi="宋体" w:cs="宋体" w:eastAsia="宋体" w:hint="default"/>
          <w:sz w:val="21"/>
          <w:szCs w:val="21"/>
        </w:rPr>
        <w:t> 提的存货跌价准备金额内转回，转回的金额计入当期损益。</w:t>
      </w:r>
    </w:p>
    <w:p>
      <w:pPr>
        <w:spacing w:line="240" w:lineRule="auto" w:before="2"/>
        <w:rPr>
          <w:rFonts w:ascii="宋体" w:hAnsi="宋体" w:cs="宋体" w:eastAsia="宋体" w:hint="default"/>
          <w:sz w:val="26"/>
          <w:szCs w:val="26"/>
        </w:rPr>
      </w:pPr>
    </w:p>
    <w:p>
      <w:pPr>
        <w:tabs>
          <w:tab w:pos="1396" w:val="left" w:leader="none"/>
        </w:tabs>
        <w:spacing w:line="328" w:lineRule="auto" w:before="0"/>
        <w:ind w:left="1400" w:right="558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存货的盘存制度</w:t>
      </w:r>
      <w:r>
        <w:rPr>
          <w:rFonts w:ascii="宋体" w:hAnsi="宋体" w:cs="宋体" w:eastAsia="宋体" w:hint="default"/>
          <w:b/>
          <w:bCs/>
          <w:w w:val="99"/>
          <w:sz w:val="21"/>
          <w:szCs w:val="21"/>
        </w:rPr>
        <w:t> </w:t>
      </w:r>
      <w:r>
        <w:rPr>
          <w:rFonts w:ascii="宋体" w:hAnsi="宋体" w:cs="宋体" w:eastAsia="宋体" w:hint="default"/>
          <w:sz w:val="21"/>
          <w:szCs w:val="21"/>
        </w:rPr>
        <w:t>采用永续盘存制。</w:t>
      </w:r>
    </w:p>
    <w:p>
      <w:pPr>
        <w:spacing w:line="240" w:lineRule="auto" w:before="7"/>
        <w:rPr>
          <w:rFonts w:ascii="宋体" w:hAnsi="宋体" w:cs="宋体" w:eastAsia="宋体" w:hint="default"/>
          <w:sz w:val="27"/>
          <w:szCs w:val="27"/>
        </w:rPr>
      </w:pPr>
    </w:p>
    <w:p>
      <w:pPr>
        <w:tabs>
          <w:tab w:pos="1396" w:val="left" w:leader="none"/>
        </w:tabs>
        <w:spacing w:before="0"/>
        <w:ind w:left="857" w:right="238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低值易耗品和包装物的摊销方法</w:t>
      </w:r>
      <w:r>
        <w:rPr>
          <w:rFonts w:ascii="宋体" w:hAnsi="宋体" w:cs="宋体" w:eastAsia="宋体" w:hint="default"/>
          <w:sz w:val="21"/>
          <w:szCs w:val="21"/>
        </w:rPr>
      </w:r>
    </w:p>
    <w:p>
      <w:pPr>
        <w:spacing w:before="109"/>
        <w:ind w:left="1400" w:right="238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）低值易耗品采用一次转销法；</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before="0"/>
        <w:ind w:left="1400" w:right="238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）包装物采用一次转销法。</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spacing w:before="0"/>
        <w:ind w:left="125" w:right="238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十二</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长期股权投资</w:t>
      </w:r>
      <w:r>
        <w:rPr>
          <w:rFonts w:ascii="宋体" w:hAnsi="宋体" w:cs="宋体" w:eastAsia="宋体" w:hint="default"/>
          <w:sz w:val="21"/>
          <w:szCs w:val="21"/>
        </w:rPr>
      </w:r>
    </w:p>
    <w:p>
      <w:pPr>
        <w:tabs>
          <w:tab w:pos="1396" w:val="left" w:leader="none"/>
        </w:tabs>
        <w:spacing w:before="89"/>
        <w:ind w:left="857" w:right="238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投资成本的确定</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5" w:footer="1256" w:top="1120" w:bottom="1440" w:left="1660" w:right="1580"/>
        </w:sectPr>
      </w:pPr>
    </w:p>
    <w:p>
      <w:pPr>
        <w:spacing w:line="240" w:lineRule="auto" w:before="2"/>
        <w:rPr>
          <w:rFonts w:ascii="宋体" w:hAnsi="宋体" w:cs="宋体" w:eastAsia="宋体" w:hint="default"/>
          <w:b/>
          <w:bCs/>
          <w:sz w:val="27"/>
          <w:szCs w:val="27"/>
        </w:rPr>
      </w:pPr>
    </w:p>
    <w:p>
      <w:pPr>
        <w:spacing w:line="331" w:lineRule="auto" w:before="35"/>
        <w:ind w:left="1400" w:right="12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）企业合并形成的长期股权投资 </w:t>
      </w:r>
      <w:r>
        <w:rPr>
          <w:rFonts w:ascii="宋体" w:hAnsi="宋体" w:cs="宋体" w:eastAsia="宋体" w:hint="default"/>
          <w:spacing w:val="-3"/>
          <w:sz w:val="21"/>
          <w:szCs w:val="21"/>
        </w:rPr>
        <w:t>同一控制下的企业合并：公司以支付现金、转让非现金资产或承担债务方式以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及以发行权益性证券作为合并对价的，在合并日按照取得被合并方所有者权益</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账面价值的份额作为长期股权投资的初始投资成本。长期股权投资初始投资成</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本与支付合并对价之间的差额，调整资本公积中的股本溢价；资本公积中的股</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本溢价不足冲减的，调整留存收益。合并发生的各项直接相关费用，包括为进</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3"/>
          <w:sz w:val="21"/>
          <w:szCs w:val="21"/>
        </w:rPr>
        <w:t>行合并而支付的审计费用、评估费用、法律服务费用等，于发生时计入当期损</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益。 </w:t>
      </w:r>
      <w:r>
        <w:rPr>
          <w:rFonts w:ascii="宋体" w:hAnsi="宋体" w:cs="宋体" w:eastAsia="宋体" w:hint="default"/>
          <w:spacing w:val="-3"/>
          <w:sz w:val="21"/>
          <w:szCs w:val="21"/>
        </w:rPr>
        <w:t>非同一控制下的企业合并：公司按照购买日确定的合并成本作为长期股权投资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的初始投资成本。合并成本为购买日购买方为取得对被购买方的控制权而付出</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的资产、发生或承担的负债以及发行的权益性证券的公允价值。购买方为企业</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合并而发生的审计、法律服务、评估咨询等中介费用以及其他相关管理费用于</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发生时计入当期损益；购买方作为合并对价发行的权益性证券或债务性证券的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交易费用，计入权益性证券或债务性证券的初始确认金额。通过多次交易分步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实现的非同一控制下企业合并，以购买日之前所持被购买方的股权投资的账面</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价值与购买日新增投资成本之和，作为该项投资的初始投资成本。本公司将合</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并协议约定的或有对价作为企业合并转移对价的一部分，按照其在购买日的公</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允价值计入企业合并成本。</w:t>
      </w:r>
    </w:p>
    <w:p>
      <w:pPr>
        <w:spacing w:line="240" w:lineRule="auto" w:before="0"/>
        <w:rPr>
          <w:rFonts w:ascii="宋体" w:hAnsi="宋体" w:cs="宋体" w:eastAsia="宋体" w:hint="default"/>
          <w:sz w:val="20"/>
          <w:szCs w:val="20"/>
        </w:rPr>
      </w:pPr>
    </w:p>
    <w:p>
      <w:pPr>
        <w:spacing w:line="331" w:lineRule="auto" w:before="144"/>
        <w:ind w:left="1400" w:right="12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）其他方式取得的长期股权投资 </w:t>
      </w:r>
      <w:r>
        <w:rPr>
          <w:rFonts w:ascii="宋体" w:hAnsi="宋体" w:cs="宋体" w:eastAsia="宋体" w:hint="default"/>
          <w:spacing w:val="-3"/>
          <w:sz w:val="21"/>
          <w:szCs w:val="21"/>
        </w:rPr>
        <w:t>以支付现金方式取得的长期股权投资，按照实际支付的购买价款作为初始投资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成本。 </w:t>
      </w:r>
      <w:r>
        <w:rPr>
          <w:rFonts w:ascii="宋体" w:hAnsi="宋体" w:cs="宋体" w:eastAsia="宋体" w:hint="default"/>
          <w:spacing w:val="-3"/>
          <w:sz w:val="21"/>
          <w:szCs w:val="21"/>
        </w:rPr>
        <w:t>以发行权益性证券取得的长期股权投资，按照发行权益性证券的公允价值作为</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初始投资成本。 </w:t>
      </w:r>
      <w:r>
        <w:rPr>
          <w:rFonts w:ascii="宋体" w:hAnsi="宋体" w:cs="宋体" w:eastAsia="宋体" w:hint="default"/>
          <w:spacing w:val="-3"/>
          <w:sz w:val="21"/>
          <w:szCs w:val="21"/>
        </w:rPr>
        <w:t>投资者投入的长期股权投资，按照投资合同或协议约定的价值（扣除已宣告但</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尚未发放的现金股利或利润）作为初始投资成本，但合同或协议约定价值不公</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允的除外。 </w:t>
      </w:r>
      <w:r>
        <w:rPr>
          <w:rFonts w:ascii="宋体" w:hAnsi="宋体" w:cs="宋体" w:eastAsia="宋体" w:hint="default"/>
          <w:spacing w:val="3"/>
          <w:sz w:val="21"/>
          <w:szCs w:val="21"/>
        </w:rPr>
        <w:t>在非货币性资产交换具备商业实质和换入资产或换出资产的公允价值能够可</w:t>
      </w:r>
      <w:r>
        <w:rPr>
          <w:rFonts w:ascii="宋体" w:hAnsi="宋体" w:cs="宋体" w:eastAsia="宋体" w:hint="default"/>
          <w:spacing w:val="3"/>
          <w:sz w:val="21"/>
          <w:szCs w:val="21"/>
        </w:rPr>
        <w:t> </w:t>
      </w:r>
      <w:r>
        <w:rPr>
          <w:rFonts w:ascii="宋体" w:hAnsi="宋体" w:cs="宋体" w:eastAsia="宋体" w:hint="default"/>
          <w:spacing w:val="-3"/>
          <w:sz w:val="21"/>
          <w:szCs w:val="21"/>
        </w:rPr>
        <w:t>靠计量的前提下，非货币性资产交换换入的长期股权投资以换出资产的公允价</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值为基础确定其初始投资成本，除非有确凿证据表明换入资产的公允价值更加</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可靠；不满足上述前提的非货币性资产交换，以换出资产的账面价值和应支付</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的相关税费作为换入长期股权投资的初始投资成本。 </w:t>
      </w:r>
      <w:r>
        <w:rPr>
          <w:rFonts w:ascii="宋体" w:hAnsi="宋体" w:cs="宋体" w:eastAsia="宋体" w:hint="default"/>
          <w:spacing w:val="3"/>
          <w:sz w:val="21"/>
          <w:szCs w:val="21"/>
        </w:rPr>
        <w:t>通过债务重组取得的长期股权投资，其初始投资成本按照公允价值为基础确</w:t>
      </w:r>
      <w:r>
        <w:rPr>
          <w:rFonts w:ascii="宋体" w:hAnsi="宋体" w:cs="宋体" w:eastAsia="宋体" w:hint="default"/>
          <w:spacing w:val="3"/>
          <w:sz w:val="21"/>
          <w:szCs w:val="21"/>
        </w:rPr>
        <w:t> </w:t>
      </w:r>
      <w:r>
        <w:rPr>
          <w:rFonts w:ascii="宋体" w:hAnsi="宋体" w:cs="宋体" w:eastAsia="宋体" w:hint="default"/>
          <w:sz w:val="21"/>
          <w:szCs w:val="21"/>
        </w:rPr>
        <w:t>定。</w:t>
      </w:r>
    </w:p>
    <w:p>
      <w:pPr>
        <w:spacing w:line="240" w:lineRule="auto" w:before="0"/>
        <w:rPr>
          <w:rFonts w:ascii="宋体" w:hAnsi="宋体" w:cs="宋体" w:eastAsia="宋体" w:hint="default"/>
          <w:sz w:val="20"/>
          <w:szCs w:val="20"/>
        </w:rPr>
      </w:pPr>
    </w:p>
    <w:p>
      <w:pPr>
        <w:tabs>
          <w:tab w:pos="1396" w:val="left" w:leader="none"/>
        </w:tabs>
        <w:spacing w:before="133"/>
        <w:ind w:left="857" w:right="11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后续计量及损益确认</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5" w:footer="1256" w:top="1120" w:bottom="1440" w:left="1660" w:right="1660"/>
        </w:sectPr>
      </w:pPr>
    </w:p>
    <w:p>
      <w:pPr>
        <w:spacing w:line="240" w:lineRule="auto" w:before="6"/>
        <w:rPr>
          <w:rFonts w:ascii="宋体" w:hAnsi="宋体" w:cs="宋体" w:eastAsia="宋体" w:hint="default"/>
          <w:b/>
          <w:bCs/>
          <w:sz w:val="26"/>
          <w:szCs w:val="26"/>
        </w:rPr>
      </w:pPr>
    </w:p>
    <w:p>
      <w:pPr>
        <w:spacing w:line="321" w:lineRule="auto" w:before="35"/>
        <w:ind w:left="1400" w:right="104"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）后续计量 </w:t>
      </w:r>
      <w:r>
        <w:rPr>
          <w:rFonts w:ascii="宋体" w:hAnsi="宋体" w:cs="宋体" w:eastAsia="宋体" w:hint="default"/>
          <w:spacing w:val="-3"/>
          <w:sz w:val="21"/>
          <w:szCs w:val="21"/>
        </w:rPr>
        <w:t>公司对子公司的长期股权投资，采用成本法核算，编制合并财务报表时按照权</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益法进行调整。 </w:t>
      </w:r>
      <w:r>
        <w:rPr>
          <w:rFonts w:ascii="宋体" w:hAnsi="宋体" w:cs="宋体" w:eastAsia="宋体" w:hint="default"/>
          <w:spacing w:val="-3"/>
          <w:sz w:val="21"/>
          <w:szCs w:val="21"/>
        </w:rPr>
        <w:t>对被投资单位不具有共同控制或重大影响，并且在活跃市场中没有报价、公允</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价值不能可靠计量的长期股权投资，采用成本法核算。 </w:t>
      </w:r>
      <w:r>
        <w:rPr>
          <w:rFonts w:ascii="宋体" w:hAnsi="宋体" w:cs="宋体" w:eastAsia="宋体" w:hint="default"/>
          <w:spacing w:val="-3"/>
          <w:sz w:val="21"/>
          <w:szCs w:val="21"/>
        </w:rPr>
        <w:t>对被投资单位具有共同控制或重大影响的长期股权投资，采用权益法核算。初</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始投资成本大于投资时应享有被投资单位可辨认净资产公允价值份额的差额， </w:t>
      </w:r>
      <w:r>
        <w:rPr>
          <w:rFonts w:ascii="宋体" w:hAnsi="宋体" w:cs="宋体" w:eastAsia="宋体" w:hint="default"/>
          <w:spacing w:val="-3"/>
          <w:sz w:val="21"/>
          <w:szCs w:val="21"/>
        </w:rPr>
        <w:t>不调整长期股权投资的初始投资成本；初始投资成本小于投资时应享有被投资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单位可辨认净资产公允价值份额的差额，计入当期损益。 </w:t>
      </w:r>
      <w:r>
        <w:rPr>
          <w:rFonts w:ascii="宋体" w:hAnsi="宋体" w:cs="宋体" w:eastAsia="宋体" w:hint="default"/>
          <w:spacing w:val="-3"/>
          <w:sz w:val="21"/>
          <w:szCs w:val="21"/>
        </w:rPr>
        <w:t>被投资单位除净损益以外所有者权益其他变动的处理：对于被投资单位除净损</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益以外所有者权益的其他变动，在持股比例不变的情况下，公司按照持股比例</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计算应享有或承担的部分，调整长期股权投资的账面价值，同时增加或减少资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9"/>
          <w:sz w:val="21"/>
          <w:szCs w:val="21"/>
        </w:rPr>
        <w:t>本公积（其他资本公积）。</w:t>
      </w:r>
    </w:p>
    <w:p>
      <w:pPr>
        <w:spacing w:line="240" w:lineRule="auto" w:before="0"/>
        <w:rPr>
          <w:rFonts w:ascii="宋体" w:hAnsi="宋体" w:cs="宋体" w:eastAsia="宋体" w:hint="default"/>
          <w:sz w:val="20"/>
          <w:szCs w:val="20"/>
        </w:rPr>
      </w:pPr>
    </w:p>
    <w:p>
      <w:pPr>
        <w:spacing w:line="321" w:lineRule="auto" w:before="132"/>
        <w:ind w:left="1400" w:right="104"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）损益确认 </w:t>
      </w:r>
      <w:r>
        <w:rPr>
          <w:rFonts w:ascii="宋体" w:hAnsi="宋体" w:cs="宋体" w:eastAsia="宋体" w:hint="default"/>
          <w:spacing w:val="-3"/>
          <w:sz w:val="21"/>
          <w:szCs w:val="21"/>
        </w:rPr>
        <w:t>成本法下，除取得投资时实际支付的价款或对价中包含的已宣告但尚未发放的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现金股利或利润外，公司按照享有被投资单位宣告发放的现金股利或利润确认</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投资收益。 </w:t>
      </w:r>
      <w:r>
        <w:rPr>
          <w:rFonts w:ascii="宋体" w:hAnsi="宋体" w:cs="宋体" w:eastAsia="宋体" w:hint="default"/>
          <w:spacing w:val="-3"/>
          <w:sz w:val="21"/>
          <w:szCs w:val="21"/>
        </w:rPr>
        <w:t>权益法下，在被投资单位账面净利润的基础上考虑：被投资单位与本公司采用</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的会计政策及会计期间不一致，按本公司的会计政策及会计期间对被投资单位</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财务报表进行调整；以取得投资时被投资单位固定资产、无形资产的公允价值</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为基础计提的折旧额或摊销额以及有关资产减值准备金额等对被投资单位净</w:t>
      </w:r>
      <w:r>
        <w:rPr>
          <w:rFonts w:ascii="宋体" w:hAnsi="宋体" w:cs="宋体" w:eastAsia="宋体" w:hint="default"/>
          <w:spacing w:val="3"/>
          <w:sz w:val="21"/>
          <w:szCs w:val="21"/>
        </w:rPr>
        <w:t> </w:t>
      </w:r>
      <w:r>
        <w:rPr>
          <w:rFonts w:ascii="宋体" w:hAnsi="宋体" w:cs="宋体" w:eastAsia="宋体" w:hint="default"/>
          <w:spacing w:val="-3"/>
          <w:sz w:val="21"/>
          <w:szCs w:val="21"/>
        </w:rPr>
        <w:t>利润的影响；对本公司与联营企业及合营企业之间发生的未实现内部交易予以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抵销等事项的适当调整后，确认应享有或应负担被投资单位的净利润或净亏</w:t>
      </w:r>
      <w:r>
        <w:rPr>
          <w:rFonts w:ascii="宋体" w:hAnsi="宋体" w:cs="宋体" w:eastAsia="宋体" w:hint="default"/>
          <w:spacing w:val="3"/>
          <w:sz w:val="21"/>
          <w:szCs w:val="21"/>
        </w:rPr>
        <w:t> </w:t>
      </w:r>
      <w:r>
        <w:rPr>
          <w:rFonts w:ascii="宋体" w:hAnsi="宋体" w:cs="宋体" w:eastAsia="宋体" w:hint="default"/>
          <w:sz w:val="21"/>
          <w:szCs w:val="21"/>
        </w:rPr>
        <w:t>损。</w:t>
      </w:r>
      <w:r>
        <w:rPr>
          <w:rFonts w:ascii="宋体" w:hAnsi="宋体" w:cs="宋体" w:eastAsia="宋体" w:hint="default"/>
          <w:sz w:val="21"/>
          <w:szCs w:val="21"/>
        </w:rPr>
        <w:t> 在公司确认应分担被投资单位发生的亏损时，按照以下顺序进行处理：首先， </w:t>
      </w:r>
      <w:r>
        <w:rPr>
          <w:rFonts w:ascii="宋体" w:hAnsi="宋体" w:cs="宋体" w:eastAsia="宋体" w:hint="default"/>
          <w:spacing w:val="-6"/>
          <w:sz w:val="21"/>
          <w:szCs w:val="21"/>
        </w:rPr>
        <w:t>冲减长期股权投资的账面价值。其次，长期股权投资的账面价值不足以冲减的，</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3"/>
          <w:sz w:val="21"/>
          <w:szCs w:val="21"/>
        </w:rPr>
        <w:t>以其他实质上构成对被投资单位净投资的长期权益账面价值为限继续确认投</w:t>
      </w:r>
      <w:r>
        <w:rPr>
          <w:rFonts w:ascii="宋体" w:hAnsi="宋体" w:cs="宋体" w:eastAsia="宋体" w:hint="default"/>
          <w:spacing w:val="3"/>
          <w:sz w:val="21"/>
          <w:szCs w:val="21"/>
        </w:rPr>
        <w:t> </w:t>
      </w:r>
      <w:r>
        <w:rPr>
          <w:rFonts w:ascii="宋体" w:hAnsi="宋体" w:cs="宋体" w:eastAsia="宋体" w:hint="default"/>
          <w:spacing w:val="-3"/>
          <w:sz w:val="21"/>
          <w:szCs w:val="21"/>
        </w:rPr>
        <w:t>资损失，冲减长期应收项目等的账面价值。最后，经过上述处理，按照投资合</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3"/>
          <w:sz w:val="21"/>
          <w:szCs w:val="21"/>
        </w:rPr>
        <w:t>同或协议约定企业仍承担额外义务的，按预计承担的义务确认预计负债，计入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当期投资损失。被投资单位以后期间实现盈利的，公司在扣除未确认的亏损分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担额后，按与上述相反的顺序处理，减记已确认预计负债的账面余额、恢复其</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3"/>
          <w:sz w:val="21"/>
          <w:szCs w:val="21"/>
        </w:rPr>
        <w:t>他实质上构成对被投资单位净投资的长期权益及长期股权投资的账面价值，同</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时确认投资收益。 </w:t>
      </w:r>
      <w:r>
        <w:rPr>
          <w:rFonts w:ascii="宋体" w:hAnsi="宋体" w:cs="宋体" w:eastAsia="宋体" w:hint="default"/>
          <w:spacing w:val="-3"/>
          <w:sz w:val="21"/>
          <w:szCs w:val="21"/>
        </w:rPr>
        <w:t>在持有投资期间，被投资单位能够提供合并财务报表的，应当以合并财务报表</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中的净利润和其他权益变动为基础进行核算。</w:t>
      </w:r>
    </w:p>
    <w:p>
      <w:pPr>
        <w:spacing w:after="0" w:line="321" w:lineRule="auto"/>
        <w:jc w:val="left"/>
        <w:rPr>
          <w:rFonts w:ascii="宋体" w:hAnsi="宋体" w:cs="宋体" w:eastAsia="宋体" w:hint="default"/>
          <w:sz w:val="21"/>
          <w:szCs w:val="21"/>
        </w:rPr>
        <w:sectPr>
          <w:pgSz w:w="11910" w:h="16840"/>
          <w:pgMar w:header="885" w:footer="1256" w:top="1120" w:bottom="1440" w:left="1660" w:right="1580"/>
        </w:sectPr>
      </w:pPr>
    </w:p>
    <w:p>
      <w:pPr>
        <w:spacing w:line="240" w:lineRule="auto" w:before="13"/>
        <w:rPr>
          <w:rFonts w:ascii="宋体" w:hAnsi="宋体" w:cs="宋体" w:eastAsia="宋体" w:hint="default"/>
          <w:sz w:val="27"/>
          <w:szCs w:val="27"/>
        </w:rPr>
      </w:pPr>
    </w:p>
    <w:p>
      <w:pPr>
        <w:tabs>
          <w:tab w:pos="1396" w:val="left" w:leader="none"/>
        </w:tabs>
        <w:spacing w:line="338" w:lineRule="auto" w:before="35"/>
        <w:ind w:left="1400" w:right="137"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确定对被投资单位具有共同控制、重大影响的依据</w:t>
      </w:r>
      <w:r>
        <w:rPr>
          <w:rFonts w:ascii="宋体" w:hAnsi="宋体" w:cs="宋体" w:eastAsia="宋体" w:hint="default"/>
          <w:b/>
          <w:bCs/>
          <w:w w:val="99"/>
          <w:sz w:val="21"/>
          <w:szCs w:val="21"/>
        </w:rPr>
        <w:t> </w:t>
      </w:r>
      <w:r>
        <w:rPr>
          <w:rFonts w:ascii="宋体" w:hAnsi="宋体" w:cs="宋体" w:eastAsia="宋体" w:hint="default"/>
          <w:spacing w:val="-3"/>
          <w:sz w:val="21"/>
          <w:szCs w:val="21"/>
        </w:rPr>
        <w:t>共同控制，是指按照合同约定对某项经济活动所共有的控制，仅在与该项经济</w:t>
      </w:r>
      <w:r>
        <w:rPr>
          <w:rFonts w:ascii="宋体" w:hAnsi="宋体" w:cs="宋体" w:eastAsia="宋体" w:hint="default"/>
          <w:sz w:val="21"/>
          <w:szCs w:val="21"/>
        </w:rPr>
        <w:t> </w:t>
      </w:r>
      <w:r>
        <w:rPr>
          <w:rFonts w:ascii="宋体" w:hAnsi="宋体" w:cs="宋体" w:eastAsia="宋体" w:hint="default"/>
          <w:spacing w:val="-3"/>
          <w:sz w:val="21"/>
          <w:szCs w:val="21"/>
        </w:rPr>
        <w:t>活动相关的重要财务和经营决策需要分享控制权的投资方一致同意时存在。投</w:t>
      </w:r>
      <w:r>
        <w:rPr>
          <w:rFonts w:ascii="宋体" w:hAnsi="宋体" w:cs="宋体" w:eastAsia="宋体" w:hint="default"/>
          <w:sz w:val="21"/>
          <w:szCs w:val="21"/>
        </w:rPr>
        <w:t> 资企业与其他方对被投资单位实施共同控制的，被投资单位为其合营企业。 </w:t>
      </w:r>
      <w:r>
        <w:rPr>
          <w:rFonts w:ascii="宋体" w:hAnsi="宋体" w:cs="宋体" w:eastAsia="宋体" w:hint="default"/>
          <w:spacing w:val="-3"/>
          <w:sz w:val="21"/>
          <w:szCs w:val="21"/>
        </w:rPr>
        <w:t>重大影响，是指对一个企业的财务和经营决策有参与决策的权力，但并不能够</w:t>
      </w:r>
      <w:r>
        <w:rPr>
          <w:rFonts w:ascii="宋体" w:hAnsi="宋体" w:cs="宋体" w:eastAsia="宋体" w:hint="default"/>
          <w:sz w:val="21"/>
          <w:szCs w:val="21"/>
        </w:rPr>
        <w:t> </w:t>
      </w:r>
      <w:r>
        <w:rPr>
          <w:rFonts w:ascii="宋体" w:hAnsi="宋体" w:cs="宋体" w:eastAsia="宋体" w:hint="default"/>
          <w:spacing w:val="-3"/>
          <w:sz w:val="21"/>
          <w:szCs w:val="21"/>
        </w:rPr>
        <w:t>控制或者与其他方一起共同控制这些政策的制定。投资企业能够对被投资单位</w:t>
      </w:r>
      <w:r>
        <w:rPr>
          <w:rFonts w:ascii="宋体" w:hAnsi="宋体" w:cs="宋体" w:eastAsia="宋体" w:hint="default"/>
          <w:sz w:val="21"/>
          <w:szCs w:val="21"/>
        </w:rPr>
        <w:t> 施加重大影响的，被投资单位为其联营企业。</w:t>
      </w:r>
    </w:p>
    <w:p>
      <w:pPr>
        <w:tabs>
          <w:tab w:pos="1396" w:val="left" w:leader="none"/>
        </w:tabs>
        <w:spacing w:line="338" w:lineRule="auto" w:before="29"/>
        <w:ind w:left="1400" w:right="137"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减值测试方法及减值准备计提方法</w:t>
      </w:r>
      <w:r>
        <w:rPr>
          <w:rFonts w:ascii="宋体" w:hAnsi="宋体" w:cs="宋体" w:eastAsia="宋体" w:hint="default"/>
          <w:b/>
          <w:bCs/>
          <w:w w:val="99"/>
          <w:sz w:val="21"/>
          <w:szCs w:val="21"/>
        </w:rPr>
        <w:t> </w:t>
      </w:r>
      <w:r>
        <w:rPr>
          <w:rFonts w:ascii="宋体" w:hAnsi="宋体" w:cs="宋体" w:eastAsia="宋体" w:hint="default"/>
          <w:spacing w:val="-3"/>
          <w:sz w:val="21"/>
          <w:szCs w:val="21"/>
        </w:rPr>
        <w:t>重大影响以下的、在活跃市场中没有报价、公允价值不能可靠计量的长期股权</w:t>
      </w:r>
      <w:r>
        <w:rPr>
          <w:rFonts w:ascii="宋体" w:hAnsi="宋体" w:cs="宋体" w:eastAsia="宋体" w:hint="default"/>
          <w:sz w:val="21"/>
          <w:szCs w:val="21"/>
        </w:rPr>
        <w:t> </w:t>
      </w:r>
      <w:r>
        <w:rPr>
          <w:rFonts w:ascii="宋体" w:hAnsi="宋体" w:cs="宋体" w:eastAsia="宋体" w:hint="default"/>
          <w:spacing w:val="-3"/>
          <w:sz w:val="21"/>
          <w:szCs w:val="21"/>
        </w:rPr>
        <w:t>投资，其减值损失是根据其账面价值与按类似金融资产当时市场收益率对未来</w:t>
      </w:r>
      <w:r>
        <w:rPr>
          <w:rFonts w:ascii="宋体" w:hAnsi="宋体" w:cs="宋体" w:eastAsia="宋体" w:hint="default"/>
          <w:sz w:val="21"/>
          <w:szCs w:val="21"/>
        </w:rPr>
        <w:t> 现金流量折现确定的现值之间的差额进行确定。 </w:t>
      </w:r>
      <w:r>
        <w:rPr>
          <w:rFonts w:ascii="宋体" w:hAnsi="宋体" w:cs="宋体" w:eastAsia="宋体" w:hint="default"/>
          <w:spacing w:val="-3"/>
          <w:sz w:val="21"/>
          <w:szCs w:val="21"/>
        </w:rPr>
        <w:t>除因企业合并形成的商誉以外的存在减值迹象的其他长期股权投资，如果可收</w:t>
      </w:r>
      <w:r>
        <w:rPr>
          <w:rFonts w:ascii="宋体" w:hAnsi="宋体" w:cs="宋体" w:eastAsia="宋体" w:hint="default"/>
          <w:sz w:val="21"/>
          <w:szCs w:val="21"/>
        </w:rPr>
        <w:t> </w:t>
      </w:r>
      <w:r>
        <w:rPr>
          <w:rFonts w:ascii="宋体" w:hAnsi="宋体" w:cs="宋体" w:eastAsia="宋体" w:hint="default"/>
          <w:spacing w:val="-3"/>
          <w:sz w:val="21"/>
          <w:szCs w:val="21"/>
        </w:rPr>
        <w:t>回金额的计量结果表明，该长期股权投资的可收回金额低于其账面价值的，将</w:t>
      </w:r>
      <w:r>
        <w:rPr>
          <w:rFonts w:ascii="宋体" w:hAnsi="宋体" w:cs="宋体" w:eastAsia="宋体" w:hint="default"/>
          <w:sz w:val="21"/>
          <w:szCs w:val="21"/>
        </w:rPr>
        <w:t> 差额确认为减值损失。</w:t>
      </w:r>
    </w:p>
    <w:p>
      <w:pPr>
        <w:spacing w:before="29"/>
        <w:ind w:left="1400" w:right="119" w:firstLine="0"/>
        <w:jc w:val="left"/>
        <w:rPr>
          <w:rFonts w:ascii="宋体" w:hAnsi="宋体" w:cs="宋体" w:eastAsia="宋体" w:hint="default"/>
          <w:sz w:val="21"/>
          <w:szCs w:val="21"/>
        </w:rPr>
      </w:pPr>
      <w:r>
        <w:rPr>
          <w:rFonts w:ascii="宋体" w:hAnsi="宋体" w:cs="宋体" w:eastAsia="宋体" w:hint="default"/>
          <w:sz w:val="21"/>
          <w:szCs w:val="21"/>
        </w:rPr>
        <w:t>长期股权投资减值损失一经确认，不再转回。</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spacing w:before="0"/>
        <w:ind w:left="125" w:right="11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十三</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340" w:lineRule="auto" w:before="99"/>
        <w:ind w:left="857" w:right="119" w:firstLine="0"/>
        <w:jc w:val="left"/>
        <w:rPr>
          <w:rFonts w:ascii="宋体" w:hAnsi="宋体" w:cs="宋体" w:eastAsia="宋体" w:hint="default"/>
          <w:sz w:val="21"/>
          <w:szCs w:val="21"/>
        </w:rPr>
      </w:pPr>
      <w:r>
        <w:rPr>
          <w:rFonts w:ascii="宋体" w:hAnsi="宋体" w:cs="宋体" w:eastAsia="宋体" w:hint="default"/>
          <w:sz w:val="21"/>
          <w:szCs w:val="21"/>
        </w:rPr>
        <w:t>投资性房地产是指为赚取租金或资本增值，或两者兼有而持有的房地产，包括已出</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租的土地使用权、持有并准备增值后转让的土地使用权、已出租的建筑物（含自行</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建造或开发活动完成后用于出租的建筑物以及正在建造或开发过程中将来用于出租</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18"/>
          <w:sz w:val="21"/>
          <w:szCs w:val="21"/>
        </w:rPr>
        <w:t>的建筑物）。</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公司对现有投资性房地产采用成本模式计量。对按照成本模式计量的投资性房地产</w:t>
      </w:r>
    </w:p>
    <w:p>
      <w:pPr>
        <w:spacing w:line="340" w:lineRule="auto" w:before="27"/>
        <w:ind w:left="857" w:right="119" w:firstLine="0"/>
        <w:jc w:val="left"/>
        <w:rPr>
          <w:rFonts w:ascii="宋体" w:hAnsi="宋体" w:cs="宋体" w:eastAsia="宋体" w:hint="default"/>
          <w:sz w:val="21"/>
          <w:szCs w:val="21"/>
        </w:rPr>
      </w:pPr>
      <w:r>
        <w:rPr>
          <w:rFonts w:ascii="宋体" w:hAnsi="宋体" w:cs="宋体" w:eastAsia="宋体" w:hint="default"/>
          <w:sz w:val="21"/>
          <w:szCs w:val="21"/>
        </w:rPr>
        <w:t>－出租用建筑物采用与本公司固定资产相同的折旧政策，出租用土地使用权按与无</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形资产相同的摊销政策执行。</w:t>
      </w:r>
      <w:r>
        <w:rPr>
          <w:rFonts w:ascii="宋体" w:hAnsi="宋体" w:cs="宋体" w:eastAsia="宋体" w:hint="default"/>
          <w:sz w:val="21"/>
          <w:szCs w:val="21"/>
        </w:rPr>
        <w:t> 公司对存在减值迹象的，估计其可收回金额，可收回金额低于其账面价值的，确认</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相应的减值损失。</w:t>
      </w:r>
    </w:p>
    <w:p>
      <w:pPr>
        <w:spacing w:before="27"/>
        <w:ind w:left="857" w:right="119" w:firstLine="0"/>
        <w:jc w:val="left"/>
        <w:rPr>
          <w:rFonts w:ascii="宋体" w:hAnsi="宋体" w:cs="宋体" w:eastAsia="宋体" w:hint="default"/>
          <w:sz w:val="21"/>
          <w:szCs w:val="21"/>
        </w:rPr>
      </w:pPr>
      <w:r>
        <w:rPr>
          <w:rFonts w:ascii="宋体" w:hAnsi="宋体" w:cs="宋体" w:eastAsia="宋体" w:hint="default"/>
          <w:sz w:val="21"/>
          <w:szCs w:val="21"/>
        </w:rPr>
        <w:t>投资性房地产减值损失一经确认，不再转回。</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before="0"/>
        <w:ind w:left="125" w:right="11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十四</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固定资产</w:t>
      </w:r>
      <w:r>
        <w:rPr>
          <w:rFonts w:ascii="宋体" w:hAnsi="宋体" w:cs="宋体" w:eastAsia="宋体" w:hint="default"/>
          <w:sz w:val="21"/>
          <w:szCs w:val="21"/>
        </w:rPr>
      </w:r>
    </w:p>
    <w:p>
      <w:pPr>
        <w:tabs>
          <w:tab w:pos="1396" w:val="left" w:leader="none"/>
        </w:tabs>
        <w:spacing w:line="331" w:lineRule="auto" w:before="99"/>
        <w:ind w:left="1400" w:right="136"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固定资产确认条件</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固定资产指为生产商品、提供劳务、出租或经营管理而持有，并且使用寿命超</w:t>
      </w:r>
      <w:r>
        <w:rPr>
          <w:rFonts w:ascii="宋体" w:hAnsi="宋体" w:cs="宋体" w:eastAsia="宋体" w:hint="default"/>
          <w:sz w:val="21"/>
          <w:szCs w:val="21"/>
        </w:rPr>
        <w:t> 过一个会计年度的有形资产。固定资产在同时满足下列条件时予以确认：</w:t>
      </w:r>
    </w:p>
    <w:p>
      <w:pPr>
        <w:spacing w:before="35"/>
        <w:ind w:left="1400" w:right="11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）与该固定资产有关的经济利益很可能流入企业；</w:t>
      </w:r>
    </w:p>
    <w:p>
      <w:pPr>
        <w:spacing w:before="99"/>
        <w:ind w:left="1400" w:right="11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）该固定资产的成本能够可靠地计量。</w:t>
      </w:r>
    </w:p>
    <w:p>
      <w:pPr>
        <w:spacing w:after="0"/>
        <w:jc w:val="left"/>
        <w:rPr>
          <w:rFonts w:ascii="宋体" w:hAnsi="宋体" w:cs="宋体" w:eastAsia="宋体" w:hint="default"/>
          <w:sz w:val="21"/>
          <w:szCs w:val="21"/>
        </w:rPr>
        <w:sectPr>
          <w:pgSz w:w="11910" w:h="16840"/>
          <w:pgMar w:header="885" w:footer="1256" w:top="1120" w:bottom="1440" w:left="1660" w:right="1660"/>
        </w:sectPr>
      </w:pPr>
    </w:p>
    <w:p>
      <w:pPr>
        <w:spacing w:line="240" w:lineRule="auto" w:before="13"/>
        <w:rPr>
          <w:rFonts w:ascii="宋体" w:hAnsi="宋体" w:cs="宋体" w:eastAsia="宋体" w:hint="default"/>
          <w:sz w:val="27"/>
          <w:szCs w:val="27"/>
        </w:rPr>
      </w:pPr>
    </w:p>
    <w:p>
      <w:pPr>
        <w:tabs>
          <w:tab w:pos="1396" w:val="left" w:leader="none"/>
        </w:tabs>
        <w:spacing w:line="338" w:lineRule="auto" w:before="35"/>
        <w:ind w:left="1400" w:right="197"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各类固定资产的折旧方法</w:t>
      </w:r>
      <w:r>
        <w:rPr>
          <w:rFonts w:ascii="宋体" w:hAnsi="宋体" w:cs="宋体" w:eastAsia="宋体" w:hint="default"/>
          <w:b/>
          <w:bCs/>
          <w:w w:val="99"/>
          <w:sz w:val="21"/>
          <w:szCs w:val="21"/>
        </w:rPr>
        <w:t> </w:t>
      </w:r>
      <w:r>
        <w:rPr>
          <w:rFonts w:ascii="宋体" w:hAnsi="宋体" w:cs="宋体" w:eastAsia="宋体" w:hint="default"/>
          <w:spacing w:val="-3"/>
          <w:sz w:val="21"/>
          <w:szCs w:val="21"/>
        </w:rPr>
        <w:t>固定资产折旧采用年限平均法分类计提，根据固定资产类别、预计使用寿命和</w:t>
      </w:r>
      <w:r>
        <w:rPr>
          <w:rFonts w:ascii="宋体" w:hAnsi="宋体" w:cs="宋体" w:eastAsia="宋体" w:hint="default"/>
          <w:sz w:val="21"/>
          <w:szCs w:val="21"/>
        </w:rPr>
        <w:t> </w:t>
      </w:r>
      <w:r>
        <w:rPr>
          <w:rFonts w:ascii="宋体" w:hAnsi="宋体" w:cs="宋体" w:eastAsia="宋体" w:hint="default"/>
          <w:spacing w:val="-3"/>
          <w:sz w:val="21"/>
          <w:szCs w:val="21"/>
        </w:rPr>
        <w:t>预计净残值率确定折旧率。如固定资产各组成部分的使用寿命不同或者以不同</w:t>
      </w:r>
      <w:r>
        <w:rPr>
          <w:rFonts w:ascii="宋体" w:hAnsi="宋体" w:cs="宋体" w:eastAsia="宋体" w:hint="default"/>
          <w:sz w:val="21"/>
          <w:szCs w:val="21"/>
        </w:rPr>
        <w:t> 方式为企业提供经济利益，则选择不同折旧率或折旧方法，分别计提折旧。 </w:t>
      </w:r>
      <w:r>
        <w:rPr>
          <w:rFonts w:ascii="宋体" w:hAnsi="宋体" w:cs="宋体" w:eastAsia="宋体" w:hint="default"/>
          <w:spacing w:val="-3"/>
          <w:sz w:val="21"/>
          <w:szCs w:val="21"/>
        </w:rPr>
        <w:t>融资租赁方式租入的固定资产，能合理确定租赁期届满时将会取得租赁资产所</w:t>
      </w:r>
      <w:r>
        <w:rPr>
          <w:rFonts w:ascii="宋体" w:hAnsi="宋体" w:cs="宋体" w:eastAsia="宋体" w:hint="default"/>
          <w:sz w:val="21"/>
          <w:szCs w:val="21"/>
        </w:rPr>
        <w:t> </w:t>
      </w:r>
      <w:r>
        <w:rPr>
          <w:rFonts w:ascii="宋体" w:hAnsi="宋体" w:cs="宋体" w:eastAsia="宋体" w:hint="default"/>
          <w:spacing w:val="-3"/>
          <w:sz w:val="21"/>
          <w:szCs w:val="21"/>
        </w:rPr>
        <w:t>有权的，在租赁资产尚可使用年限内计提折旧；无法合理确定租赁期届满时能</w:t>
      </w:r>
      <w:r>
        <w:rPr>
          <w:rFonts w:ascii="宋体" w:hAnsi="宋体" w:cs="宋体" w:eastAsia="宋体" w:hint="default"/>
          <w:sz w:val="21"/>
          <w:szCs w:val="21"/>
        </w:rPr>
        <w:t> </w:t>
      </w:r>
      <w:r>
        <w:rPr>
          <w:rFonts w:ascii="宋体" w:hAnsi="宋体" w:cs="宋体" w:eastAsia="宋体" w:hint="default"/>
          <w:spacing w:val="-3"/>
          <w:sz w:val="21"/>
          <w:szCs w:val="21"/>
        </w:rPr>
        <w:t>够取得租赁资产所有权的，在租赁期与租赁资产尚可使用年限两者中较短的期</w:t>
      </w:r>
      <w:r>
        <w:rPr>
          <w:rFonts w:ascii="宋体" w:hAnsi="宋体" w:cs="宋体" w:eastAsia="宋体" w:hint="default"/>
          <w:sz w:val="21"/>
          <w:szCs w:val="21"/>
        </w:rPr>
        <w:t> 间内计提折旧。</w:t>
      </w:r>
    </w:p>
    <w:p>
      <w:pPr>
        <w:spacing w:before="29"/>
        <w:ind w:left="1400" w:right="91" w:firstLine="0"/>
        <w:jc w:val="left"/>
        <w:rPr>
          <w:rFonts w:ascii="宋体" w:hAnsi="宋体" w:cs="宋体" w:eastAsia="宋体" w:hint="default"/>
          <w:sz w:val="21"/>
          <w:szCs w:val="21"/>
        </w:rPr>
      </w:pPr>
      <w:r>
        <w:rPr/>
        <w:pict>
          <v:group style="position:absolute;margin-left:124.410004pt;margin-top:16.777576pt;width:385.5pt;height:117.85pt;mso-position-horizontal-relative:page;mso-position-vertical-relative:paragraph;z-index:-827032" coordorigin="2488,336" coordsize="7710,2357">
            <v:group style="position:absolute;left:2518;top:351;width:7648;height:2" coordorigin="2518,351" coordsize="7648,2">
              <v:shape style="position:absolute;left:2518;top:351;width:7648;height:2" coordorigin="2518,351" coordsize="7648,0" path="m2518,351l10165,351e" filled="false" stroked="true" strokeweight="1.5pt" strokecolor="#000000">
                <v:path arrowok="t"/>
              </v:shape>
              <v:shape style="position:absolute;left:4885;top:337;width:3469;height:432" type="#_x0000_t75" stroked="false">
                <v:imagedata r:id="rId35" o:title=""/>
              </v:shape>
            </v:group>
            <v:group style="position:absolute;left:2503;top:2677;width:2411;height:2" coordorigin="2503,2677" coordsize="2411,2">
              <v:shape style="position:absolute;left:2503;top:2677;width:2411;height:2" coordorigin="2503,2677" coordsize="2411,0" path="m2503,2677l4914,2677e" filled="false" stroked="true" strokeweight="1.5pt" strokecolor="#000000">
                <v:path arrowok="t"/>
              </v:shape>
            </v:group>
            <v:group style="position:absolute;left:4914;top:2677;width:1727;height:2" coordorigin="4914,2677" coordsize="1727,2">
              <v:shape style="position:absolute;left:4914;top:2677;width:1727;height:2" coordorigin="4914,2677" coordsize="1727,0" path="m4914,2677l6641,2677e" filled="false" stroked="true" strokeweight="1.5pt" strokecolor="#000000">
                <v:path arrowok="t"/>
              </v:shape>
            </v:group>
            <v:group style="position:absolute;left:6641;top:2677;width:1676;height:2" coordorigin="6641,2677" coordsize="1676,2">
              <v:shape style="position:absolute;left:6641;top:2677;width:1676;height:2" coordorigin="6641,2677" coordsize="1676,0" path="m6641,2677l8316,2677e" filled="false" stroked="true" strokeweight="1.5pt" strokecolor="#000000">
                <v:path arrowok="t"/>
              </v:shape>
              <v:shape style="position:absolute;left:2489;top:711;width:7709;height:1951" type="#_x0000_t75" stroked="false">
                <v:imagedata r:id="rId36" o:title=""/>
              </v:shape>
            </v:group>
            <v:group style="position:absolute;left:8316;top:2677;width:1850;height:2" coordorigin="8316,2677" coordsize="1850,2">
              <v:shape style="position:absolute;left:8316;top:2677;width:1850;height:2" coordorigin="8316,2677" coordsize="1850,0" path="m8316,2677l10165,2677e" filled="false" stroked="true" strokeweight="1.5pt" strokecolor="#000000">
                <v:path arrowok="t"/>
              </v:shape>
            </v:group>
            <w10:wrap type="none"/>
          </v:group>
        </w:pict>
      </w:r>
      <w:r>
        <w:rPr>
          <w:rFonts w:ascii="宋体" w:hAnsi="宋体" w:cs="宋体" w:eastAsia="宋体" w:hint="default"/>
          <w:sz w:val="21"/>
          <w:szCs w:val="21"/>
        </w:rPr>
        <w:t>各类固定资产折旧年限和年折旧率如下：</w:t>
      </w:r>
    </w:p>
    <w:p>
      <w:pPr>
        <w:spacing w:line="240" w:lineRule="auto" w:before="7"/>
        <w:rPr>
          <w:rFonts w:ascii="宋体" w:hAnsi="宋体" w:cs="宋体" w:eastAsia="宋体" w:hint="default"/>
          <w:sz w:val="3"/>
          <w:szCs w:val="3"/>
        </w:rPr>
      </w:pPr>
    </w:p>
    <w:tbl>
      <w:tblPr>
        <w:tblW w:w="0" w:type="auto"/>
        <w:jc w:val="left"/>
        <w:tblInd w:w="843" w:type="dxa"/>
        <w:tblLayout w:type="fixed"/>
        <w:tblCellMar>
          <w:top w:w="0" w:type="dxa"/>
          <w:left w:w="0" w:type="dxa"/>
          <w:bottom w:w="0" w:type="dxa"/>
          <w:right w:w="0" w:type="dxa"/>
        </w:tblCellMar>
        <w:tblLook w:val="01E0"/>
      </w:tblPr>
      <w:tblGrid>
        <w:gridCol w:w="1933"/>
        <w:gridCol w:w="2209"/>
        <w:gridCol w:w="1616"/>
        <w:gridCol w:w="1684"/>
      </w:tblGrid>
      <w:tr>
        <w:trPr>
          <w:trHeight w:val="399" w:hRule="exact"/>
        </w:trPr>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31"/>
              <w:ind w:left="950" w:right="0"/>
              <w:jc w:val="left"/>
              <w:rPr>
                <w:rFonts w:ascii="宋体" w:hAnsi="宋体" w:cs="宋体" w:eastAsia="宋体" w:hint="default"/>
                <w:sz w:val="21"/>
                <w:szCs w:val="21"/>
              </w:rPr>
            </w:pPr>
            <w:r>
              <w:rPr>
                <w:rFonts w:ascii="宋体" w:hAnsi="宋体" w:cs="宋体" w:eastAsia="宋体" w:hint="default"/>
                <w:sz w:val="21"/>
                <w:szCs w:val="21"/>
              </w:rPr>
              <w:t>类别</w:t>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85" w:right="0"/>
              <w:jc w:val="center"/>
              <w:rPr>
                <w:rFonts w:ascii="宋体" w:hAnsi="宋体" w:cs="宋体" w:eastAsia="宋体" w:hint="default"/>
                <w:sz w:val="21"/>
                <w:szCs w:val="21"/>
              </w:rPr>
            </w:pPr>
            <w:r>
              <w:rPr>
                <w:rFonts w:ascii="宋体" w:hAnsi="宋体" w:cs="宋体" w:eastAsia="宋体" w:hint="default"/>
                <w:sz w:val="21"/>
                <w:szCs w:val="21"/>
              </w:rPr>
              <w:t>折旧年限（年）</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5"/>
              <w:jc w:val="center"/>
              <w:rPr>
                <w:rFonts w:ascii="宋体" w:hAnsi="宋体" w:cs="宋体" w:eastAsia="宋体" w:hint="default"/>
                <w:sz w:val="21"/>
                <w:szCs w:val="21"/>
              </w:rPr>
            </w:pPr>
            <w:r>
              <w:rPr>
                <w:rFonts w:ascii="宋体" w:hAnsi="宋体" w:cs="宋体" w:eastAsia="宋体" w:hint="default"/>
                <w:sz w:val="21"/>
                <w:szCs w:val="21"/>
              </w:rPr>
              <w:t>残值率（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79" w:right="0"/>
              <w:jc w:val="center"/>
              <w:rPr>
                <w:rFonts w:ascii="宋体" w:hAnsi="宋体" w:cs="宋体" w:eastAsia="宋体" w:hint="default"/>
                <w:sz w:val="21"/>
                <w:szCs w:val="21"/>
              </w:rPr>
            </w:pPr>
            <w:r>
              <w:rPr>
                <w:rFonts w:ascii="宋体" w:hAnsi="宋体" w:cs="宋体" w:eastAsia="宋体" w:hint="default"/>
                <w:sz w:val="21"/>
                <w:szCs w:val="21"/>
              </w:rPr>
              <w:t>年折旧率（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85" w:hRule="exact"/>
        </w:trPr>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4"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85" w:right="0"/>
              <w:jc w:val="center"/>
              <w:rPr>
                <w:rFonts w:ascii="Times New Roman" w:hAnsi="Times New Roman" w:cs="Times New Roman" w:eastAsia="Times New Roman" w:hint="default"/>
                <w:sz w:val="21"/>
                <w:szCs w:val="21"/>
              </w:rPr>
            </w:pPr>
            <w:r>
              <w:rPr>
                <w:rFonts w:ascii="Times New Roman"/>
                <w:sz w:val="21"/>
              </w:rPr>
              <w:t>20</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4"/>
              <w:jc w:val="center"/>
              <w:rPr>
                <w:rFonts w:ascii="Times New Roman" w:hAnsi="Times New Roman" w:cs="Times New Roman" w:eastAsia="Times New Roman" w:hint="default"/>
                <w:sz w:val="21"/>
                <w:szCs w:val="21"/>
              </w:rPr>
            </w:pPr>
            <w:r>
              <w:rPr>
                <w:rFonts w:ascii="Times New Roman"/>
                <w:sz w:val="21"/>
              </w:rPr>
              <w:t>5</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79" w:right="0"/>
              <w:jc w:val="center"/>
              <w:rPr>
                <w:rFonts w:ascii="Times New Roman" w:hAnsi="Times New Roman" w:cs="Times New Roman" w:eastAsia="Times New Roman" w:hint="default"/>
                <w:sz w:val="21"/>
                <w:szCs w:val="21"/>
              </w:rPr>
            </w:pPr>
            <w:r>
              <w:rPr>
                <w:rFonts w:ascii="Times New Roman"/>
                <w:sz w:val="21"/>
              </w:rPr>
              <w:t>4.75</w:t>
            </w:r>
          </w:p>
        </w:tc>
      </w:tr>
      <w:tr>
        <w:trPr>
          <w:trHeight w:val="385" w:hRule="exact"/>
        </w:trPr>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4"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85" w:right="0"/>
              <w:jc w:val="center"/>
              <w:rPr>
                <w:rFonts w:ascii="Times New Roman" w:hAnsi="Times New Roman" w:cs="Times New Roman" w:eastAsia="Times New Roman" w:hint="default"/>
                <w:sz w:val="21"/>
                <w:szCs w:val="21"/>
              </w:rPr>
            </w:pPr>
            <w:r>
              <w:rPr>
                <w:rFonts w:ascii="Times New Roman"/>
                <w:sz w:val="21"/>
              </w:rPr>
              <w:t>5</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4"/>
              <w:jc w:val="center"/>
              <w:rPr>
                <w:rFonts w:ascii="Times New Roman" w:hAnsi="Times New Roman" w:cs="Times New Roman" w:eastAsia="Times New Roman" w:hint="default"/>
                <w:sz w:val="21"/>
                <w:szCs w:val="21"/>
              </w:rPr>
            </w:pPr>
            <w:r>
              <w:rPr>
                <w:rFonts w:ascii="Times New Roman"/>
                <w:sz w:val="21"/>
              </w:rPr>
              <w:t>5</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80" w:right="0"/>
              <w:jc w:val="center"/>
              <w:rPr>
                <w:rFonts w:ascii="Times New Roman" w:hAnsi="Times New Roman" w:cs="Times New Roman" w:eastAsia="Times New Roman" w:hint="default"/>
                <w:sz w:val="21"/>
                <w:szCs w:val="21"/>
              </w:rPr>
            </w:pPr>
            <w:r>
              <w:rPr>
                <w:rFonts w:ascii="Times New Roman"/>
                <w:sz w:val="21"/>
              </w:rPr>
              <w:t>19</w:t>
            </w:r>
          </w:p>
        </w:tc>
      </w:tr>
      <w:tr>
        <w:trPr>
          <w:trHeight w:val="384" w:hRule="exact"/>
        </w:trPr>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4"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85" w:right="0"/>
              <w:jc w:val="center"/>
              <w:rPr>
                <w:rFonts w:ascii="Times New Roman" w:hAnsi="Times New Roman" w:cs="Times New Roman" w:eastAsia="Times New Roman" w:hint="default"/>
                <w:sz w:val="21"/>
                <w:szCs w:val="21"/>
              </w:rPr>
            </w:pPr>
            <w:r>
              <w:rPr>
                <w:rFonts w:ascii="Times New Roman"/>
                <w:sz w:val="21"/>
              </w:rPr>
              <w:t>5</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4"/>
              <w:jc w:val="center"/>
              <w:rPr>
                <w:rFonts w:ascii="Times New Roman" w:hAnsi="Times New Roman" w:cs="Times New Roman" w:eastAsia="Times New Roman" w:hint="default"/>
                <w:sz w:val="21"/>
                <w:szCs w:val="21"/>
              </w:rPr>
            </w:pPr>
            <w:r>
              <w:rPr>
                <w:rFonts w:ascii="Times New Roman"/>
                <w:sz w:val="21"/>
              </w:rPr>
              <w:t>5</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80" w:right="0"/>
              <w:jc w:val="center"/>
              <w:rPr>
                <w:rFonts w:ascii="Times New Roman" w:hAnsi="Times New Roman" w:cs="Times New Roman" w:eastAsia="Times New Roman" w:hint="default"/>
                <w:sz w:val="21"/>
                <w:szCs w:val="21"/>
              </w:rPr>
            </w:pPr>
            <w:r>
              <w:rPr>
                <w:rFonts w:ascii="Times New Roman"/>
                <w:sz w:val="21"/>
              </w:rPr>
              <w:t>19</w:t>
            </w:r>
          </w:p>
        </w:tc>
      </w:tr>
      <w:tr>
        <w:trPr>
          <w:trHeight w:val="385" w:hRule="exact"/>
        </w:trPr>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ATM</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柜员机</w:t>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85" w:right="0"/>
              <w:jc w:val="center"/>
              <w:rPr>
                <w:rFonts w:ascii="Times New Roman" w:hAnsi="Times New Roman" w:cs="Times New Roman" w:eastAsia="Times New Roman" w:hint="default"/>
                <w:sz w:val="21"/>
                <w:szCs w:val="21"/>
              </w:rPr>
            </w:pPr>
            <w:r>
              <w:rPr>
                <w:rFonts w:ascii="Times New Roman"/>
                <w:sz w:val="21"/>
              </w:rPr>
              <w:t>8</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4"/>
              <w:jc w:val="center"/>
              <w:rPr>
                <w:rFonts w:ascii="Times New Roman" w:hAnsi="Times New Roman" w:cs="Times New Roman" w:eastAsia="Times New Roman" w:hint="default"/>
                <w:sz w:val="21"/>
                <w:szCs w:val="21"/>
              </w:rPr>
            </w:pPr>
            <w:r>
              <w:rPr>
                <w:rFonts w:ascii="Times New Roman"/>
                <w:sz w:val="21"/>
              </w:rPr>
              <w:t>5</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80" w:right="0"/>
              <w:jc w:val="center"/>
              <w:rPr>
                <w:rFonts w:ascii="Times New Roman" w:hAnsi="Times New Roman" w:cs="Times New Roman" w:eastAsia="Times New Roman" w:hint="default"/>
                <w:sz w:val="21"/>
                <w:szCs w:val="21"/>
              </w:rPr>
            </w:pPr>
            <w:r>
              <w:rPr>
                <w:rFonts w:ascii="Times New Roman"/>
                <w:sz w:val="21"/>
              </w:rPr>
              <w:t>11.875</w:t>
            </w:r>
          </w:p>
        </w:tc>
      </w:tr>
      <w:tr>
        <w:trPr>
          <w:trHeight w:val="390" w:hRule="exact"/>
        </w:trPr>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4"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85" w:right="0"/>
              <w:jc w:val="center"/>
              <w:rPr>
                <w:rFonts w:ascii="Times New Roman" w:hAnsi="Times New Roman" w:cs="Times New Roman" w:eastAsia="Times New Roman" w:hint="default"/>
                <w:sz w:val="21"/>
                <w:szCs w:val="21"/>
              </w:rPr>
            </w:pPr>
            <w:r>
              <w:rPr>
                <w:rFonts w:ascii="Times New Roman"/>
                <w:sz w:val="21"/>
              </w:rPr>
              <w:t>5</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4"/>
              <w:jc w:val="center"/>
              <w:rPr>
                <w:rFonts w:ascii="Times New Roman" w:hAnsi="Times New Roman" w:cs="Times New Roman" w:eastAsia="Times New Roman" w:hint="default"/>
                <w:sz w:val="21"/>
                <w:szCs w:val="21"/>
              </w:rPr>
            </w:pPr>
            <w:r>
              <w:rPr>
                <w:rFonts w:ascii="Times New Roman"/>
                <w:sz w:val="21"/>
              </w:rPr>
              <w:t>5</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80" w:right="0"/>
              <w:jc w:val="center"/>
              <w:rPr>
                <w:rFonts w:ascii="Times New Roman" w:hAnsi="Times New Roman" w:cs="Times New Roman" w:eastAsia="Times New Roman" w:hint="default"/>
                <w:sz w:val="21"/>
                <w:szCs w:val="21"/>
              </w:rPr>
            </w:pPr>
            <w:r>
              <w:rPr>
                <w:rFonts w:ascii="Times New Roman"/>
                <w:sz w:val="21"/>
              </w:rPr>
              <w:t>19</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tabs>
          <w:tab w:pos="1396" w:val="left" w:leader="none"/>
        </w:tabs>
        <w:spacing w:line="348" w:lineRule="auto" w:before="35"/>
        <w:ind w:left="1400" w:right="193"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固定资产的减值测试方法、减值准备计提方法</w:t>
      </w:r>
      <w:r>
        <w:rPr>
          <w:rFonts w:ascii="宋体" w:hAnsi="宋体" w:cs="宋体" w:eastAsia="宋体" w:hint="default"/>
          <w:b/>
          <w:bCs/>
          <w:w w:val="99"/>
          <w:sz w:val="21"/>
          <w:szCs w:val="21"/>
        </w:rPr>
        <w:t> </w:t>
      </w:r>
      <w:r>
        <w:rPr>
          <w:rFonts w:ascii="宋体" w:hAnsi="宋体" w:cs="宋体" w:eastAsia="宋体" w:hint="default"/>
          <w:sz w:val="21"/>
          <w:szCs w:val="21"/>
        </w:rPr>
        <w:t>公司在每期末判断固定资产是否存在可能发生减值的迹象。 </w:t>
      </w:r>
      <w:r>
        <w:rPr>
          <w:rFonts w:ascii="宋体" w:hAnsi="宋体" w:cs="宋体" w:eastAsia="宋体" w:hint="default"/>
          <w:spacing w:val="-3"/>
          <w:sz w:val="21"/>
          <w:szCs w:val="21"/>
        </w:rPr>
        <w:t>固定资产存在减值迹象的，估计其可收回金额。可收回金额根据固定资产的公</w:t>
      </w:r>
      <w:r>
        <w:rPr>
          <w:rFonts w:ascii="宋体" w:hAnsi="宋体" w:cs="宋体" w:eastAsia="宋体" w:hint="default"/>
          <w:sz w:val="21"/>
          <w:szCs w:val="21"/>
        </w:rPr>
        <w:t> </w:t>
      </w:r>
      <w:r>
        <w:rPr>
          <w:rFonts w:ascii="宋体" w:hAnsi="宋体" w:cs="宋体" w:eastAsia="宋体" w:hint="default"/>
          <w:spacing w:val="3"/>
          <w:sz w:val="21"/>
          <w:szCs w:val="21"/>
        </w:rPr>
        <w:t>允价值减去处置费用后的净额与固定资产预计未来现金流量的现值两者之间</w:t>
      </w:r>
      <w:r>
        <w:rPr>
          <w:rFonts w:ascii="宋体" w:hAnsi="宋体" w:cs="宋体" w:eastAsia="宋体" w:hint="default"/>
          <w:spacing w:val="3"/>
          <w:sz w:val="21"/>
          <w:szCs w:val="21"/>
        </w:rPr>
        <w:t> </w:t>
      </w:r>
      <w:r>
        <w:rPr>
          <w:rFonts w:ascii="宋体" w:hAnsi="宋体" w:cs="宋体" w:eastAsia="宋体" w:hint="default"/>
          <w:sz w:val="21"/>
          <w:szCs w:val="21"/>
        </w:rPr>
        <w:t>较高者确定。</w:t>
      </w:r>
      <w:r>
        <w:rPr>
          <w:rFonts w:ascii="宋体" w:hAnsi="宋体" w:cs="宋体" w:eastAsia="宋体" w:hint="default"/>
          <w:sz w:val="21"/>
          <w:szCs w:val="21"/>
        </w:rPr>
        <w:t> </w:t>
      </w:r>
      <w:r>
        <w:rPr>
          <w:rFonts w:ascii="宋体" w:hAnsi="宋体" w:cs="宋体" w:eastAsia="宋体" w:hint="default"/>
          <w:spacing w:val="-3"/>
          <w:sz w:val="21"/>
          <w:szCs w:val="21"/>
        </w:rPr>
        <w:t>当固定资产的可收回金额低于其账面价值的，将固定资产的账面价值减记至可</w:t>
      </w:r>
      <w:r>
        <w:rPr>
          <w:rFonts w:ascii="宋体" w:hAnsi="宋体" w:cs="宋体" w:eastAsia="宋体" w:hint="default"/>
          <w:sz w:val="21"/>
          <w:szCs w:val="21"/>
        </w:rPr>
        <w:t> </w:t>
      </w:r>
      <w:r>
        <w:rPr>
          <w:rFonts w:ascii="宋体" w:hAnsi="宋体" w:cs="宋体" w:eastAsia="宋体" w:hint="default"/>
          <w:spacing w:val="-3"/>
          <w:sz w:val="21"/>
          <w:szCs w:val="21"/>
        </w:rPr>
        <w:t>收回金额，减记的金额确认为固定资产减值损失，计入当期损益，同时计提相</w:t>
      </w:r>
      <w:r>
        <w:rPr>
          <w:rFonts w:ascii="宋体" w:hAnsi="宋体" w:cs="宋体" w:eastAsia="宋体" w:hint="default"/>
          <w:sz w:val="21"/>
          <w:szCs w:val="21"/>
        </w:rPr>
        <w:t> 应的固定资产减值准备。 </w:t>
      </w:r>
      <w:r>
        <w:rPr>
          <w:rFonts w:ascii="宋体" w:hAnsi="宋体" w:cs="宋体" w:eastAsia="宋体" w:hint="default"/>
          <w:spacing w:val="-3"/>
          <w:sz w:val="21"/>
          <w:szCs w:val="21"/>
        </w:rPr>
        <w:t>固定资产减值损失确认后，减值固定资产的折旧在未来期间作相应调整，以使</w:t>
      </w:r>
      <w:r>
        <w:rPr>
          <w:rFonts w:ascii="宋体" w:hAnsi="宋体" w:cs="宋体" w:eastAsia="宋体" w:hint="default"/>
          <w:sz w:val="21"/>
          <w:szCs w:val="21"/>
        </w:rPr>
        <w:t> </w:t>
      </w:r>
      <w:r>
        <w:rPr>
          <w:rFonts w:ascii="宋体" w:hAnsi="宋体" w:cs="宋体" w:eastAsia="宋体" w:hint="default"/>
          <w:spacing w:val="-3"/>
          <w:sz w:val="21"/>
          <w:szCs w:val="21"/>
        </w:rPr>
        <w:t>该固定资产在剩余使用寿命内，系统地分摊调整后的固定资产账面价值（扣除</w:t>
      </w:r>
      <w:r>
        <w:rPr>
          <w:rFonts w:ascii="宋体" w:hAnsi="宋体" w:cs="宋体" w:eastAsia="宋体" w:hint="default"/>
          <w:sz w:val="21"/>
          <w:szCs w:val="21"/>
        </w:rPr>
        <w:t> </w:t>
      </w:r>
      <w:r>
        <w:rPr>
          <w:rFonts w:ascii="宋体" w:hAnsi="宋体" w:cs="宋体" w:eastAsia="宋体" w:hint="default"/>
          <w:spacing w:val="-16"/>
          <w:sz w:val="21"/>
          <w:szCs w:val="21"/>
        </w:rPr>
        <w:t>预计净残值）。</w:t>
      </w:r>
    </w:p>
    <w:p>
      <w:pPr>
        <w:spacing w:line="350" w:lineRule="auto" w:before="31"/>
        <w:ind w:left="1400" w:right="186" w:firstLine="0"/>
        <w:jc w:val="left"/>
        <w:rPr>
          <w:rFonts w:ascii="宋体" w:hAnsi="宋体" w:cs="宋体" w:eastAsia="宋体" w:hint="default"/>
          <w:sz w:val="21"/>
          <w:szCs w:val="21"/>
        </w:rPr>
      </w:pPr>
      <w:r>
        <w:rPr>
          <w:rFonts w:ascii="宋体" w:hAnsi="宋体" w:cs="宋体" w:eastAsia="宋体" w:hint="default"/>
          <w:sz w:val="21"/>
          <w:szCs w:val="21"/>
        </w:rPr>
        <w:t>固定资产的减值损失一经确认，在以后会计期间不再转回。 </w:t>
      </w:r>
      <w:r>
        <w:rPr>
          <w:rFonts w:ascii="宋体" w:hAnsi="宋体" w:cs="宋体" w:eastAsia="宋体" w:hint="default"/>
          <w:spacing w:val="-3"/>
          <w:sz w:val="21"/>
          <w:szCs w:val="21"/>
        </w:rPr>
        <w:t>有迹象表明一项固定资产可能发生减值的，企业以单项固定资产为基础估计其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可收回金额。企业难以对单项固定资产的可收回金额进行估计的，以该固定资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产所属的资产组为基础确定资产组的可收回金额。</w:t>
      </w:r>
    </w:p>
    <w:p>
      <w:pPr>
        <w:spacing w:line="240" w:lineRule="auto" w:before="0"/>
        <w:rPr>
          <w:rFonts w:ascii="宋体" w:hAnsi="宋体" w:cs="宋体" w:eastAsia="宋体" w:hint="default"/>
          <w:sz w:val="20"/>
          <w:szCs w:val="20"/>
        </w:rPr>
      </w:pPr>
    </w:p>
    <w:p>
      <w:pPr>
        <w:tabs>
          <w:tab w:pos="1396" w:val="left" w:leader="none"/>
        </w:tabs>
        <w:spacing w:line="340" w:lineRule="auto" w:before="166"/>
        <w:ind w:left="1400" w:right="197"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融资租入固定资产的认定依据、计价方法</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公司与租赁方所签订的租赁协议条款中规定了下列条件之一的，确认为融资租</w:t>
      </w:r>
      <w:r>
        <w:rPr>
          <w:rFonts w:ascii="宋体" w:hAnsi="宋体" w:cs="宋体" w:eastAsia="宋体" w:hint="default"/>
          <w:sz w:val="21"/>
          <w:szCs w:val="21"/>
        </w:rPr>
        <w:t> 入资产：</w:t>
      </w:r>
    </w:p>
    <w:p>
      <w:pPr>
        <w:spacing w:after="0" w:line="340" w:lineRule="auto"/>
        <w:jc w:val="left"/>
        <w:rPr>
          <w:rFonts w:ascii="宋体" w:hAnsi="宋体" w:cs="宋体" w:eastAsia="宋体" w:hint="default"/>
          <w:sz w:val="21"/>
          <w:szCs w:val="21"/>
        </w:rPr>
        <w:sectPr>
          <w:pgSz w:w="11910" w:h="16840"/>
          <w:pgMar w:header="885" w:footer="1256" w:top="1120" w:bottom="1440" w:left="1660" w:right="1600"/>
        </w:sectPr>
      </w:pPr>
    </w:p>
    <w:p>
      <w:pPr>
        <w:spacing w:line="240" w:lineRule="auto" w:before="10"/>
        <w:rPr>
          <w:rFonts w:ascii="宋体" w:hAnsi="宋体" w:cs="宋体" w:eastAsia="宋体" w:hint="default"/>
          <w:sz w:val="28"/>
          <w:szCs w:val="28"/>
        </w:rPr>
      </w:pPr>
    </w:p>
    <w:p>
      <w:pPr>
        <w:spacing w:before="35"/>
        <w:ind w:left="1400" w:right="11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）租赁期满后租赁资产的所有权归属于本公司；</w:t>
      </w:r>
    </w:p>
    <w:p>
      <w:pPr>
        <w:spacing w:line="331" w:lineRule="auto" w:before="109"/>
        <w:ind w:left="1400" w:right="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）公司具有购买资产的选择权，购买价款远低于行使选择权时该资产的公</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允价值；</w:t>
      </w:r>
    </w:p>
    <w:p>
      <w:pPr>
        <w:spacing w:before="45"/>
        <w:ind w:left="1400" w:right="11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）租赁期占所租赁资产使用寿命的大部分；</w:t>
      </w:r>
    </w:p>
    <w:p>
      <w:pPr>
        <w:spacing w:line="345" w:lineRule="auto" w:before="109"/>
        <w:ind w:left="1400" w:right="12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）租赁开始日的最低租赁付款额现值，与该资产的公允价值不存在较大的</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差异。 </w:t>
      </w:r>
      <w:r>
        <w:rPr>
          <w:rFonts w:ascii="宋体" w:hAnsi="宋体" w:cs="宋体" w:eastAsia="宋体" w:hint="default"/>
          <w:spacing w:val="-3"/>
          <w:sz w:val="21"/>
          <w:szCs w:val="21"/>
        </w:rPr>
        <w:t>公司在承租开始日，将租赁资产公允价值与最低租赁付款额现值两者中较低者</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作为租入资产的入账价值，将最低租赁付款额作为长期应付款的入账价值，其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差额作为未确认的融资费。</w:t>
      </w:r>
    </w:p>
    <w:p>
      <w:pPr>
        <w:spacing w:line="240" w:lineRule="auto" w:before="0"/>
        <w:rPr>
          <w:rFonts w:ascii="宋体" w:hAnsi="宋体" w:cs="宋体" w:eastAsia="宋体" w:hint="default"/>
          <w:sz w:val="20"/>
          <w:szCs w:val="20"/>
        </w:rPr>
      </w:pPr>
    </w:p>
    <w:p>
      <w:pPr>
        <w:spacing w:before="170"/>
        <w:ind w:left="125" w:right="11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在建工程</w:t>
      </w:r>
      <w:r>
        <w:rPr>
          <w:rFonts w:ascii="宋体" w:hAnsi="宋体" w:cs="宋体" w:eastAsia="宋体" w:hint="default"/>
          <w:sz w:val="21"/>
          <w:szCs w:val="21"/>
        </w:rPr>
      </w:r>
    </w:p>
    <w:p>
      <w:pPr>
        <w:tabs>
          <w:tab w:pos="1396" w:val="left" w:leader="none"/>
        </w:tabs>
        <w:spacing w:before="110"/>
        <w:ind w:left="857" w:right="11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在建工程的类别</w:t>
      </w:r>
      <w:r>
        <w:rPr>
          <w:rFonts w:ascii="宋体" w:hAnsi="宋体" w:cs="宋体" w:eastAsia="宋体" w:hint="default"/>
          <w:sz w:val="21"/>
          <w:szCs w:val="21"/>
        </w:rPr>
      </w:r>
    </w:p>
    <w:p>
      <w:pPr>
        <w:spacing w:line="328" w:lineRule="auto" w:before="109"/>
        <w:ind w:left="1400" w:right="122" w:firstLine="0"/>
        <w:jc w:val="left"/>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1</w:t>
      </w:r>
      <w:r>
        <w:rPr>
          <w:rFonts w:ascii="宋体" w:hAnsi="宋体" w:cs="宋体" w:eastAsia="宋体" w:hint="default"/>
          <w:spacing w:val="-3"/>
          <w:sz w:val="21"/>
          <w:szCs w:val="21"/>
        </w:rPr>
        <w:t>）安装</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调试的自产</w:t>
      </w:r>
      <w:r>
        <w:rPr>
          <w:rFonts w:ascii="宋体" w:hAnsi="宋体" w:cs="宋体" w:eastAsia="宋体" w:hint="default"/>
          <w:spacing w:val="-62"/>
          <w:sz w:val="21"/>
          <w:szCs w:val="21"/>
        </w:rPr>
        <w:t> </w:t>
      </w:r>
      <w:r>
        <w:rPr>
          <w:rFonts w:ascii="宋体" w:hAnsi="宋体" w:cs="宋体" w:eastAsia="宋体" w:hint="default"/>
          <w:sz w:val="21"/>
          <w:szCs w:val="21"/>
        </w:rPr>
        <w:t>ATM</w:t>
      </w:r>
      <w:r>
        <w:rPr>
          <w:rFonts w:ascii="宋体" w:hAnsi="宋体" w:cs="宋体" w:eastAsia="宋体" w:hint="default"/>
          <w:spacing w:val="-61"/>
          <w:sz w:val="21"/>
          <w:szCs w:val="21"/>
        </w:rPr>
        <w:t> </w:t>
      </w:r>
      <w:r>
        <w:rPr>
          <w:rFonts w:ascii="宋体" w:hAnsi="宋体" w:cs="宋体" w:eastAsia="宋体" w:hint="default"/>
          <w:sz w:val="21"/>
          <w:szCs w:val="21"/>
        </w:rPr>
        <w:t>柜员机：本公司发出的用来与银行合作分享手续费</w:t>
      </w:r>
      <w:r>
        <w:rPr>
          <w:rFonts w:ascii="宋体" w:hAnsi="宋体" w:cs="宋体" w:eastAsia="宋体" w:hint="default"/>
          <w:sz w:val="21"/>
          <w:szCs w:val="21"/>
        </w:rPr>
        <w:t> 及租赁给银行的尚在安装调试的</w:t>
      </w:r>
      <w:r>
        <w:rPr>
          <w:rFonts w:ascii="宋体" w:hAnsi="宋体" w:cs="宋体" w:eastAsia="宋体" w:hint="default"/>
          <w:spacing w:val="-53"/>
          <w:sz w:val="21"/>
          <w:szCs w:val="21"/>
        </w:rPr>
        <w:t> </w:t>
      </w:r>
      <w:r>
        <w:rPr>
          <w:rFonts w:ascii="宋体" w:hAnsi="宋体" w:cs="宋体" w:eastAsia="宋体" w:hint="default"/>
          <w:sz w:val="21"/>
          <w:szCs w:val="21"/>
        </w:rPr>
        <w:t>ATM</w:t>
      </w:r>
      <w:r>
        <w:rPr>
          <w:rFonts w:ascii="宋体" w:hAnsi="宋体" w:cs="宋体" w:eastAsia="宋体" w:hint="default"/>
          <w:spacing w:val="-52"/>
          <w:sz w:val="21"/>
          <w:szCs w:val="21"/>
        </w:rPr>
        <w:t> </w:t>
      </w:r>
      <w:r>
        <w:rPr>
          <w:rFonts w:ascii="宋体" w:hAnsi="宋体" w:cs="宋体" w:eastAsia="宋体" w:hint="default"/>
          <w:sz w:val="21"/>
          <w:szCs w:val="21"/>
        </w:rPr>
        <w:t>柜员机。</w:t>
      </w:r>
    </w:p>
    <w:p>
      <w:pPr>
        <w:spacing w:before="48"/>
        <w:ind w:left="1400" w:right="11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）其它在建工程以立项项目分类核算。</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1396" w:val="left" w:leader="none"/>
        </w:tabs>
        <w:spacing w:line="345" w:lineRule="auto" w:before="0"/>
        <w:ind w:left="1400" w:right="137"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在建工程结转为固定资产的标准和时点</w:t>
      </w:r>
      <w:r>
        <w:rPr>
          <w:rFonts w:ascii="宋体" w:hAnsi="宋体" w:cs="宋体" w:eastAsia="宋体" w:hint="default"/>
          <w:b/>
          <w:bCs/>
          <w:w w:val="99"/>
          <w:sz w:val="21"/>
          <w:szCs w:val="21"/>
        </w:rPr>
        <w:t> </w:t>
      </w:r>
      <w:r>
        <w:rPr>
          <w:rFonts w:ascii="宋体" w:hAnsi="宋体" w:cs="宋体" w:eastAsia="宋体" w:hint="default"/>
          <w:spacing w:val="-3"/>
          <w:sz w:val="21"/>
          <w:szCs w:val="21"/>
        </w:rPr>
        <w:t>在建工程项目按建造该项资产达到预定可使用状态前所发生的全部支出，作为</w:t>
      </w:r>
      <w:r>
        <w:rPr>
          <w:rFonts w:ascii="宋体" w:hAnsi="宋体" w:cs="宋体" w:eastAsia="宋体" w:hint="default"/>
          <w:sz w:val="21"/>
          <w:szCs w:val="21"/>
        </w:rPr>
        <w:t> </w:t>
      </w:r>
      <w:r>
        <w:rPr>
          <w:rFonts w:ascii="宋体" w:hAnsi="宋体" w:cs="宋体" w:eastAsia="宋体" w:hint="default"/>
          <w:spacing w:val="-3"/>
          <w:sz w:val="21"/>
          <w:szCs w:val="21"/>
        </w:rPr>
        <w:t>固定资产的入账价值。所建造的固定资产在建工程已达到预定可使用状态，但</w:t>
      </w:r>
      <w:r>
        <w:rPr>
          <w:rFonts w:ascii="宋体" w:hAnsi="宋体" w:cs="宋体" w:eastAsia="宋体" w:hint="default"/>
          <w:sz w:val="21"/>
          <w:szCs w:val="21"/>
        </w:rPr>
        <w:t> </w:t>
      </w:r>
      <w:r>
        <w:rPr>
          <w:rFonts w:ascii="宋体" w:hAnsi="宋体" w:cs="宋体" w:eastAsia="宋体" w:hint="default"/>
          <w:spacing w:val="-3"/>
          <w:sz w:val="21"/>
          <w:szCs w:val="21"/>
        </w:rPr>
        <w:t>尚未办理竣工决算的，自达到预定可使用状态之日起，根据工程预算、造价或</w:t>
      </w:r>
      <w:r>
        <w:rPr>
          <w:rFonts w:ascii="宋体" w:hAnsi="宋体" w:cs="宋体" w:eastAsia="宋体" w:hint="default"/>
          <w:sz w:val="21"/>
          <w:szCs w:val="21"/>
        </w:rPr>
        <w:t> </w:t>
      </w:r>
      <w:r>
        <w:rPr>
          <w:rFonts w:ascii="宋体" w:hAnsi="宋体" w:cs="宋体" w:eastAsia="宋体" w:hint="default"/>
          <w:spacing w:val="-3"/>
          <w:sz w:val="21"/>
          <w:szCs w:val="21"/>
        </w:rPr>
        <w:t>者工程实际成本等，按估计的价值转入固定资产，并按本公司固定资产折旧政</w:t>
      </w:r>
      <w:r>
        <w:rPr>
          <w:rFonts w:ascii="宋体" w:hAnsi="宋体" w:cs="宋体" w:eastAsia="宋体" w:hint="default"/>
          <w:sz w:val="21"/>
          <w:szCs w:val="21"/>
        </w:rPr>
        <w:t> </w:t>
      </w:r>
      <w:r>
        <w:rPr>
          <w:rFonts w:ascii="宋体" w:hAnsi="宋体" w:cs="宋体" w:eastAsia="宋体" w:hint="default"/>
          <w:spacing w:val="-3"/>
          <w:sz w:val="21"/>
          <w:szCs w:val="21"/>
        </w:rPr>
        <w:t>策计提固定资产的折旧，待办理竣工决算后，再按实际成本调整原来的暂估价</w:t>
      </w:r>
      <w:r>
        <w:rPr>
          <w:rFonts w:ascii="宋体" w:hAnsi="宋体" w:cs="宋体" w:eastAsia="宋体" w:hint="default"/>
          <w:sz w:val="21"/>
          <w:szCs w:val="21"/>
        </w:rPr>
        <w:t> 值，但不调整原已计提的折旧额。</w:t>
      </w:r>
    </w:p>
    <w:p>
      <w:pPr>
        <w:spacing w:line="240" w:lineRule="auto" w:before="0"/>
        <w:rPr>
          <w:rFonts w:ascii="宋体" w:hAnsi="宋体" w:cs="宋体" w:eastAsia="宋体" w:hint="default"/>
          <w:sz w:val="20"/>
          <w:szCs w:val="20"/>
        </w:rPr>
      </w:pPr>
    </w:p>
    <w:p>
      <w:pPr>
        <w:tabs>
          <w:tab w:pos="1396" w:val="left" w:leader="none"/>
        </w:tabs>
        <w:spacing w:line="348" w:lineRule="auto" w:before="171"/>
        <w:ind w:left="1400" w:right="133"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在建工程的减值测试方法、减值准备计提方法</w:t>
      </w:r>
      <w:r>
        <w:rPr>
          <w:rFonts w:ascii="宋体" w:hAnsi="宋体" w:cs="宋体" w:eastAsia="宋体" w:hint="default"/>
          <w:b/>
          <w:bCs/>
          <w:w w:val="99"/>
          <w:sz w:val="21"/>
          <w:szCs w:val="21"/>
        </w:rPr>
        <w:t> </w:t>
      </w:r>
      <w:r>
        <w:rPr>
          <w:rFonts w:ascii="宋体" w:hAnsi="宋体" w:cs="宋体" w:eastAsia="宋体" w:hint="default"/>
          <w:sz w:val="21"/>
          <w:szCs w:val="21"/>
        </w:rPr>
        <w:t>公司在每期末判断在建工程是否存在可能发生减值的迹象。 </w:t>
      </w:r>
      <w:r>
        <w:rPr>
          <w:rFonts w:ascii="宋体" w:hAnsi="宋体" w:cs="宋体" w:eastAsia="宋体" w:hint="default"/>
          <w:spacing w:val="-3"/>
          <w:sz w:val="21"/>
          <w:szCs w:val="21"/>
        </w:rPr>
        <w:t>在建工程存在减值迹象的，估计其可收回金额。有迹象表明一项在建工程可能</w:t>
      </w:r>
      <w:r>
        <w:rPr>
          <w:rFonts w:ascii="宋体" w:hAnsi="宋体" w:cs="宋体" w:eastAsia="宋体" w:hint="default"/>
          <w:sz w:val="21"/>
          <w:szCs w:val="21"/>
        </w:rPr>
        <w:t> </w:t>
      </w:r>
      <w:r>
        <w:rPr>
          <w:rFonts w:ascii="宋体" w:hAnsi="宋体" w:cs="宋体" w:eastAsia="宋体" w:hint="default"/>
          <w:spacing w:val="-3"/>
          <w:sz w:val="21"/>
          <w:szCs w:val="21"/>
        </w:rPr>
        <w:t>发生减值的，企业以单项在建工程为基础估计其可收回金额。企业难以对单项</w:t>
      </w:r>
      <w:r>
        <w:rPr>
          <w:rFonts w:ascii="宋体" w:hAnsi="宋体" w:cs="宋体" w:eastAsia="宋体" w:hint="default"/>
          <w:sz w:val="21"/>
          <w:szCs w:val="21"/>
        </w:rPr>
        <w:t> </w:t>
      </w:r>
      <w:r>
        <w:rPr>
          <w:rFonts w:ascii="宋体" w:hAnsi="宋体" w:cs="宋体" w:eastAsia="宋体" w:hint="default"/>
          <w:spacing w:val="-3"/>
          <w:sz w:val="21"/>
          <w:szCs w:val="21"/>
        </w:rPr>
        <w:t>在建工程的可收回金额进行估计的，以该在建工程所属的资产组为基础确定资</w:t>
      </w:r>
      <w:r>
        <w:rPr>
          <w:rFonts w:ascii="宋体" w:hAnsi="宋体" w:cs="宋体" w:eastAsia="宋体" w:hint="default"/>
          <w:sz w:val="21"/>
          <w:szCs w:val="21"/>
        </w:rPr>
        <w:t> 产组的可收回金额。 </w:t>
      </w:r>
      <w:r>
        <w:rPr>
          <w:rFonts w:ascii="宋体" w:hAnsi="宋体" w:cs="宋体" w:eastAsia="宋体" w:hint="default"/>
          <w:spacing w:val="3"/>
          <w:sz w:val="21"/>
          <w:szCs w:val="21"/>
        </w:rPr>
        <w:t>可收回金额根据在建工程的公允价值减去处置费用后的净额与在建工程预计</w:t>
      </w:r>
      <w:r>
        <w:rPr>
          <w:rFonts w:ascii="宋体" w:hAnsi="宋体" w:cs="宋体" w:eastAsia="宋体" w:hint="default"/>
          <w:spacing w:val="3"/>
          <w:sz w:val="21"/>
          <w:szCs w:val="21"/>
        </w:rPr>
        <w:t> </w:t>
      </w:r>
      <w:r>
        <w:rPr>
          <w:rFonts w:ascii="宋体" w:hAnsi="宋体" w:cs="宋体" w:eastAsia="宋体" w:hint="default"/>
          <w:sz w:val="21"/>
          <w:szCs w:val="21"/>
        </w:rPr>
        <w:t>未来现金流量的现值两者之间较高者确定。</w:t>
      </w:r>
      <w:r>
        <w:rPr>
          <w:rFonts w:ascii="宋体" w:hAnsi="宋体" w:cs="宋体" w:eastAsia="宋体" w:hint="default"/>
          <w:sz w:val="21"/>
          <w:szCs w:val="21"/>
        </w:rPr>
        <w:t> </w:t>
      </w:r>
      <w:r>
        <w:rPr>
          <w:rFonts w:ascii="宋体" w:hAnsi="宋体" w:cs="宋体" w:eastAsia="宋体" w:hint="default"/>
          <w:spacing w:val="-3"/>
          <w:sz w:val="21"/>
          <w:szCs w:val="21"/>
        </w:rPr>
        <w:t>当在建工程的可收回金额低于其账面价值的，将在建工程的账面价值减记至可</w:t>
      </w:r>
      <w:r>
        <w:rPr>
          <w:rFonts w:ascii="宋体" w:hAnsi="宋体" w:cs="宋体" w:eastAsia="宋体" w:hint="default"/>
          <w:sz w:val="21"/>
          <w:szCs w:val="21"/>
        </w:rPr>
        <w:t> </w:t>
      </w:r>
      <w:r>
        <w:rPr>
          <w:rFonts w:ascii="宋体" w:hAnsi="宋体" w:cs="宋体" w:eastAsia="宋体" w:hint="default"/>
          <w:spacing w:val="-3"/>
          <w:sz w:val="21"/>
          <w:szCs w:val="21"/>
        </w:rPr>
        <w:t>收回金额，减记的金额确认为在建工程减值损失，计入当期损益，同时计提相</w:t>
      </w:r>
    </w:p>
    <w:p>
      <w:pPr>
        <w:spacing w:after="0" w:line="348" w:lineRule="auto"/>
        <w:jc w:val="left"/>
        <w:rPr>
          <w:rFonts w:ascii="宋体" w:hAnsi="宋体" w:cs="宋体" w:eastAsia="宋体" w:hint="default"/>
          <w:sz w:val="21"/>
          <w:szCs w:val="21"/>
        </w:rPr>
        <w:sectPr>
          <w:pgSz w:w="11910" w:h="16840"/>
          <w:pgMar w:header="885" w:footer="1256" w:top="1120" w:bottom="1440" w:left="1660" w:right="1660"/>
        </w:sectPr>
      </w:pPr>
    </w:p>
    <w:p>
      <w:pPr>
        <w:spacing w:line="240" w:lineRule="auto" w:before="10"/>
        <w:rPr>
          <w:rFonts w:ascii="宋体" w:hAnsi="宋体" w:cs="宋体" w:eastAsia="宋体" w:hint="default"/>
          <w:sz w:val="28"/>
          <w:szCs w:val="28"/>
        </w:rPr>
      </w:pPr>
    </w:p>
    <w:p>
      <w:pPr>
        <w:spacing w:line="348" w:lineRule="auto" w:before="35"/>
        <w:ind w:left="1400" w:right="1764" w:firstLine="0"/>
        <w:jc w:val="left"/>
        <w:rPr>
          <w:rFonts w:ascii="宋体" w:hAnsi="宋体" w:cs="宋体" w:eastAsia="宋体" w:hint="default"/>
          <w:sz w:val="21"/>
          <w:szCs w:val="21"/>
        </w:rPr>
      </w:pPr>
      <w:r>
        <w:rPr>
          <w:rFonts w:ascii="宋体" w:hAnsi="宋体" w:cs="宋体" w:eastAsia="宋体" w:hint="default"/>
          <w:sz w:val="21"/>
          <w:szCs w:val="21"/>
        </w:rPr>
        <w:t>应的在建工程减值准备。 在建工程的减值损失一经确认，在以后会计期间不再转回。</w:t>
      </w:r>
    </w:p>
    <w:p>
      <w:pPr>
        <w:spacing w:line="240" w:lineRule="auto" w:before="0"/>
        <w:rPr>
          <w:rFonts w:ascii="宋体" w:hAnsi="宋体" w:cs="宋体" w:eastAsia="宋体" w:hint="default"/>
          <w:sz w:val="20"/>
          <w:szCs w:val="20"/>
        </w:rPr>
      </w:pPr>
    </w:p>
    <w:p>
      <w:pPr>
        <w:spacing w:before="169"/>
        <w:ind w:left="125" w:right="9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十六</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借款费用</w:t>
      </w:r>
      <w:r>
        <w:rPr>
          <w:rFonts w:ascii="宋体" w:hAnsi="宋体" w:cs="宋体" w:eastAsia="宋体" w:hint="default"/>
          <w:sz w:val="21"/>
          <w:szCs w:val="21"/>
        </w:rPr>
      </w:r>
    </w:p>
    <w:p>
      <w:pPr>
        <w:tabs>
          <w:tab w:pos="1396" w:val="left" w:leader="none"/>
        </w:tabs>
        <w:spacing w:line="343" w:lineRule="auto" w:before="109"/>
        <w:ind w:left="1400" w:right="193"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借款费用资本化的确认原则</w:t>
      </w:r>
      <w:r>
        <w:rPr>
          <w:rFonts w:ascii="宋体" w:hAnsi="宋体" w:cs="宋体" w:eastAsia="宋体" w:hint="default"/>
          <w:b/>
          <w:bCs/>
          <w:w w:val="99"/>
          <w:sz w:val="21"/>
          <w:szCs w:val="21"/>
        </w:rPr>
        <w:t> </w:t>
      </w:r>
      <w:r>
        <w:rPr>
          <w:rFonts w:ascii="宋体" w:hAnsi="宋体" w:cs="宋体" w:eastAsia="宋体" w:hint="default"/>
          <w:spacing w:val="-3"/>
          <w:sz w:val="21"/>
          <w:szCs w:val="21"/>
        </w:rPr>
        <w:t>借款费用，包括借款利息、折价或者溢价的摊销、辅助费用以及因外币借款而</w:t>
      </w:r>
      <w:r>
        <w:rPr>
          <w:rFonts w:ascii="宋体" w:hAnsi="宋体" w:cs="宋体" w:eastAsia="宋体" w:hint="default"/>
          <w:sz w:val="21"/>
          <w:szCs w:val="21"/>
        </w:rPr>
        <w:t> 发生的汇兑差额等。 </w:t>
      </w:r>
      <w:r>
        <w:rPr>
          <w:rFonts w:ascii="宋体" w:hAnsi="宋体" w:cs="宋体" w:eastAsia="宋体" w:hint="default"/>
          <w:spacing w:val="3"/>
          <w:sz w:val="21"/>
          <w:szCs w:val="21"/>
        </w:rPr>
        <w:t>公司发生的借款费用，可直接归属于符合资本化条件的资产的购建或者生产</w:t>
      </w:r>
      <w:r>
        <w:rPr>
          <w:rFonts w:ascii="宋体" w:hAnsi="宋体" w:cs="宋体" w:eastAsia="宋体" w:hint="default"/>
          <w:spacing w:val="3"/>
          <w:sz w:val="21"/>
          <w:szCs w:val="21"/>
        </w:rPr>
        <w:t> </w:t>
      </w:r>
      <w:r>
        <w:rPr>
          <w:rFonts w:ascii="宋体" w:hAnsi="宋体" w:cs="宋体" w:eastAsia="宋体" w:hint="default"/>
          <w:spacing w:val="-3"/>
          <w:sz w:val="21"/>
          <w:szCs w:val="21"/>
        </w:rPr>
        <w:t>的，予以资本化，计入相关资产成本；其他借款费用，在发生时根据其发生额</w:t>
      </w:r>
      <w:r>
        <w:rPr>
          <w:rFonts w:ascii="宋体" w:hAnsi="宋体" w:cs="宋体" w:eastAsia="宋体" w:hint="default"/>
          <w:sz w:val="21"/>
          <w:szCs w:val="21"/>
        </w:rPr>
        <w:t> 确认为费用，计入当期损益。 </w:t>
      </w:r>
      <w:r>
        <w:rPr>
          <w:rFonts w:ascii="宋体" w:hAnsi="宋体" w:cs="宋体" w:eastAsia="宋体" w:hint="default"/>
          <w:spacing w:val="-3"/>
          <w:sz w:val="21"/>
          <w:szCs w:val="21"/>
        </w:rPr>
        <w:t>符合资本化条件的资产，是指需要经过相当长时间的购建或者生产活动才能达</w:t>
      </w:r>
      <w:r>
        <w:rPr>
          <w:rFonts w:ascii="宋体" w:hAnsi="宋体" w:cs="宋体" w:eastAsia="宋体" w:hint="default"/>
          <w:sz w:val="21"/>
          <w:szCs w:val="21"/>
        </w:rPr>
        <w:t> 到预定可使用或者可销售状态的固定资产、投资性房地产和存货等资产。 借款费用同时满足下列条件时开始资本化：</w:t>
      </w:r>
    </w:p>
    <w:p>
      <w:pPr>
        <w:spacing w:line="307" w:lineRule="auto" w:before="4"/>
        <w:ind w:left="1400" w:right="18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）资产支出已经发生，资产支出包括为购建或者生产符合资本化条件的资</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产而以支付现金、转移非现金资产或者承担带息债务形式发生的支出；</w:t>
      </w:r>
    </w:p>
    <w:p>
      <w:pPr>
        <w:spacing w:before="36"/>
        <w:ind w:left="1400"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）借款费用已经发生；</w:t>
      </w:r>
    </w:p>
    <w:p>
      <w:pPr>
        <w:spacing w:line="307" w:lineRule="auto" w:before="79"/>
        <w:ind w:left="1400" w:right="18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）为使资产达到预定可使用或者可销售状态所必要的购建或者生产活动已</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经开始。</w:t>
      </w:r>
    </w:p>
    <w:p>
      <w:pPr>
        <w:spacing w:line="240" w:lineRule="auto" w:before="0"/>
        <w:rPr>
          <w:rFonts w:ascii="宋体" w:hAnsi="宋体" w:cs="宋体" w:eastAsia="宋体" w:hint="default"/>
          <w:sz w:val="20"/>
          <w:szCs w:val="20"/>
        </w:rPr>
      </w:pPr>
    </w:p>
    <w:p>
      <w:pPr>
        <w:tabs>
          <w:tab w:pos="1396" w:val="left" w:leader="none"/>
        </w:tabs>
        <w:spacing w:line="321" w:lineRule="auto" w:before="144"/>
        <w:ind w:left="1400" w:right="10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借款费用资本化期间</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资本化期间，指从借款费用开始资本化时点到停止资本化时点的期间，借款费</w:t>
      </w:r>
      <w:r>
        <w:rPr>
          <w:rFonts w:ascii="宋体" w:hAnsi="宋体" w:cs="宋体" w:eastAsia="宋体" w:hint="default"/>
          <w:sz w:val="21"/>
          <w:szCs w:val="21"/>
        </w:rPr>
        <w:t> 用暂停资本化的期间不包括在内。 </w:t>
      </w:r>
      <w:r>
        <w:rPr>
          <w:rFonts w:ascii="宋体" w:hAnsi="宋体" w:cs="宋体" w:eastAsia="宋体" w:hint="default"/>
          <w:spacing w:val="-3"/>
          <w:sz w:val="21"/>
          <w:szCs w:val="21"/>
        </w:rPr>
        <w:t>当购建或者生产符合资本化条件的资产达到预定可使用或者可销售状态时，借</w:t>
      </w:r>
      <w:r>
        <w:rPr>
          <w:rFonts w:ascii="宋体" w:hAnsi="宋体" w:cs="宋体" w:eastAsia="宋体" w:hint="default"/>
          <w:sz w:val="21"/>
          <w:szCs w:val="21"/>
        </w:rPr>
        <w:t> 款费用停止资本化。 当购建或者生产符合资本化条件的资产中部分项目分别完工且可单独使用时， 该部分资产借款费用停止资本化。 </w:t>
      </w:r>
      <w:r>
        <w:rPr>
          <w:rFonts w:ascii="宋体" w:hAnsi="宋体" w:cs="宋体" w:eastAsia="宋体" w:hint="default"/>
          <w:spacing w:val="-3"/>
          <w:sz w:val="21"/>
          <w:szCs w:val="21"/>
        </w:rPr>
        <w:t>购建或者生产的资产的各部分分别完工，但必须等到整体完工后才可使用或可</w:t>
      </w:r>
      <w:r>
        <w:rPr>
          <w:rFonts w:ascii="宋体" w:hAnsi="宋体" w:cs="宋体" w:eastAsia="宋体" w:hint="default"/>
          <w:sz w:val="21"/>
          <w:szCs w:val="21"/>
        </w:rPr>
        <w:t> 对外销售的，在该资产整体完工时停止借款费用资本化。</w:t>
      </w:r>
    </w:p>
    <w:p>
      <w:pPr>
        <w:spacing w:line="240" w:lineRule="auto" w:before="0"/>
        <w:rPr>
          <w:rFonts w:ascii="宋体" w:hAnsi="宋体" w:cs="宋体" w:eastAsia="宋体" w:hint="default"/>
          <w:sz w:val="20"/>
          <w:szCs w:val="20"/>
        </w:rPr>
      </w:pPr>
    </w:p>
    <w:p>
      <w:pPr>
        <w:tabs>
          <w:tab w:pos="1396" w:val="left" w:leader="none"/>
        </w:tabs>
        <w:spacing w:line="316" w:lineRule="auto" w:before="132"/>
        <w:ind w:left="1400" w:right="195"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暂停资本化期间</w:t>
      </w:r>
      <w:r>
        <w:rPr>
          <w:rFonts w:ascii="宋体" w:hAnsi="宋体" w:cs="宋体" w:eastAsia="宋体" w:hint="default"/>
          <w:b/>
          <w:bCs/>
          <w:w w:val="99"/>
          <w:sz w:val="21"/>
          <w:szCs w:val="21"/>
        </w:rPr>
        <w:t> </w:t>
      </w:r>
      <w:r>
        <w:rPr>
          <w:rFonts w:ascii="宋体" w:hAnsi="宋体" w:cs="宋体" w:eastAsia="宋体" w:hint="default"/>
          <w:spacing w:val="-3"/>
          <w:sz w:val="21"/>
          <w:szCs w:val="21"/>
        </w:rPr>
        <w:t>符合资本化条件的资产在购建或生产过程中发生的非正常中断、且中断时间连</w:t>
      </w:r>
      <w:r>
        <w:rPr>
          <w:rFonts w:ascii="宋体" w:hAnsi="宋体" w:cs="宋体" w:eastAsia="宋体" w:hint="default"/>
          <w:sz w:val="21"/>
          <w:szCs w:val="21"/>
        </w:rPr>
        <w:t> 续超过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2"/>
          <w:sz w:val="21"/>
          <w:szCs w:val="21"/>
        </w:rPr>
        <w:t> </w:t>
      </w:r>
      <w:r>
        <w:rPr>
          <w:rFonts w:ascii="宋体" w:hAnsi="宋体" w:cs="宋体" w:eastAsia="宋体" w:hint="default"/>
          <w:spacing w:val="-4"/>
          <w:sz w:val="21"/>
          <w:szCs w:val="21"/>
        </w:rPr>
        <w:t>个月的，则借款费用暂停资本化；该项中断如是所购建或生产的符合</w:t>
      </w:r>
      <w:r>
        <w:rPr>
          <w:rFonts w:ascii="宋体" w:hAnsi="宋体" w:cs="宋体" w:eastAsia="宋体" w:hint="default"/>
          <w:sz w:val="21"/>
          <w:szCs w:val="21"/>
        </w:rPr>
        <w:t> </w:t>
      </w:r>
      <w:r>
        <w:rPr>
          <w:rFonts w:ascii="宋体" w:hAnsi="宋体" w:cs="宋体" w:eastAsia="宋体" w:hint="default"/>
          <w:spacing w:val="-3"/>
          <w:sz w:val="21"/>
          <w:szCs w:val="21"/>
        </w:rPr>
        <w:t>资本化条件的资产达到预定可使用状态或者可销售状态必要的程序，则借款费</w:t>
      </w:r>
      <w:r>
        <w:rPr>
          <w:rFonts w:ascii="宋体" w:hAnsi="宋体" w:cs="宋体" w:eastAsia="宋体" w:hint="default"/>
          <w:sz w:val="21"/>
          <w:szCs w:val="21"/>
        </w:rPr>
        <w:t> </w:t>
      </w:r>
      <w:r>
        <w:rPr>
          <w:rFonts w:ascii="宋体" w:hAnsi="宋体" w:cs="宋体" w:eastAsia="宋体" w:hint="default"/>
          <w:spacing w:val="-3"/>
          <w:sz w:val="21"/>
          <w:szCs w:val="21"/>
        </w:rPr>
        <w:t>用继续资本化。在中断期间发生的借款费用确认为当期损益，直至资产的购建</w:t>
      </w:r>
      <w:r>
        <w:rPr>
          <w:rFonts w:ascii="宋体" w:hAnsi="宋体" w:cs="宋体" w:eastAsia="宋体" w:hint="default"/>
          <w:sz w:val="21"/>
          <w:szCs w:val="21"/>
        </w:rPr>
        <w:t> 或者生产活动重新开始后借款费用继续资本化。</w:t>
      </w:r>
    </w:p>
    <w:p>
      <w:pPr>
        <w:spacing w:after="0" w:line="316" w:lineRule="auto"/>
        <w:jc w:val="left"/>
        <w:rPr>
          <w:rFonts w:ascii="宋体" w:hAnsi="宋体" w:cs="宋体" w:eastAsia="宋体" w:hint="default"/>
          <w:sz w:val="21"/>
          <w:szCs w:val="21"/>
        </w:rPr>
        <w:sectPr>
          <w:pgSz w:w="11910" w:h="16840"/>
          <w:pgMar w:header="885" w:footer="1256" w:top="1120" w:bottom="1440" w:left="1660" w:right="1600"/>
        </w:sectPr>
      </w:pPr>
    </w:p>
    <w:p>
      <w:pPr>
        <w:spacing w:line="240" w:lineRule="auto" w:before="6"/>
        <w:rPr>
          <w:rFonts w:ascii="宋体" w:hAnsi="宋体" w:cs="宋体" w:eastAsia="宋体" w:hint="default"/>
          <w:sz w:val="26"/>
          <w:szCs w:val="26"/>
        </w:rPr>
      </w:pPr>
    </w:p>
    <w:p>
      <w:pPr>
        <w:tabs>
          <w:tab w:pos="1396" w:val="left" w:leader="none"/>
        </w:tabs>
        <w:spacing w:line="321" w:lineRule="auto" w:before="35"/>
        <w:ind w:left="1400" w:right="193"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借款费用资本化金额的计算方法</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对于为购建或者生产符合资本化条件的资产而借入的专门借款，以专门借款当</w:t>
      </w:r>
      <w:r>
        <w:rPr>
          <w:rFonts w:ascii="宋体" w:hAnsi="宋体" w:cs="宋体" w:eastAsia="宋体" w:hint="default"/>
          <w:sz w:val="21"/>
          <w:szCs w:val="21"/>
        </w:rPr>
        <w:t> </w:t>
      </w:r>
      <w:r>
        <w:rPr>
          <w:rFonts w:ascii="宋体" w:hAnsi="宋体" w:cs="宋体" w:eastAsia="宋体" w:hint="default"/>
          <w:spacing w:val="-3"/>
          <w:sz w:val="21"/>
          <w:szCs w:val="21"/>
        </w:rPr>
        <w:t>期实际发生的借款费用，减去尚未动用的借款资金存入银行取得的利息收入或</w:t>
      </w:r>
      <w:r>
        <w:rPr>
          <w:rFonts w:ascii="宋体" w:hAnsi="宋体" w:cs="宋体" w:eastAsia="宋体" w:hint="default"/>
          <w:sz w:val="21"/>
          <w:szCs w:val="21"/>
        </w:rPr>
        <w:t> 进行暂时性投资取得的投资收益后的金额，来确定借款费用的资本化金额。 </w:t>
      </w:r>
      <w:r>
        <w:rPr>
          <w:rFonts w:ascii="宋体" w:hAnsi="宋体" w:cs="宋体" w:eastAsia="宋体" w:hint="default"/>
          <w:spacing w:val="-3"/>
          <w:sz w:val="21"/>
          <w:szCs w:val="21"/>
        </w:rPr>
        <w:t>对于为购建或者生产符合资本化条件的资产而占用的一般借款，根据累计资产</w:t>
      </w:r>
      <w:r>
        <w:rPr>
          <w:rFonts w:ascii="宋体" w:hAnsi="宋体" w:cs="宋体" w:eastAsia="宋体" w:hint="default"/>
          <w:sz w:val="21"/>
          <w:szCs w:val="21"/>
        </w:rPr>
        <w:t> </w:t>
      </w:r>
      <w:r>
        <w:rPr>
          <w:rFonts w:ascii="宋体" w:hAnsi="宋体" w:cs="宋体" w:eastAsia="宋体" w:hint="default"/>
          <w:spacing w:val="3"/>
          <w:sz w:val="21"/>
          <w:szCs w:val="21"/>
        </w:rPr>
        <w:t>支出超过专门借款部分的资产支出加权平均数乘以所占用一般借款的资本化</w:t>
      </w:r>
      <w:r>
        <w:rPr>
          <w:rFonts w:ascii="宋体" w:hAnsi="宋体" w:cs="宋体" w:eastAsia="宋体" w:hint="default"/>
          <w:spacing w:val="3"/>
          <w:sz w:val="21"/>
          <w:szCs w:val="21"/>
        </w:rPr>
        <w:t> </w:t>
      </w:r>
      <w:r>
        <w:rPr>
          <w:rFonts w:ascii="宋体" w:hAnsi="宋体" w:cs="宋体" w:eastAsia="宋体" w:hint="default"/>
          <w:spacing w:val="-3"/>
          <w:sz w:val="21"/>
          <w:szCs w:val="21"/>
        </w:rPr>
        <w:t>率，计算确定一般借款应予资本化的利息金额。资本化率根据一般借款加权平</w:t>
      </w:r>
      <w:r>
        <w:rPr>
          <w:rFonts w:ascii="宋体" w:hAnsi="宋体" w:cs="宋体" w:eastAsia="宋体" w:hint="default"/>
          <w:sz w:val="21"/>
          <w:szCs w:val="21"/>
        </w:rPr>
        <w:t> 均利率计算确定。 </w:t>
      </w:r>
      <w:r>
        <w:rPr>
          <w:rFonts w:ascii="宋体" w:hAnsi="宋体" w:cs="宋体" w:eastAsia="宋体" w:hint="default"/>
          <w:spacing w:val="-3"/>
          <w:sz w:val="21"/>
          <w:szCs w:val="21"/>
        </w:rPr>
        <w:t>借款存在折价或者溢价的，按照实际利率法确定每一会计期间应摊销的折价或</w:t>
      </w:r>
      <w:r>
        <w:rPr>
          <w:rFonts w:ascii="宋体" w:hAnsi="宋体" w:cs="宋体" w:eastAsia="宋体" w:hint="default"/>
          <w:sz w:val="21"/>
          <w:szCs w:val="21"/>
        </w:rPr>
        <w:t> 者溢价金额，调整每期利息金额。</w:t>
      </w:r>
    </w:p>
    <w:p>
      <w:pPr>
        <w:spacing w:line="240" w:lineRule="auto" w:before="0"/>
        <w:rPr>
          <w:rFonts w:ascii="宋体" w:hAnsi="宋体" w:cs="宋体" w:eastAsia="宋体" w:hint="default"/>
          <w:sz w:val="20"/>
          <w:szCs w:val="20"/>
        </w:rPr>
      </w:pPr>
    </w:p>
    <w:p>
      <w:pPr>
        <w:spacing w:before="142"/>
        <w:ind w:left="125" w:right="9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十七</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无形资产</w:t>
      </w:r>
      <w:r>
        <w:rPr>
          <w:rFonts w:ascii="宋体" w:hAnsi="宋体" w:cs="宋体" w:eastAsia="宋体" w:hint="default"/>
          <w:sz w:val="21"/>
          <w:szCs w:val="21"/>
        </w:rPr>
      </w:r>
    </w:p>
    <w:p>
      <w:pPr>
        <w:tabs>
          <w:tab w:pos="1396" w:val="left" w:leader="none"/>
        </w:tabs>
        <w:spacing w:before="88"/>
        <w:ind w:left="857" w:right="9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无形资产的计价方法</w:t>
      </w:r>
      <w:r>
        <w:rPr>
          <w:rFonts w:ascii="宋体" w:hAnsi="宋体" w:cs="宋体" w:eastAsia="宋体" w:hint="default"/>
          <w:sz w:val="21"/>
          <w:szCs w:val="21"/>
        </w:rPr>
      </w:r>
    </w:p>
    <w:p>
      <w:pPr>
        <w:spacing w:line="331" w:lineRule="auto" w:before="89"/>
        <w:ind w:left="1400" w:right="84"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）公司取得无形资产时按成本进行初始计量 </w:t>
      </w:r>
      <w:r>
        <w:rPr>
          <w:rFonts w:ascii="宋体" w:hAnsi="宋体" w:cs="宋体" w:eastAsia="宋体" w:hint="default"/>
          <w:spacing w:val="-3"/>
          <w:sz w:val="21"/>
          <w:szCs w:val="21"/>
        </w:rPr>
        <w:t>外购无形资产的成本，包括购买价款、相关税费以及直接归属于使该项资产达</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到预定用途所发生的其他支出。购买无形资产的价款超过正常信用条件延期支</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付，实质上具有融资性质的，无形资产的成本以购买价款的现值为基础确定。 </w:t>
      </w:r>
      <w:r>
        <w:rPr>
          <w:rFonts w:ascii="宋体" w:hAnsi="宋体" w:cs="宋体" w:eastAsia="宋体" w:hint="default"/>
          <w:spacing w:val="-3"/>
          <w:sz w:val="21"/>
          <w:szCs w:val="21"/>
        </w:rPr>
        <w:t>债务重组取得债务人用以抵债的无形资产，以该无形资产的公允价值为基础确</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定其入账价值，并将重组债务的账面价值与该用以抵债的无形资产公允价值之</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间的差额，计入当期损益； </w:t>
      </w:r>
      <w:r>
        <w:rPr>
          <w:rFonts w:ascii="宋体" w:hAnsi="宋体" w:cs="宋体" w:eastAsia="宋体" w:hint="default"/>
          <w:spacing w:val="3"/>
          <w:sz w:val="21"/>
          <w:szCs w:val="21"/>
        </w:rPr>
        <w:t>在非货币性资产交换具备商业实质且换入资产或换出资产的公允价值能够可</w:t>
      </w:r>
      <w:r>
        <w:rPr>
          <w:rFonts w:ascii="宋体" w:hAnsi="宋体" w:cs="宋体" w:eastAsia="宋体" w:hint="default"/>
          <w:spacing w:val="3"/>
          <w:sz w:val="21"/>
          <w:szCs w:val="21"/>
        </w:rPr>
        <w:t> </w:t>
      </w:r>
      <w:r>
        <w:rPr>
          <w:rFonts w:ascii="宋体" w:hAnsi="宋体" w:cs="宋体" w:eastAsia="宋体" w:hint="default"/>
          <w:spacing w:val="-3"/>
          <w:sz w:val="21"/>
          <w:szCs w:val="21"/>
        </w:rPr>
        <w:t>靠计量的前提下，非货币性资产交换换入的无形资产以换出资产的公允价值为</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基础确定其入账价值，除非有确凿证据表明换入资产的公允价值更加可靠；不</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满足上述前提的非货币性资产交换，以换出资产的账面价值和应支付的相关税</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费作为换入无形资产的成本，不确认损益。 </w:t>
      </w:r>
      <w:r>
        <w:rPr>
          <w:rFonts w:ascii="宋体" w:hAnsi="宋体" w:cs="宋体" w:eastAsia="宋体" w:hint="default"/>
          <w:spacing w:val="3"/>
          <w:sz w:val="21"/>
          <w:szCs w:val="21"/>
        </w:rPr>
        <w:t>以同一控制下的企业吸收合并方式取得的无形资产按被合并方的账面价值确</w:t>
      </w:r>
      <w:r>
        <w:rPr>
          <w:rFonts w:ascii="宋体" w:hAnsi="宋体" w:cs="宋体" w:eastAsia="宋体" w:hint="default"/>
          <w:spacing w:val="3"/>
          <w:sz w:val="21"/>
          <w:szCs w:val="21"/>
        </w:rPr>
        <w:t> </w:t>
      </w:r>
      <w:r>
        <w:rPr>
          <w:rFonts w:ascii="宋体" w:hAnsi="宋体" w:cs="宋体" w:eastAsia="宋体" w:hint="default"/>
          <w:spacing w:val="-3"/>
          <w:sz w:val="21"/>
          <w:szCs w:val="21"/>
        </w:rPr>
        <w:t>定其入账价值；以非同一控制下的企业吸收合并方式取得的无形资产按公允价</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值确定其入账价值。 </w:t>
      </w:r>
      <w:r>
        <w:rPr>
          <w:rFonts w:ascii="宋体" w:hAnsi="宋体" w:cs="宋体" w:eastAsia="宋体" w:hint="default"/>
          <w:spacing w:val="-3"/>
          <w:sz w:val="21"/>
          <w:szCs w:val="21"/>
        </w:rPr>
        <w:t>内部自行开发的无形资产，其成本包括：开发该无形资产时耗用的材料、劳务</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3"/>
          <w:sz w:val="21"/>
          <w:szCs w:val="21"/>
        </w:rPr>
        <w:t>成本、注册费、在开发过程中使用的其他专利权和特许权的摊销以及满足资本</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化条件的利息费用，以及为使该无形资产达到预定用途前所发生的其他直接费</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用。</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spacing w:line="328" w:lineRule="auto" w:before="0"/>
        <w:ind w:left="1400" w:right="3444"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）后续计量 在取得无形资产时分析判断其使用寿命。</w:t>
      </w:r>
    </w:p>
    <w:p>
      <w:pPr>
        <w:spacing w:before="48"/>
        <w:ind w:left="1400" w:right="91" w:firstLine="0"/>
        <w:jc w:val="left"/>
        <w:rPr>
          <w:rFonts w:ascii="宋体" w:hAnsi="宋体" w:cs="宋体" w:eastAsia="宋体" w:hint="default"/>
          <w:sz w:val="21"/>
          <w:szCs w:val="21"/>
        </w:rPr>
      </w:pPr>
      <w:r>
        <w:rPr>
          <w:rFonts w:ascii="宋体" w:hAnsi="宋体" w:cs="宋体" w:eastAsia="宋体" w:hint="default"/>
          <w:spacing w:val="3"/>
          <w:sz w:val="21"/>
          <w:szCs w:val="21"/>
        </w:rPr>
        <w:t>对于使用寿命有限的无形资产，在为企业带来经济利益的期限内按直线法摊</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5" w:footer="1256" w:top="1120" w:bottom="1440" w:left="1660" w:right="1600"/>
        </w:sectPr>
      </w:pPr>
    </w:p>
    <w:p>
      <w:pPr>
        <w:spacing w:line="240" w:lineRule="auto" w:before="10"/>
        <w:rPr>
          <w:rFonts w:ascii="宋体" w:hAnsi="宋体" w:cs="宋体" w:eastAsia="宋体" w:hint="default"/>
          <w:sz w:val="28"/>
          <w:szCs w:val="28"/>
        </w:rPr>
      </w:pPr>
    </w:p>
    <w:p>
      <w:pPr>
        <w:spacing w:line="348" w:lineRule="auto" w:before="35"/>
        <w:ind w:left="1400" w:right="186" w:firstLine="0"/>
        <w:jc w:val="left"/>
        <w:rPr>
          <w:rFonts w:ascii="宋体" w:hAnsi="宋体" w:cs="宋体" w:eastAsia="宋体" w:hint="default"/>
          <w:sz w:val="21"/>
          <w:szCs w:val="21"/>
        </w:rPr>
      </w:pPr>
      <w:r>
        <w:rPr>
          <w:rFonts w:ascii="宋体" w:hAnsi="宋体" w:cs="宋体" w:eastAsia="宋体" w:hint="default"/>
          <w:spacing w:val="-3"/>
          <w:sz w:val="21"/>
          <w:szCs w:val="21"/>
        </w:rPr>
        <w:t>销；无法预见无形资产为企业带来经济利益期限的，视为使用寿命不确定的无</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形资产，不予摊销。</w:t>
      </w:r>
    </w:p>
    <w:p>
      <w:pPr>
        <w:spacing w:line="240" w:lineRule="auto" w:before="0"/>
        <w:rPr>
          <w:rFonts w:ascii="宋体" w:hAnsi="宋体" w:cs="宋体" w:eastAsia="宋体" w:hint="default"/>
          <w:sz w:val="20"/>
          <w:szCs w:val="20"/>
        </w:rPr>
      </w:pPr>
    </w:p>
    <w:p>
      <w:pPr>
        <w:tabs>
          <w:tab w:pos="1396" w:val="left" w:leader="none"/>
        </w:tabs>
        <w:spacing w:before="169"/>
        <w:ind w:left="857" w:right="9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使用寿命有限的无形资产的使用寿命估计情况</w:t>
      </w:r>
      <w:r>
        <w:rPr>
          <w:rFonts w:ascii="宋体" w:hAnsi="宋体" w:cs="宋体" w:eastAsia="宋体" w:hint="default"/>
          <w:sz w:val="21"/>
          <w:szCs w:val="21"/>
        </w:rPr>
      </w:r>
    </w:p>
    <w:p>
      <w:pPr>
        <w:spacing w:line="1587" w:lineRule="exact"/>
        <w:ind w:left="828"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385.3pt;height:79.4pt;mso-position-horizontal-relative:char;mso-position-vertical-relative:line" coordorigin="0,0" coordsize="7706,1588">
            <v:group style="position:absolute;left:29;top:15;width:7648;height:2" coordorigin="29,15" coordsize="7648,2">
              <v:shape style="position:absolute;left:29;top:15;width:7648;height:2" coordorigin="29,15" coordsize="7648,0" path="m29,15l7677,15e" filled="false" stroked="true" strokeweight="1.5pt" strokecolor="#000000">
                <v:path arrowok="t"/>
              </v:shape>
              <v:shape style="position:absolute;left:2854;top:1;width:1808;height:432" type="#_x0000_t75" stroked="false">
                <v:imagedata r:id="rId37" o:title=""/>
              </v:shape>
            </v:group>
            <v:group style="position:absolute;left:15;top:1573;width:2868;height:2" coordorigin="15,1573" coordsize="2868,2">
              <v:shape style="position:absolute;left:15;top:1573;width:2868;height:2" coordorigin="15,1573" coordsize="2868,0" path="m15,1573l2883,1573e" filled="false" stroked="true" strokeweight="1.5pt" strokecolor="#000000">
                <v:path arrowok="t"/>
              </v:shape>
            </v:group>
            <v:group style="position:absolute;left:2883;top:1573;width:1742;height:2" coordorigin="2883,1573" coordsize="1742,2">
              <v:shape style="position:absolute;left:2883;top:1573;width:1742;height:2" coordorigin="2883,1573" coordsize="1742,0" path="m2883,1573l4624,1573e" filled="false" stroked="true" strokeweight="1.5pt" strokecolor="#000000">
                <v:path arrowok="t"/>
              </v:shape>
              <v:shape style="position:absolute;left:1;top:385;width:7705;height:1172" type="#_x0000_t75" stroked="false">
                <v:imagedata r:id="rId38" o:title=""/>
              </v:shape>
            </v:group>
            <v:group style="position:absolute;left:4624;top:1573;width:3053;height:2" coordorigin="4624,1573" coordsize="3053,2">
              <v:shape style="position:absolute;left:4624;top:1573;width:3053;height:2" coordorigin="4624,1573" coordsize="3053,0" path="m4624,1573l7677,1573e" filled="false" stroked="true" strokeweight="1.5pt" strokecolor="#000000">
                <v:path arrowok="t"/>
              </v:shape>
              <v:shape style="position:absolute;left:29;top:111;width:1690;height:1364" type="#_x0000_t202" filled="false" stroked="false">
                <v:textbox inset="0,0,0,0">
                  <w:txbxContent>
                    <w:p>
                      <w:pPr>
                        <w:tabs>
                          <w:tab w:pos="1479" w:val="left" w:leader="none"/>
                        </w:tabs>
                        <w:spacing w:line="210" w:lineRule="exact" w:before="0"/>
                        <w:ind w:left="1059"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p>
                      <w:pPr>
                        <w:spacing w:line="380" w:lineRule="atLeast" w:before="5"/>
                        <w:ind w:left="0" w:right="217" w:firstLine="0"/>
                        <w:jc w:val="left"/>
                        <w:rPr>
                          <w:rFonts w:ascii="宋体" w:hAnsi="宋体" w:cs="宋体" w:eastAsia="宋体" w:hint="default"/>
                          <w:sz w:val="21"/>
                          <w:szCs w:val="21"/>
                        </w:rPr>
                      </w:pPr>
                      <w:r>
                        <w:rPr>
                          <w:rFonts w:ascii="宋体" w:hAnsi="宋体" w:cs="宋体" w:eastAsia="宋体" w:hint="default"/>
                          <w:sz w:val="21"/>
                          <w:szCs w:val="21"/>
                        </w:rPr>
                        <w:t>土地使用权 注册商标及专利 电脑软件</w:t>
                      </w:r>
                    </w:p>
                  </w:txbxContent>
                </v:textbox>
                <w10:wrap type="none"/>
              </v:shape>
              <v:shape style="position:absolute;left:3079;top:111;width:4496;height:1375" type="#_x0000_t202" filled="false" stroked="false">
                <v:textbox inset="0,0,0,0">
                  <w:txbxContent>
                    <w:p>
                      <w:pPr>
                        <w:tabs>
                          <w:tab w:pos="2709" w:val="left" w:leader="none"/>
                          <w:tab w:pos="313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预计使用寿命</w:t>
                        <w:tab/>
                        <w:t>依</w:t>
                        <w:tab/>
                        <w:t>据</w:t>
                      </w:r>
                    </w:p>
                    <w:p>
                      <w:pPr>
                        <w:tabs>
                          <w:tab w:pos="1555" w:val="left" w:leader="none"/>
                        </w:tabs>
                        <w:spacing w:before="110"/>
                        <w:ind w:left="39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50 </w:t>
                      </w:r>
                      <w:r>
                        <w:rPr>
                          <w:rFonts w:ascii="宋体" w:hAnsi="宋体" w:cs="宋体" w:eastAsia="宋体" w:hint="default"/>
                          <w:sz w:val="21"/>
                          <w:szCs w:val="21"/>
                        </w:rPr>
                        <w:t>年</w:t>
                        <w:tab/>
                        <w:t>合同规定与法律规定孰低的原则</w:t>
                      </w:r>
                    </w:p>
                    <w:p>
                      <w:pPr>
                        <w:tabs>
                          <w:tab w:pos="1555" w:val="left" w:leader="none"/>
                        </w:tabs>
                        <w:spacing w:before="93"/>
                        <w:ind w:left="39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10 </w:t>
                      </w:r>
                      <w:r>
                        <w:rPr>
                          <w:rFonts w:ascii="宋体" w:hAnsi="宋体" w:cs="宋体" w:eastAsia="宋体" w:hint="default"/>
                          <w:sz w:val="21"/>
                          <w:szCs w:val="21"/>
                        </w:rPr>
                        <w:t>年</w:t>
                        <w:tab/>
                        <w:t>合同规定与法律规定孰低的原则</w:t>
                      </w:r>
                    </w:p>
                    <w:p>
                      <w:pPr>
                        <w:tabs>
                          <w:tab w:pos="1555" w:val="left" w:leader="none"/>
                        </w:tabs>
                        <w:spacing w:line="286" w:lineRule="exact" w:before="93"/>
                        <w:ind w:left="446"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w:t>
                        <w:tab/>
                        <w:t>行业情况及企业历史经验</w:t>
                      </w:r>
                    </w:p>
                  </w:txbxContent>
                </v:textbox>
                <w10:wrap type="none"/>
              </v:shape>
            </v:group>
          </v:group>
        </w:pict>
      </w:r>
      <w:r>
        <w:rPr>
          <w:rFonts w:ascii="宋体" w:hAnsi="宋体" w:cs="宋体" w:eastAsia="宋体" w:hint="default"/>
          <w:position w:val="-31"/>
          <w:sz w:val="20"/>
          <w:szCs w:val="20"/>
        </w:rPr>
      </w:r>
    </w:p>
    <w:p>
      <w:pPr>
        <w:spacing w:line="240" w:lineRule="auto" w:before="9"/>
        <w:rPr>
          <w:rFonts w:ascii="宋体" w:hAnsi="宋体" w:cs="宋体" w:eastAsia="宋体" w:hint="default"/>
          <w:b/>
          <w:bCs/>
          <w:sz w:val="5"/>
          <w:szCs w:val="5"/>
        </w:rPr>
      </w:pPr>
    </w:p>
    <w:p>
      <w:pPr>
        <w:spacing w:line="350" w:lineRule="auto" w:before="35"/>
        <w:ind w:left="1400" w:right="504" w:firstLine="0"/>
        <w:jc w:val="left"/>
        <w:rPr>
          <w:rFonts w:ascii="宋体" w:hAnsi="宋体" w:cs="宋体" w:eastAsia="宋体" w:hint="default"/>
          <w:sz w:val="21"/>
          <w:szCs w:val="21"/>
        </w:rPr>
      </w:pPr>
      <w:r>
        <w:rPr>
          <w:rFonts w:ascii="宋体" w:hAnsi="宋体" w:cs="宋体" w:eastAsia="宋体" w:hint="default"/>
          <w:sz w:val="21"/>
          <w:szCs w:val="21"/>
        </w:rPr>
        <w:t>每期末，对使用寿命有限的无形资产的使用寿命及摊销方法进行复核。 经复核，本年期末无形资产的使用寿命及摊销方法与以前估计未有不同。</w:t>
      </w:r>
    </w:p>
    <w:p>
      <w:pPr>
        <w:spacing w:line="240" w:lineRule="auto" w:before="0"/>
        <w:rPr>
          <w:rFonts w:ascii="宋体" w:hAnsi="宋体" w:cs="宋体" w:eastAsia="宋体" w:hint="default"/>
          <w:sz w:val="20"/>
          <w:szCs w:val="20"/>
        </w:rPr>
      </w:pPr>
    </w:p>
    <w:p>
      <w:pPr>
        <w:tabs>
          <w:tab w:pos="1396" w:val="left" w:leader="none"/>
        </w:tabs>
        <w:spacing w:line="340" w:lineRule="auto" w:before="166"/>
        <w:ind w:left="1400" w:right="157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使用寿命不确定的无形资产的判断依据</w:t>
      </w:r>
      <w:r>
        <w:rPr>
          <w:rFonts w:ascii="宋体" w:hAnsi="宋体" w:cs="宋体" w:eastAsia="宋体" w:hint="default"/>
          <w:b/>
          <w:bCs/>
          <w:w w:val="99"/>
          <w:sz w:val="21"/>
          <w:szCs w:val="21"/>
        </w:rPr>
        <w:t> </w:t>
      </w:r>
      <w:r>
        <w:rPr>
          <w:rFonts w:ascii="宋体" w:hAnsi="宋体" w:cs="宋体" w:eastAsia="宋体" w:hint="default"/>
          <w:sz w:val="21"/>
          <w:szCs w:val="21"/>
        </w:rPr>
        <w:t>每期末，对使用寿命不确定的无形资产的使用寿命进行复核。 经复核，该类无形资产的使用寿命仍为不确定。</w:t>
      </w:r>
    </w:p>
    <w:p>
      <w:pPr>
        <w:spacing w:line="240" w:lineRule="auto" w:before="0"/>
        <w:rPr>
          <w:rFonts w:ascii="宋体" w:hAnsi="宋体" w:cs="宋体" w:eastAsia="宋体" w:hint="default"/>
          <w:sz w:val="20"/>
          <w:szCs w:val="20"/>
        </w:rPr>
      </w:pPr>
    </w:p>
    <w:p>
      <w:pPr>
        <w:tabs>
          <w:tab w:pos="1396" w:val="left" w:leader="none"/>
        </w:tabs>
        <w:spacing w:line="348" w:lineRule="auto" w:before="175"/>
        <w:ind w:left="1400" w:right="193"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无形资产减值准备的计提</w:t>
      </w:r>
      <w:r>
        <w:rPr>
          <w:rFonts w:ascii="宋体" w:hAnsi="宋体" w:cs="宋体" w:eastAsia="宋体" w:hint="default"/>
          <w:b/>
          <w:bCs/>
          <w:w w:val="99"/>
          <w:sz w:val="21"/>
          <w:szCs w:val="21"/>
        </w:rPr>
        <w:t> </w:t>
      </w:r>
      <w:r>
        <w:rPr>
          <w:rFonts w:ascii="宋体" w:hAnsi="宋体" w:cs="宋体" w:eastAsia="宋体" w:hint="default"/>
          <w:sz w:val="21"/>
          <w:szCs w:val="21"/>
        </w:rPr>
        <w:t>对于使用寿命确定的无形资产，如有明显减值迹象的，期末进行减值测试。 对于使用寿命不确定的无形资产，每期末进行减值测试。 </w:t>
      </w:r>
      <w:r>
        <w:rPr>
          <w:rFonts w:ascii="宋体" w:hAnsi="宋体" w:cs="宋体" w:eastAsia="宋体" w:hint="default"/>
          <w:spacing w:val="-3"/>
          <w:sz w:val="21"/>
          <w:szCs w:val="21"/>
        </w:rPr>
        <w:t>对无形资产进行减值测试，估计其可收回金额。有迹象表明一项无形资产可能</w:t>
      </w:r>
      <w:r>
        <w:rPr>
          <w:rFonts w:ascii="宋体" w:hAnsi="宋体" w:cs="宋体" w:eastAsia="宋体" w:hint="default"/>
          <w:sz w:val="21"/>
          <w:szCs w:val="21"/>
        </w:rPr>
        <w:t> </w:t>
      </w:r>
      <w:r>
        <w:rPr>
          <w:rFonts w:ascii="宋体" w:hAnsi="宋体" w:cs="宋体" w:eastAsia="宋体" w:hint="default"/>
          <w:spacing w:val="-3"/>
          <w:sz w:val="21"/>
          <w:szCs w:val="21"/>
        </w:rPr>
        <w:t>发生减值的，公司以单项无形资产为基础估计其可收回金额。公司难以对单项</w:t>
      </w:r>
      <w:r>
        <w:rPr>
          <w:rFonts w:ascii="宋体" w:hAnsi="宋体" w:cs="宋体" w:eastAsia="宋体" w:hint="default"/>
          <w:sz w:val="21"/>
          <w:szCs w:val="21"/>
        </w:rPr>
        <w:t> </w:t>
      </w:r>
      <w:r>
        <w:rPr>
          <w:rFonts w:ascii="宋体" w:hAnsi="宋体" w:cs="宋体" w:eastAsia="宋体" w:hint="default"/>
          <w:spacing w:val="-3"/>
          <w:sz w:val="21"/>
          <w:szCs w:val="21"/>
        </w:rPr>
        <w:t>资产的可收回金额进行估计的，以该无形资产所属的资产组为基础确定无形资</w:t>
      </w:r>
      <w:r>
        <w:rPr>
          <w:rFonts w:ascii="宋体" w:hAnsi="宋体" w:cs="宋体" w:eastAsia="宋体" w:hint="default"/>
          <w:sz w:val="21"/>
          <w:szCs w:val="21"/>
        </w:rPr>
        <w:t> 产组的可收回金额。 </w:t>
      </w:r>
      <w:r>
        <w:rPr>
          <w:rFonts w:ascii="宋体" w:hAnsi="宋体" w:cs="宋体" w:eastAsia="宋体" w:hint="default"/>
          <w:spacing w:val="3"/>
          <w:sz w:val="21"/>
          <w:szCs w:val="21"/>
        </w:rPr>
        <w:t>可收回金额根据无形资产的公允价值减去处置费用后的净额与无形资产预计</w:t>
      </w:r>
      <w:r>
        <w:rPr>
          <w:rFonts w:ascii="宋体" w:hAnsi="宋体" w:cs="宋体" w:eastAsia="宋体" w:hint="default"/>
          <w:spacing w:val="3"/>
          <w:sz w:val="21"/>
          <w:szCs w:val="21"/>
        </w:rPr>
        <w:t> </w:t>
      </w:r>
      <w:r>
        <w:rPr>
          <w:rFonts w:ascii="宋体" w:hAnsi="宋体" w:cs="宋体" w:eastAsia="宋体" w:hint="default"/>
          <w:sz w:val="21"/>
          <w:szCs w:val="21"/>
        </w:rPr>
        <w:t>未来现金流量的现值两者之间较高者确定。</w:t>
      </w:r>
      <w:r>
        <w:rPr>
          <w:rFonts w:ascii="宋体" w:hAnsi="宋体" w:cs="宋体" w:eastAsia="宋体" w:hint="default"/>
          <w:sz w:val="21"/>
          <w:szCs w:val="21"/>
        </w:rPr>
        <w:t> </w:t>
      </w:r>
      <w:r>
        <w:rPr>
          <w:rFonts w:ascii="宋体" w:hAnsi="宋体" w:cs="宋体" w:eastAsia="宋体" w:hint="default"/>
          <w:spacing w:val="-3"/>
          <w:sz w:val="21"/>
          <w:szCs w:val="21"/>
        </w:rPr>
        <w:t>当无形资产的可收回金额低于其账面价值的，将无形资产的账面价值减记至可</w:t>
      </w:r>
      <w:r>
        <w:rPr>
          <w:rFonts w:ascii="宋体" w:hAnsi="宋体" w:cs="宋体" w:eastAsia="宋体" w:hint="default"/>
          <w:sz w:val="21"/>
          <w:szCs w:val="21"/>
        </w:rPr>
        <w:t> </w:t>
      </w:r>
      <w:r>
        <w:rPr>
          <w:rFonts w:ascii="宋体" w:hAnsi="宋体" w:cs="宋体" w:eastAsia="宋体" w:hint="default"/>
          <w:spacing w:val="-3"/>
          <w:sz w:val="21"/>
          <w:szCs w:val="21"/>
        </w:rPr>
        <w:t>收回金额，减记的金额确认为无形资产减值损失，计入当期损益，同时计提相</w:t>
      </w:r>
      <w:r>
        <w:rPr>
          <w:rFonts w:ascii="宋体" w:hAnsi="宋体" w:cs="宋体" w:eastAsia="宋体" w:hint="default"/>
          <w:sz w:val="21"/>
          <w:szCs w:val="21"/>
        </w:rPr>
        <w:t> 应的无形资产减值准备。 </w:t>
      </w:r>
      <w:r>
        <w:rPr>
          <w:rFonts w:ascii="宋体" w:hAnsi="宋体" w:cs="宋体" w:eastAsia="宋体" w:hint="default"/>
          <w:spacing w:val="-3"/>
          <w:sz w:val="21"/>
          <w:szCs w:val="21"/>
        </w:rPr>
        <w:t>无形资产减值损失确认后，减值无形资产的折耗或者摊销费用在未来期间作相</w:t>
      </w:r>
      <w:r>
        <w:rPr>
          <w:rFonts w:ascii="宋体" w:hAnsi="宋体" w:cs="宋体" w:eastAsia="宋体" w:hint="default"/>
          <w:sz w:val="21"/>
          <w:szCs w:val="21"/>
        </w:rPr>
        <w:t> </w:t>
      </w:r>
      <w:r>
        <w:rPr>
          <w:rFonts w:ascii="宋体" w:hAnsi="宋体" w:cs="宋体" w:eastAsia="宋体" w:hint="default"/>
          <w:spacing w:val="-3"/>
          <w:sz w:val="21"/>
          <w:szCs w:val="21"/>
        </w:rPr>
        <w:t>应调整，以使该无形资产在剩余使用寿命内，系统地分摊调整后的无形资产账</w:t>
      </w:r>
      <w:r>
        <w:rPr>
          <w:rFonts w:ascii="宋体" w:hAnsi="宋体" w:cs="宋体" w:eastAsia="宋体" w:hint="default"/>
          <w:sz w:val="21"/>
          <w:szCs w:val="21"/>
        </w:rPr>
        <w:t> </w:t>
      </w:r>
      <w:r>
        <w:rPr>
          <w:rFonts w:ascii="宋体" w:hAnsi="宋体" w:cs="宋体" w:eastAsia="宋体" w:hint="default"/>
          <w:spacing w:val="-9"/>
          <w:sz w:val="21"/>
          <w:szCs w:val="21"/>
        </w:rPr>
        <w:t>面价值（扣除预计净残值）。</w:t>
      </w:r>
      <w:r>
        <w:rPr>
          <w:rFonts w:ascii="宋体" w:hAnsi="宋体" w:cs="宋体" w:eastAsia="宋体" w:hint="default"/>
          <w:sz w:val="21"/>
          <w:szCs w:val="21"/>
        </w:rPr>
        <w:t> 无形资产的减值损失一经确认，在以后会计期间不再转回。</w:t>
      </w:r>
    </w:p>
    <w:p>
      <w:pPr>
        <w:spacing w:line="240" w:lineRule="auto" w:before="2"/>
        <w:rPr>
          <w:rFonts w:ascii="宋体" w:hAnsi="宋体" w:cs="宋体" w:eastAsia="宋体" w:hint="default"/>
          <w:sz w:val="26"/>
          <w:szCs w:val="26"/>
        </w:rPr>
      </w:pPr>
    </w:p>
    <w:p>
      <w:pPr>
        <w:tabs>
          <w:tab w:pos="1396" w:val="left" w:leader="none"/>
        </w:tabs>
        <w:spacing w:line="328" w:lineRule="auto" w:before="0"/>
        <w:ind w:left="1400" w:right="195"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划分公司内部研究开发项目的研究阶段和开发阶段具体标准</w:t>
      </w:r>
      <w:r>
        <w:rPr>
          <w:rFonts w:ascii="宋体" w:hAnsi="宋体" w:cs="宋体" w:eastAsia="宋体" w:hint="default"/>
          <w:b/>
          <w:bCs/>
          <w:w w:val="99"/>
          <w:sz w:val="21"/>
          <w:szCs w:val="21"/>
        </w:rPr>
        <w:t> </w:t>
      </w:r>
      <w:r>
        <w:rPr>
          <w:rFonts w:ascii="宋体" w:hAnsi="宋体" w:cs="宋体" w:eastAsia="宋体" w:hint="default"/>
          <w:sz w:val="21"/>
          <w:szCs w:val="21"/>
        </w:rPr>
        <w:t>公司内部研究开发项目的支出分为研究阶段支出和开发阶段支出。</w:t>
      </w:r>
    </w:p>
    <w:p>
      <w:pPr>
        <w:spacing w:before="48"/>
        <w:ind w:left="1400" w:right="91" w:firstLine="0"/>
        <w:jc w:val="left"/>
        <w:rPr>
          <w:rFonts w:ascii="宋体" w:hAnsi="宋体" w:cs="宋体" w:eastAsia="宋体" w:hint="default"/>
          <w:sz w:val="21"/>
          <w:szCs w:val="21"/>
        </w:rPr>
      </w:pPr>
      <w:r>
        <w:rPr>
          <w:rFonts w:ascii="宋体" w:hAnsi="宋体" w:cs="宋体" w:eastAsia="宋体" w:hint="default"/>
          <w:spacing w:val="3"/>
          <w:sz w:val="21"/>
          <w:szCs w:val="21"/>
        </w:rPr>
        <w:t>研究阶段：为获取并理解新的科学或技术知识等而进行的独创性的有计划调</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5" w:footer="1256" w:top="1120" w:bottom="1440" w:left="1660" w:right="1600"/>
        </w:sectPr>
      </w:pPr>
    </w:p>
    <w:p>
      <w:pPr>
        <w:spacing w:line="240" w:lineRule="auto" w:before="10"/>
        <w:rPr>
          <w:rFonts w:ascii="宋体" w:hAnsi="宋体" w:cs="宋体" w:eastAsia="宋体" w:hint="default"/>
          <w:sz w:val="28"/>
          <w:szCs w:val="28"/>
        </w:rPr>
      </w:pPr>
    </w:p>
    <w:p>
      <w:pPr>
        <w:spacing w:line="350" w:lineRule="auto" w:before="35"/>
        <w:ind w:left="1400" w:right="104" w:firstLine="0"/>
        <w:jc w:val="left"/>
        <w:rPr>
          <w:rFonts w:ascii="宋体" w:hAnsi="宋体" w:cs="宋体" w:eastAsia="宋体" w:hint="default"/>
          <w:sz w:val="21"/>
          <w:szCs w:val="21"/>
        </w:rPr>
      </w:pPr>
      <w:r>
        <w:rPr>
          <w:rFonts w:ascii="宋体" w:hAnsi="宋体" w:cs="宋体" w:eastAsia="宋体" w:hint="default"/>
          <w:sz w:val="21"/>
          <w:szCs w:val="21"/>
        </w:rPr>
        <w:t>查、研究活动的阶段。 </w:t>
      </w:r>
      <w:r>
        <w:rPr>
          <w:rFonts w:ascii="宋体" w:hAnsi="宋体" w:cs="宋体" w:eastAsia="宋体" w:hint="default"/>
          <w:spacing w:val="-3"/>
          <w:sz w:val="21"/>
          <w:szCs w:val="21"/>
        </w:rPr>
        <w:t>开发阶段：在进行商业性生产或使用前，将研究成果或其他知识应用于某项计</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6"/>
          <w:sz w:val="21"/>
          <w:szCs w:val="21"/>
        </w:rPr>
        <w:t>划或设计，以生产出新的或具有实质性改进的材料、装置、产品等活动的阶段。</w:t>
      </w:r>
    </w:p>
    <w:p>
      <w:pPr>
        <w:spacing w:line="240" w:lineRule="auto" w:before="0"/>
        <w:rPr>
          <w:rFonts w:ascii="宋体" w:hAnsi="宋体" w:cs="宋体" w:eastAsia="宋体" w:hint="default"/>
          <w:sz w:val="20"/>
          <w:szCs w:val="20"/>
        </w:rPr>
      </w:pPr>
    </w:p>
    <w:p>
      <w:pPr>
        <w:tabs>
          <w:tab w:pos="1396" w:val="left" w:leader="none"/>
        </w:tabs>
        <w:spacing w:line="331" w:lineRule="auto" w:before="166"/>
        <w:ind w:left="1400" w:right="33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开发阶段支出符合资本化的具体标准</w:t>
      </w:r>
      <w:r>
        <w:rPr>
          <w:rFonts w:ascii="宋体" w:hAnsi="宋体" w:cs="宋体" w:eastAsia="宋体" w:hint="default"/>
          <w:b/>
          <w:bCs/>
          <w:w w:val="99"/>
          <w:sz w:val="21"/>
          <w:szCs w:val="21"/>
        </w:rPr>
        <w:t> </w:t>
      </w:r>
      <w:r>
        <w:rPr>
          <w:rFonts w:ascii="宋体" w:hAnsi="宋体" w:cs="宋体" w:eastAsia="宋体" w:hint="default"/>
          <w:sz w:val="21"/>
          <w:szCs w:val="21"/>
        </w:rPr>
        <w:t>内部研究开发项目开发阶段的支出，同时满足下列条件时确认为无形资产：</w:t>
      </w:r>
    </w:p>
    <w:p>
      <w:pPr>
        <w:spacing w:before="45"/>
        <w:ind w:left="1400" w:right="238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）研发的软件能够使用且可出售；</w:t>
      </w:r>
    </w:p>
    <w:p>
      <w:pPr>
        <w:spacing w:before="109"/>
        <w:ind w:left="1400" w:right="238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）研发的软件拟和柜员机一并出售；</w:t>
      </w:r>
    </w:p>
    <w:p>
      <w:pPr>
        <w:spacing w:before="110"/>
        <w:ind w:left="1400" w:right="238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）软件开发阶段的支出能够单独并可靠地计量。</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16"/>
          <w:szCs w:val="16"/>
        </w:rPr>
      </w:pPr>
    </w:p>
    <w:p>
      <w:pPr>
        <w:spacing w:before="0"/>
        <w:ind w:left="125" w:right="238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十八</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340" w:lineRule="auto" w:before="99"/>
        <w:ind w:left="857" w:right="213" w:firstLine="0"/>
        <w:jc w:val="left"/>
        <w:rPr>
          <w:rFonts w:ascii="宋体" w:hAnsi="宋体" w:cs="宋体" w:eastAsia="宋体" w:hint="default"/>
          <w:sz w:val="21"/>
          <w:szCs w:val="21"/>
        </w:rPr>
      </w:pPr>
      <w:r>
        <w:rPr>
          <w:rFonts w:ascii="宋体" w:hAnsi="宋体" w:cs="宋体" w:eastAsia="宋体" w:hint="default"/>
          <w:sz w:val="21"/>
          <w:szCs w:val="21"/>
        </w:rPr>
        <w:t>长期待摊费用为已经发生但应由本期和以后各期负担的分摊期限在一年以上的各项</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费用。</w:t>
      </w:r>
    </w:p>
    <w:p>
      <w:pPr>
        <w:spacing w:line="240" w:lineRule="auto" w:before="0"/>
        <w:rPr>
          <w:rFonts w:ascii="宋体" w:hAnsi="宋体" w:cs="宋体" w:eastAsia="宋体" w:hint="default"/>
          <w:sz w:val="20"/>
          <w:szCs w:val="20"/>
        </w:rPr>
      </w:pPr>
    </w:p>
    <w:p>
      <w:pPr>
        <w:tabs>
          <w:tab w:pos="1396" w:val="left" w:leader="none"/>
        </w:tabs>
        <w:spacing w:before="155"/>
        <w:ind w:left="857" w:right="238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摊销方法</w:t>
      </w:r>
      <w:r>
        <w:rPr>
          <w:rFonts w:ascii="宋体" w:hAnsi="宋体" w:cs="宋体" w:eastAsia="宋体" w:hint="default"/>
          <w:sz w:val="21"/>
          <w:szCs w:val="21"/>
        </w:rPr>
      </w:r>
    </w:p>
    <w:p>
      <w:pPr>
        <w:spacing w:before="99"/>
        <w:ind w:left="1400" w:right="2389" w:firstLine="0"/>
        <w:jc w:val="left"/>
        <w:rPr>
          <w:rFonts w:ascii="宋体" w:hAnsi="宋体" w:cs="宋体" w:eastAsia="宋体" w:hint="default"/>
          <w:sz w:val="21"/>
          <w:szCs w:val="21"/>
        </w:rPr>
      </w:pPr>
      <w:r>
        <w:rPr>
          <w:rFonts w:ascii="宋体" w:hAnsi="宋体" w:cs="宋体" w:eastAsia="宋体" w:hint="default"/>
          <w:sz w:val="21"/>
          <w:szCs w:val="21"/>
        </w:rPr>
        <w:t>长期待摊费用在受益期内平均摊销。</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tabs>
          <w:tab w:pos="1396" w:val="left" w:leader="none"/>
        </w:tabs>
        <w:spacing w:before="0"/>
        <w:ind w:left="857" w:right="238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摊销年限</w:t>
      </w:r>
      <w:r>
        <w:rPr>
          <w:rFonts w:ascii="宋体" w:hAnsi="宋体" w:cs="宋体" w:eastAsia="宋体" w:hint="default"/>
          <w:sz w:val="21"/>
          <w:szCs w:val="21"/>
        </w:rPr>
      </w:r>
    </w:p>
    <w:p>
      <w:pPr>
        <w:spacing w:line="350" w:lineRule="auto" w:before="109"/>
        <w:ind w:left="1400" w:right="734" w:firstLine="0"/>
        <w:jc w:val="left"/>
        <w:rPr>
          <w:rFonts w:ascii="宋体" w:hAnsi="宋体" w:cs="宋体" w:eastAsia="宋体" w:hint="default"/>
          <w:sz w:val="21"/>
          <w:szCs w:val="21"/>
        </w:rPr>
      </w:pPr>
      <w:r>
        <w:rPr>
          <w:rFonts w:ascii="宋体" w:hAnsi="宋体" w:cs="宋体" w:eastAsia="宋体" w:hint="default"/>
          <w:sz w:val="21"/>
          <w:szCs w:val="21"/>
        </w:rPr>
        <w:t>长期待摊费用的摊销方法为在预计的使用年限内采用直线法进行摊销。 装修支出按</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年摊销。</w:t>
      </w:r>
    </w:p>
    <w:p>
      <w:pPr>
        <w:spacing w:line="240" w:lineRule="auto" w:before="0"/>
        <w:rPr>
          <w:rFonts w:ascii="宋体" w:hAnsi="宋体" w:cs="宋体" w:eastAsia="宋体" w:hint="default"/>
          <w:sz w:val="20"/>
          <w:szCs w:val="20"/>
        </w:rPr>
      </w:pPr>
    </w:p>
    <w:p>
      <w:pPr>
        <w:spacing w:before="156"/>
        <w:ind w:left="125" w:right="238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十九</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预计负债</w:t>
      </w:r>
      <w:r>
        <w:rPr>
          <w:rFonts w:ascii="宋体" w:hAnsi="宋体" w:cs="宋体" w:eastAsia="宋体" w:hint="default"/>
          <w:sz w:val="21"/>
          <w:szCs w:val="21"/>
        </w:rPr>
      </w:r>
    </w:p>
    <w:p>
      <w:pPr>
        <w:spacing w:line="350" w:lineRule="auto" w:before="109"/>
        <w:ind w:left="857" w:right="213" w:firstLine="0"/>
        <w:jc w:val="left"/>
        <w:rPr>
          <w:rFonts w:ascii="宋体" w:hAnsi="宋体" w:cs="宋体" w:eastAsia="宋体" w:hint="default"/>
          <w:sz w:val="21"/>
          <w:szCs w:val="21"/>
        </w:rPr>
      </w:pPr>
      <w:r>
        <w:rPr>
          <w:rFonts w:ascii="宋体" w:hAnsi="宋体" w:cs="宋体" w:eastAsia="宋体" w:hint="default"/>
          <w:sz w:val="21"/>
          <w:szCs w:val="21"/>
        </w:rPr>
        <w:t>本公司涉及保修、诉讼、债务担保、亏损合同、重组事项时，如该等事项很可能需</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要未来以交付资产或提供劳务、其金额能够可靠计量的，确认为预计负债。</w:t>
      </w:r>
    </w:p>
    <w:p>
      <w:pPr>
        <w:spacing w:line="240" w:lineRule="auto" w:before="0"/>
        <w:rPr>
          <w:rFonts w:ascii="宋体" w:hAnsi="宋体" w:cs="宋体" w:eastAsia="宋体" w:hint="default"/>
          <w:sz w:val="20"/>
          <w:szCs w:val="20"/>
        </w:rPr>
      </w:pPr>
    </w:p>
    <w:p>
      <w:pPr>
        <w:tabs>
          <w:tab w:pos="1396" w:val="left" w:leader="none"/>
        </w:tabs>
        <w:spacing w:line="331" w:lineRule="auto" w:before="166"/>
        <w:ind w:left="1400" w:right="75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预计负债的确认标准</w:t>
      </w:r>
      <w:r>
        <w:rPr>
          <w:rFonts w:ascii="宋体" w:hAnsi="宋体" w:cs="宋体" w:eastAsia="宋体" w:hint="default"/>
          <w:b/>
          <w:bCs/>
          <w:spacing w:val="1"/>
          <w:w w:val="99"/>
          <w:sz w:val="21"/>
          <w:szCs w:val="21"/>
        </w:rPr>
        <w:t> </w:t>
      </w:r>
      <w:r>
        <w:rPr>
          <w:rFonts w:ascii="宋体" w:hAnsi="宋体" w:cs="宋体" w:eastAsia="宋体" w:hint="default"/>
          <w:sz w:val="21"/>
          <w:szCs w:val="21"/>
        </w:rPr>
        <w:t>与或有事项相关的义务同时满足下列条件时，本公司确认为预计负债：</w:t>
      </w:r>
    </w:p>
    <w:p>
      <w:pPr>
        <w:spacing w:before="45"/>
        <w:ind w:left="1400" w:right="238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）该义务是本公司承担的现时义务；</w:t>
      </w:r>
    </w:p>
    <w:p>
      <w:pPr>
        <w:spacing w:before="109"/>
        <w:ind w:left="1400" w:right="238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）履行该义务很可能导致经济利益流出本公司；</w:t>
      </w:r>
    </w:p>
    <w:p>
      <w:pPr>
        <w:spacing w:before="110"/>
        <w:ind w:left="1400" w:right="238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）该义务的金额能够可靠地计量。</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1396" w:val="left" w:leader="none"/>
        </w:tabs>
        <w:spacing w:line="340" w:lineRule="auto" w:before="0"/>
        <w:ind w:left="1400" w:right="215"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预计负债的计量方法</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为了与收入、成本确认期间相配比，按一定的标准将销售机器的保修期间、融</w:t>
      </w:r>
      <w:r>
        <w:rPr>
          <w:rFonts w:ascii="宋体" w:hAnsi="宋体" w:cs="宋体" w:eastAsia="宋体" w:hint="default"/>
          <w:sz w:val="21"/>
          <w:szCs w:val="21"/>
        </w:rPr>
        <w:t> </w:t>
      </w:r>
      <w:r>
        <w:rPr>
          <w:rFonts w:ascii="宋体" w:hAnsi="宋体" w:cs="宋体" w:eastAsia="宋体" w:hint="default"/>
          <w:spacing w:val="-3"/>
          <w:sz w:val="21"/>
          <w:szCs w:val="21"/>
        </w:rPr>
        <w:t>资租赁机器的租赁期间所发生的维护费用在收入确认期间确认为预计负债，具</w:t>
      </w:r>
    </w:p>
    <w:p>
      <w:pPr>
        <w:spacing w:before="36"/>
        <w:ind w:left="1400" w:right="2389" w:firstLine="0"/>
        <w:jc w:val="left"/>
        <w:rPr>
          <w:rFonts w:ascii="宋体" w:hAnsi="宋体" w:cs="宋体" w:eastAsia="宋体" w:hint="default"/>
          <w:sz w:val="21"/>
          <w:szCs w:val="21"/>
        </w:rPr>
      </w:pPr>
      <w:r>
        <w:rPr>
          <w:rFonts w:ascii="宋体" w:hAnsi="宋体" w:cs="宋体" w:eastAsia="宋体" w:hint="default"/>
          <w:sz w:val="21"/>
          <w:szCs w:val="21"/>
        </w:rPr>
        <w:t>体计算方法如下：</w:t>
      </w:r>
    </w:p>
    <w:p>
      <w:pPr>
        <w:spacing w:after="0"/>
        <w:jc w:val="left"/>
        <w:rPr>
          <w:rFonts w:ascii="宋体" w:hAnsi="宋体" w:cs="宋体" w:eastAsia="宋体" w:hint="default"/>
          <w:sz w:val="21"/>
          <w:szCs w:val="21"/>
        </w:rPr>
        <w:sectPr>
          <w:pgSz w:w="11910" w:h="16840"/>
          <w:pgMar w:header="885" w:footer="1256" w:top="1120" w:bottom="1440" w:left="1660" w:right="1580"/>
        </w:sectPr>
      </w:pPr>
    </w:p>
    <w:p>
      <w:pPr>
        <w:spacing w:line="240" w:lineRule="auto" w:before="10"/>
        <w:rPr>
          <w:rFonts w:ascii="宋体" w:hAnsi="宋体" w:cs="宋体" w:eastAsia="宋体" w:hint="default"/>
          <w:sz w:val="28"/>
          <w:szCs w:val="28"/>
        </w:rPr>
      </w:pPr>
    </w:p>
    <w:p>
      <w:pPr>
        <w:spacing w:before="35"/>
        <w:ind w:left="1400" w:right="91" w:firstLine="0"/>
        <w:jc w:val="left"/>
        <w:rPr>
          <w:rFonts w:ascii="宋体" w:hAnsi="宋体" w:cs="宋体" w:eastAsia="宋体" w:hint="default"/>
          <w:sz w:val="21"/>
          <w:szCs w:val="21"/>
        </w:rPr>
      </w:pPr>
      <w:r>
        <w:rPr>
          <w:rFonts w:ascii="宋体" w:hAnsi="宋体" w:cs="宋体" w:eastAsia="宋体" w:hint="default"/>
          <w:sz w:val="21"/>
          <w:szCs w:val="21"/>
        </w:rPr>
        <w:t>（1）按历史数据确定预计维护费用每月单台标准；</w:t>
      </w:r>
    </w:p>
    <w:p>
      <w:pPr>
        <w:spacing w:line="350" w:lineRule="auto" w:before="125"/>
        <w:ind w:left="1400" w:right="84" w:firstLine="0"/>
        <w:jc w:val="left"/>
        <w:rPr>
          <w:rFonts w:ascii="宋体" w:hAnsi="宋体" w:cs="宋体" w:eastAsia="宋体" w:hint="default"/>
          <w:sz w:val="21"/>
          <w:szCs w:val="21"/>
        </w:rPr>
      </w:pPr>
      <w:r>
        <w:rPr>
          <w:rFonts w:ascii="宋体" w:hAnsi="宋体" w:cs="宋体" w:eastAsia="宋体" w:hint="default"/>
          <w:sz w:val="21"/>
          <w:szCs w:val="21"/>
        </w:rPr>
        <w:t>（2）按合同确定销售机器保修总月份数、融资租赁机维护总月份数。考虑到</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新机上线前期实际不发生或少量发生维护费，在按合同确定维护总月份数时， 每台机统一扣减</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个月；</w:t>
      </w:r>
    </w:p>
    <w:p>
      <w:pPr>
        <w:spacing w:line="350" w:lineRule="auto" w:before="28"/>
        <w:ind w:left="1400" w:right="189" w:firstLine="0"/>
        <w:jc w:val="left"/>
        <w:rPr>
          <w:rFonts w:ascii="宋体" w:hAnsi="宋体" w:cs="宋体" w:eastAsia="宋体" w:hint="default"/>
          <w:sz w:val="21"/>
          <w:szCs w:val="21"/>
        </w:rPr>
      </w:pPr>
      <w:r>
        <w:rPr>
          <w:rFonts w:ascii="宋体" w:hAnsi="宋体" w:cs="宋体" w:eastAsia="宋体" w:hint="default"/>
          <w:sz w:val="21"/>
          <w:szCs w:val="21"/>
        </w:rPr>
        <w:t>（3）按销售机器数量、保修总月份数、每月单台维护标准确认保修期间销售</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机器的维护费用，同时确认预计负债；</w:t>
      </w:r>
    </w:p>
    <w:p>
      <w:pPr>
        <w:spacing w:line="348" w:lineRule="auto" w:before="28"/>
        <w:ind w:left="1400" w:right="189" w:firstLine="0"/>
        <w:jc w:val="left"/>
        <w:rPr>
          <w:rFonts w:ascii="宋体" w:hAnsi="宋体" w:cs="宋体" w:eastAsia="宋体" w:hint="default"/>
          <w:sz w:val="21"/>
          <w:szCs w:val="21"/>
        </w:rPr>
      </w:pPr>
      <w:r>
        <w:rPr>
          <w:rFonts w:ascii="宋体" w:hAnsi="宋体" w:cs="宋体" w:eastAsia="宋体" w:hint="default"/>
          <w:sz w:val="21"/>
          <w:szCs w:val="21"/>
        </w:rPr>
        <w:t>（4）按融资租赁机器数量、租赁总月份数、每月单台维护标准确认租赁期间</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融资租赁机的维护费用，同时确认预计负债。</w:t>
      </w:r>
    </w:p>
    <w:p>
      <w:pPr>
        <w:spacing w:line="240" w:lineRule="auto" w:before="0"/>
        <w:rPr>
          <w:rFonts w:ascii="宋体" w:hAnsi="宋体" w:cs="宋体" w:eastAsia="宋体" w:hint="default"/>
          <w:sz w:val="20"/>
          <w:szCs w:val="20"/>
        </w:rPr>
      </w:pPr>
    </w:p>
    <w:p>
      <w:pPr>
        <w:spacing w:line="343" w:lineRule="auto" w:before="169"/>
        <w:ind w:left="857" w:right="91"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股份支付及权益工具</w:t>
      </w:r>
      <w:r>
        <w:rPr>
          <w:rFonts w:ascii="宋体" w:hAnsi="宋体" w:cs="宋体" w:eastAsia="宋体" w:hint="default"/>
          <w:b/>
          <w:bCs/>
          <w:spacing w:val="1"/>
          <w:w w:val="99"/>
          <w:sz w:val="21"/>
          <w:szCs w:val="21"/>
        </w:rPr>
        <w:t> </w:t>
      </w:r>
      <w:r>
        <w:rPr>
          <w:rFonts w:ascii="宋体" w:hAnsi="宋体" w:cs="宋体" w:eastAsia="宋体" w:hint="default"/>
          <w:sz w:val="21"/>
          <w:szCs w:val="21"/>
        </w:rPr>
        <w:t>本公司的股份支付是为了获取职工或其他方提供服务而授予权益工具或者承担以权</w:t>
      </w:r>
      <w:r>
        <w:rPr>
          <w:rFonts w:ascii="宋体" w:hAnsi="宋体" w:cs="宋体" w:eastAsia="宋体" w:hint="default"/>
          <w:spacing w:val="1"/>
          <w:sz w:val="21"/>
          <w:szCs w:val="21"/>
        </w:rPr>
        <w:t> </w:t>
      </w:r>
      <w:r>
        <w:rPr>
          <w:rFonts w:ascii="宋体" w:hAnsi="宋体" w:cs="宋体" w:eastAsia="宋体" w:hint="default"/>
          <w:sz w:val="21"/>
          <w:szCs w:val="21"/>
        </w:rPr>
        <w:t>益工具为基础确定的负债的交易。本公司的股份支付分为以权益结算的股份支付和</w:t>
      </w:r>
      <w:r>
        <w:rPr>
          <w:rFonts w:ascii="宋体" w:hAnsi="宋体" w:cs="宋体" w:eastAsia="宋体" w:hint="default"/>
          <w:spacing w:val="1"/>
          <w:sz w:val="21"/>
          <w:szCs w:val="21"/>
        </w:rPr>
        <w:t> </w:t>
      </w:r>
      <w:r>
        <w:rPr>
          <w:rFonts w:ascii="宋体" w:hAnsi="宋体" w:cs="宋体" w:eastAsia="宋体" w:hint="default"/>
          <w:sz w:val="21"/>
          <w:szCs w:val="21"/>
        </w:rPr>
        <w:t>以现金结算的股份支付。</w:t>
      </w:r>
    </w:p>
    <w:p>
      <w:pPr>
        <w:spacing w:line="240" w:lineRule="auto" w:before="10"/>
        <w:rPr>
          <w:rFonts w:ascii="宋体" w:hAnsi="宋体" w:cs="宋体" w:eastAsia="宋体" w:hint="default"/>
          <w:sz w:val="23"/>
          <w:szCs w:val="23"/>
        </w:rPr>
      </w:pPr>
    </w:p>
    <w:p>
      <w:pPr>
        <w:tabs>
          <w:tab w:pos="1396" w:val="left" w:leader="none"/>
        </w:tabs>
        <w:spacing w:line="348" w:lineRule="auto" w:before="0"/>
        <w:ind w:left="1400" w:right="193"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以权益结算的股份支付及权益工具</w:t>
      </w:r>
      <w:r>
        <w:rPr>
          <w:rFonts w:ascii="宋体" w:hAnsi="宋体" w:cs="宋体" w:eastAsia="宋体" w:hint="default"/>
          <w:b/>
          <w:bCs/>
          <w:w w:val="99"/>
          <w:sz w:val="21"/>
          <w:szCs w:val="21"/>
        </w:rPr>
        <w:t> </w:t>
      </w:r>
      <w:r>
        <w:rPr>
          <w:rFonts w:ascii="宋体" w:hAnsi="宋体" w:cs="宋体" w:eastAsia="宋体" w:hint="default"/>
          <w:spacing w:val="-3"/>
          <w:sz w:val="21"/>
          <w:szCs w:val="21"/>
        </w:rPr>
        <w:t>以权益结算的股份支付换取职工提供服务的，以授予职工权益工具的公允价值</w:t>
      </w:r>
      <w:r>
        <w:rPr>
          <w:rFonts w:ascii="宋体" w:hAnsi="宋体" w:cs="宋体" w:eastAsia="宋体" w:hint="default"/>
          <w:sz w:val="21"/>
          <w:szCs w:val="21"/>
        </w:rPr>
        <w:t> </w:t>
      </w:r>
      <w:r>
        <w:rPr>
          <w:rFonts w:ascii="宋体" w:hAnsi="宋体" w:cs="宋体" w:eastAsia="宋体" w:hint="default"/>
          <w:spacing w:val="-3"/>
          <w:sz w:val="21"/>
          <w:szCs w:val="21"/>
        </w:rPr>
        <w:t>计量。授予后立即可行权的，在授予日按照公允价值计入相关成本或费用，相</w:t>
      </w:r>
      <w:r>
        <w:rPr>
          <w:rFonts w:ascii="宋体" w:hAnsi="宋体" w:cs="宋体" w:eastAsia="宋体" w:hint="default"/>
          <w:sz w:val="21"/>
          <w:szCs w:val="21"/>
        </w:rPr>
        <w:t> </w:t>
      </w:r>
      <w:r>
        <w:rPr>
          <w:rFonts w:ascii="宋体" w:hAnsi="宋体" w:cs="宋体" w:eastAsia="宋体" w:hint="default"/>
          <w:spacing w:val="-3"/>
          <w:sz w:val="21"/>
          <w:szCs w:val="21"/>
        </w:rPr>
        <w:t>应增加资本公积；完成等待期内的服务或达到规定业绩条件才可行权的，在等</w:t>
      </w:r>
      <w:r>
        <w:rPr>
          <w:rFonts w:ascii="宋体" w:hAnsi="宋体" w:cs="宋体" w:eastAsia="宋体" w:hint="default"/>
          <w:sz w:val="21"/>
          <w:szCs w:val="21"/>
        </w:rPr>
        <w:t> </w:t>
      </w:r>
      <w:r>
        <w:rPr>
          <w:rFonts w:ascii="宋体" w:hAnsi="宋体" w:cs="宋体" w:eastAsia="宋体" w:hint="default"/>
          <w:spacing w:val="-3"/>
          <w:sz w:val="21"/>
          <w:szCs w:val="21"/>
        </w:rPr>
        <w:t>待期内每个资产负债表日，本公司根据最新取得的可行权职工人数变动、是否</w:t>
      </w:r>
      <w:r>
        <w:rPr>
          <w:rFonts w:ascii="宋体" w:hAnsi="宋体" w:cs="宋体" w:eastAsia="宋体" w:hint="default"/>
          <w:sz w:val="21"/>
          <w:szCs w:val="21"/>
        </w:rPr>
        <w:t> </w:t>
      </w:r>
      <w:r>
        <w:rPr>
          <w:rFonts w:ascii="宋体" w:hAnsi="宋体" w:cs="宋体" w:eastAsia="宋体" w:hint="default"/>
          <w:spacing w:val="-3"/>
          <w:sz w:val="21"/>
          <w:szCs w:val="21"/>
        </w:rPr>
        <w:t>达到规定业绩条件等后续信息对可行权权益工具数量作出最佳估计，以此为基</w:t>
      </w:r>
      <w:r>
        <w:rPr>
          <w:rFonts w:ascii="宋体" w:hAnsi="宋体" w:cs="宋体" w:eastAsia="宋体" w:hint="default"/>
          <w:sz w:val="21"/>
          <w:szCs w:val="21"/>
        </w:rPr>
        <w:t> </w:t>
      </w:r>
      <w:r>
        <w:rPr>
          <w:rFonts w:ascii="宋体" w:hAnsi="宋体" w:cs="宋体" w:eastAsia="宋体" w:hint="default"/>
          <w:spacing w:val="-3"/>
          <w:sz w:val="21"/>
          <w:szCs w:val="21"/>
        </w:rPr>
        <w:t>础，按照授予日的公允价值，将当期取得的服务计入相关成本或费用，相应增</w:t>
      </w:r>
      <w:r>
        <w:rPr>
          <w:rFonts w:ascii="宋体" w:hAnsi="宋体" w:cs="宋体" w:eastAsia="宋体" w:hint="default"/>
          <w:sz w:val="21"/>
          <w:szCs w:val="21"/>
        </w:rPr>
        <w:t> 加资本公积。在授权日采用</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Black-Scholes </w:t>
      </w:r>
      <w:r>
        <w:rPr>
          <w:rFonts w:ascii="宋体" w:hAnsi="宋体" w:cs="宋体" w:eastAsia="宋体" w:hint="default"/>
          <w:sz w:val="21"/>
          <w:szCs w:val="21"/>
        </w:rPr>
        <w:t>模型确定股票期权的公允价值权</w:t>
      </w:r>
      <w:r>
        <w:rPr>
          <w:rFonts w:ascii="Times New Roman" w:hAnsi="Times New Roman" w:cs="Times New Roman" w:eastAsia="Times New Roman" w:hint="default"/>
          <w:sz w:val="21"/>
          <w:szCs w:val="21"/>
        </w:rPr>
        <w:t>,</w:t>
      </w:r>
      <w:r>
        <w:rPr>
          <w:rFonts w:ascii="宋体" w:hAnsi="宋体" w:cs="宋体" w:eastAsia="宋体" w:hint="default"/>
          <w:sz w:val="21"/>
          <w:szCs w:val="21"/>
        </w:rPr>
        <w:t>详 见附注八、股份支付。 </w:t>
      </w:r>
      <w:r>
        <w:rPr>
          <w:rFonts w:ascii="宋体" w:hAnsi="宋体" w:cs="宋体" w:eastAsia="宋体" w:hint="default"/>
          <w:spacing w:val="-3"/>
          <w:sz w:val="21"/>
          <w:szCs w:val="21"/>
        </w:rPr>
        <w:t>在满足业绩条件和服务期限条件的期间，应确认以权益结算的股份支付的成本</w:t>
      </w:r>
      <w:r>
        <w:rPr>
          <w:rFonts w:ascii="宋体" w:hAnsi="宋体" w:cs="宋体" w:eastAsia="宋体" w:hint="default"/>
          <w:sz w:val="21"/>
          <w:szCs w:val="21"/>
        </w:rPr>
        <w:t> </w:t>
      </w:r>
      <w:r>
        <w:rPr>
          <w:rFonts w:ascii="宋体" w:hAnsi="宋体" w:cs="宋体" w:eastAsia="宋体" w:hint="default"/>
          <w:spacing w:val="-3"/>
          <w:sz w:val="21"/>
          <w:szCs w:val="21"/>
        </w:rPr>
        <w:t>或费用，并相应增加资本公积。可行权日之前，于每个资产负债表日为以权益</w:t>
      </w:r>
      <w:r>
        <w:rPr>
          <w:rFonts w:ascii="宋体" w:hAnsi="宋体" w:cs="宋体" w:eastAsia="宋体" w:hint="default"/>
          <w:sz w:val="21"/>
          <w:szCs w:val="21"/>
        </w:rPr>
        <w:t> </w:t>
      </w:r>
      <w:r>
        <w:rPr>
          <w:rFonts w:ascii="宋体" w:hAnsi="宋体" w:cs="宋体" w:eastAsia="宋体" w:hint="default"/>
          <w:spacing w:val="3"/>
          <w:sz w:val="21"/>
          <w:szCs w:val="21"/>
        </w:rPr>
        <w:t>结算的股份支付确认的累计金额反映了等待期已届满的部分以及本公司对最</w:t>
      </w:r>
      <w:r>
        <w:rPr>
          <w:rFonts w:ascii="宋体" w:hAnsi="宋体" w:cs="宋体" w:eastAsia="宋体" w:hint="default"/>
          <w:spacing w:val="3"/>
          <w:sz w:val="21"/>
          <w:szCs w:val="21"/>
        </w:rPr>
        <w:t> </w:t>
      </w:r>
      <w:r>
        <w:rPr>
          <w:rFonts w:ascii="宋体" w:hAnsi="宋体" w:cs="宋体" w:eastAsia="宋体" w:hint="default"/>
          <w:sz w:val="21"/>
          <w:szCs w:val="21"/>
        </w:rPr>
        <w:t>终可行权的权益工具数量的最佳估计。</w:t>
      </w:r>
      <w:r>
        <w:rPr>
          <w:rFonts w:ascii="宋体" w:hAnsi="宋体" w:cs="宋体" w:eastAsia="宋体" w:hint="default"/>
          <w:sz w:val="21"/>
          <w:szCs w:val="21"/>
        </w:rPr>
        <w:t> </w:t>
      </w:r>
      <w:r>
        <w:rPr>
          <w:rFonts w:ascii="宋体" w:hAnsi="宋体" w:cs="宋体" w:eastAsia="宋体" w:hint="default"/>
          <w:spacing w:val="-3"/>
          <w:sz w:val="21"/>
          <w:szCs w:val="21"/>
        </w:rPr>
        <w:t>对于最终未能行权的股份支付，不确认成本或费用，除非行权条件是市场条件</w:t>
      </w:r>
      <w:r>
        <w:rPr>
          <w:rFonts w:ascii="宋体" w:hAnsi="宋体" w:cs="宋体" w:eastAsia="宋体" w:hint="default"/>
          <w:sz w:val="21"/>
          <w:szCs w:val="21"/>
        </w:rPr>
        <w:t> </w:t>
      </w:r>
      <w:r>
        <w:rPr>
          <w:rFonts w:ascii="宋体" w:hAnsi="宋体" w:cs="宋体" w:eastAsia="宋体" w:hint="default"/>
          <w:spacing w:val="-3"/>
          <w:sz w:val="21"/>
          <w:szCs w:val="21"/>
        </w:rPr>
        <w:t>或非可行权条件，此时无论是否满足市场条件或非可行权条件，只要满足所有</w:t>
      </w:r>
      <w:r>
        <w:rPr>
          <w:rFonts w:ascii="宋体" w:hAnsi="宋体" w:cs="宋体" w:eastAsia="宋体" w:hint="default"/>
          <w:sz w:val="21"/>
          <w:szCs w:val="21"/>
        </w:rPr>
        <w:t> 可行权条件中的非市场条件，即视为可行权。 </w:t>
      </w:r>
      <w:r>
        <w:rPr>
          <w:rFonts w:ascii="宋体" w:hAnsi="宋体" w:cs="宋体" w:eastAsia="宋体" w:hint="default"/>
          <w:spacing w:val="-3"/>
          <w:sz w:val="21"/>
          <w:szCs w:val="21"/>
        </w:rPr>
        <w:t>如果修改了以权益结算的股份支付的条款，至少按照未修改条款的情况确认取</w:t>
      </w:r>
      <w:r>
        <w:rPr>
          <w:rFonts w:ascii="宋体" w:hAnsi="宋体" w:cs="宋体" w:eastAsia="宋体" w:hint="default"/>
          <w:sz w:val="21"/>
          <w:szCs w:val="21"/>
        </w:rPr>
        <w:t> </w:t>
      </w:r>
      <w:r>
        <w:rPr>
          <w:rFonts w:ascii="宋体" w:hAnsi="宋体" w:cs="宋体" w:eastAsia="宋体" w:hint="default"/>
          <w:spacing w:val="-3"/>
          <w:sz w:val="21"/>
          <w:szCs w:val="21"/>
        </w:rPr>
        <w:t>得的服务。此外，任何增加所授予权益工具公允价值的修改，或在修改日对职</w:t>
      </w:r>
      <w:r>
        <w:rPr>
          <w:rFonts w:ascii="宋体" w:hAnsi="宋体" w:cs="宋体" w:eastAsia="宋体" w:hint="default"/>
          <w:sz w:val="21"/>
          <w:szCs w:val="21"/>
        </w:rPr>
        <w:t> 工有利的变更，均确认取得服务的增加。 </w:t>
      </w:r>
      <w:r>
        <w:rPr>
          <w:rFonts w:ascii="宋体" w:hAnsi="宋体" w:cs="宋体" w:eastAsia="宋体" w:hint="default"/>
          <w:spacing w:val="-3"/>
          <w:sz w:val="21"/>
          <w:szCs w:val="21"/>
        </w:rPr>
        <w:t>如果取消了以权益结算的股份支付，则于取消日作为加速行权处理，立即确认</w:t>
      </w:r>
      <w:r>
        <w:rPr>
          <w:rFonts w:ascii="宋体" w:hAnsi="宋体" w:cs="宋体" w:eastAsia="宋体" w:hint="default"/>
          <w:sz w:val="21"/>
          <w:szCs w:val="21"/>
        </w:rPr>
        <w:t> </w:t>
      </w:r>
      <w:r>
        <w:rPr>
          <w:rFonts w:ascii="宋体" w:hAnsi="宋体" w:cs="宋体" w:eastAsia="宋体" w:hint="default"/>
          <w:spacing w:val="-3"/>
          <w:sz w:val="21"/>
          <w:szCs w:val="21"/>
        </w:rPr>
        <w:t>尚未确认的金额。职工或其他方能够选择满足非可行权条件但在等待期内未满</w:t>
      </w:r>
    </w:p>
    <w:p>
      <w:pPr>
        <w:spacing w:after="0" w:line="348" w:lineRule="auto"/>
        <w:jc w:val="left"/>
        <w:rPr>
          <w:rFonts w:ascii="宋体" w:hAnsi="宋体" w:cs="宋体" w:eastAsia="宋体" w:hint="default"/>
          <w:sz w:val="21"/>
          <w:szCs w:val="21"/>
        </w:rPr>
        <w:sectPr>
          <w:pgSz w:w="11910" w:h="16840"/>
          <w:pgMar w:header="885" w:footer="1256" w:top="1120" w:bottom="1440" w:left="1660" w:right="1600"/>
        </w:sectPr>
      </w:pPr>
    </w:p>
    <w:p>
      <w:pPr>
        <w:spacing w:line="240" w:lineRule="auto" w:before="10"/>
        <w:rPr>
          <w:rFonts w:ascii="宋体" w:hAnsi="宋体" w:cs="宋体" w:eastAsia="宋体" w:hint="default"/>
          <w:sz w:val="28"/>
          <w:szCs w:val="28"/>
        </w:rPr>
      </w:pPr>
    </w:p>
    <w:p>
      <w:pPr>
        <w:spacing w:line="350" w:lineRule="auto" w:before="35"/>
        <w:ind w:left="1400" w:right="104" w:firstLine="0"/>
        <w:jc w:val="left"/>
        <w:rPr>
          <w:rFonts w:ascii="宋体" w:hAnsi="宋体" w:cs="宋体" w:eastAsia="宋体" w:hint="default"/>
          <w:sz w:val="21"/>
          <w:szCs w:val="21"/>
        </w:rPr>
      </w:pPr>
      <w:r>
        <w:rPr>
          <w:rFonts w:ascii="宋体" w:hAnsi="宋体" w:cs="宋体" w:eastAsia="宋体" w:hint="default"/>
          <w:sz w:val="21"/>
          <w:szCs w:val="21"/>
        </w:rPr>
        <w:t>足的，作为取消以权益结算的股份支付处理。但是，如果授予新的权益工具， </w:t>
      </w:r>
      <w:r>
        <w:rPr>
          <w:rFonts w:ascii="宋体" w:hAnsi="宋体" w:cs="宋体" w:eastAsia="宋体" w:hint="default"/>
          <w:spacing w:val="3"/>
          <w:sz w:val="21"/>
          <w:szCs w:val="21"/>
        </w:rPr>
        <w:t>并在新权益工具授予日认定所授予的新权益工具是用于替代被取消的权益工</w:t>
      </w:r>
      <w:r>
        <w:rPr>
          <w:rFonts w:ascii="宋体" w:hAnsi="宋体" w:cs="宋体" w:eastAsia="宋体" w:hint="default"/>
          <w:spacing w:val="3"/>
          <w:sz w:val="21"/>
          <w:szCs w:val="21"/>
        </w:rPr>
        <w:t> </w:t>
      </w:r>
      <w:r>
        <w:rPr>
          <w:rFonts w:ascii="宋体" w:hAnsi="宋体" w:cs="宋体" w:eastAsia="宋体" w:hint="default"/>
          <w:spacing w:val="-3"/>
          <w:sz w:val="21"/>
          <w:szCs w:val="21"/>
        </w:rPr>
        <w:t>具的，则以与处理原权益工具条款和条件修改相同的方式，对所授予的替代权</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益工具进行处理。</w:t>
      </w:r>
    </w:p>
    <w:p>
      <w:pPr>
        <w:spacing w:line="240" w:lineRule="auto" w:before="13"/>
        <w:rPr>
          <w:rFonts w:ascii="宋体" w:hAnsi="宋体" w:cs="宋体" w:eastAsia="宋体" w:hint="default"/>
          <w:sz w:val="25"/>
          <w:szCs w:val="25"/>
        </w:rPr>
      </w:pPr>
    </w:p>
    <w:p>
      <w:pPr>
        <w:tabs>
          <w:tab w:pos="1396" w:val="left" w:leader="none"/>
        </w:tabs>
        <w:spacing w:line="345" w:lineRule="auto" w:before="0"/>
        <w:ind w:left="1400" w:right="122"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以现金结算的股份支付及权益工具</w:t>
      </w:r>
      <w:r>
        <w:rPr>
          <w:rFonts w:ascii="宋体" w:hAnsi="宋体" w:cs="宋体" w:eastAsia="宋体" w:hint="default"/>
          <w:b/>
          <w:bCs/>
          <w:w w:val="99"/>
          <w:sz w:val="21"/>
          <w:szCs w:val="21"/>
        </w:rPr>
        <w:t> </w:t>
      </w:r>
      <w:r>
        <w:rPr>
          <w:rFonts w:ascii="宋体" w:hAnsi="宋体" w:cs="宋体" w:eastAsia="宋体" w:hint="default"/>
          <w:spacing w:val="-3"/>
          <w:sz w:val="21"/>
          <w:szCs w:val="21"/>
        </w:rPr>
        <w:t>以现金结算的股份支付，按照本公司承担的以股份或其他权益工具为基础计算</w:t>
      </w:r>
      <w:r>
        <w:rPr>
          <w:rFonts w:ascii="宋体" w:hAnsi="宋体" w:cs="宋体" w:eastAsia="宋体" w:hint="default"/>
          <w:sz w:val="21"/>
          <w:szCs w:val="21"/>
        </w:rPr>
        <w:t> </w:t>
      </w:r>
      <w:r>
        <w:rPr>
          <w:rFonts w:ascii="宋体" w:hAnsi="宋体" w:cs="宋体" w:eastAsia="宋体" w:hint="default"/>
          <w:spacing w:val="-3"/>
          <w:sz w:val="21"/>
          <w:szCs w:val="21"/>
        </w:rPr>
        <w:t>确定的负债的公允价值计量。授予后立即可行权的，在授予日以承担负债的公</w:t>
      </w:r>
      <w:r>
        <w:rPr>
          <w:rFonts w:ascii="宋体" w:hAnsi="宋体" w:cs="宋体" w:eastAsia="宋体" w:hint="default"/>
          <w:sz w:val="21"/>
          <w:szCs w:val="21"/>
        </w:rPr>
        <w:t> </w:t>
      </w:r>
      <w:r>
        <w:rPr>
          <w:rFonts w:ascii="宋体" w:hAnsi="宋体" w:cs="宋体" w:eastAsia="宋体" w:hint="default"/>
          <w:spacing w:val="-3"/>
          <w:sz w:val="21"/>
          <w:szCs w:val="21"/>
        </w:rPr>
        <w:t>允价值计入成本或费用，相应增加负债；完成等待期内的服务或达到规定业绩</w:t>
      </w:r>
      <w:r>
        <w:rPr>
          <w:rFonts w:ascii="宋体" w:hAnsi="宋体" w:cs="宋体" w:eastAsia="宋体" w:hint="default"/>
          <w:sz w:val="21"/>
          <w:szCs w:val="21"/>
        </w:rPr>
        <w:t> </w:t>
      </w:r>
      <w:r>
        <w:rPr>
          <w:rFonts w:ascii="宋体" w:hAnsi="宋体" w:cs="宋体" w:eastAsia="宋体" w:hint="default"/>
          <w:spacing w:val="-3"/>
          <w:sz w:val="21"/>
          <w:szCs w:val="21"/>
        </w:rPr>
        <w:t>条件才可行权的，在等待期内以对可行权情况的最佳估计为基础，按照承担负</w:t>
      </w:r>
      <w:r>
        <w:rPr>
          <w:rFonts w:ascii="宋体" w:hAnsi="宋体" w:cs="宋体" w:eastAsia="宋体" w:hint="default"/>
          <w:sz w:val="21"/>
          <w:szCs w:val="21"/>
        </w:rPr>
        <w:t> </w:t>
      </w:r>
      <w:r>
        <w:rPr>
          <w:rFonts w:ascii="宋体" w:hAnsi="宋体" w:cs="宋体" w:eastAsia="宋体" w:hint="default"/>
          <w:spacing w:val="-3"/>
          <w:sz w:val="21"/>
          <w:szCs w:val="21"/>
        </w:rPr>
        <w:t>债的公允价值，将当期取得的服务计入相关成本或费用，增加相应负债。在相</w:t>
      </w:r>
      <w:r>
        <w:rPr>
          <w:rFonts w:ascii="宋体" w:hAnsi="宋体" w:cs="宋体" w:eastAsia="宋体" w:hint="default"/>
          <w:sz w:val="21"/>
          <w:szCs w:val="21"/>
        </w:rPr>
        <w:t> 关负债结算前的每个资产负债表日以及结算日，对负债的公允价值重新计量， 其变动计入当期损益。</w:t>
      </w:r>
    </w:p>
    <w:p>
      <w:pPr>
        <w:spacing w:line="240" w:lineRule="auto" w:before="0"/>
        <w:rPr>
          <w:rFonts w:ascii="宋体" w:hAnsi="宋体" w:cs="宋体" w:eastAsia="宋体" w:hint="default"/>
          <w:sz w:val="20"/>
          <w:szCs w:val="20"/>
        </w:rPr>
      </w:pPr>
    </w:p>
    <w:p>
      <w:pPr>
        <w:spacing w:before="150"/>
        <w:ind w:left="125" w:right="238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收入</w:t>
      </w:r>
      <w:r>
        <w:rPr>
          <w:rFonts w:ascii="宋体" w:hAnsi="宋体" w:cs="宋体" w:eastAsia="宋体" w:hint="default"/>
          <w:sz w:val="21"/>
          <w:szCs w:val="21"/>
        </w:rPr>
      </w:r>
    </w:p>
    <w:p>
      <w:pPr>
        <w:tabs>
          <w:tab w:pos="1396" w:val="left" w:leader="none"/>
        </w:tabs>
        <w:spacing w:before="89"/>
        <w:ind w:left="857" w:right="238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销售商品收入确认时间的具体判断标准</w:t>
      </w:r>
      <w:r>
        <w:rPr>
          <w:rFonts w:ascii="宋体" w:hAnsi="宋体" w:cs="宋体" w:eastAsia="宋体" w:hint="default"/>
          <w:sz w:val="21"/>
          <w:szCs w:val="21"/>
        </w:rPr>
      </w:r>
    </w:p>
    <w:p>
      <w:pPr>
        <w:spacing w:before="110"/>
        <w:ind w:left="1399" w:right="2389" w:firstLine="0"/>
        <w:jc w:val="left"/>
        <w:rPr>
          <w:rFonts w:ascii="宋体" w:hAnsi="宋体" w:cs="宋体" w:eastAsia="宋体" w:hint="default"/>
          <w:sz w:val="21"/>
          <w:szCs w:val="21"/>
        </w:rPr>
      </w:pPr>
      <w:r>
        <w:rPr>
          <w:rFonts w:ascii="宋体" w:hAnsi="宋体" w:cs="宋体" w:eastAsia="宋体" w:hint="default"/>
          <w:sz w:val="21"/>
          <w:szCs w:val="21"/>
        </w:rPr>
        <w:t>（1）合同经双方签字盖章确认，已经生效；</w:t>
      </w:r>
    </w:p>
    <w:p>
      <w:pPr>
        <w:spacing w:before="125"/>
        <w:ind w:left="1399" w:right="213" w:firstLine="0"/>
        <w:jc w:val="left"/>
        <w:rPr>
          <w:rFonts w:ascii="宋体" w:hAnsi="宋体" w:cs="宋体" w:eastAsia="宋体" w:hint="default"/>
          <w:sz w:val="21"/>
          <w:szCs w:val="21"/>
        </w:rPr>
      </w:pPr>
      <w:r>
        <w:rPr>
          <w:rFonts w:ascii="宋体" w:hAnsi="宋体" w:cs="宋体" w:eastAsia="宋体" w:hint="default"/>
          <w:sz w:val="21"/>
          <w:szCs w:val="21"/>
        </w:rPr>
        <w:t>（2）设备已经发出，且通过物流公司或公司销售部确认客户已经收到；</w:t>
      </w:r>
    </w:p>
    <w:p>
      <w:pPr>
        <w:spacing w:line="350" w:lineRule="auto" w:before="125"/>
        <w:ind w:left="1399" w:right="210" w:firstLine="0"/>
        <w:jc w:val="left"/>
        <w:rPr>
          <w:rFonts w:ascii="宋体" w:hAnsi="宋体" w:cs="宋体" w:eastAsia="宋体" w:hint="default"/>
          <w:sz w:val="21"/>
          <w:szCs w:val="21"/>
        </w:rPr>
      </w:pPr>
      <w:r>
        <w:rPr>
          <w:rFonts w:ascii="宋体" w:hAnsi="宋体" w:cs="宋体" w:eastAsia="宋体" w:hint="default"/>
          <w:sz w:val="21"/>
          <w:szCs w:val="21"/>
        </w:rPr>
        <w:t>（3）设备按合同要求已经安装调试完毕；或经公司销售部确认设备已安装调</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试完毕，客户已经验收。</w:t>
      </w:r>
    </w:p>
    <w:p>
      <w:pPr>
        <w:spacing w:line="240" w:lineRule="auto" w:before="9"/>
        <w:rPr>
          <w:rFonts w:ascii="宋体" w:hAnsi="宋体" w:cs="宋体" w:eastAsia="宋体" w:hint="default"/>
          <w:sz w:val="29"/>
          <w:szCs w:val="29"/>
        </w:rPr>
      </w:pPr>
    </w:p>
    <w:p>
      <w:pPr>
        <w:tabs>
          <w:tab w:pos="1396" w:val="left" w:leader="none"/>
        </w:tabs>
        <w:spacing w:line="321" w:lineRule="auto" w:before="0"/>
        <w:ind w:left="1400" w:right="216"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确认让渡资产使用权收入的依据</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与交易相关的经济利益很可能流入企业，收入的金额能够可靠地计量时，分别</w:t>
      </w:r>
      <w:r>
        <w:rPr>
          <w:rFonts w:ascii="宋体" w:hAnsi="宋体" w:cs="宋体" w:eastAsia="宋体" w:hint="default"/>
          <w:sz w:val="21"/>
          <w:szCs w:val="21"/>
        </w:rPr>
        <w:t> 下列情况确定让渡资产使用权收入金额：</w:t>
      </w:r>
    </w:p>
    <w:p>
      <w:pPr>
        <w:spacing w:line="312" w:lineRule="auto" w:before="34"/>
        <w:ind w:left="1400" w:right="20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）利息收入金额，按照他人使用本企业货币资金的时间和实际利率计算确</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定。</w:t>
      </w:r>
    </w:p>
    <w:p>
      <w:pPr>
        <w:spacing w:before="42"/>
        <w:ind w:left="1400" w:right="0" w:firstLine="0"/>
        <w:jc w:val="left"/>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）使用费收入金额，按照有关合同或协议约定的收费时间和方法计算确定。</w:t>
      </w:r>
    </w:p>
    <w:p>
      <w:pPr>
        <w:spacing w:line="348" w:lineRule="auto" w:before="110"/>
        <w:ind w:left="1400" w:right="205" w:firstLine="0"/>
        <w:jc w:val="left"/>
        <w:rPr>
          <w:rFonts w:ascii="宋体" w:hAnsi="宋体" w:cs="宋体" w:eastAsia="宋体" w:hint="default"/>
          <w:sz w:val="21"/>
          <w:szCs w:val="21"/>
        </w:rPr>
      </w:pPr>
      <w:r>
        <w:rPr>
          <w:rFonts w:ascii="宋体" w:hAnsi="宋体" w:cs="宋体" w:eastAsia="宋体" w:hint="default"/>
          <w:sz w:val="21"/>
          <w:szCs w:val="21"/>
        </w:rPr>
        <w:t>（3）ATM</w:t>
      </w:r>
      <w:r>
        <w:rPr>
          <w:rFonts w:ascii="宋体" w:hAnsi="宋体" w:cs="宋体" w:eastAsia="宋体" w:hint="default"/>
          <w:spacing w:val="4"/>
          <w:sz w:val="21"/>
          <w:szCs w:val="21"/>
        </w:rPr>
        <w:t> </w:t>
      </w:r>
      <w:r>
        <w:rPr>
          <w:rFonts w:ascii="宋体" w:hAnsi="宋体" w:cs="宋体" w:eastAsia="宋体" w:hint="default"/>
          <w:sz w:val="21"/>
          <w:szCs w:val="21"/>
        </w:rPr>
        <w:t>服务收入：收入的金额能够可靠地计量；相关的经济利益很可能流</w:t>
      </w:r>
      <w:r>
        <w:rPr>
          <w:rFonts w:ascii="宋体" w:hAnsi="宋体" w:cs="宋体" w:eastAsia="宋体" w:hint="default"/>
          <w:sz w:val="21"/>
          <w:szCs w:val="21"/>
        </w:rPr>
        <w:t> 入企业时确认收入。</w:t>
      </w:r>
    </w:p>
    <w:p>
      <w:pPr>
        <w:spacing w:line="350" w:lineRule="auto" w:before="30"/>
        <w:ind w:left="1400" w:right="2834" w:firstLine="0"/>
        <w:jc w:val="left"/>
        <w:rPr>
          <w:rFonts w:ascii="宋体" w:hAnsi="宋体" w:cs="宋体" w:eastAsia="宋体" w:hint="default"/>
          <w:sz w:val="21"/>
          <w:szCs w:val="21"/>
        </w:rPr>
      </w:pPr>
      <w:r>
        <w:rPr>
          <w:rFonts w:ascii="宋体" w:hAnsi="宋体" w:cs="宋体" w:eastAsia="宋体" w:hint="default"/>
          <w:sz w:val="21"/>
          <w:szCs w:val="21"/>
        </w:rPr>
        <w:t>（4）租赁资产收入： 在租赁开始日将租赁分为融资租赁和经营租赁。</w:t>
      </w:r>
    </w:p>
    <w:p>
      <w:pPr>
        <w:spacing w:line="350" w:lineRule="auto" w:before="28"/>
        <w:ind w:left="1400" w:right="206" w:firstLine="0"/>
        <w:jc w:val="left"/>
        <w:rPr>
          <w:rFonts w:ascii="宋体" w:hAnsi="宋体" w:cs="宋体" w:eastAsia="宋体" w:hint="default"/>
          <w:sz w:val="21"/>
          <w:szCs w:val="21"/>
        </w:rPr>
      </w:pPr>
      <w:r>
        <w:rPr>
          <w:rFonts w:ascii="宋体" w:hAnsi="宋体" w:cs="宋体" w:eastAsia="宋体" w:hint="default"/>
          <w:spacing w:val="-3"/>
          <w:sz w:val="21"/>
          <w:szCs w:val="21"/>
        </w:rPr>
        <w:t>融资租赁，是指实质上转移了与资产所有权有关的全部风险和报酬的租赁。其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所有权最终可能转移，也可能不转移。 符合下列一项或数项标准的，认定为融资租赁：</w:t>
      </w:r>
    </w:p>
    <w:p>
      <w:pPr>
        <w:spacing w:before="28"/>
        <w:ind w:left="1400" w:right="213" w:firstLine="0"/>
        <w:jc w:val="left"/>
        <w:rPr>
          <w:rFonts w:ascii="宋体" w:hAnsi="宋体" w:cs="宋体" w:eastAsia="宋体" w:hint="default"/>
          <w:sz w:val="21"/>
          <w:szCs w:val="21"/>
        </w:rPr>
      </w:pPr>
      <w:r>
        <w:rPr>
          <w:rFonts w:ascii="宋体" w:hAnsi="宋体" w:cs="宋体" w:eastAsia="宋体" w:hint="default"/>
          <w:sz w:val="21"/>
          <w:szCs w:val="21"/>
        </w:rPr>
        <w:t>①</w:t>
      </w:r>
      <w:r>
        <w:rPr>
          <w:rFonts w:ascii="宋体" w:hAnsi="宋体" w:cs="宋体" w:eastAsia="宋体" w:hint="default"/>
          <w:spacing w:val="-2"/>
          <w:sz w:val="21"/>
          <w:szCs w:val="21"/>
        </w:rPr>
        <w:t> </w:t>
      </w:r>
      <w:r>
        <w:rPr>
          <w:rFonts w:ascii="宋体" w:hAnsi="宋体" w:cs="宋体" w:eastAsia="宋体" w:hint="default"/>
          <w:sz w:val="21"/>
          <w:szCs w:val="21"/>
        </w:rPr>
        <w:t>在租赁期届满时，租赁资产的所有权转移给承租人；</w:t>
      </w:r>
    </w:p>
    <w:p>
      <w:pPr>
        <w:spacing w:after="0"/>
        <w:jc w:val="left"/>
        <w:rPr>
          <w:rFonts w:ascii="宋体" w:hAnsi="宋体" w:cs="宋体" w:eastAsia="宋体" w:hint="default"/>
          <w:sz w:val="21"/>
          <w:szCs w:val="21"/>
        </w:rPr>
        <w:sectPr>
          <w:pgSz w:w="11910" w:h="16840"/>
          <w:pgMar w:header="885" w:footer="1256" w:top="1120" w:bottom="1440" w:left="1660" w:right="1580"/>
        </w:sectPr>
      </w:pPr>
    </w:p>
    <w:p>
      <w:pPr>
        <w:spacing w:line="240" w:lineRule="auto" w:before="10"/>
        <w:rPr>
          <w:rFonts w:ascii="宋体" w:hAnsi="宋体" w:cs="宋体" w:eastAsia="宋体" w:hint="default"/>
          <w:sz w:val="28"/>
          <w:szCs w:val="28"/>
        </w:rPr>
      </w:pPr>
    </w:p>
    <w:p>
      <w:pPr>
        <w:spacing w:line="350" w:lineRule="auto" w:before="35"/>
        <w:ind w:left="1400" w:right="137" w:firstLine="0"/>
        <w:jc w:val="both"/>
        <w:rPr>
          <w:rFonts w:ascii="宋体" w:hAnsi="宋体" w:cs="宋体" w:eastAsia="宋体" w:hint="default"/>
          <w:sz w:val="21"/>
          <w:szCs w:val="21"/>
        </w:rPr>
      </w:pPr>
      <w:r>
        <w:rPr>
          <w:rFonts w:ascii="宋体" w:hAnsi="宋体" w:cs="宋体" w:eastAsia="宋体" w:hint="default"/>
          <w:sz w:val="21"/>
          <w:szCs w:val="21"/>
        </w:rPr>
        <w:t>②</w:t>
      </w:r>
      <w:r>
        <w:rPr>
          <w:rFonts w:ascii="宋体" w:hAnsi="宋体" w:cs="宋体" w:eastAsia="宋体" w:hint="default"/>
          <w:spacing w:val="6"/>
          <w:sz w:val="21"/>
          <w:szCs w:val="21"/>
        </w:rPr>
        <w:t> </w:t>
      </w:r>
      <w:r>
        <w:rPr>
          <w:rFonts w:ascii="宋体" w:hAnsi="宋体" w:cs="宋体" w:eastAsia="宋体" w:hint="default"/>
          <w:sz w:val="21"/>
          <w:szCs w:val="21"/>
        </w:rPr>
        <w:t>承租人有购买租赁资产的选择权，所订立的购买价款预计将远低于行使选</w:t>
      </w:r>
      <w:r>
        <w:rPr>
          <w:rFonts w:ascii="宋体" w:hAnsi="宋体" w:cs="宋体" w:eastAsia="宋体" w:hint="default"/>
          <w:sz w:val="21"/>
          <w:szCs w:val="21"/>
        </w:rPr>
        <w:t> </w:t>
      </w:r>
      <w:r>
        <w:rPr>
          <w:rFonts w:ascii="宋体" w:hAnsi="宋体" w:cs="宋体" w:eastAsia="宋体" w:hint="default"/>
          <w:spacing w:val="-3"/>
          <w:sz w:val="21"/>
          <w:szCs w:val="21"/>
        </w:rPr>
        <w:t>择权时租赁资产的公允价值，因而在租赁开始日就可以合理确定承租人将会行</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使这种选择权；</w:t>
      </w:r>
    </w:p>
    <w:p>
      <w:pPr>
        <w:spacing w:before="28"/>
        <w:ind w:left="1400" w:right="0" w:firstLine="0"/>
        <w:jc w:val="both"/>
        <w:rPr>
          <w:rFonts w:ascii="宋体" w:hAnsi="宋体" w:cs="宋体" w:eastAsia="宋体" w:hint="default"/>
          <w:sz w:val="21"/>
          <w:szCs w:val="21"/>
        </w:rPr>
      </w:pPr>
      <w:r>
        <w:rPr>
          <w:rFonts w:ascii="宋体" w:hAnsi="宋体" w:cs="宋体" w:eastAsia="宋体" w:hint="default"/>
          <w:sz w:val="21"/>
          <w:szCs w:val="21"/>
        </w:rPr>
        <w:t>③</w:t>
      </w:r>
      <w:r>
        <w:rPr>
          <w:rFonts w:ascii="宋体" w:hAnsi="宋体" w:cs="宋体" w:eastAsia="宋体" w:hint="default"/>
          <w:spacing w:val="-2"/>
          <w:sz w:val="21"/>
          <w:szCs w:val="21"/>
        </w:rPr>
        <w:t> </w:t>
      </w:r>
      <w:r>
        <w:rPr>
          <w:rFonts w:ascii="宋体" w:hAnsi="宋体" w:cs="宋体" w:eastAsia="宋体" w:hint="default"/>
          <w:sz w:val="21"/>
          <w:szCs w:val="21"/>
        </w:rPr>
        <w:t>即使资产的所有权不转移，但租赁期占租赁资产使用寿命的大部分；</w:t>
      </w:r>
    </w:p>
    <w:p>
      <w:pPr>
        <w:spacing w:line="350" w:lineRule="auto" w:before="125"/>
        <w:ind w:left="1400" w:right="136" w:firstLine="0"/>
        <w:jc w:val="both"/>
        <w:rPr>
          <w:rFonts w:ascii="宋体" w:hAnsi="宋体" w:cs="宋体" w:eastAsia="宋体" w:hint="default"/>
          <w:sz w:val="21"/>
          <w:szCs w:val="21"/>
        </w:rPr>
      </w:pPr>
      <w:r>
        <w:rPr>
          <w:rFonts w:ascii="宋体" w:hAnsi="宋体" w:cs="宋体" w:eastAsia="宋体" w:hint="default"/>
          <w:sz w:val="21"/>
          <w:szCs w:val="21"/>
        </w:rPr>
        <w:t>④</w:t>
      </w:r>
      <w:r>
        <w:rPr>
          <w:rFonts w:ascii="宋体" w:hAnsi="宋体" w:cs="宋体" w:eastAsia="宋体" w:hint="default"/>
          <w:spacing w:val="6"/>
          <w:sz w:val="21"/>
          <w:szCs w:val="21"/>
        </w:rPr>
        <w:t> </w:t>
      </w:r>
      <w:r>
        <w:rPr>
          <w:rFonts w:ascii="宋体" w:hAnsi="宋体" w:cs="宋体" w:eastAsia="宋体" w:hint="default"/>
          <w:sz w:val="21"/>
          <w:szCs w:val="21"/>
        </w:rPr>
        <w:t>承租人在租赁开始日的最低租赁付款额现值，几乎相当于租赁开始日租赁</w:t>
      </w:r>
      <w:r>
        <w:rPr>
          <w:rFonts w:ascii="宋体" w:hAnsi="宋体" w:cs="宋体" w:eastAsia="宋体" w:hint="default"/>
          <w:sz w:val="21"/>
          <w:szCs w:val="21"/>
        </w:rPr>
        <w:t> </w:t>
      </w:r>
      <w:r>
        <w:rPr>
          <w:rFonts w:ascii="宋体" w:hAnsi="宋体" w:cs="宋体" w:eastAsia="宋体" w:hint="default"/>
          <w:spacing w:val="-3"/>
          <w:sz w:val="21"/>
          <w:szCs w:val="21"/>
        </w:rPr>
        <w:t>资产公允价值；出租人在租赁开始日的最低租赁收款额现值，几乎相当于租赁</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开始日租赁资产公允价值；</w:t>
      </w:r>
    </w:p>
    <w:p>
      <w:pPr>
        <w:spacing w:line="350" w:lineRule="auto" w:before="28"/>
        <w:ind w:left="1400" w:right="126" w:firstLine="0"/>
        <w:jc w:val="left"/>
        <w:rPr>
          <w:rFonts w:ascii="宋体" w:hAnsi="宋体" w:cs="宋体" w:eastAsia="宋体" w:hint="default"/>
          <w:sz w:val="21"/>
          <w:szCs w:val="21"/>
        </w:rPr>
      </w:pPr>
      <w:r>
        <w:rPr>
          <w:rFonts w:ascii="宋体" w:hAnsi="宋体" w:cs="宋体" w:eastAsia="宋体" w:hint="default"/>
          <w:sz w:val="21"/>
          <w:szCs w:val="21"/>
        </w:rPr>
        <w:t>⑤</w:t>
      </w:r>
      <w:r>
        <w:rPr>
          <w:rFonts w:ascii="宋体" w:hAnsi="宋体" w:cs="宋体" w:eastAsia="宋体" w:hint="default"/>
          <w:spacing w:val="-1"/>
          <w:sz w:val="21"/>
          <w:szCs w:val="21"/>
        </w:rPr>
        <w:t> </w:t>
      </w:r>
      <w:r>
        <w:rPr>
          <w:rFonts w:ascii="宋体" w:hAnsi="宋体" w:cs="宋体" w:eastAsia="宋体" w:hint="default"/>
          <w:sz w:val="21"/>
          <w:szCs w:val="21"/>
        </w:rPr>
        <w:t>租赁资产性质特殊，如果不作较大改造，只有承租人才能使用。</w:t>
      </w:r>
      <w:r>
        <w:rPr>
          <w:rFonts w:ascii="宋体" w:hAnsi="宋体" w:cs="宋体" w:eastAsia="宋体" w:hint="default"/>
          <w:sz w:val="21"/>
          <w:szCs w:val="21"/>
        </w:rPr>
        <w:t> 未实现融资收益在租赁期内各个期间按实际利率法分配。 或有租金在实际发生时确认为当期收入。 </w:t>
      </w:r>
      <w:r>
        <w:rPr>
          <w:rFonts w:ascii="宋体" w:hAnsi="宋体" w:cs="宋体" w:eastAsia="宋体" w:hint="default"/>
          <w:spacing w:val="-3"/>
          <w:sz w:val="21"/>
          <w:szCs w:val="21"/>
        </w:rPr>
        <w:t>经营租赁是指除融资租赁以外的其他租赁，经营租赁的租金在租赁期内的各个</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期间按直线法确认为收入。</w:t>
      </w:r>
    </w:p>
    <w:p>
      <w:pPr>
        <w:spacing w:line="240" w:lineRule="auto" w:before="9"/>
        <w:rPr>
          <w:rFonts w:ascii="宋体" w:hAnsi="宋体" w:cs="宋体" w:eastAsia="宋体" w:hint="default"/>
          <w:sz w:val="29"/>
          <w:szCs w:val="29"/>
        </w:rPr>
      </w:pPr>
    </w:p>
    <w:p>
      <w:pPr>
        <w:tabs>
          <w:tab w:pos="1396" w:val="left" w:leader="none"/>
        </w:tabs>
        <w:spacing w:line="328" w:lineRule="auto" w:before="0"/>
        <w:ind w:left="1396" w:right="135" w:hanging="539"/>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pacing w:val="2"/>
          <w:sz w:val="21"/>
          <w:szCs w:val="21"/>
        </w:rPr>
        <w:t>按完工百分比法确认提供劳务的收入和建造合同收入时，确定合同完工进度</w:t>
      </w:r>
      <w:r>
        <w:rPr>
          <w:rFonts w:ascii="宋体" w:hAnsi="宋体" w:cs="宋体" w:eastAsia="宋体" w:hint="default"/>
          <w:b/>
          <w:bCs/>
          <w:spacing w:val="-102"/>
          <w:sz w:val="21"/>
          <w:szCs w:val="21"/>
        </w:rPr>
        <w:t> </w:t>
      </w:r>
      <w:r>
        <w:rPr>
          <w:rFonts w:ascii="宋体" w:hAnsi="宋体" w:cs="宋体" w:eastAsia="宋体" w:hint="default"/>
          <w:b/>
          <w:bCs/>
          <w:spacing w:val="-102"/>
          <w:sz w:val="21"/>
          <w:szCs w:val="21"/>
        </w:rPr>
      </w:r>
      <w:r>
        <w:rPr>
          <w:rFonts w:ascii="宋体" w:hAnsi="宋体" w:cs="宋体" w:eastAsia="宋体" w:hint="default"/>
          <w:b/>
          <w:bCs/>
          <w:sz w:val="21"/>
          <w:szCs w:val="21"/>
        </w:rPr>
        <w:t>的依据和方法</w:t>
      </w:r>
      <w:r>
        <w:rPr>
          <w:rFonts w:ascii="宋体" w:hAnsi="宋体" w:cs="宋体" w:eastAsia="宋体" w:hint="default"/>
          <w:b/>
          <w:bCs/>
          <w:w w:val="99"/>
          <w:sz w:val="21"/>
          <w:szCs w:val="21"/>
        </w:rPr>
        <w:t> </w:t>
      </w:r>
      <w:r>
        <w:rPr>
          <w:rFonts w:ascii="宋体" w:hAnsi="宋体" w:cs="宋体" w:eastAsia="宋体" w:hint="default"/>
          <w:spacing w:val="-3"/>
          <w:sz w:val="21"/>
          <w:szCs w:val="21"/>
        </w:rPr>
        <w:t>在资产负债表日提供劳务交易的结果能够可靠估计的，采用完工百分比法确认</w:t>
      </w:r>
      <w:r>
        <w:rPr>
          <w:rFonts w:ascii="宋体" w:hAnsi="宋体" w:cs="宋体" w:eastAsia="宋体" w:hint="default"/>
          <w:sz w:val="21"/>
          <w:szCs w:val="21"/>
        </w:rPr>
        <w:t> 提供劳务收入。提供劳务交易的完工进度，依据已完工作的测量确定。 </w:t>
      </w:r>
      <w:r>
        <w:rPr>
          <w:rFonts w:ascii="宋体" w:hAnsi="宋体" w:cs="宋体" w:eastAsia="宋体" w:hint="default"/>
          <w:spacing w:val="-3"/>
          <w:sz w:val="21"/>
          <w:szCs w:val="21"/>
        </w:rPr>
        <w:t>按照已收或应收的合同或协议价款确定提供劳务收入总额，但已收或应收的合</w:t>
      </w:r>
      <w:r>
        <w:rPr>
          <w:rFonts w:ascii="宋体" w:hAnsi="宋体" w:cs="宋体" w:eastAsia="宋体" w:hint="default"/>
          <w:sz w:val="21"/>
          <w:szCs w:val="21"/>
        </w:rPr>
        <w:t> </w:t>
      </w:r>
      <w:r>
        <w:rPr>
          <w:rFonts w:ascii="宋体" w:hAnsi="宋体" w:cs="宋体" w:eastAsia="宋体" w:hint="default"/>
          <w:spacing w:val="-3"/>
          <w:sz w:val="21"/>
          <w:szCs w:val="21"/>
        </w:rPr>
        <w:t>同或协议价款不公允的除外。资产负债表日按照提供劳务收入总额乘以完工进</w:t>
      </w:r>
      <w:r>
        <w:rPr>
          <w:rFonts w:ascii="宋体" w:hAnsi="宋体" w:cs="宋体" w:eastAsia="宋体" w:hint="default"/>
          <w:sz w:val="21"/>
          <w:szCs w:val="21"/>
        </w:rPr>
        <w:t> </w:t>
      </w:r>
      <w:r>
        <w:rPr>
          <w:rFonts w:ascii="宋体" w:hAnsi="宋体" w:cs="宋体" w:eastAsia="宋体" w:hint="default"/>
          <w:spacing w:val="-3"/>
          <w:sz w:val="21"/>
          <w:szCs w:val="21"/>
        </w:rPr>
        <w:t>度扣除以前会计期间累计已确认提供劳务收入后的金额，确认当期提供劳务收</w:t>
      </w:r>
      <w:r>
        <w:rPr>
          <w:rFonts w:ascii="宋体" w:hAnsi="宋体" w:cs="宋体" w:eastAsia="宋体" w:hint="default"/>
          <w:sz w:val="21"/>
          <w:szCs w:val="21"/>
        </w:rPr>
        <w:t> </w:t>
      </w:r>
      <w:r>
        <w:rPr>
          <w:rFonts w:ascii="宋体" w:hAnsi="宋体" w:cs="宋体" w:eastAsia="宋体" w:hint="default"/>
          <w:spacing w:val="-3"/>
          <w:sz w:val="21"/>
          <w:szCs w:val="21"/>
        </w:rPr>
        <w:t>入；同时，按照提供劳务估计总成本乘以完工进度扣除以前会计期间累计已确</w:t>
      </w:r>
      <w:r>
        <w:rPr>
          <w:rFonts w:ascii="宋体" w:hAnsi="宋体" w:cs="宋体" w:eastAsia="宋体" w:hint="default"/>
          <w:sz w:val="21"/>
          <w:szCs w:val="21"/>
        </w:rPr>
        <w:t> 认劳务成本后的金额，结转当期劳务成本。 在资产负债表日提供劳务交易结果不能够可靠估计的，分别下列情况处理：</w:t>
      </w:r>
    </w:p>
    <w:p>
      <w:pPr>
        <w:spacing w:line="314" w:lineRule="auto" w:before="26"/>
        <w:ind w:left="1400" w:right="138"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）已经发生的劳务成本预计能够得到补偿的，按照已经发生的劳务成本金</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额确认提供劳务收入，并按相同金额结转劳务成本。</w:t>
      </w:r>
    </w:p>
    <w:p>
      <w:pPr>
        <w:spacing w:line="312" w:lineRule="auto" w:before="40"/>
        <w:ind w:left="1400" w:right="138"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）已经发生的劳务成本预计不能够得到补偿的，将已经发生的劳务成本计</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入当期损益，不确认提供劳务收入。</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spacing w:before="0"/>
        <w:ind w:left="125" w:right="11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政府补助</w:t>
      </w:r>
      <w:r>
        <w:rPr>
          <w:rFonts w:ascii="宋体" w:hAnsi="宋体" w:cs="宋体" w:eastAsia="宋体" w:hint="default"/>
          <w:sz w:val="21"/>
          <w:szCs w:val="21"/>
        </w:rPr>
      </w:r>
    </w:p>
    <w:p>
      <w:pPr>
        <w:tabs>
          <w:tab w:pos="1396" w:val="left" w:leader="none"/>
        </w:tabs>
        <w:spacing w:line="340" w:lineRule="auto" w:before="109"/>
        <w:ind w:left="1400" w:right="136"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类型</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政府补助，是本公司从政府无偿取得的货币性资产与非货币性资产。分为与资</w:t>
      </w:r>
      <w:r>
        <w:rPr>
          <w:rFonts w:ascii="宋体" w:hAnsi="宋体" w:cs="宋体" w:eastAsia="宋体" w:hint="default"/>
          <w:sz w:val="21"/>
          <w:szCs w:val="21"/>
        </w:rPr>
        <w:t> 产相关的政府补助和与收益相关的政府补助。</w:t>
      </w:r>
    </w:p>
    <w:p>
      <w:pPr>
        <w:spacing w:line="240" w:lineRule="auto" w:before="0"/>
        <w:rPr>
          <w:rFonts w:ascii="宋体" w:hAnsi="宋体" w:cs="宋体" w:eastAsia="宋体" w:hint="default"/>
          <w:sz w:val="20"/>
          <w:szCs w:val="20"/>
        </w:rPr>
      </w:pPr>
    </w:p>
    <w:p>
      <w:pPr>
        <w:tabs>
          <w:tab w:pos="1396" w:val="left" w:leader="none"/>
        </w:tabs>
        <w:spacing w:before="174"/>
        <w:ind w:left="857" w:right="11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会计处理</w:t>
      </w:r>
      <w:r>
        <w:rPr>
          <w:rFonts w:ascii="宋体" w:hAnsi="宋体" w:cs="宋体" w:eastAsia="宋体" w:hint="default"/>
          <w:sz w:val="21"/>
          <w:szCs w:val="21"/>
        </w:rPr>
      </w:r>
    </w:p>
    <w:p>
      <w:pPr>
        <w:spacing w:before="110"/>
        <w:ind w:left="1400" w:right="0" w:firstLine="0"/>
        <w:jc w:val="both"/>
        <w:rPr>
          <w:rFonts w:ascii="宋体" w:hAnsi="宋体" w:cs="宋体" w:eastAsia="宋体" w:hint="default"/>
          <w:sz w:val="21"/>
          <w:szCs w:val="21"/>
        </w:rPr>
      </w:pPr>
      <w:r>
        <w:rPr>
          <w:rFonts w:ascii="宋体" w:hAnsi="宋体" w:cs="宋体" w:eastAsia="宋体" w:hint="default"/>
          <w:spacing w:val="-3"/>
          <w:sz w:val="21"/>
          <w:szCs w:val="21"/>
        </w:rPr>
        <w:t>与购建固定资产、无形资产等长期资产相关的政府补助，确认为递延收益，按</w:t>
      </w:r>
    </w:p>
    <w:p>
      <w:pPr>
        <w:spacing w:after="0"/>
        <w:jc w:val="both"/>
        <w:rPr>
          <w:rFonts w:ascii="宋体" w:hAnsi="宋体" w:cs="宋体" w:eastAsia="宋体" w:hint="default"/>
          <w:sz w:val="21"/>
          <w:szCs w:val="21"/>
        </w:rPr>
        <w:sectPr>
          <w:pgSz w:w="11910" w:h="16840"/>
          <w:pgMar w:header="885" w:footer="1256" w:top="1120" w:bottom="1440" w:left="1660" w:right="1660"/>
        </w:sectPr>
      </w:pPr>
    </w:p>
    <w:p>
      <w:pPr>
        <w:spacing w:line="240" w:lineRule="auto" w:before="10"/>
        <w:rPr>
          <w:rFonts w:ascii="宋体" w:hAnsi="宋体" w:cs="宋体" w:eastAsia="宋体" w:hint="default"/>
          <w:sz w:val="28"/>
          <w:szCs w:val="28"/>
        </w:rPr>
      </w:pPr>
    </w:p>
    <w:p>
      <w:pPr>
        <w:spacing w:line="350" w:lineRule="auto" w:before="35"/>
        <w:ind w:left="1400" w:right="126" w:firstLine="0"/>
        <w:jc w:val="left"/>
        <w:rPr>
          <w:rFonts w:ascii="宋体" w:hAnsi="宋体" w:cs="宋体" w:eastAsia="宋体" w:hint="default"/>
          <w:sz w:val="21"/>
          <w:szCs w:val="21"/>
        </w:rPr>
      </w:pPr>
      <w:r>
        <w:rPr>
          <w:rFonts w:ascii="宋体" w:hAnsi="宋体" w:cs="宋体" w:eastAsia="宋体" w:hint="default"/>
          <w:sz w:val="21"/>
          <w:szCs w:val="21"/>
        </w:rPr>
        <w:t>照所建造或购买的资产使用年限分期计入营业外收入； </w:t>
      </w:r>
      <w:r>
        <w:rPr>
          <w:rFonts w:ascii="宋体" w:hAnsi="宋体" w:cs="宋体" w:eastAsia="宋体" w:hint="default"/>
          <w:spacing w:val="-3"/>
          <w:sz w:val="21"/>
          <w:szCs w:val="21"/>
        </w:rPr>
        <w:t>与收益相关的政府补助，用于补偿企业以后期间的相关费用或损失的，取得时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确认为递延收益，在确认相关费用的期间计入当期营业外收入；用于补偿企业</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已发生的相关费用或损失的，取得时直接计入当期营业外收入。</w:t>
      </w:r>
    </w:p>
    <w:p>
      <w:pPr>
        <w:spacing w:line="240" w:lineRule="auto" w:before="0"/>
        <w:rPr>
          <w:rFonts w:ascii="宋体" w:hAnsi="宋体" w:cs="宋体" w:eastAsia="宋体" w:hint="default"/>
          <w:sz w:val="20"/>
          <w:szCs w:val="20"/>
        </w:rPr>
      </w:pPr>
    </w:p>
    <w:p>
      <w:pPr>
        <w:spacing w:line="348" w:lineRule="auto" w:before="167"/>
        <w:ind w:left="857" w:right="119"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递延所得税资产和递延所得税负债</w:t>
      </w:r>
      <w:r>
        <w:rPr>
          <w:rFonts w:ascii="宋体" w:hAnsi="宋体" w:cs="宋体" w:eastAsia="宋体" w:hint="default"/>
          <w:b/>
          <w:bCs/>
          <w:w w:val="99"/>
          <w:sz w:val="21"/>
          <w:szCs w:val="21"/>
        </w:rPr>
        <w:t> </w:t>
      </w:r>
      <w:r>
        <w:rPr>
          <w:rFonts w:ascii="宋体" w:hAnsi="宋体" w:cs="宋体" w:eastAsia="宋体" w:hint="default"/>
          <w:sz w:val="21"/>
          <w:szCs w:val="21"/>
        </w:rPr>
        <w:t>对于可抵扣暂时性差异确认递延所得税资产，以未来期间很可能取得的用来抵扣可</w:t>
      </w:r>
      <w:r>
        <w:rPr>
          <w:rFonts w:ascii="宋体" w:hAnsi="宋体" w:cs="宋体" w:eastAsia="宋体" w:hint="default"/>
          <w:spacing w:val="1"/>
          <w:sz w:val="21"/>
          <w:szCs w:val="21"/>
        </w:rPr>
        <w:t> </w:t>
      </w:r>
      <w:r>
        <w:rPr>
          <w:rFonts w:ascii="宋体" w:hAnsi="宋体" w:cs="宋体" w:eastAsia="宋体" w:hint="default"/>
          <w:sz w:val="21"/>
          <w:szCs w:val="21"/>
        </w:rPr>
        <w:t>抵扣暂时性差异的应纳税所得额为限。</w:t>
      </w:r>
      <w:r>
        <w:rPr>
          <w:rFonts w:ascii="宋体" w:hAnsi="宋体" w:cs="宋体" w:eastAsia="宋体" w:hint="default"/>
          <w:sz w:val="21"/>
          <w:szCs w:val="21"/>
        </w:rPr>
        <w:t> 对于应纳税暂时性差异，除特殊情况外，确认递延所得税负债。 不确认递延所得税资产或递延所得税负债的特殊情况包括：商誉的初始确认；除企</w:t>
      </w:r>
      <w:r>
        <w:rPr>
          <w:rFonts w:ascii="宋体" w:hAnsi="宋体" w:cs="宋体" w:eastAsia="宋体" w:hint="default"/>
          <w:spacing w:val="1"/>
          <w:sz w:val="21"/>
          <w:szCs w:val="21"/>
        </w:rPr>
        <w:t> </w:t>
      </w:r>
      <w:r>
        <w:rPr>
          <w:rFonts w:ascii="宋体" w:hAnsi="宋体" w:cs="宋体" w:eastAsia="宋体" w:hint="default"/>
          <w:sz w:val="21"/>
          <w:szCs w:val="21"/>
        </w:rPr>
        <w:t>业合并以外的发生时既不影响会计利润也不影响应纳税所得额（或可抵扣亏损）的</w:t>
      </w:r>
      <w:r>
        <w:rPr>
          <w:rFonts w:ascii="宋体" w:hAnsi="宋体" w:cs="宋体" w:eastAsia="宋体" w:hint="default"/>
          <w:spacing w:val="1"/>
          <w:sz w:val="21"/>
          <w:szCs w:val="21"/>
        </w:rPr>
        <w:t> </w:t>
      </w:r>
      <w:r>
        <w:rPr>
          <w:rFonts w:ascii="宋体" w:hAnsi="宋体" w:cs="宋体" w:eastAsia="宋体" w:hint="default"/>
          <w:sz w:val="21"/>
          <w:szCs w:val="21"/>
        </w:rPr>
        <w:t>其他交易或事项。</w:t>
      </w:r>
      <w:r>
        <w:rPr>
          <w:rFonts w:ascii="宋体" w:hAnsi="宋体" w:cs="宋体" w:eastAsia="宋体" w:hint="default"/>
          <w:sz w:val="21"/>
          <w:szCs w:val="21"/>
        </w:rPr>
        <w:t> 当拥有以净额结算的法定权利，且意图以净额结算或取得资产、清偿负债同时进行</w:t>
      </w:r>
      <w:r>
        <w:rPr>
          <w:rFonts w:ascii="宋体" w:hAnsi="宋体" w:cs="宋体" w:eastAsia="宋体" w:hint="default"/>
          <w:spacing w:val="1"/>
          <w:sz w:val="21"/>
          <w:szCs w:val="21"/>
        </w:rPr>
        <w:t> </w:t>
      </w:r>
      <w:r>
        <w:rPr>
          <w:rFonts w:ascii="宋体" w:hAnsi="宋体" w:cs="宋体" w:eastAsia="宋体" w:hint="default"/>
          <w:sz w:val="21"/>
          <w:szCs w:val="21"/>
        </w:rPr>
        <w:t>时，本公司当期所得税资产及当期所得税负债以抵销后的净额列报。</w:t>
      </w:r>
      <w:r>
        <w:rPr>
          <w:rFonts w:ascii="宋体" w:hAnsi="宋体" w:cs="宋体" w:eastAsia="宋体" w:hint="default"/>
          <w:sz w:val="21"/>
          <w:szCs w:val="21"/>
        </w:rPr>
        <w:t> 当拥有以净额结算当期所得税资产及当期所得税负债的法定权利，且递延所得税资</w:t>
      </w:r>
      <w:r>
        <w:rPr>
          <w:rFonts w:ascii="宋体" w:hAnsi="宋体" w:cs="宋体" w:eastAsia="宋体" w:hint="default"/>
          <w:spacing w:val="1"/>
          <w:sz w:val="21"/>
          <w:szCs w:val="21"/>
        </w:rPr>
        <w:t> </w:t>
      </w:r>
      <w:r>
        <w:rPr>
          <w:rFonts w:ascii="宋体" w:hAnsi="宋体" w:cs="宋体" w:eastAsia="宋体" w:hint="default"/>
          <w:sz w:val="21"/>
          <w:szCs w:val="21"/>
        </w:rPr>
        <w:t>产及递延所得税负债是与同一税收征管部门对同一纳税主体征收的所得税相关或者</w:t>
      </w:r>
      <w:r>
        <w:rPr>
          <w:rFonts w:ascii="宋体" w:hAnsi="宋体" w:cs="宋体" w:eastAsia="宋体" w:hint="default"/>
          <w:spacing w:val="1"/>
          <w:sz w:val="21"/>
          <w:szCs w:val="21"/>
        </w:rPr>
        <w:t> </w:t>
      </w:r>
      <w:r>
        <w:rPr>
          <w:rFonts w:ascii="宋体" w:hAnsi="宋体" w:cs="宋体" w:eastAsia="宋体" w:hint="default"/>
          <w:sz w:val="21"/>
          <w:szCs w:val="21"/>
        </w:rPr>
        <w:t>是对不同的纳税主体相关，但在未来每一具有重要性的递延所得税资产及负债转回</w:t>
      </w:r>
      <w:r>
        <w:rPr>
          <w:rFonts w:ascii="宋体" w:hAnsi="宋体" w:cs="宋体" w:eastAsia="宋体" w:hint="default"/>
          <w:spacing w:val="1"/>
          <w:sz w:val="21"/>
          <w:szCs w:val="21"/>
        </w:rPr>
        <w:t> </w:t>
      </w:r>
      <w:r>
        <w:rPr>
          <w:rFonts w:ascii="宋体" w:hAnsi="宋体" w:cs="宋体" w:eastAsia="宋体" w:hint="default"/>
          <w:sz w:val="21"/>
          <w:szCs w:val="21"/>
        </w:rPr>
        <w:t>的期间内，涉及的纳税主体意图以净额结算当期所得税资产和负债或是同时取得资</w:t>
      </w:r>
      <w:r>
        <w:rPr>
          <w:rFonts w:ascii="宋体" w:hAnsi="宋体" w:cs="宋体" w:eastAsia="宋体" w:hint="default"/>
          <w:spacing w:val="1"/>
          <w:sz w:val="21"/>
          <w:szCs w:val="21"/>
        </w:rPr>
        <w:t> </w:t>
      </w:r>
      <w:r>
        <w:rPr>
          <w:rFonts w:ascii="宋体" w:hAnsi="宋体" w:cs="宋体" w:eastAsia="宋体" w:hint="default"/>
          <w:sz w:val="21"/>
          <w:szCs w:val="21"/>
        </w:rPr>
        <w:t>产、清偿负债时，本公司递延所得税资产及递延所得税负债以抵销后的净额列报。</w:t>
      </w:r>
    </w:p>
    <w:p>
      <w:pPr>
        <w:spacing w:line="240" w:lineRule="auto" w:before="0"/>
        <w:rPr>
          <w:rFonts w:ascii="宋体" w:hAnsi="宋体" w:cs="宋体" w:eastAsia="宋体" w:hint="default"/>
          <w:sz w:val="20"/>
          <w:szCs w:val="20"/>
        </w:rPr>
      </w:pPr>
    </w:p>
    <w:p>
      <w:pPr>
        <w:spacing w:before="169"/>
        <w:ind w:left="125" w:right="11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关联方</w:t>
      </w:r>
      <w:r>
        <w:rPr>
          <w:rFonts w:ascii="宋体" w:hAnsi="宋体" w:cs="宋体" w:eastAsia="宋体" w:hint="default"/>
          <w:sz w:val="21"/>
          <w:szCs w:val="21"/>
        </w:rPr>
      </w:r>
    </w:p>
    <w:p>
      <w:pPr>
        <w:spacing w:line="343" w:lineRule="auto" w:before="88"/>
        <w:ind w:left="857" w:right="119" w:firstLine="0"/>
        <w:jc w:val="left"/>
        <w:rPr>
          <w:rFonts w:ascii="宋体" w:hAnsi="宋体" w:cs="宋体" w:eastAsia="宋体" w:hint="default"/>
          <w:sz w:val="21"/>
          <w:szCs w:val="21"/>
        </w:rPr>
      </w:pPr>
      <w:r>
        <w:rPr>
          <w:rFonts w:ascii="宋体" w:hAnsi="宋体" w:cs="宋体" w:eastAsia="宋体" w:hint="default"/>
          <w:sz w:val="21"/>
          <w:szCs w:val="21"/>
        </w:rPr>
        <w:t>一方控制、共同控制另一方或对另一方施加重大影响，以及两方或两方以上同</w:t>
      </w:r>
      <w:r>
        <w:rPr>
          <w:rFonts w:ascii="宋体" w:hAnsi="宋体" w:cs="宋体" w:eastAsia="宋体" w:hint="default"/>
          <w:position w:val="-1"/>
          <w:sz w:val="21"/>
          <w:szCs w:val="21"/>
        </w:rPr>
        <w:t>受一</w:t>
      </w:r>
      <w:r>
        <w:rPr>
          <w:rFonts w:ascii="宋体" w:hAnsi="宋体" w:cs="宋体" w:eastAsia="宋体" w:hint="default"/>
          <w:spacing w:val="-82"/>
          <w:position w:val="-1"/>
          <w:sz w:val="21"/>
          <w:szCs w:val="21"/>
        </w:rPr>
        <w:t> </w:t>
      </w:r>
      <w:r>
        <w:rPr>
          <w:rFonts w:ascii="宋体" w:hAnsi="宋体" w:cs="宋体" w:eastAsia="宋体" w:hint="default"/>
          <w:spacing w:val="-82"/>
          <w:position w:val="-1"/>
          <w:sz w:val="21"/>
          <w:szCs w:val="21"/>
        </w:rPr>
      </w:r>
      <w:r>
        <w:rPr>
          <w:rFonts w:ascii="宋体" w:hAnsi="宋体" w:cs="宋体" w:eastAsia="宋体" w:hint="default"/>
          <w:sz w:val="21"/>
          <w:szCs w:val="21"/>
        </w:rPr>
        <w:t>方控制、共同控制的，构成关联方。关联方可为个人或企业。仅仅同受国家控制而</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不存在其他关联方关系的企业，不构成本公司的关联方。 </w:t>
      </w:r>
      <w:r>
        <w:rPr>
          <w:rFonts w:ascii="宋体" w:hAnsi="宋体" w:cs="宋体" w:eastAsia="宋体" w:hint="default"/>
          <w:position w:val="1"/>
          <w:sz w:val="21"/>
          <w:szCs w:val="21"/>
        </w:rPr>
        <w:t>本</w:t>
      </w:r>
      <w:r>
        <w:rPr>
          <w:rFonts w:ascii="宋体" w:hAnsi="宋体" w:cs="宋体" w:eastAsia="宋体" w:hint="default"/>
          <w:sz w:val="21"/>
          <w:szCs w:val="21"/>
        </w:rPr>
        <w:t>公司的关联方包括但不限于：</w:t>
      </w:r>
    </w:p>
    <w:p>
      <w:pPr>
        <w:spacing w:before="30"/>
        <w:ind w:left="857" w:right="11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）本公司的母公司；</w:t>
      </w:r>
    </w:p>
    <w:p>
      <w:pPr>
        <w:spacing w:before="110"/>
        <w:ind w:left="857" w:right="11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）本公司的子公司；</w:t>
      </w:r>
    </w:p>
    <w:p>
      <w:pPr>
        <w:spacing w:before="109"/>
        <w:ind w:left="857" w:right="11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）与本公司受同一母公司控制的其他企业；</w:t>
      </w:r>
    </w:p>
    <w:p>
      <w:pPr>
        <w:spacing w:before="109"/>
        <w:ind w:left="857" w:right="11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）对本公司实施共同控制的投资方；</w:t>
      </w:r>
    </w:p>
    <w:p>
      <w:pPr>
        <w:spacing w:before="110"/>
        <w:ind w:left="857" w:right="11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）对本公司施加重大影响的投资方；</w:t>
      </w:r>
    </w:p>
    <w:p>
      <w:pPr>
        <w:spacing w:before="109"/>
        <w:ind w:left="857" w:right="11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）本公司的合营企业，包括合营企业的子公司；</w:t>
      </w:r>
    </w:p>
    <w:p>
      <w:pPr>
        <w:spacing w:before="109"/>
        <w:ind w:left="857" w:right="11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）本公司的联营企业，包括联营企业的子公司；</w:t>
      </w:r>
    </w:p>
    <w:p>
      <w:pPr>
        <w:spacing w:before="110"/>
        <w:ind w:left="857" w:right="11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8</w:t>
      </w:r>
      <w:r>
        <w:rPr>
          <w:rFonts w:ascii="宋体" w:hAnsi="宋体" w:cs="宋体" w:eastAsia="宋体" w:hint="default"/>
          <w:sz w:val="21"/>
          <w:szCs w:val="21"/>
        </w:rPr>
        <w:t>）本公司的主要投资者个人及与其关系密切的家庭成员；</w:t>
      </w:r>
    </w:p>
    <w:p>
      <w:pPr>
        <w:spacing w:before="109"/>
        <w:ind w:left="857" w:right="11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9</w:t>
      </w:r>
      <w:r>
        <w:rPr>
          <w:rFonts w:ascii="宋体" w:hAnsi="宋体" w:cs="宋体" w:eastAsia="宋体" w:hint="default"/>
          <w:sz w:val="21"/>
          <w:szCs w:val="21"/>
        </w:rPr>
        <w:t>）本公司或其母公司的关键管理人员及与其关系密切的家庭成员；</w:t>
      </w:r>
    </w:p>
    <w:p>
      <w:pPr>
        <w:spacing w:after="0"/>
        <w:jc w:val="left"/>
        <w:rPr>
          <w:rFonts w:ascii="宋体" w:hAnsi="宋体" w:cs="宋体" w:eastAsia="宋体" w:hint="default"/>
          <w:sz w:val="21"/>
          <w:szCs w:val="21"/>
        </w:rPr>
        <w:sectPr>
          <w:pgSz w:w="11910" w:h="16840"/>
          <w:pgMar w:header="885" w:footer="1256" w:top="1120" w:bottom="1440" w:left="1660" w:right="1660"/>
        </w:sectPr>
      </w:pPr>
    </w:p>
    <w:p>
      <w:pPr>
        <w:spacing w:line="240" w:lineRule="auto" w:before="10"/>
        <w:rPr>
          <w:rFonts w:ascii="宋体" w:hAnsi="宋体" w:cs="宋体" w:eastAsia="宋体" w:hint="default"/>
          <w:sz w:val="28"/>
          <w:szCs w:val="28"/>
        </w:rPr>
      </w:pPr>
    </w:p>
    <w:p>
      <w:pPr>
        <w:spacing w:line="328" w:lineRule="auto" w:before="35"/>
        <w:ind w:left="957" w:right="130" w:firstLine="0"/>
        <w:jc w:val="left"/>
        <w:rPr>
          <w:rFonts w:ascii="宋体" w:hAnsi="宋体" w:cs="宋体" w:eastAsia="宋体" w:hint="default"/>
          <w:sz w:val="21"/>
          <w:szCs w:val="21"/>
        </w:rPr>
      </w:pPr>
      <w:r>
        <w:rPr>
          <w:rFonts w:ascii="宋体" w:hAnsi="宋体" w:cs="宋体" w:eastAsia="宋体" w:hint="default"/>
          <w:spacing w:val="12"/>
          <w:sz w:val="21"/>
          <w:szCs w:val="21"/>
        </w:rPr>
        <w:t>（</w:t>
      </w:r>
      <w:r>
        <w:rPr>
          <w:rFonts w:ascii="Times New Roman" w:hAnsi="Times New Roman" w:cs="Times New Roman" w:eastAsia="Times New Roman" w:hint="default"/>
          <w:spacing w:val="12"/>
          <w:sz w:val="21"/>
          <w:szCs w:val="21"/>
        </w:rPr>
        <w:t>10</w:t>
      </w:r>
      <w:r>
        <w:rPr>
          <w:rFonts w:ascii="宋体" w:hAnsi="宋体" w:cs="宋体" w:eastAsia="宋体" w:hint="default"/>
          <w:spacing w:val="12"/>
          <w:sz w:val="21"/>
          <w:szCs w:val="21"/>
        </w:rPr>
        <w:t>）本公司的主要投资者个人、关键管理人员或与其关系密切的家庭成员控</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制、共同控制的其他企业。</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spacing w:line="328" w:lineRule="auto" w:before="0"/>
        <w:ind w:left="957" w:right="3717"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主要会计政策、会计估计的变更</w:t>
      </w:r>
      <w:r>
        <w:rPr>
          <w:rFonts w:ascii="宋体" w:hAnsi="宋体" w:cs="宋体" w:eastAsia="宋体" w:hint="default"/>
          <w:b/>
          <w:bCs/>
          <w:spacing w:val="1"/>
          <w:w w:val="99"/>
          <w:sz w:val="21"/>
          <w:szCs w:val="21"/>
        </w:rPr>
        <w:t> </w:t>
      </w:r>
      <w:r>
        <w:rPr>
          <w:rFonts w:ascii="宋体" w:hAnsi="宋体" w:cs="宋体" w:eastAsia="宋体" w:hint="default"/>
          <w:sz w:val="21"/>
          <w:szCs w:val="21"/>
        </w:rPr>
        <w:t>本报告期主要会计政策、会计估计未变更。</w:t>
      </w:r>
    </w:p>
    <w:p>
      <w:pPr>
        <w:spacing w:line="240" w:lineRule="auto" w:before="7"/>
        <w:rPr>
          <w:rFonts w:ascii="宋体" w:hAnsi="宋体" w:cs="宋体" w:eastAsia="宋体" w:hint="default"/>
          <w:sz w:val="27"/>
          <w:szCs w:val="27"/>
        </w:rPr>
      </w:pPr>
    </w:p>
    <w:p>
      <w:pPr>
        <w:spacing w:line="328" w:lineRule="auto" w:before="0"/>
        <w:ind w:left="957" w:right="4767"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前期会计差错更正</w:t>
      </w:r>
      <w:r>
        <w:rPr>
          <w:rFonts w:ascii="宋体" w:hAnsi="宋体" w:cs="宋体" w:eastAsia="宋体" w:hint="default"/>
          <w:b/>
          <w:bCs/>
          <w:spacing w:val="1"/>
          <w:w w:val="99"/>
          <w:sz w:val="21"/>
          <w:szCs w:val="21"/>
        </w:rPr>
        <w:t> </w:t>
      </w:r>
      <w:r>
        <w:rPr>
          <w:rFonts w:ascii="宋体" w:hAnsi="宋体" w:cs="宋体" w:eastAsia="宋体" w:hint="default"/>
          <w:sz w:val="21"/>
          <w:szCs w:val="21"/>
        </w:rPr>
        <w:t>本报告期未发现前期会计差错。</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953" w:val="left" w:leader="none"/>
        </w:tabs>
        <w:spacing w:before="0"/>
        <w:ind w:left="240" w:right="130" w:firstLine="0"/>
        <w:jc w:val="left"/>
        <w:rPr>
          <w:rFonts w:ascii="宋体" w:hAnsi="宋体" w:cs="宋体" w:eastAsia="宋体" w:hint="default"/>
          <w:sz w:val="21"/>
          <w:szCs w:val="21"/>
        </w:rPr>
      </w:pPr>
      <w:r>
        <w:rPr>
          <w:rFonts w:ascii="宋体" w:hAnsi="宋体" w:cs="宋体" w:eastAsia="宋体" w:hint="default"/>
          <w:b/>
          <w:bCs/>
          <w:w w:val="95"/>
          <w:sz w:val="21"/>
          <w:szCs w:val="21"/>
        </w:rPr>
        <w:t>三、</w:t>
        <w:tab/>
      </w:r>
      <w:r>
        <w:rPr>
          <w:rFonts w:ascii="宋体" w:hAnsi="宋体" w:cs="宋体" w:eastAsia="宋体" w:hint="default"/>
          <w:b/>
          <w:bCs/>
          <w:sz w:val="21"/>
          <w:szCs w:val="21"/>
        </w:rPr>
        <w:t>税项</w:t>
      </w:r>
      <w:r>
        <w:rPr>
          <w:rFonts w:ascii="宋体" w:hAnsi="宋体" w:cs="宋体" w:eastAsia="宋体" w:hint="default"/>
          <w:sz w:val="21"/>
          <w:szCs w:val="21"/>
        </w:rPr>
      </w:r>
    </w:p>
    <w:p>
      <w:pPr>
        <w:tabs>
          <w:tab w:pos="953" w:val="left" w:leader="none"/>
        </w:tabs>
        <w:spacing w:before="125"/>
        <w:ind w:left="225" w:right="130" w:firstLine="0"/>
        <w:jc w:val="left"/>
        <w:rPr>
          <w:rFonts w:ascii="宋体" w:hAnsi="宋体" w:cs="宋体" w:eastAsia="宋体" w:hint="default"/>
          <w:sz w:val="21"/>
          <w:szCs w:val="21"/>
        </w:rPr>
      </w:pPr>
      <w:r>
        <w:rPr/>
        <w:pict>
          <v:group style="position:absolute;margin-left:83.129997pt;margin-top:21.57353pt;width:423.65pt;height:328.3pt;mso-position-horizontal-relative:page;mso-position-vertical-relative:paragraph;z-index:-826480" coordorigin="1663,431" coordsize="8473,6566">
            <v:group style="position:absolute;left:1692;top:446;width:8410;height:2" coordorigin="1692,446" coordsize="8410,2">
              <v:shape style="position:absolute;left:1692;top:446;width:8410;height:2" coordorigin="1692,446" coordsize="8410,0" path="m1692,446l10102,446e" filled="false" stroked="true" strokeweight="1.5pt" strokecolor="#000000">
                <v:path arrowok="t"/>
              </v:shape>
              <v:shape style="position:absolute;left:4744;top:433;width:3779;height:432" type="#_x0000_t75" stroked="false">
                <v:imagedata r:id="rId39" o:title=""/>
              </v:shape>
            </v:group>
            <v:group style="position:absolute;left:1678;top:6982;width:3095;height:2" coordorigin="1678,6982" coordsize="3095,2">
              <v:shape style="position:absolute;left:1678;top:6982;width:3095;height:2" coordorigin="1678,6982" coordsize="3095,0" path="m1678,6982l4772,6982e" filled="false" stroked="true" strokeweight="1.5pt" strokecolor="#000000">
                <v:path arrowok="t"/>
              </v:shape>
            </v:group>
            <v:group style="position:absolute;left:4772;top:6982;width:3712;height:2" coordorigin="4772,6982" coordsize="3712,2">
              <v:shape style="position:absolute;left:4772;top:6982;width:3712;height:2" coordorigin="4772,6982" coordsize="3712,0" path="m4772,6982l8484,6982e" filled="false" stroked="true" strokeweight="1.5pt" strokecolor="#000000">
                <v:path arrowok="t"/>
              </v:shape>
              <v:shape style="position:absolute;left:1663;top:817;width:8472;height:6150" type="#_x0000_t75" stroked="false">
                <v:imagedata r:id="rId40" o:title=""/>
              </v:shape>
            </v:group>
            <v:group style="position:absolute;left:8484;top:6982;width:1618;height:2" coordorigin="8484,6982" coordsize="1618,2">
              <v:shape style="position:absolute;left:8484;top:6982;width:1618;height:2" coordorigin="8484,6982" coordsize="1618,0" path="m8484,6982l10102,6982e" filled="false" stroked="true" strokeweight="1.5pt" strokecolor="#000000">
                <v:path arrowok="t"/>
              </v:shape>
              <v:shape style="position:absolute;left:2964;top:55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税  种</w:t>
                      </w:r>
                    </w:p>
                  </w:txbxContent>
                </v:textbox>
                <w10:wrap type="none"/>
              </v:shape>
              <v:shape style="position:absolute;left:6272;top:55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计税依据</w:t>
                      </w:r>
                    </w:p>
                  </w:txbxContent>
                </v:textbox>
                <w10:wrap type="none"/>
              </v:shape>
              <v:shape style="position:absolute;left:9115;top:55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税率</w:t>
                      </w:r>
                    </w:p>
                  </w:txbxContent>
                </v:textbox>
                <w10:wrap type="none"/>
              </v:shape>
              <v:shape style="position:absolute;left:4885;top:944;width:349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按税法规定计算的销售货物和应税劳务收入</w:t>
                      </w:r>
                    </w:p>
                  </w:txbxContent>
                </v:textbox>
                <w10:wrap type="none"/>
              </v:shape>
              <v:shape style="position:absolute;left:1800;top:1318;width:90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增值税 ＊</w:t>
                      </w:r>
                      <w:r>
                        <w:rPr>
                          <w:rFonts w:ascii="Times New Roman" w:hAnsi="Times New Roman" w:cs="Times New Roman" w:eastAsia="Times New Roman" w:hint="default"/>
                          <w:sz w:val="18"/>
                          <w:szCs w:val="18"/>
                        </w:rPr>
                        <w:t>1</w:t>
                      </w:r>
                    </w:p>
                  </w:txbxContent>
                </v:textbox>
                <w10:wrap type="none"/>
              </v:shape>
              <v:shape style="position:absolute;left:4885;top:1318;width:349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为基础计算销项税额，在扣除当期允许抵扣</w:t>
                      </w:r>
                    </w:p>
                  </w:txbxContent>
                </v:textbox>
                <w10:wrap type="none"/>
              </v:shape>
              <v:shape style="position:absolute;left:9130;top:1326;width:3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w:t>
                      </w:r>
                    </w:p>
                  </w:txbxContent>
                </v:textbox>
                <w10:wrap type="none"/>
              </v:shape>
              <v:shape style="position:absolute;left:4885;top:1693;width:32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的进项税额后，差额部分为应交增值税。</w:t>
                      </w:r>
                    </w:p>
                  </w:txbxContent>
                </v:textbox>
                <w10:wrap type="none"/>
              </v:shape>
              <v:shape style="position:absolute;left:1800;top:207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营业税</w:t>
                      </w:r>
                    </w:p>
                  </w:txbxContent>
                </v:textbox>
                <w10:wrap type="none"/>
              </v:shape>
              <v:shape style="position:absolute;left:4885;top:2077;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按应税营业收入计征</w:t>
                      </w:r>
                    </w:p>
                  </w:txbxContent>
                </v:textbox>
                <w10:wrap type="none"/>
              </v:shape>
              <v:shape style="position:absolute;left:9175;top:2084;width:24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w:t>
                      </w:r>
                    </w:p>
                  </w:txbxContent>
                </v:textbox>
                <w10:wrap type="none"/>
              </v:shape>
              <v:shape style="position:absolute;left:1800;top:2461;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城市维护建设税</w:t>
                      </w:r>
                    </w:p>
                  </w:txbxContent>
                </v:textbox>
                <w10:wrap type="none"/>
              </v:shape>
              <v:shape style="position:absolute;left:4885;top:2461;width:34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按实际缴纳的营业税、增值税及消费税计征</w:t>
                      </w:r>
                    </w:p>
                  </w:txbxContent>
                </v:textbox>
                <w10:wrap type="none"/>
              </v:shape>
              <v:shape style="position:absolute;left:9175;top:2468;width:24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w:t>
                      </w:r>
                    </w:p>
                  </w:txbxContent>
                </v:textbox>
                <w10:wrap type="none"/>
              </v:shape>
              <v:shape style="position:absolute;left:1800;top:284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企业所得税</w:t>
                      </w:r>
                    </w:p>
                  </w:txbxContent>
                </v:textbox>
                <w10:wrap type="none"/>
              </v:shape>
              <v:shape style="position:absolute;left:4885;top:2846;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按应纳税所得额计征</w:t>
                      </w:r>
                    </w:p>
                  </w:txbxContent>
                </v:textbox>
                <w10:wrap type="none"/>
              </v:shape>
              <v:shape style="position:absolute;left:1800;top:3230;width:135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其中：本公司＊</w:t>
                      </w:r>
                      <w:r>
                        <w:rPr>
                          <w:rFonts w:ascii="Times New Roman" w:hAnsi="Times New Roman" w:cs="Times New Roman" w:eastAsia="Times New Roman" w:hint="default"/>
                          <w:sz w:val="18"/>
                          <w:szCs w:val="18"/>
                        </w:rPr>
                        <w:t>2</w:t>
                      </w:r>
                    </w:p>
                  </w:txbxContent>
                </v:textbox>
                <w10:wrap type="none"/>
              </v:shape>
              <v:shape style="position:absolute;left:9130;top:3237;width:3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w:t>
                      </w:r>
                    </w:p>
                  </w:txbxContent>
                </v:textbox>
                <w10:wrap type="none"/>
              </v:shape>
              <v:shape style="position:absolute;left:2340;top:361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w:t>
                      </w:r>
                    </w:p>
                  </w:txbxContent>
                </v:textbox>
                <w10:wrap type="none"/>
              </v:shape>
            </v:group>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公司主要税种和税率</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6"/>
          <w:szCs w:val="26"/>
        </w:rPr>
      </w:pPr>
    </w:p>
    <w:tbl>
      <w:tblPr>
        <w:tblW w:w="0" w:type="auto"/>
        <w:jc w:val="left"/>
        <w:tblInd w:w="205" w:type="dxa"/>
        <w:tblLayout w:type="fixed"/>
        <w:tblCellMar>
          <w:top w:w="0" w:type="dxa"/>
          <w:left w:w="0" w:type="dxa"/>
          <w:bottom w:w="0" w:type="dxa"/>
          <w:right w:w="0" w:type="dxa"/>
        </w:tblCellMar>
        <w:tblLook w:val="01E0"/>
      </w:tblPr>
      <w:tblGrid>
        <w:gridCol w:w="5016"/>
        <w:gridCol w:w="2782"/>
      </w:tblGrid>
      <w:tr>
        <w:trPr>
          <w:trHeight w:val="387" w:hRule="exact"/>
        </w:trPr>
        <w:tc>
          <w:tcPr>
            <w:tcW w:w="501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广州御新软件有限公司＊</w:t>
            </w:r>
            <w:r>
              <w:rPr>
                <w:rFonts w:ascii="Times New Roman" w:hAnsi="Times New Roman" w:cs="Times New Roman" w:eastAsia="Times New Roman" w:hint="default"/>
                <w:sz w:val="18"/>
                <w:szCs w:val="18"/>
              </w:rPr>
              <w:t>3</w:t>
            </w: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sz w:val="18"/>
              </w:rPr>
              <w:t>15%</w:t>
            </w:r>
          </w:p>
        </w:tc>
      </w:tr>
      <w:tr>
        <w:trPr>
          <w:trHeight w:val="383" w:hRule="exact"/>
        </w:trPr>
        <w:tc>
          <w:tcPr>
            <w:tcW w:w="501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广州御银自动柜员机技术有限公司</w:t>
            </w: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5"/>
              <w:jc w:val="right"/>
              <w:rPr>
                <w:rFonts w:ascii="Times New Roman" w:hAnsi="Times New Roman" w:cs="Times New Roman" w:eastAsia="Times New Roman" w:hint="default"/>
                <w:sz w:val="18"/>
                <w:szCs w:val="18"/>
              </w:rPr>
            </w:pPr>
            <w:r>
              <w:rPr>
                <w:rFonts w:ascii="Times New Roman"/>
                <w:w w:val="95"/>
                <w:sz w:val="18"/>
              </w:rPr>
              <w:t>0%</w:t>
            </w:r>
            <w:r>
              <w:rPr>
                <w:rFonts w:ascii="Times New Roman"/>
                <w:sz w:val="18"/>
              </w:rPr>
            </w:r>
          </w:p>
        </w:tc>
      </w:tr>
      <w:tr>
        <w:trPr>
          <w:trHeight w:val="385" w:hRule="exact"/>
        </w:trPr>
        <w:tc>
          <w:tcPr>
            <w:tcW w:w="501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广州御银金融服务有限公司</w:t>
            </w: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1"/>
              <w:jc w:val="right"/>
              <w:rPr>
                <w:rFonts w:ascii="Times New Roman" w:hAnsi="Times New Roman" w:cs="Times New Roman" w:eastAsia="Times New Roman" w:hint="default"/>
                <w:sz w:val="18"/>
                <w:szCs w:val="18"/>
              </w:rPr>
            </w:pPr>
            <w:r>
              <w:rPr>
                <w:rFonts w:ascii="Times New Roman"/>
                <w:sz w:val="18"/>
              </w:rPr>
              <w:t>25%</w:t>
            </w:r>
          </w:p>
        </w:tc>
      </w:tr>
      <w:tr>
        <w:trPr>
          <w:trHeight w:val="385" w:hRule="exact"/>
        </w:trPr>
        <w:tc>
          <w:tcPr>
            <w:tcW w:w="5016"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安徽御银电子科技有限公司</w:t>
            </w: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z w:val="18"/>
              </w:rPr>
              <w:t>25%</w:t>
            </w:r>
          </w:p>
        </w:tc>
      </w:tr>
      <w:tr>
        <w:trPr>
          <w:trHeight w:val="384" w:hRule="exact"/>
        </w:trPr>
        <w:tc>
          <w:tcPr>
            <w:tcW w:w="501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御银（中国）科技国际有限公司</w:t>
            </w: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5"/>
              <w:jc w:val="right"/>
              <w:rPr>
                <w:rFonts w:ascii="Times New Roman" w:hAnsi="Times New Roman" w:cs="Times New Roman" w:eastAsia="Times New Roman" w:hint="default"/>
                <w:sz w:val="18"/>
                <w:szCs w:val="18"/>
              </w:rPr>
            </w:pPr>
            <w:r>
              <w:rPr>
                <w:rFonts w:ascii="Times New Roman"/>
                <w:w w:val="95"/>
                <w:sz w:val="18"/>
              </w:rPr>
              <w:t>0%</w:t>
            </w:r>
            <w:r>
              <w:rPr>
                <w:rFonts w:ascii="Times New Roman"/>
                <w:sz w:val="18"/>
              </w:rPr>
            </w:r>
          </w:p>
        </w:tc>
      </w:tr>
      <w:tr>
        <w:trPr>
          <w:trHeight w:val="385" w:hRule="exact"/>
        </w:trPr>
        <w:tc>
          <w:tcPr>
            <w:tcW w:w="501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御银科技（香港）有限公司</w:t>
            </w: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w w:val="95"/>
                <w:sz w:val="18"/>
              </w:rPr>
              <w:t>16.5%</w:t>
            </w:r>
            <w:r>
              <w:rPr>
                <w:rFonts w:ascii="Times New Roman"/>
                <w:sz w:val="18"/>
              </w:rPr>
            </w:r>
          </w:p>
        </w:tc>
      </w:tr>
      <w:tr>
        <w:trPr>
          <w:trHeight w:val="385" w:hRule="exact"/>
        </w:trPr>
        <w:tc>
          <w:tcPr>
            <w:tcW w:w="5016"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广州御银先端电子科技有限公司</w:t>
            </w: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z w:val="18"/>
              </w:rPr>
              <w:t>25%</w:t>
            </w:r>
          </w:p>
        </w:tc>
      </w:tr>
      <w:tr>
        <w:trPr>
          <w:trHeight w:val="390" w:hRule="exact"/>
        </w:trPr>
        <w:tc>
          <w:tcPr>
            <w:tcW w:w="501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珠海市御银电子科技有限公司</w:t>
            </w:r>
          </w:p>
        </w:tc>
        <w:tc>
          <w:tcPr>
            <w:tcW w:w="278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1"/>
              <w:jc w:val="right"/>
              <w:rPr>
                <w:rFonts w:ascii="Times New Roman" w:hAnsi="Times New Roman" w:cs="Times New Roman" w:eastAsia="Times New Roman" w:hint="default"/>
                <w:sz w:val="18"/>
                <w:szCs w:val="18"/>
              </w:rPr>
            </w:pPr>
            <w:r>
              <w:rPr>
                <w:rFonts w:ascii="Times New Roman"/>
                <w:sz w:val="18"/>
              </w:rPr>
              <w:t>25%</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tabs>
          <w:tab w:pos="953" w:val="left" w:leader="none"/>
        </w:tabs>
        <w:spacing w:before="35"/>
        <w:ind w:left="225" w:right="13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税收优惠及批文</w:t>
      </w:r>
      <w:r>
        <w:rPr>
          <w:rFonts w:ascii="宋体" w:hAnsi="宋体" w:cs="宋体" w:eastAsia="宋体" w:hint="default"/>
          <w:sz w:val="21"/>
          <w:szCs w:val="21"/>
        </w:rPr>
      </w:r>
    </w:p>
    <w:p>
      <w:pPr>
        <w:spacing w:line="340" w:lineRule="auto" w:before="110"/>
        <w:ind w:left="957" w:right="136" w:hanging="1"/>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：根据财税【</w:t>
      </w:r>
      <w:r>
        <w:rPr>
          <w:rFonts w:ascii="Times New Roman" w:hAnsi="Times New Roman" w:cs="Times New Roman" w:eastAsia="Times New Roman" w:hint="default"/>
          <w:sz w:val="21"/>
          <w:szCs w:val="21"/>
        </w:rPr>
        <w:t>2008</w:t>
      </w:r>
      <w:r>
        <w:rPr>
          <w:rFonts w:ascii="宋体" w:hAnsi="宋体" w:cs="宋体" w:eastAsia="宋体" w:hint="default"/>
          <w:sz w:val="21"/>
          <w:szCs w:val="21"/>
        </w:rPr>
        <w:t>】</w:t>
      </w:r>
      <w:r>
        <w:rPr>
          <w:rFonts w:ascii="Times New Roman" w:hAnsi="Times New Roman" w:cs="Times New Roman" w:eastAsia="Times New Roman" w:hint="default"/>
          <w:sz w:val="21"/>
          <w:szCs w:val="21"/>
        </w:rPr>
        <w:t>92</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号《财政部、国家税务总局关于嵌入式软件增值税政策</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8"/>
          <w:sz w:val="21"/>
          <w:szCs w:val="21"/>
        </w:rPr>
        <w:t>的通知》、财税【</w:t>
      </w:r>
      <w:r>
        <w:rPr>
          <w:rFonts w:ascii="Times New Roman" w:hAnsi="Times New Roman" w:cs="Times New Roman" w:eastAsia="Times New Roman" w:hint="default"/>
          <w:spacing w:val="-8"/>
          <w:sz w:val="21"/>
          <w:szCs w:val="21"/>
        </w:rPr>
        <w:t>2011</w:t>
      </w:r>
      <w:r>
        <w:rPr>
          <w:rFonts w:ascii="宋体" w:hAnsi="宋体" w:cs="宋体" w:eastAsia="宋体" w:hint="default"/>
          <w:spacing w:val="-8"/>
          <w:sz w:val="21"/>
          <w:szCs w:val="21"/>
        </w:rPr>
        <w:t>】</w:t>
      </w:r>
      <w:r>
        <w:rPr>
          <w:rFonts w:ascii="Times New Roman" w:hAnsi="Times New Roman" w:cs="Times New Roman" w:eastAsia="Times New Roman" w:hint="default"/>
          <w:spacing w:val="-8"/>
          <w:sz w:val="21"/>
          <w:szCs w:val="21"/>
        </w:rPr>
        <w:t>100</w:t>
      </w:r>
      <w:r>
        <w:rPr>
          <w:rFonts w:ascii="Times New Roman" w:hAnsi="Times New Roman" w:cs="Times New Roman" w:eastAsia="Times New Roman" w:hint="default"/>
          <w:spacing w:val="10"/>
          <w:sz w:val="21"/>
          <w:szCs w:val="21"/>
        </w:rPr>
        <w:t> </w:t>
      </w:r>
      <w:r>
        <w:rPr>
          <w:rFonts w:ascii="宋体" w:hAnsi="宋体" w:cs="宋体" w:eastAsia="宋体" w:hint="default"/>
          <w:spacing w:val="-1"/>
          <w:sz w:val="21"/>
          <w:szCs w:val="21"/>
        </w:rPr>
        <w:t>号《财政部、国家税务总局关于软件产品增值税政策的</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通知》的有关规定：增值税一般纳税人随同计算机网络、计算机硬件和机器设备等</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一并销售其自行开发生产的嵌入式软件，如果能够按照《财政部、国家税务总局关</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于贯彻落实〈中共中央、国务院关于加强技术创新，发展高科技，实现产业化的决</w:t>
      </w:r>
    </w:p>
    <w:p>
      <w:pPr>
        <w:spacing w:after="0" w:line="340" w:lineRule="auto"/>
        <w:jc w:val="both"/>
        <w:rPr>
          <w:rFonts w:ascii="宋体" w:hAnsi="宋体" w:cs="宋体" w:eastAsia="宋体" w:hint="default"/>
          <w:sz w:val="21"/>
          <w:szCs w:val="21"/>
        </w:rPr>
        <w:sectPr>
          <w:pgSz w:w="11910" w:h="16840"/>
          <w:pgMar w:header="885" w:footer="1256" w:top="1120" w:bottom="1440" w:left="1560" w:right="1660"/>
        </w:sectPr>
      </w:pPr>
    </w:p>
    <w:p>
      <w:pPr>
        <w:spacing w:line="240" w:lineRule="auto" w:before="10"/>
        <w:rPr>
          <w:rFonts w:ascii="宋体" w:hAnsi="宋体" w:cs="宋体" w:eastAsia="宋体" w:hint="default"/>
          <w:sz w:val="28"/>
          <w:szCs w:val="28"/>
        </w:rPr>
      </w:pPr>
    </w:p>
    <w:p>
      <w:pPr>
        <w:spacing w:line="336" w:lineRule="auto" w:before="35"/>
        <w:ind w:left="857" w:right="135" w:hanging="1"/>
        <w:jc w:val="both"/>
        <w:rPr>
          <w:rFonts w:ascii="宋体" w:hAnsi="宋体" w:cs="宋体" w:eastAsia="宋体" w:hint="default"/>
          <w:sz w:val="21"/>
          <w:szCs w:val="21"/>
        </w:rPr>
      </w:pPr>
      <w:r>
        <w:rPr>
          <w:rFonts w:ascii="宋体" w:hAnsi="宋体" w:cs="宋体" w:eastAsia="宋体" w:hint="default"/>
          <w:spacing w:val="-5"/>
          <w:sz w:val="21"/>
          <w:szCs w:val="21"/>
        </w:rPr>
        <w:t>定〉有关税收问题的通知》（财税字【</w:t>
      </w:r>
      <w:r>
        <w:rPr>
          <w:rFonts w:ascii="Times New Roman" w:hAnsi="Times New Roman" w:cs="Times New Roman" w:eastAsia="Times New Roman" w:hint="default"/>
          <w:spacing w:val="-5"/>
          <w:sz w:val="21"/>
          <w:szCs w:val="21"/>
        </w:rPr>
        <w:t>1999</w:t>
      </w: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273</w:t>
      </w:r>
      <w:r>
        <w:rPr>
          <w:rFonts w:ascii="Times New Roman" w:hAnsi="Times New Roman" w:cs="Times New Roman" w:eastAsia="Times New Roman" w:hint="default"/>
          <w:spacing w:val="4"/>
          <w:sz w:val="21"/>
          <w:szCs w:val="21"/>
        </w:rPr>
        <w:t> </w:t>
      </w:r>
      <w:r>
        <w:rPr>
          <w:rFonts w:ascii="宋体" w:hAnsi="宋体" w:cs="宋体" w:eastAsia="宋体" w:hint="default"/>
          <w:spacing w:val="-1"/>
          <w:sz w:val="21"/>
          <w:szCs w:val="21"/>
        </w:rPr>
        <w:t>号）第一条第三款之规定，分别核</w:t>
      </w:r>
      <w:r>
        <w:rPr>
          <w:rFonts w:ascii="宋体" w:hAnsi="宋体" w:cs="宋体" w:eastAsia="宋体" w:hint="default"/>
          <w:sz w:val="21"/>
          <w:szCs w:val="21"/>
        </w:rPr>
        <w:t> 算嵌入式软件与计算机硬件、机器设备等的销售额，可以享受软件产品增值税优惠</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3"/>
          <w:sz w:val="21"/>
          <w:szCs w:val="21"/>
        </w:rPr>
        <w:t>政策。公司符合财税【</w:t>
      </w:r>
      <w:r>
        <w:rPr>
          <w:rFonts w:ascii="Times New Roman" w:hAnsi="Times New Roman" w:cs="Times New Roman" w:eastAsia="Times New Roman" w:hint="default"/>
          <w:spacing w:val="-3"/>
          <w:sz w:val="21"/>
          <w:szCs w:val="21"/>
        </w:rPr>
        <w:t>2008</w:t>
      </w: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92</w:t>
      </w:r>
      <w:r>
        <w:rPr>
          <w:rFonts w:ascii="Times New Roman" w:hAnsi="Times New Roman" w:cs="Times New Roman" w:eastAsia="Times New Roman" w:hint="default"/>
          <w:sz w:val="21"/>
          <w:szCs w:val="21"/>
        </w:rPr>
        <w:t> </w:t>
      </w:r>
      <w:r>
        <w:rPr>
          <w:rFonts w:ascii="宋体" w:hAnsi="宋体" w:cs="宋体" w:eastAsia="宋体" w:hint="default"/>
          <w:spacing w:val="-13"/>
          <w:sz w:val="21"/>
          <w:szCs w:val="21"/>
        </w:rPr>
        <w:t>号、【</w:t>
      </w:r>
      <w:r>
        <w:rPr>
          <w:rFonts w:ascii="Times New Roman" w:hAnsi="Times New Roman" w:cs="Times New Roman" w:eastAsia="Times New Roman" w:hint="default"/>
          <w:spacing w:val="-13"/>
          <w:sz w:val="21"/>
          <w:szCs w:val="21"/>
        </w:rPr>
        <w:t>2011</w:t>
      </w:r>
      <w:r>
        <w:rPr>
          <w:rFonts w:ascii="宋体" w:hAnsi="宋体" w:cs="宋体" w:eastAsia="宋体" w:hint="default"/>
          <w:spacing w:val="-13"/>
          <w:sz w:val="21"/>
          <w:szCs w:val="21"/>
        </w:rPr>
        <w:t>】</w:t>
      </w:r>
      <w:r>
        <w:rPr>
          <w:rFonts w:ascii="Times New Roman" w:hAnsi="Times New Roman" w:cs="Times New Roman" w:eastAsia="Times New Roman" w:hint="default"/>
          <w:spacing w:val="-13"/>
          <w:sz w:val="21"/>
          <w:szCs w:val="21"/>
        </w:rPr>
        <w:t>100</w:t>
      </w:r>
      <w:r>
        <w:rPr>
          <w:rFonts w:ascii="Times New Roman" w:hAnsi="Times New Roman" w:cs="Times New Roman" w:eastAsia="Times New Roman" w:hint="default"/>
          <w:spacing w:val="14"/>
          <w:sz w:val="21"/>
          <w:szCs w:val="21"/>
        </w:rPr>
        <w:t> </w:t>
      </w:r>
      <w:r>
        <w:rPr>
          <w:rFonts w:ascii="宋体" w:hAnsi="宋体" w:cs="宋体" w:eastAsia="宋体" w:hint="default"/>
          <w:spacing w:val="-1"/>
          <w:sz w:val="21"/>
          <w:szCs w:val="21"/>
        </w:rPr>
        <w:t>号之规定，嵌入式软件销售收入享</w:t>
      </w:r>
      <w:r>
        <w:rPr>
          <w:rFonts w:ascii="宋体" w:hAnsi="宋体" w:cs="宋体" w:eastAsia="宋体" w:hint="default"/>
          <w:sz w:val="21"/>
          <w:szCs w:val="21"/>
        </w:rPr>
        <w:t> 受增值税即征即退优惠政策。</w:t>
      </w:r>
    </w:p>
    <w:p>
      <w:pPr>
        <w:spacing w:line="331" w:lineRule="auto" w:before="41"/>
        <w:ind w:left="857" w:right="137" w:firstLine="0"/>
        <w:jc w:val="both"/>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：根据广州省科技厅、广东省财政厅、广东省国家税务局、广东省地方税务局联</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合下发的《关于公布广东省</w:t>
      </w:r>
      <w:r>
        <w:rPr>
          <w:rFonts w:ascii="宋体" w:hAnsi="宋体" w:cs="宋体" w:eastAsia="宋体" w:hint="default"/>
          <w:spacing w:val="-44"/>
          <w:sz w:val="21"/>
          <w:szCs w:val="21"/>
        </w:rPr>
        <w:t> </w:t>
      </w:r>
      <w:r>
        <w:rPr>
          <w:rFonts w:ascii="Times New Roman" w:hAnsi="Times New Roman" w:cs="Times New Roman" w:eastAsia="Times New Roman" w:hint="default"/>
          <w:spacing w:val="-1"/>
          <w:sz w:val="21"/>
          <w:szCs w:val="21"/>
        </w:rPr>
        <w:t>2008</w:t>
      </w:r>
      <w:r>
        <w:rPr>
          <w:rFonts w:ascii="Times New Roman" w:hAnsi="Times New Roman" w:cs="Times New Roman" w:eastAsia="Times New Roman" w:hint="default"/>
          <w:spacing w:val="9"/>
          <w:sz w:val="21"/>
          <w:szCs w:val="21"/>
        </w:rPr>
        <w:t> </w:t>
      </w:r>
      <w:r>
        <w:rPr>
          <w:rFonts w:ascii="宋体" w:hAnsi="宋体" w:cs="宋体" w:eastAsia="宋体" w:hint="default"/>
          <w:spacing w:val="-6"/>
          <w:sz w:val="21"/>
          <w:szCs w:val="21"/>
        </w:rPr>
        <w:t>年第二批高新技术企业名单的通知》（粤科高字</w:t>
      </w:r>
    </w:p>
    <w:p>
      <w:pPr>
        <w:spacing w:line="328" w:lineRule="auto" w:before="20"/>
        <w:ind w:left="857" w:right="137"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09</w:t>
      </w:r>
      <w:r>
        <w:rPr>
          <w:rFonts w:ascii="宋体" w:hAnsi="宋体" w:cs="宋体" w:eastAsia="宋体" w:hint="default"/>
          <w:spacing w:val="-59"/>
          <w:sz w:val="21"/>
          <w:szCs w:val="21"/>
        </w:rPr>
        <w:t>】</w:t>
      </w:r>
      <w:r>
        <w:rPr>
          <w:rFonts w:ascii="Times New Roman" w:hAnsi="Times New Roman" w:cs="Times New Roman" w:eastAsia="Times New Roman" w:hint="default"/>
          <w:spacing w:val="-1"/>
          <w:sz w:val="21"/>
          <w:szCs w:val="21"/>
        </w:rPr>
        <w:t>4</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r>
        <w:rPr>
          <w:rFonts w:ascii="宋体" w:hAnsi="宋体" w:cs="宋体" w:eastAsia="宋体" w:hint="default"/>
          <w:spacing w:val="-105"/>
          <w:sz w:val="21"/>
          <w:szCs w:val="21"/>
        </w:rPr>
        <w:t>）</w:t>
      </w:r>
      <w:r>
        <w:rPr>
          <w:rFonts w:ascii="宋体" w:hAnsi="宋体" w:cs="宋体" w:eastAsia="宋体" w:hint="default"/>
          <w:spacing w:val="-59"/>
          <w:sz w:val="21"/>
          <w:szCs w:val="21"/>
        </w:rPr>
        <w:t>，</w:t>
      </w:r>
      <w:r>
        <w:rPr>
          <w:rFonts w:ascii="宋体" w:hAnsi="宋体" w:cs="宋体" w:eastAsia="宋体" w:hint="default"/>
          <w:sz w:val="21"/>
          <w:szCs w:val="21"/>
        </w:rPr>
        <w:t>本公司被认定为广东省</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00</w:t>
      </w:r>
      <w:r>
        <w:rPr>
          <w:rFonts w:ascii="Times New Roman" w:hAnsi="Times New Roman" w:cs="Times New Roman" w:eastAsia="Times New Roman" w:hint="default"/>
          <w:sz w:val="21"/>
          <w:szCs w:val="21"/>
        </w:rPr>
        <w:t>8 </w:t>
      </w:r>
      <w:r>
        <w:rPr>
          <w:rFonts w:ascii="宋体" w:hAnsi="宋体" w:cs="宋体" w:eastAsia="宋体" w:hint="default"/>
          <w:spacing w:val="-2"/>
          <w:sz w:val="21"/>
          <w:szCs w:val="21"/>
        </w:rPr>
        <w:t>年</w:t>
      </w:r>
      <w:r>
        <w:rPr>
          <w:rFonts w:ascii="宋体" w:hAnsi="宋体" w:cs="宋体" w:eastAsia="宋体" w:hint="default"/>
          <w:sz w:val="21"/>
          <w:szCs w:val="21"/>
        </w:rPr>
        <w:t>度第二批高新技术企业</w:t>
      </w:r>
      <w:r>
        <w:rPr>
          <w:rFonts w:ascii="宋体" w:hAnsi="宋体" w:cs="宋体" w:eastAsia="宋体" w:hint="default"/>
          <w:spacing w:val="-59"/>
          <w:sz w:val="21"/>
          <w:szCs w:val="21"/>
        </w:rPr>
        <w:t>，</w:t>
      </w:r>
      <w:r>
        <w:rPr>
          <w:rFonts w:ascii="宋体" w:hAnsi="宋体" w:cs="宋体" w:eastAsia="宋体" w:hint="default"/>
          <w:sz w:val="21"/>
          <w:szCs w:val="21"/>
        </w:rPr>
        <w:t>并获</w:t>
      </w:r>
      <w:r>
        <w:rPr>
          <w:rFonts w:ascii="宋体" w:hAnsi="宋体" w:cs="宋体" w:eastAsia="宋体" w:hint="default"/>
          <w:spacing w:val="-59"/>
          <w:sz w:val="21"/>
          <w:szCs w:val="21"/>
        </w:rPr>
        <w:t>发</w:t>
      </w:r>
      <w:r>
        <w:rPr>
          <w:rFonts w:ascii="宋体" w:hAnsi="宋体" w:cs="宋体" w:eastAsia="宋体" w:hint="default"/>
          <w:sz w:val="21"/>
          <w:szCs w:val="21"/>
        </w:rPr>
        <w:t>《高</w:t>
      </w:r>
      <w:r>
        <w:rPr>
          <w:rFonts w:ascii="宋体" w:hAnsi="宋体" w:cs="宋体" w:eastAsia="宋体" w:hint="default"/>
          <w:sz w:val="21"/>
          <w:szCs w:val="21"/>
        </w:rPr>
        <w:t> 新技术企业证书</w:t>
      </w:r>
      <w:r>
        <w:rPr>
          <w:rFonts w:ascii="宋体" w:hAnsi="宋体" w:cs="宋体" w:eastAsia="宋体" w:hint="default"/>
          <w:spacing w:val="-116"/>
          <w:sz w:val="21"/>
          <w:szCs w:val="21"/>
        </w:rPr>
        <w:t>》</w:t>
      </w:r>
      <w:r>
        <w:rPr>
          <w:rFonts w:ascii="宋体" w:hAnsi="宋体" w:cs="宋体" w:eastAsia="宋体" w:hint="default"/>
          <w:sz w:val="21"/>
          <w:szCs w:val="21"/>
        </w:rPr>
        <w:t>（证书编号</w:t>
      </w:r>
      <w:r>
        <w:rPr>
          <w:rFonts w:ascii="宋体" w:hAnsi="宋体" w:cs="宋体" w:eastAsia="宋体" w:hint="default"/>
          <w:spacing w:val="-11"/>
          <w:sz w:val="21"/>
          <w:szCs w:val="21"/>
        </w:rPr>
        <w:t>：</w:t>
      </w:r>
      <w:r>
        <w:rPr>
          <w:rFonts w:ascii="Times New Roman" w:hAnsi="Times New Roman" w:cs="Times New Roman" w:eastAsia="Times New Roman" w:hint="default"/>
          <w:spacing w:val="-1"/>
          <w:w w:val="99"/>
          <w:sz w:val="21"/>
          <w:szCs w:val="21"/>
        </w:rPr>
        <w:t>G</w:t>
      </w:r>
      <w:r>
        <w:rPr>
          <w:rFonts w:ascii="Times New Roman" w:hAnsi="Times New Roman" w:cs="Times New Roman" w:eastAsia="Times New Roman" w:hint="default"/>
          <w:sz w:val="21"/>
          <w:szCs w:val="21"/>
        </w:rPr>
        <w:t>R20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4</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3</w:t>
      </w:r>
      <w:r>
        <w:rPr>
          <w:rFonts w:ascii="Times New Roman" w:hAnsi="Times New Roman" w:cs="Times New Roman" w:eastAsia="Times New Roman" w:hint="default"/>
          <w:sz w:val="21"/>
          <w:szCs w:val="21"/>
        </w:rPr>
        <w:t>0</w:t>
      </w:r>
      <w:r>
        <w:rPr>
          <w:rFonts w:ascii="宋体" w:hAnsi="宋体" w:cs="宋体" w:eastAsia="宋体" w:hint="default"/>
          <w:spacing w:val="-11"/>
          <w:sz w:val="21"/>
          <w:szCs w:val="21"/>
        </w:rPr>
        <w:t>，</w:t>
      </w:r>
      <w:r>
        <w:rPr>
          <w:rFonts w:ascii="宋体" w:hAnsi="宋体" w:cs="宋体" w:eastAsia="宋体" w:hint="default"/>
          <w:sz w:val="21"/>
          <w:szCs w:val="21"/>
        </w:rPr>
        <w:t>有效期</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 </w:t>
      </w:r>
      <w:r>
        <w:rPr>
          <w:rFonts w:ascii="宋体" w:hAnsi="宋体" w:cs="宋体" w:eastAsia="宋体" w:hint="default"/>
          <w:spacing w:val="-2"/>
          <w:sz w:val="21"/>
          <w:szCs w:val="21"/>
        </w:rPr>
        <w:t>年</w:t>
      </w:r>
      <w:r>
        <w:rPr>
          <w:rFonts w:ascii="宋体" w:hAnsi="宋体" w:cs="宋体" w:eastAsia="宋体" w:hint="default"/>
          <w:spacing w:val="-106"/>
          <w:sz w:val="21"/>
          <w:szCs w:val="21"/>
        </w:rPr>
        <w:t>）</w:t>
      </w:r>
      <w:r>
        <w:rPr>
          <w:rFonts w:ascii="宋体" w:hAnsi="宋体" w:cs="宋体" w:eastAsia="宋体" w:hint="default"/>
          <w:spacing w:val="-11"/>
          <w:sz w:val="21"/>
          <w:szCs w:val="21"/>
        </w:rPr>
        <w:t>。</w:t>
      </w:r>
      <w:r>
        <w:rPr>
          <w:rFonts w:ascii="宋体" w:hAnsi="宋体" w:cs="宋体" w:eastAsia="宋体" w:hint="default"/>
          <w:sz w:val="21"/>
          <w:szCs w:val="21"/>
        </w:rPr>
        <w:t>按</w:t>
      </w:r>
      <w:r>
        <w:rPr>
          <w:rFonts w:ascii="宋体" w:hAnsi="宋体" w:cs="宋体" w:eastAsia="宋体" w:hint="default"/>
          <w:spacing w:val="-11"/>
          <w:sz w:val="21"/>
          <w:szCs w:val="21"/>
        </w:rPr>
        <w:t>照</w:t>
      </w:r>
      <w:r>
        <w:rPr>
          <w:rFonts w:ascii="宋体" w:hAnsi="宋体" w:cs="宋体" w:eastAsia="宋体" w:hint="default"/>
          <w:sz w:val="21"/>
          <w:szCs w:val="21"/>
        </w:rPr>
        <w:t>《企业所得税</w:t>
      </w:r>
    </w:p>
    <w:p>
      <w:pPr>
        <w:spacing w:line="328" w:lineRule="auto" w:before="24"/>
        <w:ind w:left="857" w:right="137" w:firstLine="0"/>
        <w:jc w:val="both"/>
        <w:rPr>
          <w:rFonts w:ascii="Times New Roman" w:hAnsi="Times New Roman" w:cs="Times New Roman" w:eastAsia="Times New Roman" w:hint="default"/>
          <w:sz w:val="21"/>
          <w:szCs w:val="21"/>
        </w:rPr>
      </w:pPr>
      <w:r>
        <w:rPr>
          <w:rFonts w:ascii="宋体" w:hAnsi="宋体" w:cs="宋体" w:eastAsia="宋体" w:hint="default"/>
          <w:sz w:val="21"/>
          <w:szCs w:val="21"/>
        </w:rPr>
        <w:t>法》等相关法规规定，本公司自</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日三年内享受 国家高新技术企业</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的所得税税率。根据广东省科学技术厅下发的《关于公示广 东省</w:t>
      </w:r>
      <w:r>
        <w:rPr>
          <w:rFonts w:ascii="宋体" w:hAnsi="宋体" w:cs="宋体" w:eastAsia="宋体" w:hint="default"/>
          <w:spacing w:val="-48"/>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pacing w:val="-8"/>
          <w:sz w:val="21"/>
          <w:szCs w:val="21"/>
        </w:rPr>
        <w:t>年第一批拟通过复审高新技术企业名单的通知》（粤科函高字【</w:t>
      </w:r>
      <w:r>
        <w:rPr>
          <w:rFonts w:ascii="Times New Roman" w:hAnsi="Times New Roman" w:cs="Times New Roman" w:eastAsia="Times New Roman" w:hint="default"/>
          <w:spacing w:val="-8"/>
          <w:sz w:val="21"/>
          <w:szCs w:val="21"/>
        </w:rPr>
        <w:t>2011</w:t>
      </w:r>
      <w:r>
        <w:rPr>
          <w:rFonts w:ascii="宋体" w:hAnsi="宋体" w:cs="宋体" w:eastAsia="宋体" w:hint="default"/>
          <w:spacing w:val="-8"/>
          <w:sz w:val="21"/>
          <w:szCs w:val="21"/>
        </w:rPr>
        <w:t>】</w:t>
      </w:r>
      <w:r>
        <w:rPr>
          <w:rFonts w:ascii="Times New Roman" w:hAnsi="Times New Roman" w:cs="Times New Roman" w:eastAsia="Times New Roman" w:hint="default"/>
          <w:spacing w:val="-8"/>
          <w:sz w:val="21"/>
          <w:szCs w:val="21"/>
        </w:rPr>
        <w:t>1219</w:t>
      </w:r>
      <w:r>
        <w:rPr>
          <w:rFonts w:ascii="Times New Roman" w:hAnsi="Times New Roman" w:cs="Times New Roman" w:eastAsia="Times New Roman" w:hint="default"/>
          <w:sz w:val="21"/>
          <w:szCs w:val="21"/>
        </w:rPr>
      </w:r>
    </w:p>
    <w:p>
      <w:pPr>
        <w:spacing w:before="24"/>
        <w:ind w:left="857" w:right="0" w:firstLine="0"/>
        <w:jc w:val="both"/>
        <w:rPr>
          <w:rFonts w:ascii="Times New Roman" w:hAnsi="Times New Roman" w:cs="Times New Roman" w:eastAsia="Times New Roman" w:hint="default"/>
          <w:sz w:val="21"/>
          <w:szCs w:val="21"/>
        </w:rPr>
      </w:pPr>
      <w:r>
        <w:rPr>
          <w:rFonts w:ascii="宋体" w:hAnsi="宋体" w:cs="宋体" w:eastAsia="宋体" w:hint="default"/>
          <w:sz w:val="21"/>
          <w:szCs w:val="21"/>
        </w:rPr>
        <w:t>号</w:t>
      </w:r>
      <w:r>
        <w:rPr>
          <w:rFonts w:ascii="宋体" w:hAnsi="宋体" w:cs="宋体" w:eastAsia="宋体" w:hint="default"/>
          <w:spacing w:val="-105"/>
          <w:sz w:val="21"/>
          <w:szCs w:val="21"/>
        </w:rPr>
        <w:t>）</w:t>
      </w:r>
      <w:r>
        <w:rPr>
          <w:rFonts w:ascii="宋体" w:hAnsi="宋体" w:cs="宋体" w:eastAsia="宋体" w:hint="default"/>
          <w:spacing w:val="-47"/>
          <w:sz w:val="21"/>
          <w:szCs w:val="21"/>
        </w:rPr>
        <w:t>，</w:t>
      </w:r>
      <w:r>
        <w:rPr>
          <w:rFonts w:ascii="宋体" w:hAnsi="宋体" w:cs="宋体" w:eastAsia="宋体" w:hint="default"/>
          <w:sz w:val="21"/>
          <w:szCs w:val="21"/>
        </w:rPr>
        <w:t>子公司御新已通过高新技术企业复审</w:t>
      </w:r>
      <w:r>
        <w:rPr>
          <w:rFonts w:ascii="宋体" w:hAnsi="宋体" w:cs="宋体" w:eastAsia="宋体" w:hint="default"/>
          <w:spacing w:val="-47"/>
          <w:sz w:val="21"/>
          <w:szCs w:val="21"/>
        </w:rPr>
        <w:t>，</w:t>
      </w:r>
      <w:r>
        <w:rPr>
          <w:rFonts w:ascii="宋体" w:hAnsi="宋体" w:cs="宋体" w:eastAsia="宋体" w:hint="default"/>
          <w:sz w:val="21"/>
          <w:szCs w:val="21"/>
        </w:rPr>
        <w:t>目前处于公示阶段</w:t>
      </w:r>
      <w:r>
        <w:rPr>
          <w:rFonts w:ascii="宋体" w:hAnsi="宋体" w:cs="宋体" w:eastAsia="宋体" w:hint="default"/>
          <w:spacing w:val="-47"/>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7"/>
          <w:sz w:val="21"/>
          <w:szCs w:val="21"/>
        </w:rPr>
        <w:t>1</w:t>
      </w:r>
      <w:r>
        <w:rPr>
          <w:rFonts w:ascii="Times New Roman" w:hAnsi="Times New Roman" w:cs="Times New Roman" w:eastAsia="Times New Roman" w:hint="default"/>
          <w:sz w:val="21"/>
          <w:szCs w:val="21"/>
        </w:rPr>
        <w:t>1 </w:t>
      </w:r>
      <w:r>
        <w:rPr>
          <w:rFonts w:ascii="宋体" w:hAnsi="宋体" w:cs="宋体" w:eastAsia="宋体" w:hint="default"/>
          <w:spacing w:val="-2"/>
          <w:sz w:val="21"/>
          <w:szCs w:val="21"/>
        </w:rPr>
        <w:t>年</w:t>
      </w:r>
      <w:r>
        <w:rPr>
          <w:rFonts w:ascii="宋体" w:hAnsi="宋体" w:cs="宋体" w:eastAsia="宋体" w:hint="default"/>
          <w:sz w:val="21"/>
          <w:szCs w:val="21"/>
        </w:rPr>
        <w:t>度暂按</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5</w:t>
      </w:r>
      <w:r>
        <w:rPr>
          <w:rFonts w:ascii="Times New Roman" w:hAnsi="Times New Roman" w:cs="Times New Roman" w:eastAsia="Times New Roman" w:hint="default"/>
          <w:sz w:val="21"/>
          <w:szCs w:val="21"/>
        </w:rPr>
        <w:t>%</w:t>
      </w:r>
    </w:p>
    <w:p>
      <w:pPr>
        <w:spacing w:before="109"/>
        <w:ind w:left="857" w:right="0" w:firstLine="0"/>
        <w:jc w:val="both"/>
        <w:rPr>
          <w:rFonts w:ascii="宋体" w:hAnsi="宋体" w:cs="宋体" w:eastAsia="宋体" w:hint="default"/>
          <w:sz w:val="21"/>
          <w:szCs w:val="21"/>
        </w:rPr>
      </w:pPr>
      <w:r>
        <w:rPr>
          <w:rFonts w:ascii="宋体" w:hAnsi="宋体" w:cs="宋体" w:eastAsia="宋体" w:hint="default"/>
          <w:sz w:val="21"/>
          <w:szCs w:val="21"/>
        </w:rPr>
        <w:t>计提所得税。</w:t>
      </w:r>
    </w:p>
    <w:p>
      <w:pPr>
        <w:spacing w:line="331" w:lineRule="auto" w:before="125"/>
        <w:ind w:left="857" w:right="120" w:firstLine="0"/>
        <w:jc w:val="both"/>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3</w:t>
      </w:r>
      <w:r>
        <w:rPr>
          <w:rFonts w:ascii="宋体" w:hAnsi="宋体" w:cs="宋体" w:eastAsia="宋体" w:hint="default"/>
          <w:spacing w:val="-3"/>
          <w:sz w:val="21"/>
          <w:szCs w:val="21"/>
        </w:rPr>
        <w:t>：根据广州省科技厅、广东省财政厅、广东省国家税务局、广东省地方税务局联</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合下发的《关于公示广东省</w:t>
      </w:r>
      <w:r>
        <w:rPr>
          <w:rFonts w:ascii="宋体" w:hAnsi="宋体" w:cs="宋体" w:eastAsia="宋体" w:hint="default"/>
          <w:spacing w:val="-52"/>
          <w:sz w:val="21"/>
          <w:szCs w:val="21"/>
        </w:rPr>
        <w:t> </w:t>
      </w:r>
      <w:r>
        <w:rPr>
          <w:rFonts w:ascii="Times New Roman" w:hAnsi="Times New Roman" w:cs="Times New Roman" w:eastAsia="Times New Roman" w:hint="default"/>
          <w:spacing w:val="-1"/>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pacing w:val="-5"/>
          <w:sz w:val="21"/>
          <w:szCs w:val="21"/>
        </w:rPr>
        <w:t>年第一批拟认定高新技术企业名单的通知》（粤科</w:t>
      </w:r>
      <w:r>
        <w:rPr>
          <w:rFonts w:ascii="宋体" w:hAnsi="宋体" w:cs="宋体" w:eastAsia="宋体" w:hint="default"/>
          <w:sz w:val="21"/>
          <w:szCs w:val="21"/>
        </w:rPr>
        <w:t> </w:t>
      </w:r>
      <w:r>
        <w:rPr>
          <w:rFonts w:ascii="宋体" w:hAnsi="宋体" w:cs="宋体" w:eastAsia="宋体" w:hint="default"/>
          <w:spacing w:val="-1"/>
          <w:sz w:val="21"/>
          <w:szCs w:val="21"/>
        </w:rPr>
        <w:t>函高字【</w:t>
      </w:r>
      <w:r>
        <w:rPr>
          <w:rFonts w:ascii="Times New Roman" w:hAnsi="Times New Roman" w:cs="Times New Roman" w:eastAsia="Times New Roman" w:hint="default"/>
          <w:spacing w:val="-1"/>
          <w:sz w:val="21"/>
          <w:szCs w:val="21"/>
        </w:rPr>
        <w:t>2008</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1174</w:t>
      </w:r>
      <w:r>
        <w:rPr>
          <w:rFonts w:ascii="Times New Roman" w:hAnsi="Times New Roman" w:cs="Times New Roman" w:eastAsia="Times New Roman" w:hint="default"/>
          <w:spacing w:val="6"/>
          <w:sz w:val="21"/>
          <w:szCs w:val="21"/>
        </w:rPr>
        <w:t> </w:t>
      </w:r>
      <w:r>
        <w:rPr>
          <w:rFonts w:ascii="宋体" w:hAnsi="宋体" w:cs="宋体" w:eastAsia="宋体" w:hint="default"/>
          <w:spacing w:val="-9"/>
          <w:sz w:val="21"/>
          <w:szCs w:val="21"/>
        </w:rPr>
        <w:t>号），本公司被认定为广东省</w:t>
      </w:r>
      <w:r>
        <w:rPr>
          <w:rFonts w:ascii="宋体" w:hAnsi="宋体" w:cs="宋体" w:eastAsia="宋体" w:hint="default"/>
          <w:spacing w:val="-47"/>
          <w:sz w:val="21"/>
          <w:szCs w:val="21"/>
        </w:rPr>
        <w:t> </w:t>
      </w:r>
      <w:r>
        <w:rPr>
          <w:rFonts w:ascii="Times New Roman" w:hAnsi="Times New Roman" w:cs="Times New Roman" w:eastAsia="Times New Roman" w:hint="default"/>
          <w:spacing w:val="-1"/>
          <w:sz w:val="21"/>
          <w:szCs w:val="21"/>
        </w:rPr>
        <w:t>2008</w:t>
      </w:r>
      <w:r>
        <w:rPr>
          <w:rFonts w:ascii="Times New Roman" w:hAnsi="Times New Roman" w:cs="Times New Roman" w:eastAsia="Times New Roman" w:hint="default"/>
          <w:spacing w:val="6"/>
          <w:sz w:val="21"/>
          <w:szCs w:val="21"/>
        </w:rPr>
        <w:t> </w:t>
      </w:r>
      <w:r>
        <w:rPr>
          <w:rFonts w:ascii="宋体" w:hAnsi="宋体" w:cs="宋体" w:eastAsia="宋体" w:hint="default"/>
          <w:spacing w:val="-1"/>
          <w:sz w:val="21"/>
          <w:szCs w:val="21"/>
        </w:rPr>
        <w:t>年度第一批高新技术企业，</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8"/>
          <w:w w:val="99"/>
          <w:sz w:val="21"/>
          <w:szCs w:val="21"/>
        </w:rPr>
        <w:t>并获发《高新技术企业证书》（证书编号：</w:t>
      </w:r>
      <w:r>
        <w:rPr>
          <w:rFonts w:ascii="Times New Roman" w:hAnsi="Times New Roman" w:cs="Times New Roman" w:eastAsia="Times New Roman" w:hint="default"/>
          <w:spacing w:val="-8"/>
          <w:w w:val="99"/>
          <w:sz w:val="21"/>
          <w:szCs w:val="21"/>
        </w:rPr>
        <w:t>GR200844000607</w:t>
      </w:r>
      <w:r>
        <w:rPr>
          <w:rFonts w:ascii="宋体" w:hAnsi="宋体" w:cs="宋体" w:eastAsia="宋体" w:hint="default"/>
          <w:spacing w:val="-8"/>
          <w:w w:val="99"/>
          <w:sz w:val="21"/>
          <w:szCs w:val="21"/>
        </w:rPr>
        <w:t>，有效期</w:t>
      </w:r>
      <w:r>
        <w:rPr>
          <w:rFonts w:ascii="宋体" w:hAnsi="宋体" w:cs="宋体" w:eastAsia="宋体" w:hint="default"/>
          <w:spacing w:val="-49"/>
          <w:w w:val="99"/>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4"/>
          <w:sz w:val="21"/>
          <w:szCs w:val="21"/>
        </w:rPr>
        <w:t> </w:t>
      </w:r>
      <w:r>
        <w:rPr>
          <w:rFonts w:ascii="宋体" w:hAnsi="宋体" w:cs="宋体" w:eastAsia="宋体" w:hint="default"/>
          <w:spacing w:val="-29"/>
          <w:sz w:val="21"/>
          <w:szCs w:val="21"/>
        </w:rPr>
        <w:t>年）。按照《企</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业所得税法》等相关法规规定，本公司自</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日三 年内享受国家高新技术企业</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的所得税税率。根据广东省科学技术厅下发的《关 于公示广东省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pacing w:val="-1"/>
          <w:sz w:val="21"/>
          <w:szCs w:val="21"/>
        </w:rPr>
        <w:t>年第一批拟通过复审高新技术企业名单的通知</w:t>
      </w:r>
      <w:r>
        <w:rPr>
          <w:rFonts w:ascii="宋体" w:hAnsi="宋体" w:cs="宋体" w:eastAsia="宋体" w:hint="default"/>
          <w:spacing w:val="-27"/>
          <w:sz w:val="21"/>
          <w:szCs w:val="21"/>
        </w:rPr>
        <w:t> </w:t>
      </w:r>
      <w:r>
        <w:rPr>
          <w:rFonts w:ascii="宋体" w:hAnsi="宋体" w:cs="宋体" w:eastAsia="宋体" w:hint="default"/>
          <w:spacing w:val="-16"/>
          <w:sz w:val="21"/>
          <w:szCs w:val="21"/>
        </w:rPr>
        <w:t>》（粤科函高字</w:t>
      </w:r>
    </w:p>
    <w:p>
      <w:pPr>
        <w:spacing w:line="328" w:lineRule="auto" w:before="21"/>
        <w:ind w:left="857" w:right="179" w:firstLine="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2011</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1219</w:t>
      </w:r>
      <w:r>
        <w:rPr>
          <w:rFonts w:ascii="Times New Roman" w:hAnsi="Times New Roman" w:cs="Times New Roman" w:eastAsia="Times New Roman" w:hint="default"/>
          <w:spacing w:val="7"/>
          <w:sz w:val="21"/>
          <w:szCs w:val="21"/>
        </w:rPr>
        <w:t> </w:t>
      </w:r>
      <w:r>
        <w:rPr>
          <w:rFonts w:ascii="宋体" w:hAnsi="宋体" w:cs="宋体" w:eastAsia="宋体" w:hint="default"/>
          <w:spacing w:val="-4"/>
          <w:sz w:val="21"/>
          <w:szCs w:val="21"/>
        </w:rPr>
        <w:t>号），本公司已通过高新技术企业复审，目前处于公示阶段，</w:t>
      </w:r>
      <w:r>
        <w:rPr>
          <w:rFonts w:ascii="Times New Roman" w:hAnsi="Times New Roman" w:cs="Times New Roman" w:eastAsia="Times New Roman" w:hint="default"/>
          <w:spacing w:val="-4"/>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103"/>
          <w:sz w:val="21"/>
          <w:szCs w:val="21"/>
        </w:rPr>
        <w:t> </w:t>
      </w:r>
      <w:r>
        <w:rPr>
          <w:rFonts w:ascii="宋体" w:hAnsi="宋体" w:cs="宋体" w:eastAsia="宋体" w:hint="default"/>
          <w:sz w:val="21"/>
          <w:szCs w:val="21"/>
        </w:rPr>
        <w:t>度暂按</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计提所得税。</w:t>
      </w:r>
    </w:p>
    <w:p>
      <w:pPr>
        <w:spacing w:after="0" w:line="328" w:lineRule="auto"/>
        <w:jc w:val="both"/>
        <w:rPr>
          <w:rFonts w:ascii="宋体" w:hAnsi="宋体" w:cs="宋体" w:eastAsia="宋体" w:hint="default"/>
          <w:sz w:val="21"/>
          <w:szCs w:val="21"/>
        </w:rPr>
        <w:sectPr>
          <w:pgSz w:w="11910" w:h="16840"/>
          <w:pgMar w:header="885" w:footer="1256" w:top="1120" w:bottom="1440" w:left="1660" w:right="1660"/>
        </w:sectPr>
      </w:pPr>
    </w:p>
    <w:p>
      <w:pPr>
        <w:spacing w:line="240" w:lineRule="auto" w:before="0"/>
        <w:rPr>
          <w:rFonts w:ascii="Times New Roman" w:hAnsi="Times New Roman" w:cs="Times New Roman" w:eastAsia="Times New Roman" w:hint="default"/>
          <w:sz w:val="20"/>
          <w:szCs w:val="20"/>
        </w:rPr>
      </w:pPr>
      <w:r>
        <w:rPr/>
        <w:pict>
          <v:group style="position:absolute;margin-left:101.000999pt;margin-top:165.179993pt;width:674.25pt;height:332.55pt;mso-position-horizontal-relative:page;mso-position-vertical-relative:page;z-index:-825376" coordorigin="2020,3304" coordsize="13485,6651">
            <v:shape style="position:absolute;left:3252;top:3304;width:10381;height:2460" type="#_x0000_t75" stroked="false">
              <v:imagedata r:id="rId43" o:title=""/>
            </v:shape>
            <v:group style="position:absolute;left:2035;top:9939;width:1246;height:2" coordorigin="2035,9939" coordsize="1246,2">
              <v:shape style="position:absolute;left:2035;top:9939;width:1246;height:2" coordorigin="2035,9939" coordsize="1246,0" path="m2035,9939l3281,9939e" filled="false" stroked="true" strokeweight="1.5pt" strokecolor="#000000">
                <v:path arrowok="t"/>
              </v:shape>
              <v:shape style="position:absolute;left:2021;top:5706;width:13484;height:4238" type="#_x0000_t75" stroked="false">
                <v:imagedata r:id="rId44" o:title=""/>
              </v:shape>
            </v:group>
            <v:group style="position:absolute;left:3281;top:9939;width:693;height:2" coordorigin="3281,9939" coordsize="693,2">
              <v:shape style="position:absolute;left:3281;top:9939;width:693;height:2" coordorigin="3281,9939" coordsize="693,0" path="m3281,9939l3973,9939e" filled="false" stroked="true" strokeweight="1.5pt" strokecolor="#000000">
                <v:path arrowok="t"/>
              </v:shape>
              <v:shape style="position:absolute;left:3953;top:8605;width:49;height:1339" type="#_x0000_t75" stroked="false">
                <v:imagedata r:id="rId45" o:title=""/>
              </v:shape>
            </v:group>
            <v:group style="position:absolute;left:3973;top:9939;width:714;height:2" coordorigin="3973,9939" coordsize="714,2">
              <v:shape style="position:absolute;left:3973;top:9939;width:714;height:2" coordorigin="3973,9939" coordsize="714,0" path="m3973,9939l4687,9939e" filled="false" stroked="true" strokeweight="1.5pt" strokecolor="#000000">
                <v:path arrowok="t"/>
              </v:shape>
              <v:shape style="position:absolute;left:4667;top:8605;width:49;height:1339" type="#_x0000_t75" stroked="false">
                <v:imagedata r:id="rId46" o:title=""/>
              </v:shape>
            </v:group>
            <v:group style="position:absolute;left:4687;top:9939;width:884;height:2" coordorigin="4687,9939" coordsize="884,2">
              <v:shape style="position:absolute;left:4687;top:9939;width:884;height:2" coordorigin="4687,9939" coordsize="884,0" path="m4687,9939l5570,9939e" filled="false" stroked="true" strokeweight="1.5pt" strokecolor="#000000">
                <v:path arrowok="t"/>
              </v:shape>
              <v:shape style="position:absolute;left:5541;top:8596;width:67;height:1344" type="#_x0000_t75" stroked="false">
                <v:imagedata r:id="rId47" o:title=""/>
              </v:shape>
            </v:group>
            <v:group style="position:absolute;left:5570;top:9939;width:884;height:2" coordorigin="5570,9939" coordsize="884,2">
              <v:shape style="position:absolute;left:5570;top:9939;width:884;height:2" coordorigin="5570,9939" coordsize="884,0" path="m5570,9939l6453,9939e" filled="false" stroked="true" strokeweight="1.5pt" strokecolor="#000000">
                <v:path arrowok="t"/>
              </v:shape>
              <v:shape style="position:absolute;left:6434;top:8605;width:49;height:1339" type="#_x0000_t75" stroked="false">
                <v:imagedata r:id="rId45" o:title=""/>
              </v:shape>
            </v:group>
            <v:group style="position:absolute;left:6453;top:9939;width:1238;height:2" coordorigin="6453,9939" coordsize="1238,2">
              <v:shape style="position:absolute;left:6453;top:9939;width:1238;height:2" coordorigin="6453,9939" coordsize="1238,0" path="m6453,9939l7691,9939e" filled="false" stroked="true" strokeweight="1.5pt" strokecolor="#000000">
                <v:path arrowok="t"/>
              </v:shape>
              <v:shape style="position:absolute;left:7671;top:8605;width:49;height:1339" type="#_x0000_t75" stroked="false">
                <v:imagedata r:id="rId46" o:title=""/>
              </v:shape>
            </v:group>
            <v:group style="position:absolute;left:7691;top:9939;width:882;height:2" coordorigin="7691,9939" coordsize="882,2">
              <v:shape style="position:absolute;left:7691;top:9939;width:882;height:2" coordorigin="7691,9939" coordsize="882,0" path="m7691,9939l8573,9939e" filled="false" stroked="true" strokeweight="1.5pt" strokecolor="#000000">
                <v:path arrowok="t"/>
              </v:shape>
              <v:shape style="position:absolute;left:8553;top:8605;width:49;height:1339" type="#_x0000_t75" stroked="false">
                <v:imagedata r:id="rId45" o:title=""/>
              </v:shape>
            </v:group>
            <v:group style="position:absolute;left:8573;top:9939;width:1060;height:2" coordorigin="8573,9939" coordsize="1060,2">
              <v:shape style="position:absolute;left:8573;top:9939;width:1060;height:2" coordorigin="8573,9939" coordsize="1060,0" path="m8573,9939l9632,9939e" filled="false" stroked="true" strokeweight="1.5pt" strokecolor="#000000">
                <v:path arrowok="t"/>
              </v:shape>
              <v:shape style="position:absolute;left:9612;top:8605;width:49;height:1339" type="#_x0000_t75" stroked="false">
                <v:imagedata r:id="rId46" o:title=""/>
              </v:shape>
            </v:group>
            <v:group style="position:absolute;left:9632;top:9939;width:526;height:2" coordorigin="9632,9939" coordsize="526,2">
              <v:shape style="position:absolute;left:9632;top:9939;width:526;height:2" coordorigin="9632,9939" coordsize="526,0" path="m9632,9939l10158,9939e" filled="false" stroked="true" strokeweight="1.5pt" strokecolor="#000000">
                <v:path arrowok="t"/>
              </v:shape>
              <v:shape style="position:absolute;left:10138;top:8605;width:49;height:1339" type="#_x0000_t75" stroked="false">
                <v:imagedata r:id="rId46" o:title=""/>
              </v:shape>
            </v:group>
            <v:group style="position:absolute;left:10158;top:9939;width:714;height:2" coordorigin="10158,9939" coordsize="714,2">
              <v:shape style="position:absolute;left:10158;top:9939;width:714;height:2" coordorigin="10158,9939" coordsize="714,0" path="m10158,9939l10872,9939e" filled="false" stroked="true" strokeweight="1.5pt" strokecolor="#000000">
                <v:path arrowok="t"/>
              </v:shape>
              <v:shape style="position:absolute;left:10852;top:8605;width:49;height:1339" type="#_x0000_t75" stroked="false">
                <v:imagedata r:id="rId46" o:title=""/>
              </v:shape>
            </v:group>
            <v:group style="position:absolute;left:10872;top:9939;width:701;height:2" coordorigin="10872,9939" coordsize="701,2">
              <v:shape style="position:absolute;left:10872;top:9939;width:701;height:2" coordorigin="10872,9939" coordsize="701,0" path="m10872,9939l11573,9939e" filled="false" stroked="true" strokeweight="1.5pt" strokecolor="#000000">
                <v:path arrowok="t"/>
              </v:shape>
              <v:shape style="position:absolute;left:11553;top:8605;width:49;height:1339" type="#_x0000_t75" stroked="false">
                <v:imagedata r:id="rId46" o:title=""/>
              </v:shape>
            </v:group>
            <v:group style="position:absolute;left:11573;top:9939;width:1064;height:2" coordorigin="11573,9939" coordsize="1064,2">
              <v:shape style="position:absolute;left:11573;top:9939;width:1064;height:2" coordorigin="11573,9939" coordsize="1064,0" path="m11573,9939l12636,9939e" filled="false" stroked="true" strokeweight="1.5pt" strokecolor="#000000">
                <v:path arrowok="t"/>
              </v:shape>
              <v:shape style="position:absolute;left:12616;top:8605;width:49;height:1339" type="#_x0000_t75" stroked="false">
                <v:imagedata r:id="rId46" o:title=""/>
              </v:shape>
            </v:group>
            <v:group style="position:absolute;left:12636;top:9939;width:959;height:2" coordorigin="12636,9939" coordsize="959,2">
              <v:shape style="position:absolute;left:12636;top:9939;width:959;height:2" coordorigin="12636,9939" coordsize="959,0" path="m12636,9939l13595,9939e" filled="false" stroked="true" strokeweight="1.5pt" strokecolor="#000000">
                <v:path arrowok="t"/>
              </v:shape>
              <v:shape style="position:absolute;left:13566;top:8596;width:67;height:1344" type="#_x0000_t75" stroked="false">
                <v:imagedata r:id="rId47" o:title=""/>
              </v:shape>
            </v:group>
            <v:group style="position:absolute;left:13595;top:9939;width:1878;height:2" coordorigin="13595,9939" coordsize="1878,2">
              <v:shape style="position:absolute;left:13595;top:9939;width:1878;height:2" coordorigin="13595,9939" coordsize="1878,0" path="m13595,9939l15473,9939e" filled="false" stroked="true" strokeweight="1.5pt" strokecolor="#000000">
                <v:path arrowok="t"/>
              </v:shape>
              <v:shape style="position:absolute;left:13725;top:3586;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从母公司所有者权益</w:t>
                      </w:r>
                    </w:p>
                  </w:txbxContent>
                </v:textbox>
                <w10:wrap type="none"/>
              </v:shape>
              <v:shape style="position:absolute;left:12759;top:377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少数股东</w:t>
                      </w:r>
                    </w:p>
                  </w:txbxContent>
                </v:textbox>
                <w10:wrap type="none"/>
              </v:shape>
              <v:shape style="position:absolute;left:8657;top:396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实质上构成</w:t>
                      </w:r>
                    </w:p>
                  </w:txbxContent>
                </v:textbox>
                <w10:wrap type="none"/>
              </v:shape>
              <v:shape style="position:absolute;left:13725;top:3960;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冲减子公司少数股东</w:t>
                      </w:r>
                    </w:p>
                  </w:txbxContent>
                </v:textbox>
                <w10:wrap type="none"/>
              </v:shape>
              <v:shape style="position:absolute;left:2216;top:4147;width:13130;height:937" type="#_x0000_t202" filled="false" stroked="false">
                <v:textbox inset="0,0,0,0">
                  <w:txbxContent>
                    <w:p>
                      <w:pPr>
                        <w:tabs>
                          <w:tab w:pos="10543" w:val="left" w:leader="none"/>
                        </w:tabs>
                        <w:spacing w:line="156" w:lineRule="exact" w:before="0"/>
                        <w:ind w:left="7503" w:right="0" w:firstLine="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79"/>
                          <w:sz w:val="18"/>
                          <w:szCs w:val="18"/>
                        </w:rPr>
                        <w:t> </w:t>
                      </w:r>
                      <w:r>
                        <w:rPr>
                          <w:rFonts w:ascii="宋体" w:hAnsi="宋体" w:cs="宋体" w:eastAsia="宋体" w:hint="default"/>
                          <w:sz w:val="18"/>
                          <w:szCs w:val="18"/>
                        </w:rPr>
                        <w:t>表决权</w:t>
                        <w:tab/>
                        <w:t>权益中用</w:t>
                      </w:r>
                    </w:p>
                    <w:p>
                      <w:pPr>
                        <w:tabs>
                          <w:tab w:pos="1847" w:val="left" w:leader="none"/>
                          <w:tab w:pos="4501" w:val="left" w:leader="none"/>
                          <w:tab w:pos="5559" w:val="left" w:leader="none"/>
                          <w:tab w:pos="7503" w:val="left" w:leader="none"/>
                          <w:tab w:pos="8122" w:val="left" w:leader="none"/>
                          <w:tab w:pos="8740" w:val="left" w:leader="none"/>
                          <w:tab w:pos="10543" w:val="left" w:leader="none"/>
                          <w:tab w:pos="11509" w:val="left" w:leader="none"/>
                        </w:tabs>
                        <w:spacing w:line="189" w:lineRule="auto" w:before="20"/>
                        <w:ind w:left="0" w:right="0" w:firstLine="1144"/>
                        <w:jc w:val="left"/>
                        <w:rPr>
                          <w:rFonts w:ascii="宋体" w:hAnsi="宋体" w:cs="宋体" w:eastAsia="宋体" w:hint="default"/>
                          <w:sz w:val="18"/>
                          <w:szCs w:val="18"/>
                        </w:rPr>
                      </w:pPr>
                      <w:r>
                        <w:rPr>
                          <w:rFonts w:ascii="宋体" w:hAnsi="宋体" w:cs="宋体" w:eastAsia="宋体" w:hint="default"/>
                          <w:sz w:val="18"/>
                          <w:szCs w:val="18"/>
                        </w:rPr>
                        <w:t>子公司</w:t>
                        <w:tab/>
                        <w:tab/>
                        <w:tab/>
                        <w:t>期末实际</w:t>
                      </w:r>
                      <w:r>
                        <w:rPr>
                          <w:rFonts w:ascii="宋体" w:hAnsi="宋体" w:cs="宋体" w:eastAsia="宋体" w:hint="default"/>
                          <w:spacing w:val="70"/>
                          <w:sz w:val="18"/>
                          <w:szCs w:val="18"/>
                        </w:rPr>
                        <w:t> </w:t>
                      </w:r>
                      <w:r>
                        <w:rPr>
                          <w:rFonts w:ascii="宋体" w:hAnsi="宋体" w:cs="宋体" w:eastAsia="宋体" w:hint="default"/>
                          <w:sz w:val="18"/>
                          <w:szCs w:val="18"/>
                        </w:rPr>
                        <w:t>对子公司净</w:t>
                        <w:tab/>
                        <w:tab/>
                        <w:tab/>
                        <w:t>是否合</w:t>
                      </w:r>
                      <w:r>
                        <w:rPr>
                          <w:rFonts w:ascii="宋体" w:hAnsi="宋体" w:cs="宋体" w:eastAsia="宋体" w:hint="default"/>
                          <w:spacing w:val="72"/>
                          <w:sz w:val="18"/>
                          <w:szCs w:val="18"/>
                        </w:rPr>
                        <w:t> </w:t>
                      </w:r>
                      <w:r>
                        <w:rPr>
                          <w:rFonts w:ascii="宋体" w:hAnsi="宋体" w:cs="宋体" w:eastAsia="宋体" w:hint="default"/>
                          <w:sz w:val="18"/>
                          <w:szCs w:val="18"/>
                        </w:rPr>
                        <w:t>少数股东权</w:t>
                        <w:tab/>
                        <w:tab/>
                        <w:t>分担的本期亏损超过</w:t>
                      </w:r>
                      <w:r>
                        <w:rPr>
                          <w:rFonts w:ascii="宋体" w:hAnsi="宋体" w:cs="宋体" w:eastAsia="宋体" w:hint="default"/>
                          <w:sz w:val="18"/>
                          <w:szCs w:val="18"/>
                        </w:rPr>
                        <w:t> 子公司全称</w:t>
                        <w:tab/>
                        <w:t>注册地  业务性质</w:t>
                      </w:r>
                      <w:r>
                        <w:rPr>
                          <w:rFonts w:ascii="宋体" w:hAnsi="宋体" w:cs="宋体" w:eastAsia="宋体" w:hint="default"/>
                          <w:spacing w:val="62"/>
                          <w:sz w:val="18"/>
                          <w:szCs w:val="18"/>
                        </w:rPr>
                        <w:t> </w:t>
                      </w:r>
                      <w:r>
                        <w:rPr>
                          <w:rFonts w:ascii="宋体" w:hAnsi="宋体" w:cs="宋体" w:eastAsia="宋体" w:hint="default"/>
                          <w:sz w:val="18"/>
                          <w:szCs w:val="18"/>
                        </w:rPr>
                        <w:t>注册资本</w:t>
                        <w:tab/>
                        <w:t>经营范围</w:t>
                        <w:tab/>
                        <w:tab/>
                        <w:t>比例</w:t>
                        <w:tab/>
                        <w:t>比例</w:t>
                        <w:tab/>
                        <w:tab/>
                        <w:t>于冲减少</w:t>
                      </w:r>
                    </w:p>
                    <w:p>
                      <w:pPr>
                        <w:tabs>
                          <w:tab w:pos="5649" w:val="left" w:leader="none"/>
                          <w:tab w:pos="6440" w:val="left" w:leader="none"/>
                          <w:tab w:pos="8740" w:val="left" w:leader="none"/>
                          <w:tab w:pos="9802" w:val="left" w:leader="none"/>
                          <w:tab w:pos="11509" w:val="left" w:leader="none"/>
                        </w:tabs>
                        <w:spacing w:line="188" w:lineRule="exact" w:before="0"/>
                        <w:ind w:left="1234" w:right="0" w:firstLine="0"/>
                        <w:jc w:val="left"/>
                        <w:rPr>
                          <w:rFonts w:ascii="宋体" w:hAnsi="宋体" w:cs="宋体" w:eastAsia="宋体" w:hint="default"/>
                          <w:sz w:val="18"/>
                          <w:szCs w:val="18"/>
                        </w:rPr>
                      </w:pPr>
                      <w:r>
                        <w:rPr>
                          <w:rFonts w:ascii="宋体" w:hAnsi="宋体" w:cs="宋体" w:eastAsia="宋体" w:hint="default"/>
                          <w:sz w:val="18"/>
                          <w:szCs w:val="18"/>
                        </w:rPr>
                        <w:t>类型</w:t>
                        <w:tab/>
                        <w:t>出资额</w:t>
                        <w:tab/>
                        <w:t>投资的其他</w:t>
                        <w:tab/>
                        <w:t>并报表</w:t>
                        <w:tab/>
                        <w:t>益</w:t>
                        <w:tab/>
                        <w:t>少数股东在该子公司</w:t>
                      </w:r>
                    </w:p>
                    <w:p>
                      <w:pPr>
                        <w:tabs>
                          <w:tab w:pos="3477" w:val="left" w:leader="none"/>
                        </w:tabs>
                        <w:spacing w:line="199" w:lineRule="exact" w:before="0"/>
                        <w:ind w:left="2857" w:right="0" w:firstLine="0"/>
                        <w:jc w:val="center"/>
                        <w:rPr>
                          <w:rFonts w:ascii="Times New Roman" w:hAnsi="Times New Roman" w:cs="Times New Roman" w:eastAsia="Times New Roman" w:hint="default"/>
                          <w:sz w:val="18"/>
                          <w:szCs w:val="18"/>
                        </w:rPr>
                      </w:pPr>
                      <w:r>
                        <w:rPr>
                          <w:rFonts w:ascii="Times New Roman"/>
                          <w:sz w:val="18"/>
                        </w:rPr>
                        <w:t>(%)</w:t>
                        <w:tab/>
                        <w:t>(%)</w:t>
                      </w:r>
                    </w:p>
                  </w:txbxContent>
                </v:textbox>
                <w10:wrap type="none"/>
              </v:shape>
              <v:shape style="position:absolute;left:8747;top:508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项目余额</w:t>
                      </w:r>
                    </w:p>
                  </w:txbxContent>
                </v:textbox>
                <w10:wrap type="none"/>
              </v:shape>
              <v:shape style="position:absolute;left:12759;top:4896;width:2586;height:742" type="#_x0000_t202" filled="false" stroked="false">
                <v:textbox inset="0,0,0,0">
                  <w:txbxContent>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数股东损</w:t>
                      </w:r>
                    </w:p>
                    <w:p>
                      <w:pPr>
                        <w:spacing w:line="187" w:lineRule="exact" w:before="0"/>
                        <w:ind w:left="966" w:right="0" w:firstLine="0"/>
                        <w:jc w:val="left"/>
                        <w:rPr>
                          <w:rFonts w:ascii="宋体" w:hAnsi="宋体" w:cs="宋体" w:eastAsia="宋体" w:hint="default"/>
                          <w:sz w:val="18"/>
                          <w:szCs w:val="18"/>
                        </w:rPr>
                      </w:pPr>
                      <w:r>
                        <w:rPr>
                          <w:rFonts w:ascii="宋体" w:hAnsi="宋体" w:cs="宋体" w:eastAsia="宋体" w:hint="default"/>
                          <w:w w:val="95"/>
                          <w:sz w:val="18"/>
                          <w:szCs w:val="18"/>
                        </w:rPr>
                        <w:t>期初所有者权益中所</w:t>
                      </w:r>
                    </w:p>
                    <w:p>
                      <w:pPr>
                        <w:spacing w:line="18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益的金额</w:t>
                      </w:r>
                    </w:p>
                    <w:p>
                      <w:pPr>
                        <w:spacing w:line="211" w:lineRule="exact" w:before="0"/>
                        <w:ind w:left="1056" w:right="0" w:firstLine="0"/>
                        <w:jc w:val="left"/>
                        <w:rPr>
                          <w:rFonts w:ascii="宋体" w:hAnsi="宋体" w:cs="宋体" w:eastAsia="宋体" w:hint="default"/>
                          <w:sz w:val="18"/>
                          <w:szCs w:val="18"/>
                        </w:rPr>
                      </w:pPr>
                      <w:r>
                        <w:rPr>
                          <w:rFonts w:ascii="宋体" w:hAnsi="宋体" w:cs="宋体" w:eastAsia="宋体" w:hint="default"/>
                          <w:sz w:val="18"/>
                          <w:szCs w:val="18"/>
                        </w:rPr>
                        <w:t>享有份额后的余额</w:t>
                      </w:r>
                    </w:p>
                  </w:txbxContent>
                </v:textbox>
                <w10:wrap type="none"/>
              </v:shape>
              <v:shape style="position:absolute;left:6566;top:5849;width:105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0"/>
                          <w:sz w:val="18"/>
                          <w:szCs w:val="18"/>
                        </w:rPr>
                        <w:t>自动柜</w:t>
                      </w:r>
                      <w:r>
                        <w:rPr>
                          <w:rFonts w:ascii="宋体" w:hAnsi="宋体" w:cs="宋体" w:eastAsia="宋体" w:hint="default"/>
                          <w:spacing w:val="-59"/>
                          <w:sz w:val="18"/>
                          <w:szCs w:val="18"/>
                        </w:rPr>
                        <w:t> </w:t>
                      </w:r>
                      <w:r>
                        <w:rPr>
                          <w:rFonts w:ascii="宋体" w:hAnsi="宋体" w:cs="宋体" w:eastAsia="宋体" w:hint="default"/>
                          <w:spacing w:val="15"/>
                          <w:sz w:val="18"/>
                          <w:szCs w:val="18"/>
                        </w:rPr>
                        <w:t>员机</w:t>
                      </w:r>
                      <w:r>
                        <w:rPr>
                          <w:rFonts w:ascii="宋体" w:hAnsi="宋体" w:cs="宋体" w:eastAsia="宋体" w:hint="default"/>
                          <w:spacing w:val="-60"/>
                          <w:sz w:val="18"/>
                          <w:szCs w:val="18"/>
                        </w:rPr>
                        <w:t> </w:t>
                      </w:r>
                      <w:r>
                        <w:rPr>
                          <w:rFonts w:ascii="宋体" w:hAnsi="宋体" w:cs="宋体" w:eastAsia="宋体" w:hint="default"/>
                          <w:sz w:val="18"/>
                          <w:szCs w:val="18"/>
                        </w:rPr>
                      </w:r>
                    </w:p>
                  </w:txbxContent>
                </v:textbox>
                <w10:wrap type="none"/>
              </v:shape>
              <v:shape style="position:absolute;left:3451;top:604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全资</w:t>
                      </w:r>
                    </w:p>
                  </w:txbxContent>
                </v:textbox>
                <w10:wrap type="none"/>
              </v:shape>
              <v:shape style="position:absolute;left:2051;top:6317;width:113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广州御新软件</w:t>
                      </w:r>
                      <w:r>
                        <w:rPr>
                          <w:rFonts w:ascii="宋体" w:hAnsi="宋体" w:cs="宋体" w:eastAsia="宋体" w:hint="default"/>
                          <w:sz w:val="18"/>
                          <w:szCs w:val="18"/>
                        </w:rPr>
                      </w:r>
                    </w:p>
                  </w:txbxContent>
                </v:textbox>
                <w10:wrap type="none"/>
              </v:shape>
              <v:shape style="position:absolute;left:4800;top:6239;width:73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2"/>
                          <w:sz w:val="18"/>
                          <w:szCs w:val="18"/>
                        </w:rPr>
                        <w:t>软件研</w:t>
                      </w:r>
                      <w:r>
                        <w:rPr>
                          <w:rFonts w:ascii="宋体" w:hAnsi="宋体" w:cs="宋体" w:eastAsia="宋体" w:hint="default"/>
                          <w:spacing w:val="-27"/>
                          <w:sz w:val="18"/>
                          <w:szCs w:val="18"/>
                        </w:rPr>
                        <w:t> </w:t>
                      </w:r>
                      <w:r>
                        <w:rPr>
                          <w:rFonts w:ascii="宋体" w:hAnsi="宋体" w:cs="宋体" w:eastAsia="宋体" w:hint="default"/>
                          <w:sz w:val="18"/>
                          <w:szCs w:val="18"/>
                        </w:rPr>
                      </w:r>
                    </w:p>
                  </w:txbxContent>
                </v:textbox>
                <w10:wrap type="none"/>
              </v:shape>
              <v:shape style="position:absolute;left:6566;top:6239;width:105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0"/>
                          <w:sz w:val="18"/>
                          <w:szCs w:val="18"/>
                        </w:rPr>
                        <w:t>及点钞</w:t>
                      </w:r>
                      <w:r>
                        <w:rPr>
                          <w:rFonts w:ascii="宋体" w:hAnsi="宋体" w:cs="宋体" w:eastAsia="宋体" w:hint="default"/>
                          <w:spacing w:val="-59"/>
                          <w:sz w:val="18"/>
                          <w:szCs w:val="18"/>
                        </w:rPr>
                        <w:t> </w:t>
                      </w:r>
                      <w:r>
                        <w:rPr>
                          <w:rFonts w:ascii="宋体" w:hAnsi="宋体" w:cs="宋体" w:eastAsia="宋体" w:hint="default"/>
                          <w:spacing w:val="15"/>
                          <w:sz w:val="18"/>
                          <w:szCs w:val="18"/>
                        </w:rPr>
                        <w:t>机设</w:t>
                      </w:r>
                      <w:r>
                        <w:rPr>
                          <w:rFonts w:ascii="宋体" w:hAnsi="宋体" w:cs="宋体" w:eastAsia="宋体" w:hint="default"/>
                          <w:spacing w:val="-60"/>
                          <w:sz w:val="18"/>
                          <w:szCs w:val="18"/>
                        </w:rPr>
                        <w:t> </w:t>
                      </w:r>
                      <w:r>
                        <w:rPr>
                          <w:rFonts w:ascii="宋体" w:hAnsi="宋体" w:cs="宋体" w:eastAsia="宋体" w:hint="default"/>
                          <w:sz w:val="18"/>
                          <w:szCs w:val="18"/>
                        </w:rPr>
                      </w:r>
                    </w:p>
                  </w:txbxContent>
                </v:textbox>
                <w10:wrap type="none"/>
              </v:shape>
              <v:shape style="position:absolute;left:3451;top:643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w:t>
                      </w:r>
                    </w:p>
                  </w:txbxContent>
                </v:textbox>
                <w10:wrap type="none"/>
              </v:shape>
              <v:shape style="position:absolute;left:4154;top:643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w:t>
                      </w:r>
                    </w:p>
                  </w:txbxContent>
                </v:textbox>
                <w10:wrap type="none"/>
              </v:shape>
              <v:shape style="position:absolute;left:6080;top:6441;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w:t>
                      </w:r>
                    </w:p>
                  </w:txbxContent>
                </v:textbox>
                <w10:wrap type="none"/>
              </v:shape>
              <v:shape style="position:absolute;left:8198;top:6441;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w:t>
                      </w:r>
                    </w:p>
                  </w:txbxContent>
                </v:textbox>
                <w10:wrap type="none"/>
              </v:shape>
              <v:shape style="position:absolute;left:9785;top:6441;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10499;top:6433;width:819;height:188" type="#_x0000_t202" filled="false" stroked="false">
                <v:textbox inset="0,0,0,0">
                  <w:txbxContent>
                    <w:p>
                      <w:pPr>
                        <w:tabs>
                          <w:tab w:pos="638" w:val="left" w:leader="none"/>
                        </w:tabs>
                        <w:spacing w:line="187"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tab/>
                      </w:r>
                      <w:r>
                        <w:rPr>
                          <w:rFonts w:ascii="宋体" w:hAnsi="宋体" w:cs="宋体" w:eastAsia="宋体" w:hint="default"/>
                          <w:sz w:val="18"/>
                          <w:szCs w:val="18"/>
                        </w:rPr>
                        <w:t>是</w:t>
                      </w:r>
                    </w:p>
                  </w:txbxContent>
                </v:textbox>
                <w10:wrap type="none"/>
              </v:shape>
              <v:shape style="position:absolute;left:2052;top:671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4800;top:6629;width:66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4"/>
                          <w:sz w:val="18"/>
                          <w:szCs w:val="18"/>
                        </w:rPr>
                        <w:t>发、销售</w:t>
                      </w:r>
                    </w:p>
                  </w:txbxContent>
                </v:textbox>
                <w10:wrap type="none"/>
              </v:shape>
              <v:shape style="position:absolute;left:6566;top:6629;width:10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备的研发、销</w:t>
                      </w:r>
                    </w:p>
                  </w:txbxContent>
                </v:textbox>
                <w10:wrap type="none"/>
              </v:shape>
              <v:shape style="position:absolute;left:3541;top:682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司</w:t>
                      </w:r>
                    </w:p>
                  </w:txbxContent>
                </v:textbox>
                <w10:wrap type="none"/>
              </v:shape>
              <v:shape style="position:absolute;left:6566;top:701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售</w:t>
                      </w:r>
                    </w:p>
                  </w:txbxContent>
                </v:textbox>
                <w10:wrap type="none"/>
              </v:shape>
              <v:shape style="position:absolute;left:2051;top:7557;width:113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广州御银自动</w:t>
                      </w:r>
                      <w:r>
                        <w:rPr>
                          <w:rFonts w:ascii="宋体" w:hAnsi="宋体" w:cs="宋体" w:eastAsia="宋体" w:hint="default"/>
                          <w:sz w:val="18"/>
                          <w:szCs w:val="18"/>
                        </w:rPr>
                      </w:r>
                    </w:p>
                  </w:txbxContent>
                </v:textbox>
                <w10:wrap type="none"/>
              </v:shape>
              <v:shape style="position:absolute;left:3451;top:756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全资</w:t>
                      </w:r>
                    </w:p>
                  </w:txbxContent>
                </v:textbox>
                <w10:wrap type="none"/>
              </v:shape>
              <v:shape style="position:absolute;left:4800;top:7497;width:73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2"/>
                          <w:sz w:val="18"/>
                          <w:szCs w:val="18"/>
                        </w:rPr>
                        <w:t>软件及</w:t>
                      </w:r>
                      <w:r>
                        <w:rPr>
                          <w:rFonts w:ascii="宋体" w:hAnsi="宋体" w:cs="宋体" w:eastAsia="宋体" w:hint="default"/>
                          <w:spacing w:val="-27"/>
                          <w:sz w:val="18"/>
                          <w:szCs w:val="18"/>
                        </w:rPr>
                        <w:t> </w:t>
                      </w:r>
                      <w:r>
                        <w:rPr>
                          <w:rFonts w:ascii="宋体" w:hAnsi="宋体" w:cs="宋体" w:eastAsia="宋体" w:hint="default"/>
                          <w:sz w:val="18"/>
                          <w:szCs w:val="18"/>
                        </w:rPr>
                      </w:r>
                    </w:p>
                  </w:txbxContent>
                </v:textbox>
                <w10:wrap type="none"/>
              </v:shape>
              <v:shape style="position:absolute;left:2052;top:7956;width:113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柜员机技术有</w:t>
                      </w:r>
                      <w:r>
                        <w:rPr>
                          <w:rFonts w:ascii="宋体" w:hAnsi="宋体" w:cs="宋体" w:eastAsia="宋体" w:hint="default"/>
                          <w:sz w:val="18"/>
                          <w:szCs w:val="18"/>
                        </w:rPr>
                      </w:r>
                    </w:p>
                  </w:txbxContent>
                </v:textbox>
                <w10:wrap type="none"/>
              </v:shape>
              <v:shape style="position:absolute;left:3451;top:7875;width:360;height:492"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子公</w:t>
                      </w:r>
                    </w:p>
                    <w:p>
                      <w:pPr>
                        <w:spacing w:before="76"/>
                        <w:ind w:left="90" w:right="0" w:firstLine="0"/>
                        <w:jc w:val="left"/>
                        <w:rPr>
                          <w:rFonts w:ascii="宋体" w:hAnsi="宋体" w:cs="宋体" w:eastAsia="宋体" w:hint="default"/>
                          <w:sz w:val="18"/>
                          <w:szCs w:val="18"/>
                        </w:rPr>
                      </w:pPr>
                      <w:r>
                        <w:rPr>
                          <w:rFonts w:ascii="宋体" w:hAnsi="宋体" w:cs="宋体" w:eastAsia="宋体" w:hint="default"/>
                          <w:sz w:val="18"/>
                          <w:szCs w:val="18"/>
                        </w:rPr>
                        <w:t>司</w:t>
                      </w:r>
                    </w:p>
                  </w:txbxContent>
                </v:textbox>
                <w10:wrap type="none"/>
              </v:shape>
              <v:shape style="position:absolute;left:4154;top:795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w:t>
                      </w:r>
                    </w:p>
                  </w:txbxContent>
                </v:textbox>
                <w10:wrap type="none"/>
              </v:shape>
              <v:shape style="position:absolute;left:2052;top:835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txbxContent>
                </v:textbox>
                <w10:wrap type="none"/>
              </v:shape>
              <v:shape style="position:absolute;left:4800;top:7756;width:731;height:70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2"/>
                          <w:sz w:val="18"/>
                          <w:szCs w:val="18"/>
                        </w:rPr>
                        <w:t>设备研</w:t>
                      </w:r>
                      <w:r>
                        <w:rPr>
                          <w:rFonts w:ascii="宋体" w:hAnsi="宋体" w:cs="宋体" w:eastAsia="宋体" w:hint="default"/>
                          <w:spacing w:val="-27"/>
                          <w:sz w:val="18"/>
                          <w:szCs w:val="18"/>
                        </w:rPr>
                        <w:t> </w:t>
                      </w:r>
                      <w:r>
                        <w:rPr>
                          <w:rFonts w:ascii="宋体" w:hAnsi="宋体" w:cs="宋体" w:eastAsia="宋体" w:hint="default"/>
                          <w:sz w:val="18"/>
                          <w:szCs w:val="18"/>
                        </w:rPr>
                      </w:r>
                    </w:p>
                    <w:p>
                      <w:pPr>
                        <w:spacing w:line="266" w:lineRule="auto" w:before="25"/>
                        <w:ind w:left="0" w:right="0" w:firstLine="0"/>
                        <w:jc w:val="left"/>
                        <w:rPr>
                          <w:rFonts w:ascii="宋体" w:hAnsi="宋体" w:cs="宋体" w:eastAsia="宋体" w:hint="default"/>
                          <w:sz w:val="18"/>
                          <w:szCs w:val="18"/>
                        </w:rPr>
                      </w:pPr>
                      <w:r>
                        <w:rPr>
                          <w:rFonts w:ascii="宋体" w:hAnsi="宋体" w:cs="宋体" w:eastAsia="宋体" w:hint="default"/>
                          <w:spacing w:val="42"/>
                          <w:sz w:val="18"/>
                          <w:szCs w:val="18"/>
                        </w:rPr>
                        <w:t>发、生</w:t>
                      </w:r>
                      <w:r>
                        <w:rPr>
                          <w:rFonts w:ascii="宋体" w:hAnsi="宋体" w:cs="宋体" w:eastAsia="宋体" w:hint="default"/>
                          <w:spacing w:val="-27"/>
                          <w:sz w:val="18"/>
                          <w:szCs w:val="18"/>
                        </w:rPr>
                        <w:t> </w:t>
                      </w:r>
                      <w:r>
                        <w:rPr>
                          <w:rFonts w:ascii="宋体" w:hAnsi="宋体" w:cs="宋体" w:eastAsia="宋体" w:hint="default"/>
                          <w:spacing w:val="-14"/>
                          <w:sz w:val="18"/>
                          <w:szCs w:val="18"/>
                        </w:rPr>
                        <w:t>产、销售</w:t>
                      </w:r>
                    </w:p>
                  </w:txbxContent>
                </v:textbox>
                <w10:wrap type="none"/>
              </v:shape>
              <v:shape style="position:absolute;left:5990;top:7882;width:3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2000</w:t>
                      </w:r>
                    </w:p>
                  </w:txbxContent>
                </v:textbox>
                <w10:wrap type="none"/>
              </v:shape>
              <v:shape style="position:absolute;left:4154;top:926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w:t>
                      </w:r>
                    </w:p>
                  </w:txbxContent>
                </v:textbox>
                <w10:wrap type="none"/>
              </v:shape>
              <v:shape style="position:absolute;left:6566;top:7366;width:1080;height:2531"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10"/>
                          <w:sz w:val="18"/>
                          <w:szCs w:val="18"/>
                        </w:rPr>
                        <w:t>电子产品、金</w:t>
                      </w:r>
                    </w:p>
                    <w:p>
                      <w:pPr>
                        <w:spacing w:line="264" w:lineRule="auto" w:before="25"/>
                        <w:ind w:left="0" w:right="0" w:firstLine="0"/>
                        <w:jc w:val="both"/>
                        <w:rPr>
                          <w:rFonts w:ascii="宋体" w:hAnsi="宋体" w:cs="宋体" w:eastAsia="宋体" w:hint="default"/>
                          <w:sz w:val="18"/>
                          <w:szCs w:val="18"/>
                        </w:rPr>
                      </w:pPr>
                      <w:r>
                        <w:rPr>
                          <w:rFonts w:ascii="宋体" w:hAnsi="宋体" w:cs="宋体" w:eastAsia="宋体" w:hint="default"/>
                          <w:sz w:val="18"/>
                          <w:szCs w:val="18"/>
                        </w:rPr>
                        <w:t>融机具设备、 </w:t>
                      </w:r>
                      <w:r>
                        <w:rPr>
                          <w:rFonts w:ascii="宋体" w:hAnsi="宋体" w:cs="宋体" w:eastAsia="宋体" w:hint="default"/>
                          <w:spacing w:val="20"/>
                          <w:sz w:val="18"/>
                          <w:szCs w:val="18"/>
                        </w:rPr>
                        <w:t>自动柜</w:t>
                      </w:r>
                      <w:r>
                        <w:rPr>
                          <w:rFonts w:ascii="宋体" w:hAnsi="宋体" w:cs="宋体" w:eastAsia="宋体" w:hint="default"/>
                          <w:spacing w:val="-59"/>
                          <w:sz w:val="18"/>
                          <w:szCs w:val="18"/>
                        </w:rPr>
                        <w:t> </w:t>
                      </w:r>
                      <w:r>
                        <w:rPr>
                          <w:rFonts w:ascii="宋体" w:hAnsi="宋体" w:cs="宋体" w:eastAsia="宋体" w:hint="default"/>
                          <w:spacing w:val="15"/>
                          <w:sz w:val="18"/>
                          <w:szCs w:val="18"/>
                        </w:rPr>
                        <w:t>员机</w:t>
                      </w:r>
                      <w:r>
                        <w:rPr>
                          <w:rFonts w:ascii="宋体" w:hAnsi="宋体" w:cs="宋体" w:eastAsia="宋体" w:hint="default"/>
                          <w:spacing w:val="-60"/>
                          <w:sz w:val="18"/>
                          <w:szCs w:val="18"/>
                        </w:rPr>
                        <w:t> </w:t>
                      </w:r>
                      <w:r>
                        <w:rPr>
                          <w:rFonts w:ascii="宋体" w:hAnsi="宋体" w:cs="宋体" w:eastAsia="宋体" w:hint="default"/>
                          <w:spacing w:val="20"/>
                          <w:sz w:val="18"/>
                          <w:szCs w:val="18"/>
                        </w:rPr>
                        <w:t>的研究</w:t>
                      </w:r>
                      <w:r>
                        <w:rPr>
                          <w:rFonts w:ascii="宋体" w:hAnsi="宋体" w:cs="宋体" w:eastAsia="宋体" w:hint="default"/>
                          <w:spacing w:val="-59"/>
                          <w:sz w:val="18"/>
                          <w:szCs w:val="18"/>
                        </w:rPr>
                        <w:t> </w:t>
                      </w:r>
                      <w:r>
                        <w:rPr>
                          <w:rFonts w:ascii="宋体" w:hAnsi="宋体" w:cs="宋体" w:eastAsia="宋体" w:hint="default"/>
                          <w:spacing w:val="15"/>
                          <w:sz w:val="18"/>
                          <w:szCs w:val="18"/>
                        </w:rPr>
                        <w:t>、开</w:t>
                      </w:r>
                      <w:r>
                        <w:rPr>
                          <w:rFonts w:ascii="宋体" w:hAnsi="宋体" w:cs="宋体" w:eastAsia="宋体" w:hint="default"/>
                          <w:spacing w:val="-60"/>
                          <w:sz w:val="18"/>
                          <w:szCs w:val="18"/>
                        </w:rPr>
                        <w:t> </w:t>
                      </w:r>
                      <w:r>
                        <w:rPr>
                          <w:rFonts w:ascii="宋体" w:hAnsi="宋体" w:cs="宋体" w:eastAsia="宋体" w:hint="default"/>
                          <w:sz w:val="18"/>
                          <w:szCs w:val="18"/>
                        </w:rPr>
                        <w:t>发、销售</w:t>
                      </w:r>
                    </w:p>
                    <w:p>
                      <w:pPr>
                        <w:spacing w:line="264" w:lineRule="auto" w:before="16"/>
                        <w:ind w:left="0" w:right="26" w:firstLine="0"/>
                        <w:jc w:val="both"/>
                        <w:rPr>
                          <w:rFonts w:ascii="宋体" w:hAnsi="宋体" w:cs="宋体" w:eastAsia="宋体" w:hint="default"/>
                          <w:sz w:val="18"/>
                          <w:szCs w:val="18"/>
                        </w:rPr>
                      </w:pPr>
                      <w:r>
                        <w:rPr>
                          <w:rFonts w:ascii="宋体" w:hAnsi="宋体" w:cs="宋体" w:eastAsia="宋体" w:hint="default"/>
                          <w:spacing w:val="20"/>
                          <w:sz w:val="18"/>
                          <w:szCs w:val="18"/>
                        </w:rPr>
                        <w:t>对柜员</w:t>
                      </w:r>
                      <w:r>
                        <w:rPr>
                          <w:rFonts w:ascii="宋体" w:hAnsi="宋体" w:cs="宋体" w:eastAsia="宋体" w:hint="default"/>
                          <w:spacing w:val="-59"/>
                          <w:sz w:val="18"/>
                          <w:szCs w:val="18"/>
                        </w:rPr>
                        <w:t> </w:t>
                      </w:r>
                      <w:r>
                        <w:rPr>
                          <w:rFonts w:ascii="宋体" w:hAnsi="宋体" w:cs="宋体" w:eastAsia="宋体" w:hint="default"/>
                          <w:spacing w:val="15"/>
                          <w:sz w:val="18"/>
                          <w:szCs w:val="18"/>
                        </w:rPr>
                        <w:t>机进</w:t>
                      </w:r>
                      <w:r>
                        <w:rPr>
                          <w:rFonts w:ascii="宋体" w:hAnsi="宋体" w:cs="宋体" w:eastAsia="宋体" w:hint="default"/>
                          <w:spacing w:val="-60"/>
                          <w:sz w:val="18"/>
                          <w:szCs w:val="18"/>
                        </w:rPr>
                        <w:t> </w:t>
                      </w:r>
                      <w:r>
                        <w:rPr>
                          <w:rFonts w:ascii="宋体" w:hAnsi="宋体" w:cs="宋体" w:eastAsia="宋体" w:hint="default"/>
                          <w:spacing w:val="20"/>
                          <w:sz w:val="18"/>
                          <w:szCs w:val="18"/>
                        </w:rPr>
                        <w:t>行维护</w:t>
                      </w:r>
                      <w:r>
                        <w:rPr>
                          <w:rFonts w:ascii="宋体" w:hAnsi="宋体" w:cs="宋体" w:eastAsia="宋体" w:hint="default"/>
                          <w:spacing w:val="-59"/>
                          <w:sz w:val="18"/>
                          <w:szCs w:val="18"/>
                        </w:rPr>
                        <w:t> </w:t>
                      </w:r>
                      <w:r>
                        <w:rPr>
                          <w:rFonts w:ascii="宋体" w:hAnsi="宋体" w:cs="宋体" w:eastAsia="宋体" w:hint="default"/>
                          <w:spacing w:val="15"/>
                          <w:sz w:val="18"/>
                          <w:szCs w:val="18"/>
                        </w:rPr>
                        <w:t>及管</w:t>
                      </w:r>
                      <w:r>
                        <w:rPr>
                          <w:rFonts w:ascii="宋体" w:hAnsi="宋体" w:cs="宋体" w:eastAsia="宋体" w:hint="default"/>
                          <w:spacing w:val="-60"/>
                          <w:sz w:val="18"/>
                          <w:szCs w:val="18"/>
                        </w:rPr>
                        <w:t> </w:t>
                      </w:r>
                      <w:r>
                        <w:rPr>
                          <w:rFonts w:ascii="宋体" w:hAnsi="宋体" w:cs="宋体" w:eastAsia="宋体" w:hint="default"/>
                          <w:spacing w:val="-10"/>
                          <w:sz w:val="18"/>
                          <w:szCs w:val="18"/>
                        </w:rPr>
                        <w:t>理，对现金及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0"/>
                          <w:sz w:val="18"/>
                          <w:szCs w:val="18"/>
                        </w:rPr>
                        <w:t>有价证</w:t>
                      </w:r>
                      <w:r>
                        <w:rPr>
                          <w:rFonts w:ascii="宋体" w:hAnsi="宋体" w:cs="宋体" w:eastAsia="宋体" w:hint="default"/>
                          <w:spacing w:val="-59"/>
                          <w:sz w:val="18"/>
                          <w:szCs w:val="18"/>
                        </w:rPr>
                        <w:t> </w:t>
                      </w:r>
                      <w:r>
                        <w:rPr>
                          <w:rFonts w:ascii="宋体" w:hAnsi="宋体" w:cs="宋体" w:eastAsia="宋体" w:hint="default"/>
                          <w:spacing w:val="15"/>
                          <w:sz w:val="18"/>
                          <w:szCs w:val="18"/>
                        </w:rPr>
                        <w:t>券清</w:t>
                      </w:r>
                      <w:r>
                        <w:rPr>
                          <w:rFonts w:ascii="宋体" w:hAnsi="宋体" w:cs="宋体" w:eastAsia="宋体" w:hint="default"/>
                          <w:spacing w:val="-60"/>
                          <w:sz w:val="18"/>
                          <w:szCs w:val="18"/>
                        </w:rPr>
                        <w:t> </w:t>
                      </w:r>
                      <w:r>
                        <w:rPr>
                          <w:rFonts w:ascii="宋体" w:hAnsi="宋体" w:cs="宋体" w:eastAsia="宋体" w:hint="default"/>
                          <w:sz w:val="18"/>
                          <w:szCs w:val="18"/>
                        </w:rPr>
                        <w:t>分处理</w:t>
                      </w:r>
                    </w:p>
                  </w:txbxContent>
                </v:textbox>
                <w10:wrap type="none"/>
              </v:shape>
              <v:shape style="position:absolute;left:8108;top:7882;width:3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2000</w:t>
                      </w:r>
                    </w:p>
                  </w:txbxContent>
                </v:textbox>
                <w10:wrap type="none"/>
              </v:shape>
              <v:shape style="position:absolute;left:9785;top:7881;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10499;top:7875;width:819;height:188" type="#_x0000_t202" filled="false" stroked="false">
                <v:textbox inset="0,0,0,0">
                  <w:txbxContent>
                    <w:p>
                      <w:pPr>
                        <w:tabs>
                          <w:tab w:pos="638" w:val="left" w:leader="none"/>
                        </w:tabs>
                        <w:spacing w:line="187"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tab/>
                      </w:r>
                      <w:r>
                        <w:rPr>
                          <w:rFonts w:ascii="宋体" w:hAnsi="宋体" w:cs="宋体" w:eastAsia="宋体" w:hint="default"/>
                          <w:sz w:val="18"/>
                          <w:szCs w:val="18"/>
                        </w:rPr>
                        <w:t>是</w:t>
                      </w:r>
                    </w:p>
                  </w:txbxContent>
                </v:textbox>
                <w10:wrap type="none"/>
              </v:shape>
              <v:shape style="position:absolute;left:2051;top:8937;width:1761;height:700" type="#_x0000_t202" filled="false" stroked="false">
                <v:textbox inset="0,0,0,0">
                  <w:txbxContent>
                    <w:p>
                      <w:pPr>
                        <w:spacing w:line="127"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全资</w:t>
                      </w:r>
                    </w:p>
                    <w:p>
                      <w:pPr>
                        <w:spacing w:line="13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广州御银金融</w:t>
                      </w:r>
                      <w:r>
                        <w:rPr>
                          <w:rFonts w:ascii="宋体" w:hAnsi="宋体" w:cs="宋体" w:eastAsia="宋体" w:hint="default"/>
                          <w:sz w:val="18"/>
                          <w:szCs w:val="18"/>
                        </w:rPr>
                      </w:r>
                    </w:p>
                    <w:p>
                      <w:pPr>
                        <w:spacing w:line="183" w:lineRule="exact" w:before="0"/>
                        <w:ind w:left="1490" w:right="0" w:hanging="90"/>
                        <w:jc w:val="left"/>
                        <w:rPr>
                          <w:rFonts w:ascii="宋体" w:hAnsi="宋体" w:cs="宋体" w:eastAsia="宋体" w:hint="default"/>
                          <w:sz w:val="18"/>
                          <w:szCs w:val="18"/>
                        </w:rPr>
                      </w:pPr>
                      <w:r>
                        <w:rPr>
                          <w:rFonts w:ascii="宋体" w:hAnsi="宋体" w:cs="宋体" w:eastAsia="宋体" w:hint="default"/>
                          <w:sz w:val="18"/>
                          <w:szCs w:val="18"/>
                        </w:rPr>
                        <w:t>子公</w:t>
                      </w:r>
                    </w:p>
                    <w:p>
                      <w:pPr>
                        <w:spacing w:before="25"/>
                        <w:ind w:left="0" w:right="88" w:firstLine="0"/>
                        <w:jc w:val="right"/>
                        <w:rPr>
                          <w:rFonts w:ascii="宋体" w:hAnsi="宋体" w:cs="宋体" w:eastAsia="宋体" w:hint="default"/>
                          <w:sz w:val="18"/>
                          <w:szCs w:val="18"/>
                        </w:rPr>
                      </w:pPr>
                      <w:r>
                        <w:rPr>
                          <w:rFonts w:ascii="宋体" w:hAnsi="宋体" w:cs="宋体" w:eastAsia="宋体" w:hint="default"/>
                          <w:sz w:val="18"/>
                          <w:szCs w:val="18"/>
                        </w:rPr>
                        <w:t>司</w:t>
                      </w:r>
                    </w:p>
                  </w:txbxContent>
                </v:textbox>
                <w10:wrap type="none"/>
              </v:shape>
              <v:shape style="position:absolute;left:4800;top:8806;width:731;height:96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2"/>
                          <w:sz w:val="18"/>
                          <w:szCs w:val="18"/>
                        </w:rPr>
                        <w:t>设备维</w:t>
                      </w:r>
                      <w:r>
                        <w:rPr>
                          <w:rFonts w:ascii="宋体" w:hAnsi="宋体" w:cs="宋体" w:eastAsia="宋体" w:hint="default"/>
                          <w:spacing w:val="-27"/>
                          <w:sz w:val="18"/>
                          <w:szCs w:val="18"/>
                        </w:rPr>
                        <w:t> </w:t>
                      </w:r>
                      <w:r>
                        <w:rPr>
                          <w:rFonts w:ascii="宋体" w:hAnsi="宋体" w:cs="宋体" w:eastAsia="宋体" w:hint="default"/>
                          <w:sz w:val="18"/>
                          <w:szCs w:val="18"/>
                        </w:rPr>
                      </w:r>
                    </w:p>
                    <w:p>
                      <w:pPr>
                        <w:spacing w:line="264" w:lineRule="auto" w:before="25"/>
                        <w:ind w:left="0" w:right="0" w:firstLine="0"/>
                        <w:jc w:val="left"/>
                        <w:rPr>
                          <w:rFonts w:ascii="宋体" w:hAnsi="宋体" w:cs="宋体" w:eastAsia="宋体" w:hint="default"/>
                          <w:sz w:val="18"/>
                          <w:szCs w:val="18"/>
                        </w:rPr>
                      </w:pPr>
                      <w:r>
                        <w:rPr>
                          <w:rFonts w:ascii="宋体" w:hAnsi="宋体" w:cs="宋体" w:eastAsia="宋体" w:hint="default"/>
                          <w:spacing w:val="-14"/>
                          <w:sz w:val="18"/>
                          <w:szCs w:val="18"/>
                        </w:rPr>
                        <w:t>护、资产</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2"/>
                          <w:sz w:val="18"/>
                          <w:szCs w:val="18"/>
                        </w:rPr>
                        <w:t>清分服</w:t>
                      </w:r>
                      <w:r>
                        <w:rPr>
                          <w:rFonts w:ascii="宋体" w:hAnsi="宋体" w:cs="宋体" w:eastAsia="宋体" w:hint="default"/>
                          <w:spacing w:val="-27"/>
                          <w:sz w:val="18"/>
                          <w:szCs w:val="18"/>
                        </w:rPr>
                        <w:t> </w:t>
                      </w:r>
                      <w:r>
                        <w:rPr>
                          <w:rFonts w:ascii="宋体" w:hAnsi="宋体" w:cs="宋体" w:eastAsia="宋体" w:hint="default"/>
                          <w:sz w:val="18"/>
                          <w:szCs w:val="18"/>
                        </w:rPr>
                        <w:t>务</w:t>
                      </w:r>
                    </w:p>
                  </w:txbxContent>
                </v:textbox>
                <w10:wrap type="none"/>
              </v:shape>
              <v:shape style="position:absolute;left:5990;top:9192;width:3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3000</w:t>
                      </w:r>
                    </w:p>
                  </w:txbxContent>
                </v:textbox>
                <w10:wrap type="none"/>
              </v:shape>
              <v:shape style="position:absolute;left:8108;top:9192;width:3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3000</w:t>
                      </w:r>
                    </w:p>
                  </w:txbxContent>
                </v:textbox>
                <w10:wrap type="none"/>
              </v:shape>
              <v:shape style="position:absolute;left:9785;top:9192;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10499;top:9192;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11137;top:9184;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2052;top:946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服务有限公司</w:t>
                      </w:r>
                    </w:p>
                  </w:txbxContent>
                </v:textbox>
                <w10:wrap type="none"/>
              </v:shape>
            </v:group>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5"/>
          <w:szCs w:val="15"/>
        </w:rPr>
      </w:pPr>
    </w:p>
    <w:tbl>
      <w:tblPr>
        <w:tblW w:w="0" w:type="auto"/>
        <w:jc w:val="left"/>
        <w:tblInd w:w="110" w:type="dxa"/>
        <w:tblLayout w:type="fixed"/>
        <w:tblCellMar>
          <w:top w:w="0" w:type="dxa"/>
          <w:left w:w="0" w:type="dxa"/>
          <w:bottom w:w="0" w:type="dxa"/>
          <w:right w:w="0" w:type="dxa"/>
        </w:tblCellMar>
        <w:tblLook w:val="01E0"/>
      </w:tblPr>
      <w:tblGrid>
        <w:gridCol w:w="659"/>
        <w:gridCol w:w="8716"/>
        <w:gridCol w:w="2837"/>
        <w:gridCol w:w="1870"/>
      </w:tblGrid>
      <w:tr>
        <w:trPr>
          <w:trHeight w:val="405"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四、</w:t>
            </w:r>
            <w:r>
              <w:rPr>
                <w:rFonts w:ascii="宋体" w:hAnsi="宋体" w:cs="宋体" w:eastAsia="宋体" w:hint="default"/>
                <w:sz w:val="21"/>
                <w:szCs w:val="21"/>
              </w:rPr>
            </w:r>
          </w:p>
        </w:tc>
        <w:tc>
          <w:tcPr>
            <w:tcW w:w="871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4" w:right="0"/>
              <w:jc w:val="left"/>
              <w:rPr>
                <w:rFonts w:ascii="宋体" w:hAnsi="宋体" w:cs="宋体" w:eastAsia="宋体" w:hint="default"/>
                <w:sz w:val="21"/>
                <w:szCs w:val="21"/>
              </w:rPr>
            </w:pPr>
            <w:r>
              <w:rPr>
                <w:rFonts w:ascii="宋体" w:hAnsi="宋体" w:cs="宋体" w:eastAsia="宋体" w:hint="default"/>
                <w:b/>
                <w:bCs/>
                <w:sz w:val="21"/>
                <w:szCs w:val="21"/>
              </w:rPr>
              <w:t>企业合并及合并财务报表</w:t>
            </w:r>
            <w:r>
              <w:rPr>
                <w:rFonts w:ascii="宋体" w:hAnsi="宋体" w:cs="宋体" w:eastAsia="宋体" w:hint="default"/>
                <w:sz w:val="21"/>
                <w:szCs w:val="21"/>
              </w:rPr>
            </w:r>
          </w:p>
        </w:tc>
        <w:tc>
          <w:tcPr>
            <w:tcW w:w="4707" w:type="dxa"/>
            <w:gridSpan w:val="2"/>
            <w:tcBorders>
              <w:top w:val="nil" w:sz="6" w:space="0" w:color="auto"/>
              <w:left w:val="nil" w:sz="6" w:space="0" w:color="auto"/>
              <w:bottom w:val="nil" w:sz="6" w:space="0" w:color="auto"/>
              <w:right w:val="nil" w:sz="6" w:space="0" w:color="auto"/>
            </w:tcBorders>
          </w:tcPr>
          <w:p>
            <w:pPr/>
          </w:p>
        </w:tc>
      </w:tr>
      <w:tr>
        <w:trPr>
          <w:trHeight w:val="400" w:hRule="exact"/>
        </w:trPr>
        <w:tc>
          <w:tcPr>
            <w:tcW w:w="659" w:type="dxa"/>
            <w:tcBorders>
              <w:top w:val="nil" w:sz="6" w:space="0" w:color="auto"/>
              <w:left w:val="nil" w:sz="6" w:space="0" w:color="auto"/>
              <w:bottom w:val="nil" w:sz="6" w:space="0" w:color="auto"/>
              <w:right w:val="nil" w:sz="6" w:space="0" w:color="auto"/>
            </w:tcBorders>
          </w:tcPr>
          <w:p>
            <w:pPr/>
          </w:p>
        </w:tc>
        <w:tc>
          <w:tcPr>
            <w:tcW w:w="8716"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07" w:right="0"/>
              <w:jc w:val="left"/>
              <w:rPr>
                <w:rFonts w:ascii="宋体" w:hAnsi="宋体" w:cs="宋体" w:eastAsia="宋体" w:hint="default"/>
                <w:sz w:val="21"/>
                <w:szCs w:val="21"/>
              </w:rPr>
            </w:pPr>
            <w:r>
              <w:rPr>
                <w:rFonts w:ascii="宋体" w:hAnsi="宋体" w:cs="宋体" w:eastAsia="宋体" w:hint="default"/>
                <w:sz w:val="21"/>
                <w:szCs w:val="21"/>
              </w:rPr>
              <w:t>（本节下列表式数据中的金额单位，除非特别注明外均为人民币万元</w:t>
            </w:r>
            <w:r>
              <w:rPr>
                <w:rFonts w:ascii="宋体" w:hAnsi="宋体" w:cs="宋体" w:eastAsia="宋体" w:hint="default"/>
                <w:spacing w:val="-106"/>
                <w:sz w:val="21"/>
                <w:szCs w:val="21"/>
              </w:rPr>
              <w:t>。</w:t>
            </w:r>
            <w:r>
              <w:rPr>
                <w:rFonts w:ascii="宋体" w:hAnsi="宋体" w:cs="宋体" w:eastAsia="宋体" w:hint="default"/>
                <w:sz w:val="21"/>
                <w:szCs w:val="21"/>
              </w:rPr>
              <w:t>）</w:t>
            </w:r>
          </w:p>
        </w:tc>
        <w:tc>
          <w:tcPr>
            <w:tcW w:w="2837" w:type="dxa"/>
            <w:tcBorders>
              <w:top w:val="nil" w:sz="6" w:space="0" w:color="auto"/>
              <w:left w:val="nil" w:sz="6" w:space="0" w:color="auto"/>
              <w:bottom w:val="nil" w:sz="6" w:space="0" w:color="auto"/>
              <w:right w:val="nil" w:sz="6" w:space="0" w:color="auto"/>
            </w:tcBorders>
          </w:tcPr>
          <w:p>
            <w:pPr/>
          </w:p>
        </w:tc>
        <w:tc>
          <w:tcPr>
            <w:tcW w:w="1870" w:type="dxa"/>
            <w:tcBorders>
              <w:top w:val="nil" w:sz="6" w:space="0" w:color="auto"/>
              <w:left w:val="nil" w:sz="6" w:space="0" w:color="auto"/>
              <w:bottom w:val="nil" w:sz="6" w:space="0" w:color="auto"/>
              <w:right w:val="nil" w:sz="6" w:space="0" w:color="auto"/>
            </w:tcBorders>
          </w:tcPr>
          <w:p>
            <w:pPr/>
          </w:p>
        </w:tc>
      </w:tr>
      <w:tr>
        <w:trPr>
          <w:trHeight w:val="752"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8716" w:type="dxa"/>
            <w:tcBorders>
              <w:top w:val="nil" w:sz="6" w:space="0" w:color="auto"/>
              <w:left w:val="nil" w:sz="6" w:space="0" w:color="auto"/>
              <w:bottom w:val="single" w:sz="12" w:space="0" w:color="000000"/>
              <w:right w:val="nil" w:sz="6" w:space="0" w:color="auto"/>
            </w:tcBorders>
          </w:tcPr>
          <w:p>
            <w:pPr>
              <w:pStyle w:val="TableParagraph"/>
              <w:spacing w:line="240" w:lineRule="auto" w:before="30"/>
              <w:ind w:left="104" w:right="0"/>
              <w:jc w:val="left"/>
              <w:rPr>
                <w:rFonts w:ascii="宋体" w:hAnsi="宋体" w:cs="宋体" w:eastAsia="宋体" w:hint="default"/>
                <w:sz w:val="21"/>
                <w:szCs w:val="21"/>
              </w:rPr>
            </w:pPr>
            <w:r>
              <w:rPr>
                <w:rFonts w:ascii="宋体" w:hAnsi="宋体" w:cs="宋体" w:eastAsia="宋体" w:hint="default"/>
                <w:b/>
                <w:bCs/>
                <w:sz w:val="21"/>
                <w:szCs w:val="21"/>
              </w:rPr>
              <w:t>子公司情况</w:t>
            </w:r>
            <w:r>
              <w:rPr>
                <w:rFonts w:ascii="宋体" w:hAnsi="宋体" w:cs="宋体" w:eastAsia="宋体" w:hint="default"/>
                <w:sz w:val="21"/>
                <w:szCs w:val="21"/>
              </w:rPr>
            </w:r>
          </w:p>
          <w:p>
            <w:pPr>
              <w:pStyle w:val="TableParagraph"/>
              <w:tabs>
                <w:tab w:pos="646" w:val="left" w:leader="none"/>
              </w:tabs>
              <w:spacing w:line="240" w:lineRule="auto" w:before="125"/>
              <w:ind w:left="10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通过设立或投资等方式取得的子公司</w:t>
            </w:r>
            <w:r>
              <w:rPr>
                <w:rFonts w:ascii="宋体" w:hAnsi="宋体" w:cs="宋体" w:eastAsia="宋体" w:hint="default"/>
                <w:sz w:val="21"/>
                <w:szCs w:val="21"/>
              </w:rPr>
            </w:r>
          </w:p>
        </w:tc>
        <w:tc>
          <w:tcPr>
            <w:tcW w:w="2837" w:type="dxa"/>
            <w:tcBorders>
              <w:top w:val="nil" w:sz="6" w:space="0" w:color="auto"/>
              <w:left w:val="nil" w:sz="6" w:space="0" w:color="auto"/>
              <w:bottom w:val="single" w:sz="12" w:space="0" w:color="000000"/>
              <w:right w:val="nil" w:sz="6" w:space="0" w:color="auto"/>
            </w:tcBorders>
          </w:tcPr>
          <w:p>
            <w:pPr/>
          </w:p>
        </w:tc>
        <w:tc>
          <w:tcPr>
            <w:tcW w:w="1870" w:type="dxa"/>
            <w:tcBorders>
              <w:top w:val="nil" w:sz="6" w:space="0" w:color="auto"/>
              <w:left w:val="nil" w:sz="6" w:space="0" w:color="auto"/>
              <w:bottom w:val="single" w:sz="12" w:space="0" w:color="000000"/>
              <w:right w:val="nil" w:sz="6" w:space="0" w:color="auto"/>
            </w:tcBorders>
          </w:tcPr>
          <w:p>
            <w:pPr/>
          </w:p>
        </w:tc>
      </w:tr>
    </w:tbl>
    <w:p>
      <w:pPr>
        <w:spacing w:after="0"/>
        <w:sectPr>
          <w:headerReference w:type="default" r:id="rId41"/>
          <w:footerReference w:type="default" r:id="rId42"/>
          <w:pgSz w:w="16840" w:h="11910" w:orient="landscape"/>
          <w:pgMar w:header="885" w:footer="1252" w:top="1120" w:bottom="1440" w:left="1280" w:right="1220"/>
          <w:pgNumType w:start="118"/>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0"/>
          <w:szCs w:val="10"/>
        </w:rPr>
      </w:pPr>
    </w:p>
    <w:p>
      <w:pPr>
        <w:spacing w:line="7399" w:lineRule="exact"/>
        <w:ind w:left="72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47"/>
          <w:sz w:val="20"/>
          <w:szCs w:val="20"/>
        </w:rPr>
        <w:pict>
          <v:group style="width:674.25pt;height:370pt;mso-position-horizontal-relative:char;mso-position-vertical-relative:line" coordorigin="0,0" coordsize="13485,7400">
            <v:group style="position:absolute;left:29;top:15;width:13424;height:2" coordorigin="29,15" coordsize="13424,2">
              <v:shape style="position:absolute;left:29;top:15;width:13424;height:2" coordorigin="29,15" coordsize="13424,0" path="m29,15l13453,15e" filled="false" stroked="true" strokeweight="1.5pt" strokecolor="#000000">
                <v:path arrowok="t"/>
              </v:shape>
              <v:shape style="position:absolute;left:1232;top:1;width:10381;height:2460" type="#_x0000_t75" stroked="false">
                <v:imagedata r:id="rId48" o:title=""/>
              </v:shape>
            </v:group>
            <v:group style="position:absolute;left:15;top:7384;width:1246;height:2" coordorigin="15,7384" coordsize="1246,2">
              <v:shape style="position:absolute;left:15;top:7384;width:1246;height:2" coordorigin="15,7384" coordsize="1246,0" path="m15,7384l1261,7384e" filled="false" stroked="true" strokeweight="1.5pt" strokecolor="#000000">
                <v:path arrowok="t"/>
              </v:shape>
              <v:shape style="position:absolute;left:1;top:2413;width:13484;height:4975" type="#_x0000_t75" stroked="false">
                <v:imagedata r:id="rId49" o:title=""/>
              </v:shape>
            </v:group>
            <v:group style="position:absolute;left:1261;top:7384;width:693;height:2" coordorigin="1261,7384" coordsize="693,2">
              <v:shape style="position:absolute;left:1261;top:7384;width:693;height:2" coordorigin="1261,7384" coordsize="693,0" path="m1261,7384l1953,7384e" filled="false" stroked="true" strokeweight="1.5pt" strokecolor="#000000">
                <v:path arrowok="t"/>
              </v:shape>
              <v:shape style="position:absolute;left:1934;top:6149;width:48;height:1240" type="#_x0000_t75" stroked="false">
                <v:imagedata r:id="rId50" o:title=""/>
              </v:shape>
            </v:group>
            <v:group style="position:absolute;left:1953;top:7384;width:714;height:2" coordorigin="1953,7384" coordsize="714,2">
              <v:shape style="position:absolute;left:1953;top:7384;width:714;height:2" coordorigin="1953,7384" coordsize="714,0" path="m1953,7384l2667,7384e" filled="false" stroked="true" strokeweight="1.5pt" strokecolor="#000000">
                <v:path arrowok="t"/>
              </v:shape>
              <v:shape style="position:absolute;left:2648;top:6149;width:48;height:1240" type="#_x0000_t75" stroked="false">
                <v:imagedata r:id="rId51" o:title=""/>
              </v:shape>
            </v:group>
            <v:group style="position:absolute;left:2667;top:7384;width:884;height:2" coordorigin="2667,7384" coordsize="884,2">
              <v:shape style="position:absolute;left:2667;top:7384;width:884;height:2" coordorigin="2667,7384" coordsize="884,0" path="m2667,7384l3550,7384e" filled="false" stroked="true" strokeweight="1.5pt" strokecolor="#000000">
                <v:path arrowok="t"/>
              </v:shape>
              <v:shape style="position:absolute;left:3531;top:6149;width:48;height:1240" type="#_x0000_t75" stroked="false">
                <v:imagedata r:id="rId51" o:title=""/>
              </v:shape>
            </v:group>
            <v:group style="position:absolute;left:3550;top:7384;width:884;height:2" coordorigin="3550,7384" coordsize="884,2">
              <v:shape style="position:absolute;left:3550;top:7384;width:884;height:2" coordorigin="3550,7384" coordsize="884,0" path="m3550,7384l4433,7384e" filled="false" stroked="true" strokeweight="1.5pt" strokecolor="#000000">
                <v:path arrowok="t"/>
              </v:shape>
              <v:shape style="position:absolute;left:4405;top:6139;width:67;height:1248" type="#_x0000_t75" stroked="false">
                <v:imagedata r:id="rId52" o:title=""/>
              </v:shape>
            </v:group>
            <v:group style="position:absolute;left:4433;top:7384;width:1238;height:2" coordorigin="4433,7384" coordsize="1238,2">
              <v:shape style="position:absolute;left:4433;top:7384;width:1238;height:2" coordorigin="4433,7384" coordsize="1238,0" path="m4433,7384l5671,7384e" filled="false" stroked="true" strokeweight="1.5pt" strokecolor="#000000">
                <v:path arrowok="t"/>
              </v:shape>
              <v:shape style="position:absolute;left:5651;top:6149;width:48;height:1240" type="#_x0000_t75" stroked="false">
                <v:imagedata r:id="rId50" o:title=""/>
              </v:shape>
            </v:group>
            <v:group style="position:absolute;left:5671;top:7384;width:882;height:2" coordorigin="5671,7384" coordsize="882,2">
              <v:shape style="position:absolute;left:5671;top:7384;width:882;height:2" coordorigin="5671,7384" coordsize="882,0" path="m5671,7384l6553,7384e" filled="false" stroked="true" strokeweight="1.5pt" strokecolor="#000000">
                <v:path arrowok="t"/>
              </v:shape>
              <v:shape style="position:absolute;left:6533;top:6149;width:48;height:1240" type="#_x0000_t75" stroked="false">
                <v:imagedata r:id="rId53" o:title=""/>
              </v:shape>
            </v:group>
            <v:group style="position:absolute;left:6553;top:7384;width:1060;height:2" coordorigin="6553,7384" coordsize="1060,2">
              <v:shape style="position:absolute;left:6553;top:7384;width:1060;height:2" coordorigin="6553,7384" coordsize="1060,0" path="m6553,7384l7612,7384e" filled="false" stroked="true" strokeweight="1.5pt" strokecolor="#000000">
                <v:path arrowok="t"/>
              </v:shape>
              <v:shape style="position:absolute;left:7593;top:6149;width:48;height:1240" type="#_x0000_t75" stroked="false">
                <v:imagedata r:id="rId54" o:title=""/>
              </v:shape>
            </v:group>
            <v:group style="position:absolute;left:7612;top:7384;width:526;height:2" coordorigin="7612,7384" coordsize="526,2">
              <v:shape style="position:absolute;left:7612;top:7384;width:526;height:2" coordorigin="7612,7384" coordsize="526,0" path="m7612,7384l8138,7384e" filled="false" stroked="true" strokeweight="1.5pt" strokecolor="#000000">
                <v:path arrowok="t"/>
              </v:shape>
              <v:shape style="position:absolute;left:8119;top:6149;width:48;height:1240" type="#_x0000_t75" stroked="false">
                <v:imagedata r:id="rId51" o:title=""/>
              </v:shape>
            </v:group>
            <v:group style="position:absolute;left:8138;top:7384;width:714;height:2" coordorigin="8138,7384" coordsize="714,2">
              <v:shape style="position:absolute;left:8138;top:7384;width:714;height:2" coordorigin="8138,7384" coordsize="714,0" path="m8138,7384l8852,7384e" filled="false" stroked="true" strokeweight="1.5pt" strokecolor="#000000">
                <v:path arrowok="t"/>
              </v:shape>
              <v:shape style="position:absolute;left:8823;top:6139;width:67;height:1248" type="#_x0000_t75" stroked="false">
                <v:imagedata r:id="rId52" o:title=""/>
              </v:shape>
            </v:group>
            <v:group style="position:absolute;left:8852;top:7384;width:701;height:2" coordorigin="8852,7384" coordsize="701,2">
              <v:shape style="position:absolute;left:8852;top:7384;width:701;height:2" coordorigin="8852,7384" coordsize="701,0" path="m8852,7384l9553,7384e" filled="false" stroked="true" strokeweight="1.5pt" strokecolor="#000000">
                <v:path arrowok="t"/>
              </v:shape>
              <v:shape style="position:absolute;left:9533;top:6149;width:48;height:1240" type="#_x0000_t75" stroked="false">
                <v:imagedata r:id="rId51" o:title=""/>
              </v:shape>
            </v:group>
            <v:group style="position:absolute;left:9553;top:7384;width:1064;height:2" coordorigin="9553,7384" coordsize="1064,2">
              <v:shape style="position:absolute;left:9553;top:7384;width:1064;height:2" coordorigin="9553,7384" coordsize="1064,0" path="m9553,7384l10616,7384e" filled="false" stroked="true" strokeweight="1.5pt" strokecolor="#000000">
                <v:path arrowok="t"/>
              </v:shape>
              <v:shape style="position:absolute;left:10597;top:6149;width:48;height:1240" type="#_x0000_t75" stroked="false">
                <v:imagedata r:id="rId51" o:title=""/>
              </v:shape>
            </v:group>
            <v:group style="position:absolute;left:10616;top:7384;width:959;height:2" coordorigin="10616,7384" coordsize="959,2">
              <v:shape style="position:absolute;left:10616;top:7384;width:959;height:2" coordorigin="10616,7384" coordsize="959,0" path="m10616,7384l11575,7384e" filled="false" stroked="true" strokeweight="1.5pt" strokecolor="#000000">
                <v:path arrowok="t"/>
              </v:shape>
              <v:shape style="position:absolute;left:11555;top:6149;width:48;height:1240" type="#_x0000_t75" stroked="false">
                <v:imagedata r:id="rId51" o:title=""/>
              </v:shape>
            </v:group>
            <v:group style="position:absolute;left:11575;top:7384;width:1878;height:2" coordorigin="11575,7384" coordsize="1878,2">
              <v:shape style="position:absolute;left:11575;top:7384;width:1878;height:2" coordorigin="11575,7384" coordsize="1878,0" path="m11575,7384l13453,7384e" filled="false" stroked="true" strokeweight="1.5pt" strokecolor="#000000">
                <v:path arrowok="t"/>
              </v:shape>
              <v:shape style="position:absolute;left:11705;top:283;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从母公司所有者权益</w:t>
                      </w:r>
                    </w:p>
                  </w:txbxContent>
                </v:textbox>
                <w10:wrap type="none"/>
              </v:shape>
              <v:shape style="position:absolute;left:10739;top:4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少数股东</w:t>
                      </w:r>
                    </w:p>
                  </w:txbxContent>
                </v:textbox>
                <w10:wrap type="none"/>
              </v:shape>
              <v:shape style="position:absolute;left:5756;top:103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期末实际</w:t>
                      </w:r>
                    </w:p>
                  </w:txbxContent>
                </v:textbox>
                <w10:wrap type="none"/>
              </v:shape>
              <v:shape style="position:absolute;left:6637;top:658;width:900;height:55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实质上构成</w:t>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对子公司净</w:t>
                      </w:r>
                    </w:p>
                  </w:txbxContent>
                </v:textbox>
                <w10:wrap type="none"/>
              </v:shape>
              <v:shape style="position:absolute;left:7700;top:845;width:10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79"/>
                          <w:sz w:val="18"/>
                          <w:szCs w:val="18"/>
                        </w:rPr>
                        <w:t> </w:t>
                      </w:r>
                      <w:r>
                        <w:rPr>
                          <w:rFonts w:ascii="宋体" w:hAnsi="宋体" w:cs="宋体" w:eastAsia="宋体" w:hint="default"/>
                          <w:sz w:val="18"/>
                          <w:szCs w:val="18"/>
                        </w:rPr>
                        <w:t>表决权</w:t>
                      </w:r>
                    </w:p>
                  </w:txbxContent>
                </v:textbox>
                <w10:wrap type="none"/>
              </v:shape>
              <v:shape style="position:absolute;left:10739;top:84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权益中用</w:t>
                      </w:r>
                    </w:p>
                  </w:txbxContent>
                </v:textbox>
                <w10:wrap type="none"/>
              </v:shape>
              <v:shape style="position:absolute;left:1341;top:103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w:t>
                      </w:r>
                    </w:p>
                  </w:txbxContent>
                </v:textbox>
                <w10:wrap type="none"/>
              </v:shape>
              <v:shape style="position:absolute;left:8937;top:103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是否合</w:t>
                      </w:r>
                    </w:p>
                  </w:txbxContent>
                </v:textbox>
                <w10:wrap type="none"/>
              </v:shape>
              <v:shape style="position:absolute;left:9639;top:103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少数股东权</w:t>
                      </w:r>
                    </w:p>
                  </w:txbxContent>
                </v:textbox>
                <w10:wrap type="none"/>
              </v:shape>
              <v:shape style="position:absolute;left:11705;top:658;width:1620;height:55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冲减子公司少数股东</w:t>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分担的本期亏损超过</w:t>
                      </w:r>
                    </w:p>
                  </w:txbxContent>
                </v:textbox>
                <w10:wrap type="none"/>
              </v:shape>
              <v:shape style="position:absolute;left:196;top:1219;width:13130;height:562" type="#_x0000_t202" filled="false" stroked="false">
                <v:textbox inset="0,0,0,0">
                  <w:txbxContent>
                    <w:p>
                      <w:pPr>
                        <w:tabs>
                          <w:tab w:pos="1847" w:val="left" w:leader="none"/>
                          <w:tab w:pos="4501" w:val="left" w:leader="none"/>
                          <w:tab w:pos="7503" w:val="left" w:leader="none"/>
                          <w:tab w:pos="8122" w:val="left" w:leader="none"/>
                          <w:tab w:pos="10543" w:val="left" w:leader="none"/>
                        </w:tabs>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tab/>
                        <w:t>注册地  业务性质</w:t>
                      </w:r>
                      <w:r>
                        <w:rPr>
                          <w:rFonts w:ascii="宋体" w:hAnsi="宋体" w:cs="宋体" w:eastAsia="宋体" w:hint="default"/>
                          <w:spacing w:val="62"/>
                          <w:sz w:val="18"/>
                          <w:szCs w:val="18"/>
                        </w:rPr>
                        <w:t> </w:t>
                      </w:r>
                      <w:r>
                        <w:rPr>
                          <w:rFonts w:ascii="宋体" w:hAnsi="宋体" w:cs="宋体" w:eastAsia="宋体" w:hint="default"/>
                          <w:sz w:val="18"/>
                          <w:szCs w:val="18"/>
                        </w:rPr>
                        <w:t>注册资本</w:t>
                        <w:tab/>
                        <w:t>经营范围</w:t>
                        <w:tab/>
                        <w:t>比例</w:t>
                        <w:tab/>
                        <w:t>比例</w:t>
                        <w:tab/>
                        <w:t>于冲减少</w:t>
                      </w:r>
                    </w:p>
                    <w:p>
                      <w:pPr>
                        <w:tabs>
                          <w:tab w:pos="5649" w:val="left" w:leader="none"/>
                          <w:tab w:pos="6440" w:val="left" w:leader="none"/>
                          <w:tab w:pos="8740" w:val="left" w:leader="none"/>
                          <w:tab w:pos="9802" w:val="left" w:leader="none"/>
                          <w:tab w:pos="11509" w:val="left" w:leader="none"/>
                        </w:tabs>
                        <w:spacing w:line="207" w:lineRule="exact" w:before="0"/>
                        <w:ind w:left="1234" w:right="0" w:firstLine="0"/>
                        <w:jc w:val="left"/>
                        <w:rPr>
                          <w:rFonts w:ascii="宋体" w:hAnsi="宋体" w:cs="宋体" w:eastAsia="宋体" w:hint="default"/>
                          <w:sz w:val="18"/>
                          <w:szCs w:val="18"/>
                        </w:rPr>
                      </w:pPr>
                      <w:r>
                        <w:rPr>
                          <w:rFonts w:ascii="宋体" w:hAnsi="宋体" w:cs="宋体" w:eastAsia="宋体" w:hint="default"/>
                          <w:sz w:val="18"/>
                          <w:szCs w:val="18"/>
                        </w:rPr>
                        <w:t>类型</w:t>
                        <w:tab/>
                        <w:t>出资额</w:t>
                        <w:tab/>
                        <w:t>投资的其他</w:t>
                        <w:tab/>
                        <w:t>并报表</w:t>
                        <w:tab/>
                        <w:t>益</w:t>
                        <w:tab/>
                        <w:t>少数股东在该子公司</w:t>
                      </w:r>
                    </w:p>
                    <w:p>
                      <w:pPr>
                        <w:tabs>
                          <w:tab w:pos="3477" w:val="left" w:leader="none"/>
                        </w:tabs>
                        <w:spacing w:line="199" w:lineRule="exact" w:before="0"/>
                        <w:ind w:left="2857" w:right="0" w:firstLine="0"/>
                        <w:jc w:val="center"/>
                        <w:rPr>
                          <w:rFonts w:ascii="Times New Roman" w:hAnsi="Times New Roman" w:cs="Times New Roman" w:eastAsia="Times New Roman" w:hint="default"/>
                          <w:sz w:val="18"/>
                          <w:szCs w:val="18"/>
                        </w:rPr>
                      </w:pPr>
                      <w:r>
                        <w:rPr>
                          <w:rFonts w:ascii="Times New Roman"/>
                          <w:sz w:val="18"/>
                        </w:rPr>
                        <w:t>(%)</w:t>
                        <w:tab/>
                        <w:t>(%)</w:t>
                      </w:r>
                    </w:p>
                  </w:txbxContent>
                </v:textbox>
                <w10:wrap type="none"/>
              </v:shape>
              <v:shape style="position:absolute;left:6727;top:178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项目余额</w:t>
                      </w:r>
                    </w:p>
                  </w:txbxContent>
                </v:textbox>
                <w10:wrap type="none"/>
              </v:shape>
              <v:shape style="position:absolute;left:10739;top:1594;width:2586;height:742" type="#_x0000_t202" filled="false" stroked="false">
                <v:textbox inset="0,0,0,0">
                  <w:txbxContent>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数股东损</w:t>
                      </w:r>
                    </w:p>
                    <w:p>
                      <w:pPr>
                        <w:spacing w:line="187" w:lineRule="exact" w:before="0"/>
                        <w:ind w:left="966" w:right="0" w:firstLine="0"/>
                        <w:jc w:val="left"/>
                        <w:rPr>
                          <w:rFonts w:ascii="宋体" w:hAnsi="宋体" w:cs="宋体" w:eastAsia="宋体" w:hint="default"/>
                          <w:sz w:val="18"/>
                          <w:szCs w:val="18"/>
                        </w:rPr>
                      </w:pPr>
                      <w:r>
                        <w:rPr>
                          <w:rFonts w:ascii="宋体" w:hAnsi="宋体" w:cs="宋体" w:eastAsia="宋体" w:hint="default"/>
                          <w:w w:val="95"/>
                          <w:sz w:val="18"/>
                          <w:szCs w:val="18"/>
                        </w:rPr>
                        <w:t>期初所有者权益中所</w:t>
                      </w:r>
                    </w:p>
                    <w:p>
                      <w:pPr>
                        <w:spacing w:line="18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益的金额</w:t>
                      </w:r>
                    </w:p>
                    <w:p>
                      <w:pPr>
                        <w:spacing w:line="211" w:lineRule="exact" w:before="0"/>
                        <w:ind w:left="1056" w:right="0" w:firstLine="0"/>
                        <w:jc w:val="left"/>
                        <w:rPr>
                          <w:rFonts w:ascii="宋体" w:hAnsi="宋体" w:cs="宋体" w:eastAsia="宋体" w:hint="default"/>
                          <w:sz w:val="18"/>
                          <w:szCs w:val="18"/>
                        </w:rPr>
                      </w:pPr>
                      <w:r>
                        <w:rPr>
                          <w:rFonts w:ascii="宋体" w:hAnsi="宋体" w:cs="宋体" w:eastAsia="宋体" w:hint="default"/>
                          <w:sz w:val="18"/>
                          <w:szCs w:val="18"/>
                        </w:rPr>
                        <w:t>享有份额后的余额</w:t>
                      </w:r>
                    </w:p>
                  </w:txbxContent>
                </v:textbox>
                <w10:wrap type="none"/>
              </v:shape>
              <v:shape style="position:absolute;left:31;top:2635;width:1137;height:580" type="#_x0000_t202" filled="false" stroked="false">
                <v:textbox inset="0,0,0,0">
                  <w:txbxContent>
                    <w:p>
                      <w:pPr>
                        <w:spacing w:line="180" w:lineRule="exact" w:before="0"/>
                        <w:ind w:left="1" w:right="0" w:hanging="2"/>
                        <w:jc w:val="left"/>
                        <w:rPr>
                          <w:rFonts w:ascii="宋体" w:hAnsi="宋体" w:cs="宋体" w:eastAsia="宋体" w:hint="default"/>
                          <w:sz w:val="18"/>
                          <w:szCs w:val="18"/>
                        </w:rPr>
                      </w:pPr>
                      <w:r>
                        <w:rPr>
                          <w:rFonts w:ascii="宋体" w:hAnsi="宋体" w:cs="宋体" w:eastAsia="宋体" w:hint="default"/>
                          <w:spacing w:val="8"/>
                          <w:sz w:val="18"/>
                          <w:szCs w:val="18"/>
                        </w:rPr>
                        <w:t>御银（中国）</w:t>
                      </w:r>
                      <w:r>
                        <w:rPr>
                          <w:rFonts w:ascii="宋体" w:hAnsi="宋体" w:cs="宋体" w:eastAsia="宋体" w:hint="default"/>
                          <w:sz w:val="18"/>
                          <w:szCs w:val="18"/>
                        </w:rPr>
                      </w:r>
                    </w:p>
                    <w:p>
                      <w:pPr>
                        <w:spacing w:line="240" w:lineRule="auto" w:before="3"/>
                        <w:rPr>
                          <w:rFonts w:ascii="Times New Roman" w:hAnsi="Times New Roman" w:cs="Times New Roman" w:eastAsia="Times New Roman" w:hint="default"/>
                          <w:sz w:val="14"/>
                          <w:szCs w:val="14"/>
                        </w:rPr>
                      </w:pPr>
                    </w:p>
                    <w:p>
                      <w:pPr>
                        <w:spacing w:before="0"/>
                        <w:ind w:left="1" w:right="0" w:firstLine="0"/>
                        <w:jc w:val="left"/>
                        <w:rPr>
                          <w:rFonts w:ascii="宋体" w:hAnsi="宋体" w:cs="宋体" w:eastAsia="宋体" w:hint="default"/>
                          <w:sz w:val="18"/>
                          <w:szCs w:val="18"/>
                        </w:rPr>
                      </w:pPr>
                      <w:r>
                        <w:rPr>
                          <w:rFonts w:ascii="宋体" w:hAnsi="宋体" w:cs="宋体" w:eastAsia="宋体" w:hint="default"/>
                          <w:spacing w:val="8"/>
                          <w:sz w:val="18"/>
                          <w:szCs w:val="18"/>
                        </w:rPr>
                        <w:t>科技国际有限</w:t>
                      </w:r>
                      <w:r>
                        <w:rPr>
                          <w:rFonts w:ascii="宋体" w:hAnsi="宋体" w:cs="宋体" w:eastAsia="宋体" w:hint="default"/>
                          <w:sz w:val="18"/>
                          <w:szCs w:val="18"/>
                        </w:rPr>
                      </w:r>
                    </w:p>
                  </w:txbxContent>
                </v:textbox>
                <w10:wrap type="none"/>
              </v:shape>
              <v:shape style="position:absolute;left:1372;top:2641;width:180;height:8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全</w:t>
                      </w:r>
                    </w:p>
                    <w:p>
                      <w:pPr>
                        <w:spacing w:line="310" w:lineRule="atLeast" w:before="2"/>
                        <w:ind w:left="0" w:right="0" w:firstLine="0"/>
                        <w:jc w:val="left"/>
                        <w:rPr>
                          <w:rFonts w:ascii="宋体" w:hAnsi="宋体" w:cs="宋体" w:eastAsia="宋体" w:hint="default"/>
                          <w:sz w:val="18"/>
                          <w:szCs w:val="18"/>
                        </w:rPr>
                      </w:pPr>
                      <w:r>
                        <w:rPr>
                          <w:rFonts w:ascii="宋体" w:hAnsi="宋体" w:cs="宋体" w:eastAsia="宋体" w:hint="default"/>
                          <w:sz w:val="18"/>
                          <w:szCs w:val="18"/>
                        </w:rPr>
                        <w:t>子 司</w:t>
                      </w:r>
                    </w:p>
                  </w:txbxContent>
                </v:textbox>
                <w10:wrap type="none"/>
              </v:shape>
              <v:shape style="position:absolute;left:1669;top:2641;width:18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资</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公</w:t>
                      </w:r>
                    </w:p>
                  </w:txbxContent>
                </v:textbox>
                <w10:wrap type="none"/>
              </v:shape>
              <v:shape style="position:absolute;left:2066;top:2705;width:180;height:70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维</w:t>
                      </w:r>
                    </w:p>
                    <w:p>
                      <w:pPr>
                        <w:spacing w:line="266" w:lineRule="auto" w:before="23"/>
                        <w:ind w:left="0" w:right="0" w:firstLine="0"/>
                        <w:jc w:val="left"/>
                        <w:rPr>
                          <w:rFonts w:ascii="宋体" w:hAnsi="宋体" w:cs="宋体" w:eastAsia="宋体" w:hint="default"/>
                          <w:sz w:val="18"/>
                          <w:szCs w:val="18"/>
                        </w:rPr>
                      </w:pPr>
                      <w:r>
                        <w:rPr>
                          <w:rFonts w:ascii="宋体" w:hAnsi="宋体" w:cs="宋体" w:eastAsia="宋体" w:hint="default"/>
                          <w:sz w:val="18"/>
                          <w:szCs w:val="18"/>
                        </w:rPr>
                        <w:t>京 岛</w:t>
                      </w:r>
                    </w:p>
                  </w:txbxContent>
                </v:textbox>
                <w10:wrap type="none"/>
              </v:shape>
              <v:shape style="position:absolute;left:2384;top:2705;width:756;height:4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尔</w:t>
                      </w:r>
                    </w:p>
                    <w:p>
                      <w:pPr>
                        <w:tabs>
                          <w:tab w:pos="395" w:val="left" w:leader="none"/>
                        </w:tabs>
                        <w:spacing w:before="23"/>
                        <w:ind w:left="0" w:right="0" w:firstLine="0"/>
                        <w:jc w:val="left"/>
                        <w:rPr>
                          <w:rFonts w:ascii="宋体" w:hAnsi="宋体" w:cs="宋体" w:eastAsia="宋体" w:hint="default"/>
                          <w:sz w:val="18"/>
                          <w:szCs w:val="18"/>
                        </w:rPr>
                      </w:pPr>
                      <w:r>
                        <w:rPr>
                          <w:rFonts w:ascii="宋体" w:hAnsi="宋体" w:cs="宋体" w:eastAsia="宋体" w:hint="default"/>
                          <w:sz w:val="18"/>
                          <w:szCs w:val="18"/>
                        </w:rPr>
                        <w:t>群</w:t>
                        <w:tab/>
                        <w:t>销售</w:t>
                      </w:r>
                    </w:p>
                  </w:txbxContent>
                </v:textbox>
                <w10:wrap type="none"/>
              </v:shape>
              <v:shape style="position:absolute;left:3663;top:2797;width:1244;height:492" type="#_x0000_t202" filled="false" stroked="false">
                <v:textbox inset="0,0,0,0">
                  <w:txbxContent>
                    <w:p>
                      <w:pPr>
                        <w:spacing w:line="152"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万美</w:t>
                      </w:r>
                    </w:p>
                    <w:p>
                      <w:pPr>
                        <w:spacing w:line="149"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贸易</w:t>
                      </w:r>
                    </w:p>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元</w:t>
                      </w:r>
                    </w:p>
                  </w:txbxContent>
                </v:textbox>
                <w10:wrap type="none"/>
              </v:shape>
              <v:shape style="position:absolute;left:5783;top:2797;width:684;height:492"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Times New Roman" w:hAnsi="Times New Roman" w:cs="Times New Roman" w:eastAsia="Times New Roman" w:hint="default"/>
                          <w:spacing w:val="16"/>
                          <w:sz w:val="18"/>
                          <w:szCs w:val="18"/>
                        </w:rPr>
                        <w:t> </w:t>
                      </w:r>
                      <w:r>
                        <w:rPr>
                          <w:rFonts w:ascii="宋体" w:hAnsi="宋体" w:cs="宋体" w:eastAsia="宋体" w:hint="default"/>
                          <w:spacing w:val="9"/>
                          <w:sz w:val="18"/>
                          <w:szCs w:val="18"/>
                        </w:rPr>
                        <w:t>万美</w:t>
                      </w:r>
                      <w:r>
                        <w:rPr>
                          <w:rFonts w:ascii="宋体" w:hAnsi="宋体" w:cs="宋体" w:eastAsia="宋体" w:hint="default"/>
                          <w:spacing w:val="-72"/>
                          <w:sz w:val="18"/>
                          <w:szCs w:val="18"/>
                        </w:rPr>
                        <w:t> </w:t>
                      </w:r>
                      <w:r>
                        <w:rPr>
                          <w:rFonts w:ascii="宋体" w:hAnsi="宋体" w:cs="宋体" w:eastAsia="宋体" w:hint="default"/>
                          <w:sz w:val="18"/>
                          <w:szCs w:val="18"/>
                        </w:rPr>
                      </w:r>
                    </w:p>
                    <w:p>
                      <w:pPr>
                        <w:spacing w:before="63"/>
                        <w:ind w:left="0" w:right="0" w:firstLine="0"/>
                        <w:jc w:val="left"/>
                        <w:rPr>
                          <w:rFonts w:ascii="宋体" w:hAnsi="宋体" w:cs="宋体" w:eastAsia="宋体" w:hint="default"/>
                          <w:sz w:val="18"/>
                          <w:szCs w:val="18"/>
                        </w:rPr>
                      </w:pPr>
                      <w:r>
                        <w:rPr>
                          <w:rFonts w:ascii="宋体" w:hAnsi="宋体" w:cs="宋体" w:eastAsia="宋体" w:hint="default"/>
                          <w:sz w:val="18"/>
                          <w:szCs w:val="18"/>
                        </w:rPr>
                        <w:t>元</w:t>
                      </w:r>
                    </w:p>
                  </w:txbxContent>
                </v:textbox>
                <w10:wrap type="none"/>
              </v:shape>
              <v:shape style="position:absolute;left:7765;top:2961;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8479;top:2953;width:666;height:188" type="#_x0000_t202" filled="false" stroked="false">
                <v:textbox inset="0,0,0,0">
                  <w:txbxContent>
                    <w:p>
                      <w:pPr>
                        <w:tabs>
                          <w:tab w:pos="485" w:val="left" w:leader="none"/>
                        </w:tabs>
                        <w:spacing w:line="187"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tab/>
                      </w:r>
                      <w:r>
                        <w:rPr>
                          <w:rFonts w:ascii="宋体" w:hAnsi="宋体" w:cs="宋体" w:eastAsia="宋体" w:hint="default"/>
                          <w:sz w:val="18"/>
                          <w:szCs w:val="18"/>
                        </w:rPr>
                        <w:t>是</w:t>
                      </w:r>
                    </w:p>
                  </w:txbxContent>
                </v:textbox>
                <w10:wrap type="none"/>
              </v:shape>
              <v:shape style="position:absolute;left:32;top:343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31;top:3913;width:113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御银科技（香</w:t>
                      </w:r>
                      <w:r>
                        <w:rPr>
                          <w:rFonts w:ascii="宋体" w:hAnsi="宋体" w:cs="宋体" w:eastAsia="宋体" w:hint="default"/>
                          <w:sz w:val="18"/>
                          <w:szCs w:val="18"/>
                        </w:rPr>
                      </w:r>
                    </w:p>
                  </w:txbxContent>
                </v:textbox>
                <w10:wrap type="none"/>
              </v:shape>
              <v:shape style="position:absolute;left:1431;top:3719;width:360;height:8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全资</w:t>
                      </w:r>
                    </w:p>
                    <w:p>
                      <w:pPr>
                        <w:spacing w:line="310" w:lineRule="atLeast" w:before="2"/>
                        <w:ind w:left="90" w:right="0" w:hanging="90"/>
                        <w:jc w:val="left"/>
                        <w:rPr>
                          <w:rFonts w:ascii="宋体" w:hAnsi="宋体" w:cs="宋体" w:eastAsia="宋体" w:hint="default"/>
                          <w:sz w:val="18"/>
                          <w:szCs w:val="18"/>
                        </w:rPr>
                      </w:pPr>
                      <w:r>
                        <w:rPr>
                          <w:rFonts w:ascii="宋体" w:hAnsi="宋体" w:cs="宋体" w:eastAsia="宋体" w:hint="default"/>
                          <w:sz w:val="18"/>
                          <w:szCs w:val="18"/>
                        </w:rPr>
                        <w:t>子公 司</w:t>
                      </w:r>
                    </w:p>
                  </w:txbxContent>
                </v:textbox>
                <w10:wrap type="none"/>
              </v:shape>
              <v:shape style="position:absolute;left:2134;top:4043;width:1006;height:180" type="#_x0000_t202" filled="false" stroked="false">
                <v:textbox inset="0,0,0,0">
                  <w:txbxContent>
                    <w:p>
                      <w:pPr>
                        <w:tabs>
                          <w:tab w:pos="64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香港</w:t>
                        <w:tab/>
                        <w:t>销售</w:t>
                      </w:r>
                    </w:p>
                  </w:txbxContent>
                </v:textbox>
                <w10:wrap type="none"/>
              </v:shape>
              <v:shape style="position:absolute;left:3663;top:4031;width:1244;height:192" type="#_x0000_t202" filled="false" stroked="false">
                <v:textbox inset="0,0,0,0">
                  <w:txbxContent>
                    <w:p>
                      <w:pPr>
                        <w:tabs>
                          <w:tab w:pos="883" w:val="left" w:leader="none"/>
                        </w:tabs>
                        <w:spacing w:line="192"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pacing w:val="-8"/>
                          <w:position w:val="1"/>
                          <w:sz w:val="18"/>
                          <w:szCs w:val="18"/>
                        </w:rPr>
                        <w:t> </w:t>
                      </w:r>
                      <w:r>
                        <w:rPr>
                          <w:rFonts w:ascii="宋体" w:hAnsi="宋体" w:cs="宋体" w:eastAsia="宋体" w:hint="default"/>
                          <w:position w:val="1"/>
                          <w:sz w:val="18"/>
                          <w:szCs w:val="18"/>
                        </w:rPr>
                        <w:t>万港元</w:t>
                        <w:tab/>
                      </w:r>
                      <w:r>
                        <w:rPr>
                          <w:rFonts w:ascii="宋体" w:hAnsi="宋体" w:cs="宋体" w:eastAsia="宋体" w:hint="default"/>
                          <w:sz w:val="18"/>
                          <w:szCs w:val="18"/>
                        </w:rPr>
                        <w:t>贸易</w:t>
                      </w:r>
                    </w:p>
                  </w:txbxContent>
                </v:textbox>
                <w10:wrap type="none"/>
              </v:shape>
              <v:shape style="position:absolute;left:5783;top:4031;width:6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万港元</w:t>
                      </w:r>
                    </w:p>
                  </w:txbxContent>
                </v:textbox>
                <w10:wrap type="none"/>
              </v:shape>
              <v:shape style="position:absolute;left:7765;top:4038;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8479;top:4031;width:819;height:188" type="#_x0000_t202" filled="false" stroked="false">
                <v:textbox inset="0,0,0,0">
                  <w:txbxContent>
                    <w:p>
                      <w:pPr>
                        <w:tabs>
                          <w:tab w:pos="638" w:val="left" w:leader="none"/>
                        </w:tabs>
                        <w:spacing w:line="187"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tab/>
                      </w:r>
                      <w:r>
                        <w:rPr>
                          <w:rFonts w:ascii="宋体" w:hAnsi="宋体" w:cs="宋体" w:eastAsia="宋体" w:hint="default"/>
                          <w:sz w:val="18"/>
                          <w:szCs w:val="18"/>
                        </w:rPr>
                        <w:t>是</w:t>
                      </w:r>
                    </w:p>
                  </w:txbxContent>
                </v:textbox>
                <w10:wrap type="none"/>
              </v:shape>
              <v:shape style="position:absolute;left:32;top:431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港）有限公司</w:t>
                      </w:r>
                    </w:p>
                  </w:txbxContent>
                </v:textbox>
                <w10:wrap type="none"/>
              </v:shape>
              <v:shape style="position:absolute;left:2780;top:4703;width:73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2"/>
                          <w:sz w:val="18"/>
                          <w:szCs w:val="18"/>
                        </w:rPr>
                        <w:t>软件及</w:t>
                      </w:r>
                      <w:r>
                        <w:rPr>
                          <w:rFonts w:ascii="宋体" w:hAnsi="宋体" w:cs="宋体" w:eastAsia="宋体" w:hint="default"/>
                          <w:spacing w:val="-27"/>
                          <w:sz w:val="18"/>
                          <w:szCs w:val="18"/>
                        </w:rPr>
                        <w:t> </w:t>
                      </w:r>
                      <w:r>
                        <w:rPr>
                          <w:rFonts w:ascii="宋体" w:hAnsi="宋体" w:cs="宋体" w:eastAsia="宋体" w:hint="default"/>
                          <w:sz w:val="18"/>
                          <w:szCs w:val="18"/>
                        </w:rPr>
                      </w:r>
                    </w:p>
                  </w:txbxContent>
                </v:textbox>
                <w10:wrap type="none"/>
              </v:shape>
              <v:shape style="position:absolute;left:4546;top:4703;width:10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电子产品、通</w:t>
                      </w:r>
                    </w:p>
                  </w:txbxContent>
                </v:textbox>
                <w10:wrap type="none"/>
              </v:shape>
              <v:shape style="position:absolute;left:31;top:4971;width:113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广州御银先端</w:t>
                      </w:r>
                      <w:r>
                        <w:rPr>
                          <w:rFonts w:ascii="宋体" w:hAnsi="宋体" w:cs="宋体" w:eastAsia="宋体" w:hint="default"/>
                          <w:sz w:val="18"/>
                          <w:szCs w:val="18"/>
                        </w:rPr>
                      </w:r>
                    </w:p>
                  </w:txbxContent>
                </v:textbox>
                <w10:wrap type="none"/>
              </v:shape>
              <v:shape style="position:absolute;left:1431;top:489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全资</w:t>
                      </w:r>
                    </w:p>
                  </w:txbxContent>
                </v:textbox>
                <w10:wrap type="none"/>
              </v:shape>
              <v:shape style="position:absolute;left:2780;top:5093;width:73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2"/>
                          <w:sz w:val="18"/>
                          <w:szCs w:val="18"/>
                        </w:rPr>
                        <w:t>设备研</w:t>
                      </w:r>
                      <w:r>
                        <w:rPr>
                          <w:rFonts w:ascii="宋体" w:hAnsi="宋体" w:cs="宋体" w:eastAsia="宋体" w:hint="default"/>
                          <w:spacing w:val="-27"/>
                          <w:sz w:val="18"/>
                          <w:szCs w:val="18"/>
                        </w:rPr>
                        <w:t> </w:t>
                      </w:r>
                      <w:r>
                        <w:rPr>
                          <w:rFonts w:ascii="宋体" w:hAnsi="宋体" w:cs="宋体" w:eastAsia="宋体" w:hint="default"/>
                          <w:sz w:val="18"/>
                          <w:szCs w:val="18"/>
                        </w:rPr>
                      </w:r>
                    </w:p>
                  </w:txbxContent>
                </v:textbox>
                <w10:wrap type="none"/>
              </v:shape>
              <v:shape style="position:absolute;left:4546;top:5093;width:10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信产品、电脑</w:t>
                      </w:r>
                    </w:p>
                  </w:txbxContent>
                </v:textbox>
                <w10:wrap type="none"/>
              </v:shape>
              <v:shape style="position:absolute;left:32;top:5371;width:113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电子科技有限</w:t>
                      </w:r>
                      <w:r>
                        <w:rPr>
                          <w:rFonts w:ascii="宋体" w:hAnsi="宋体" w:cs="宋体" w:eastAsia="宋体" w:hint="default"/>
                          <w:sz w:val="18"/>
                          <w:szCs w:val="18"/>
                        </w:rPr>
                      </w:r>
                    </w:p>
                  </w:txbxContent>
                </v:textbox>
                <w10:wrap type="none"/>
              </v:shape>
              <v:shape style="position:absolute;left:1431;top:5289;width:1064;height:180" type="#_x0000_t202" filled="false" stroked="false">
                <v:textbox inset="0,0,0,0">
                  <w:txbxContent>
                    <w:p>
                      <w:pPr>
                        <w:tabs>
                          <w:tab w:pos="70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w:t>
                        <w:tab/>
                        <w:t>广州</w:t>
                      </w:r>
                    </w:p>
                  </w:txbxContent>
                </v:textbox>
                <w10:wrap type="none"/>
              </v:shape>
              <v:shape style="position:absolute;left:3970;top:5296;width:3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2000</w:t>
                      </w:r>
                    </w:p>
                  </w:txbxContent>
                </v:textbox>
                <w10:wrap type="none"/>
              </v:shape>
              <v:shape style="position:absolute;left:6088;top:5296;width:3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2000</w:t>
                      </w:r>
                    </w:p>
                  </w:txbxContent>
                </v:textbox>
                <w10:wrap type="none"/>
              </v:shape>
              <v:shape style="position:absolute;left:7765;top:5296;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8479;top:5289;width:819;height:188" type="#_x0000_t202" filled="false" stroked="false">
                <v:textbox inset="0,0,0,0">
                  <w:txbxContent>
                    <w:p>
                      <w:pPr>
                        <w:tabs>
                          <w:tab w:pos="638" w:val="left" w:leader="none"/>
                        </w:tabs>
                        <w:spacing w:line="187"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tab/>
                      </w:r>
                      <w:r>
                        <w:rPr>
                          <w:rFonts w:ascii="宋体" w:hAnsi="宋体" w:cs="宋体" w:eastAsia="宋体" w:hint="default"/>
                          <w:sz w:val="18"/>
                          <w:szCs w:val="18"/>
                        </w:rPr>
                        <w:t>是</w:t>
                      </w:r>
                    </w:p>
                  </w:txbxContent>
                </v:textbox>
                <w10:wrap type="none"/>
              </v:shape>
              <v:shape style="position:absolute;left:2780;top:5483;width:2789;height:180" type="#_x0000_t202" filled="false" stroked="false">
                <v:textbox inset="0,0,0,0">
                  <w:txbxContent>
                    <w:p>
                      <w:pPr>
                        <w:tabs>
                          <w:tab w:pos="176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4"/>
                          <w:w w:val="90"/>
                          <w:sz w:val="18"/>
                          <w:szCs w:val="18"/>
                        </w:rPr>
                        <w:t>发、生</w:t>
                        <w:tab/>
                      </w:r>
                      <w:r>
                        <w:rPr>
                          <w:rFonts w:ascii="宋体" w:hAnsi="宋体" w:cs="宋体" w:eastAsia="宋体" w:hint="default"/>
                          <w:spacing w:val="-10"/>
                          <w:sz w:val="18"/>
                          <w:szCs w:val="18"/>
                        </w:rPr>
                        <w:t>软件、机电设</w:t>
                      </w:r>
                    </w:p>
                  </w:txbxContent>
                </v:textbox>
                <w10:wrap type="none"/>
              </v:shape>
              <v:shape style="position:absolute;left:32;top:577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1521;top:567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司</w:t>
                      </w:r>
                    </w:p>
                  </w:txbxContent>
                </v:textbox>
                <w10:wrap type="none"/>
              </v:shape>
              <v:shape style="position:absolute;left:2780;top:5873;width:66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4"/>
                          <w:sz w:val="18"/>
                          <w:szCs w:val="18"/>
                        </w:rPr>
                        <w:t>产、销售</w:t>
                      </w:r>
                    </w:p>
                  </w:txbxContent>
                </v:textbox>
                <w10:wrap type="none"/>
              </v:shape>
              <v:shape style="position:absolute;left:4546;top:587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备的研发</w:t>
                      </w:r>
                    </w:p>
                  </w:txbxContent>
                </v:textbox>
                <w10:wrap type="none"/>
              </v:shape>
              <v:shape style="position:absolute;left:31;top:6361;width:113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珠海市御银电</w:t>
                      </w:r>
                      <w:r>
                        <w:rPr>
                          <w:rFonts w:ascii="宋体" w:hAnsi="宋体" w:cs="宋体" w:eastAsia="宋体" w:hint="default"/>
                          <w:sz w:val="18"/>
                          <w:szCs w:val="18"/>
                        </w:rPr>
                      </w:r>
                    </w:p>
                  </w:txbxContent>
                </v:textbox>
                <w10:wrap type="none"/>
              </v:shape>
              <v:shape style="position:absolute;left:1431;top:636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全资</w:t>
                      </w:r>
                    </w:p>
                  </w:txbxContent>
                </v:textbox>
                <w10:wrap type="none"/>
              </v:shape>
              <v:shape style="position:absolute;left:4546;top:6300;width:10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电子产品、通</w:t>
                      </w:r>
                    </w:p>
                  </w:txbxContent>
                </v:textbox>
                <w10:wrap type="none"/>
              </v:shape>
              <v:shape style="position:absolute;left:32;top:6761;width:2463;height:180" type="#_x0000_t202" filled="false" stroked="false">
                <v:textbox inset="0,0,0,0">
                  <w:txbxContent>
                    <w:p>
                      <w:pPr>
                        <w:tabs>
                          <w:tab w:pos="1399" w:val="left" w:leader="none"/>
                          <w:tab w:pos="210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6"/>
                          <w:w w:val="95"/>
                          <w:sz w:val="18"/>
                          <w:szCs w:val="18"/>
                        </w:rPr>
                        <w:t>子科技有限公</w:t>
                        <w:tab/>
                      </w:r>
                      <w:r>
                        <w:rPr>
                          <w:rFonts w:ascii="宋体" w:hAnsi="宋体" w:cs="宋体" w:eastAsia="宋体" w:hint="default"/>
                          <w:sz w:val="18"/>
                          <w:szCs w:val="18"/>
                        </w:rPr>
                        <w:t>子公</w:t>
                        <w:tab/>
                        <w:t>珠海</w:t>
                      </w:r>
                    </w:p>
                  </w:txbxContent>
                </v:textbox>
                <w10:wrap type="none"/>
              </v:shape>
              <v:shape style="position:absolute;left:2780;top:6561;width:731;height:44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2"/>
                          <w:sz w:val="18"/>
                          <w:szCs w:val="18"/>
                        </w:rPr>
                        <w:t>设备研</w:t>
                      </w:r>
                      <w:r>
                        <w:rPr>
                          <w:rFonts w:ascii="宋体" w:hAnsi="宋体" w:cs="宋体" w:eastAsia="宋体" w:hint="default"/>
                          <w:spacing w:val="-27"/>
                          <w:sz w:val="18"/>
                          <w:szCs w:val="18"/>
                        </w:rPr>
                        <w:t> </w:t>
                      </w:r>
                      <w:r>
                        <w:rPr>
                          <w:rFonts w:ascii="宋体" w:hAnsi="宋体" w:cs="宋体" w:eastAsia="宋体" w:hint="default"/>
                          <w:sz w:val="18"/>
                          <w:szCs w:val="18"/>
                        </w:rPr>
                      </w:r>
                    </w:p>
                    <w:p>
                      <w:pPr>
                        <w:spacing w:before="25"/>
                        <w:ind w:left="0" w:right="0" w:firstLine="0"/>
                        <w:jc w:val="left"/>
                        <w:rPr>
                          <w:rFonts w:ascii="宋体" w:hAnsi="宋体" w:cs="宋体" w:eastAsia="宋体" w:hint="default"/>
                          <w:sz w:val="18"/>
                          <w:szCs w:val="18"/>
                        </w:rPr>
                      </w:pPr>
                      <w:r>
                        <w:rPr>
                          <w:rFonts w:ascii="宋体" w:hAnsi="宋体" w:cs="宋体" w:eastAsia="宋体" w:hint="default"/>
                          <w:sz w:val="18"/>
                          <w:szCs w:val="18"/>
                        </w:rPr>
                        <w:t>发</w:t>
                      </w:r>
                    </w:p>
                  </w:txbxContent>
                </v:textbox>
                <w10:wrap type="none"/>
              </v:shape>
              <v:shape style="position:absolute;left:4060;top:6687;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w:t>
                      </w:r>
                    </w:p>
                  </w:txbxContent>
                </v:textbox>
                <w10:wrap type="none"/>
              </v:shape>
              <v:shape style="position:absolute;left:32;top:716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司</w:t>
                      </w:r>
                    </w:p>
                  </w:txbxContent>
                </v:textbox>
                <w10:wrap type="none"/>
              </v:shape>
              <v:shape style="position:absolute;left:1521;top:716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司</w:t>
                      </w:r>
                    </w:p>
                  </w:txbxContent>
                </v:textbox>
                <w10:wrap type="none"/>
              </v:shape>
              <v:shape style="position:absolute;left:4546;top:6561;width:1023;height:70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讯产品、计算</w:t>
                      </w:r>
                    </w:p>
                    <w:p>
                      <w:pPr>
                        <w:spacing w:line="264" w:lineRule="auto" w:before="25"/>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机软件、机电</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设备的研发</w:t>
                      </w:r>
                    </w:p>
                  </w:txbxContent>
                </v:textbox>
                <w10:wrap type="none"/>
              </v:shape>
              <v:shape style="position:absolute;left:6178;top:6687;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w:t>
                      </w:r>
                    </w:p>
                  </w:txbxContent>
                </v:textbox>
                <w10:wrap type="none"/>
              </v:shape>
              <v:shape style="position:absolute;left:7765;top:6687;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8479;top:6679;width:819;height:188" type="#_x0000_t202" filled="false" stroked="false">
                <v:textbox inset="0,0,0,0">
                  <w:txbxContent>
                    <w:p>
                      <w:pPr>
                        <w:tabs>
                          <w:tab w:pos="638" w:val="left" w:leader="none"/>
                        </w:tabs>
                        <w:spacing w:line="187"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tab/>
                      </w:r>
                      <w:r>
                        <w:rPr>
                          <w:rFonts w:ascii="宋体" w:hAnsi="宋体" w:cs="宋体" w:eastAsia="宋体" w:hint="default"/>
                          <w:sz w:val="18"/>
                          <w:szCs w:val="18"/>
                        </w:rPr>
                        <w:t>是</w:t>
                      </w:r>
                    </w:p>
                  </w:txbxContent>
                </v:textbox>
                <w10:wrap type="none"/>
              </v:shape>
            </v:group>
          </v:group>
        </w:pict>
      </w:r>
      <w:r>
        <w:rPr>
          <w:rFonts w:ascii="Times New Roman" w:hAnsi="Times New Roman" w:cs="Times New Roman" w:eastAsia="Times New Roman" w:hint="default"/>
          <w:position w:val="-147"/>
          <w:sz w:val="20"/>
          <w:szCs w:val="20"/>
        </w:rPr>
      </w:r>
    </w:p>
    <w:p>
      <w:pPr>
        <w:spacing w:after="0" w:line="7399" w:lineRule="exact"/>
        <w:rPr>
          <w:rFonts w:ascii="Times New Roman" w:hAnsi="Times New Roman" w:cs="Times New Roman" w:eastAsia="Times New Roman" w:hint="default"/>
          <w:sz w:val="20"/>
          <w:szCs w:val="20"/>
        </w:rPr>
        <w:sectPr>
          <w:pgSz w:w="16840" w:h="11910" w:orient="landscape"/>
          <w:pgMar w:header="885" w:footer="1252" w:top="1120" w:bottom="1440" w:left="1300" w:right="12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8"/>
          <w:szCs w:val="18"/>
        </w:rPr>
      </w:pPr>
    </w:p>
    <w:p>
      <w:pPr>
        <w:tabs>
          <w:tab w:pos="1412"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通过非同一控制下企业合并取得的子公司</w:t>
      </w:r>
      <w:r>
        <w:rPr>
          <w:rFonts w:ascii="宋体" w:hAnsi="宋体" w:cs="宋体" w:eastAsia="宋体" w:hint="default"/>
          <w:sz w:val="21"/>
          <w:szCs w:val="21"/>
        </w:rPr>
      </w:r>
    </w:p>
    <w:p>
      <w:pPr>
        <w:spacing w:line="3889" w:lineRule="exact"/>
        <w:ind w:left="720" w:right="0" w:firstLine="0"/>
        <w:rPr>
          <w:rFonts w:ascii="宋体" w:hAnsi="宋体" w:cs="宋体" w:eastAsia="宋体" w:hint="default"/>
          <w:sz w:val="20"/>
          <w:szCs w:val="20"/>
        </w:rPr>
      </w:pPr>
      <w:r>
        <w:rPr>
          <w:rFonts w:ascii="宋体" w:hAnsi="宋体" w:cs="宋体" w:eastAsia="宋体" w:hint="default"/>
          <w:position w:val="-77"/>
          <w:sz w:val="20"/>
          <w:szCs w:val="20"/>
        </w:rPr>
        <w:pict>
          <v:group style="width:673.8pt;height:194.5pt;mso-position-horizontal-relative:char;mso-position-vertical-relative:line" coordorigin="0,0" coordsize="13476,3890">
            <v:group style="position:absolute;left:29;top:15;width:13424;height:2" coordorigin="29,15" coordsize="13424,2">
              <v:shape style="position:absolute;left:29;top:15;width:13424;height:2" coordorigin="29,15" coordsize="13424,0" path="m29,15l13453,15e" filled="false" stroked="true" strokeweight="1.5pt" strokecolor="#000000">
                <v:path arrowok="t"/>
              </v:shape>
            </v:group>
            <v:group style="position:absolute;left:15;top:3874;width:1246;height:2" coordorigin="15,3874" coordsize="1246,2">
              <v:shape style="position:absolute;left:15;top:3874;width:1246;height:2" coordorigin="15,3874" coordsize="1246,0" path="m15,3874l1261,3874e" filled="false" stroked="true" strokeweight="1.5pt" strokecolor="#000000">
                <v:path arrowok="t"/>
              </v:shape>
              <v:shape style="position:absolute;left:1;top:11;width:13475;height:3877" type="#_x0000_t75" stroked="false">
                <v:imagedata r:id="rId55" o:title=""/>
              </v:shape>
            </v:group>
            <v:group style="position:absolute;left:1261;top:3874;width:693;height:2" coordorigin="1261,3874" coordsize="693,2">
              <v:shape style="position:absolute;left:1261;top:3874;width:693;height:2" coordorigin="1261,3874" coordsize="693,0" path="m1261,3874l1953,3874e" filled="false" stroked="true" strokeweight="1.5pt" strokecolor="#000000">
                <v:path arrowok="t"/>
              </v:shape>
              <v:shape style="position:absolute;left:1924;top:2231;width:67;height:1657" type="#_x0000_t75" stroked="false">
                <v:imagedata r:id="rId56" o:title=""/>
              </v:shape>
            </v:group>
            <v:group style="position:absolute;left:1953;top:3874;width:714;height:2" coordorigin="1953,3874" coordsize="714,2">
              <v:shape style="position:absolute;left:1953;top:3874;width:714;height:2" coordorigin="1953,3874" coordsize="714,0" path="m1953,3874l2667,3874e" filled="false" stroked="true" strokeweight="1.5pt" strokecolor="#000000">
                <v:path arrowok="t"/>
              </v:shape>
              <v:shape style="position:absolute;left:2638;top:2231;width:67;height:1657" type="#_x0000_t75" stroked="false">
                <v:imagedata r:id="rId56" o:title=""/>
              </v:shape>
            </v:group>
            <v:group style="position:absolute;left:2667;top:3874;width:884;height:2" coordorigin="2667,3874" coordsize="884,2">
              <v:shape style="position:absolute;left:2667;top:3874;width:884;height:2" coordorigin="2667,3874" coordsize="884,0" path="m2667,3874l3550,3874e" filled="false" stroked="true" strokeweight="1.5pt" strokecolor="#000000">
                <v:path arrowok="t"/>
              </v:shape>
              <v:shape style="position:absolute;left:3521;top:2231;width:67;height:1651" type="#_x0000_t75" stroked="false">
                <v:imagedata r:id="rId57" o:title=""/>
              </v:shape>
            </v:group>
            <v:group style="position:absolute;left:3550;top:3874;width:884;height:2" coordorigin="3550,3874" coordsize="884,2">
              <v:shape style="position:absolute;left:3550;top:3874;width:884;height:2" coordorigin="3550,3874" coordsize="884,0" path="m3550,3874l4433,3874e" filled="false" stroked="true" strokeweight="1.5pt" strokecolor="#000000">
                <v:path arrowok="t"/>
              </v:shape>
              <v:shape style="position:absolute;left:4405;top:2231;width:67;height:1657" type="#_x0000_t75" stroked="false">
                <v:imagedata r:id="rId56" o:title=""/>
              </v:shape>
            </v:group>
            <v:group style="position:absolute;left:4433;top:3874;width:1238;height:2" coordorigin="4433,3874" coordsize="1238,2">
              <v:shape style="position:absolute;left:4433;top:3874;width:1238;height:2" coordorigin="4433,3874" coordsize="1238,0" path="m4433,3874l5671,3874e" filled="false" stroked="true" strokeweight="1.5pt" strokecolor="#000000">
                <v:path arrowok="t"/>
              </v:shape>
              <v:shape style="position:absolute;left:5642;top:2231;width:67;height:1657" type="#_x0000_t75" stroked="false">
                <v:imagedata r:id="rId56" o:title=""/>
              </v:shape>
            </v:group>
            <v:group style="position:absolute;left:5671;top:3874;width:882;height:2" coordorigin="5671,3874" coordsize="882,2">
              <v:shape style="position:absolute;left:5671;top:3874;width:882;height:2" coordorigin="5671,3874" coordsize="882,0" path="m5671,3874l6553,3874e" filled="false" stroked="true" strokeweight="1.5pt" strokecolor="#000000">
                <v:path arrowok="t"/>
              </v:shape>
              <v:shape style="position:absolute;left:6524;top:2231;width:67;height:1657" type="#_x0000_t75" stroked="false">
                <v:imagedata r:id="rId58" o:title=""/>
              </v:shape>
            </v:group>
            <v:group style="position:absolute;left:6553;top:3874;width:1060;height:2" coordorigin="6553,3874" coordsize="1060,2">
              <v:shape style="position:absolute;left:6553;top:3874;width:1060;height:2" coordorigin="6553,3874" coordsize="1060,0" path="m6553,3874l7612,3874e" filled="false" stroked="true" strokeweight="1.5pt" strokecolor="#000000">
                <v:path arrowok="t"/>
              </v:shape>
              <v:shape style="position:absolute;left:7583;top:2231;width:67;height:1651" type="#_x0000_t75" stroked="false">
                <v:imagedata r:id="rId57" o:title=""/>
              </v:shape>
            </v:group>
            <v:group style="position:absolute;left:7612;top:3874;width:526;height:2" coordorigin="7612,3874" coordsize="526,2">
              <v:shape style="position:absolute;left:7612;top:3874;width:526;height:2" coordorigin="7612,3874" coordsize="526,0" path="m7612,3874l8138,3874e" filled="false" stroked="true" strokeweight="1.5pt" strokecolor="#000000">
                <v:path arrowok="t"/>
              </v:shape>
              <v:shape style="position:absolute;left:8109;top:2231;width:67;height:1657" type="#_x0000_t75" stroked="false">
                <v:imagedata r:id="rId59" o:title=""/>
              </v:shape>
            </v:group>
            <v:group style="position:absolute;left:8138;top:3874;width:714;height:2" coordorigin="8138,3874" coordsize="714,2">
              <v:shape style="position:absolute;left:8138;top:3874;width:714;height:2" coordorigin="8138,3874" coordsize="714,0" path="m8138,3874l8852,3874e" filled="false" stroked="true" strokeweight="1.5pt" strokecolor="#000000">
                <v:path arrowok="t"/>
              </v:shape>
              <v:shape style="position:absolute;left:8823;top:2231;width:67;height:1657" type="#_x0000_t75" stroked="false">
                <v:imagedata r:id="rId59" o:title=""/>
              </v:shape>
            </v:group>
            <v:group style="position:absolute;left:8852;top:3874;width:701;height:2" coordorigin="8852,3874" coordsize="701,2">
              <v:shape style="position:absolute;left:8852;top:3874;width:701;height:2" coordorigin="8852,3874" coordsize="701,0" path="m8852,3874l9553,3874e" filled="false" stroked="true" strokeweight="1.5pt" strokecolor="#000000">
                <v:path arrowok="t"/>
              </v:shape>
              <v:shape style="position:absolute;left:9524;top:2231;width:67;height:1657" type="#_x0000_t75" stroked="false">
                <v:imagedata r:id="rId59" o:title=""/>
              </v:shape>
            </v:group>
            <v:group style="position:absolute;left:9553;top:3874;width:1064;height:2" coordorigin="9553,3874" coordsize="1064,2">
              <v:shape style="position:absolute;left:9553;top:3874;width:1064;height:2" coordorigin="9553,3874" coordsize="1064,0" path="m9553,3874l10616,3874e" filled="false" stroked="true" strokeweight="1.5pt" strokecolor="#000000">
                <v:path arrowok="t"/>
              </v:shape>
              <v:shape style="position:absolute;left:10587;top:2231;width:67;height:1651" type="#_x0000_t75" stroked="false">
                <v:imagedata r:id="rId57" o:title=""/>
              </v:shape>
            </v:group>
            <v:group style="position:absolute;left:10616;top:3874;width:959;height:2" coordorigin="10616,3874" coordsize="959,2">
              <v:shape style="position:absolute;left:10616;top:3874;width:959;height:2" coordorigin="10616,3874" coordsize="959,0" path="m10616,3874l11575,3874e" filled="false" stroked="true" strokeweight="1.5pt" strokecolor="#000000">
                <v:path arrowok="t"/>
              </v:shape>
              <v:shape style="position:absolute;left:11546;top:2231;width:67;height:1657" type="#_x0000_t75" stroked="false">
                <v:imagedata r:id="rId59" o:title=""/>
              </v:shape>
            </v:group>
            <v:group style="position:absolute;left:11575;top:3874;width:1878;height:2" coordorigin="11575,3874" coordsize="1878,2">
              <v:shape style="position:absolute;left:11575;top:3874;width:1878;height:2" coordorigin="11575,3874" coordsize="1878,0" path="m11575,3874l13453,3874e" filled="false" stroked="true" strokeweight="1.5pt" strokecolor="#000000">
                <v:path arrowok="t"/>
              </v:shape>
              <v:shape style="position:absolute;left:6637;top:562;width:900;height:5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实质上构成</w:t>
                      </w:r>
                    </w:p>
                    <w:p>
                      <w:pPr>
                        <w:spacing w:before="134"/>
                        <w:ind w:left="0" w:right="0" w:firstLine="0"/>
                        <w:jc w:val="left"/>
                        <w:rPr>
                          <w:rFonts w:ascii="宋体" w:hAnsi="宋体" w:cs="宋体" w:eastAsia="宋体" w:hint="default"/>
                          <w:sz w:val="18"/>
                          <w:szCs w:val="18"/>
                        </w:rPr>
                      </w:pPr>
                      <w:r>
                        <w:rPr>
                          <w:rFonts w:ascii="宋体" w:hAnsi="宋体" w:cs="宋体" w:eastAsia="宋体" w:hint="default"/>
                          <w:sz w:val="18"/>
                          <w:szCs w:val="18"/>
                        </w:rPr>
                        <w:t>对子公司净</w:t>
                      </w:r>
                    </w:p>
                  </w:txbxContent>
                </v:textbox>
                <w10:wrap type="none"/>
              </v:shape>
              <v:shape style="position:absolute;left:7700;top:74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w:t>
                      </w:r>
                    </w:p>
                  </w:txbxContent>
                </v:textbox>
                <w10:wrap type="none"/>
              </v:shape>
              <v:shape style="position:absolute;left:8229;top:74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表决权</w:t>
                      </w:r>
                    </w:p>
                  </w:txbxContent>
                </v:textbox>
                <w10:wrap type="none"/>
              </v:shape>
              <v:shape style="position:absolute;left:10739;top:377;width:720;height:5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少数股东</w:t>
                      </w:r>
                    </w:p>
                    <w:p>
                      <w:pPr>
                        <w:spacing w:before="134"/>
                        <w:ind w:left="0" w:right="0" w:firstLine="0"/>
                        <w:jc w:val="left"/>
                        <w:rPr>
                          <w:rFonts w:ascii="宋体" w:hAnsi="宋体" w:cs="宋体" w:eastAsia="宋体" w:hint="default"/>
                          <w:sz w:val="18"/>
                          <w:szCs w:val="18"/>
                        </w:rPr>
                      </w:pPr>
                      <w:r>
                        <w:rPr>
                          <w:rFonts w:ascii="宋体" w:hAnsi="宋体" w:cs="宋体" w:eastAsia="宋体" w:hint="default"/>
                          <w:sz w:val="18"/>
                          <w:szCs w:val="18"/>
                        </w:rPr>
                        <w:t>权益中用</w:t>
                      </w:r>
                    </w:p>
                  </w:txbxContent>
                </v:textbox>
                <w10:wrap type="none"/>
              </v:shape>
              <v:shape style="position:absolute;left:1341;top:93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w:t>
                      </w:r>
                    </w:p>
                  </w:txbxContent>
                </v:textbox>
                <w10:wrap type="none"/>
              </v:shape>
              <v:shape style="position:absolute;left:5756;top:9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期末实际</w:t>
                      </w:r>
                    </w:p>
                  </w:txbxContent>
                </v:textbox>
                <w10:wrap type="none"/>
              </v:shape>
              <v:shape style="position:absolute;left:8937;top:93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是否合</w:t>
                      </w:r>
                    </w:p>
                  </w:txbxContent>
                </v:textbox>
                <w10:wrap type="none"/>
              </v:shape>
              <v:shape style="position:absolute;left:9639;top:93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少数股东权</w:t>
                      </w:r>
                    </w:p>
                  </w:txbxContent>
                </v:textbox>
                <w10:wrap type="none"/>
              </v:shape>
              <v:shape style="position:absolute;left:11705;top:192;width:1620;height:9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从母公司所有者权益</w:t>
                      </w:r>
                    </w:p>
                    <w:p>
                      <w:pPr>
                        <w:spacing w:line="370" w:lineRule="atLeas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冲减子公司少数股东 分担的本期亏损超过</w:t>
                      </w:r>
                    </w:p>
                  </w:txbxContent>
                </v:textbox>
                <w10:wrap type="none"/>
              </v:shape>
              <v:shape style="position:absolute;left:196;top:1117;width:8483;height:180" type="#_x0000_t202" filled="false" stroked="false">
                <v:textbox inset="0,0,0,0">
                  <w:txbxContent>
                    <w:p>
                      <w:pPr>
                        <w:tabs>
                          <w:tab w:pos="1847" w:val="left" w:leader="none"/>
                          <w:tab w:pos="4501" w:val="left" w:leader="none"/>
                          <w:tab w:pos="7503" w:val="left" w:leader="none"/>
                          <w:tab w:pos="812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tab/>
                        <w:t>注册地  业务性质</w:t>
                      </w:r>
                      <w:r>
                        <w:rPr>
                          <w:rFonts w:ascii="宋体" w:hAnsi="宋体" w:cs="宋体" w:eastAsia="宋体" w:hint="default"/>
                          <w:spacing w:val="62"/>
                          <w:sz w:val="18"/>
                          <w:szCs w:val="18"/>
                        </w:rPr>
                        <w:t> </w:t>
                      </w:r>
                      <w:r>
                        <w:rPr>
                          <w:rFonts w:ascii="宋体" w:hAnsi="宋体" w:cs="宋体" w:eastAsia="宋体" w:hint="default"/>
                          <w:sz w:val="18"/>
                          <w:szCs w:val="18"/>
                        </w:rPr>
                        <w:t>注册资本</w:t>
                        <w:tab/>
                        <w:t>经营范围</w:t>
                        <w:tab/>
                        <w:t>比例</w:t>
                        <w:tab/>
                        <w:t>比例</w:t>
                      </w:r>
                    </w:p>
                  </w:txbxContent>
                </v:textbox>
                <w10:wrap type="none"/>
              </v:shape>
              <v:shape style="position:absolute;left:1431;top:1302;width:4955;height:180" type="#_x0000_t202" filled="false" stroked="false">
                <v:textbox inset="0,0,0,0">
                  <w:txbxContent>
                    <w:p>
                      <w:pPr>
                        <w:tabs>
                          <w:tab w:pos="441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类型</w:t>
                        <w:tab/>
                        <w:t>出资额</w:t>
                      </w:r>
                    </w:p>
                  </w:txbxContent>
                </v:textbox>
                <w10:wrap type="none"/>
              </v:shape>
              <v:shape style="position:absolute;left:6637;top:1302;width:900;height:550"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投资的其他</w:t>
                      </w:r>
                    </w:p>
                    <w:p>
                      <w:pPr>
                        <w:spacing w:before="134"/>
                        <w:ind w:left="90" w:right="0" w:firstLine="0"/>
                        <w:jc w:val="left"/>
                        <w:rPr>
                          <w:rFonts w:ascii="宋体" w:hAnsi="宋体" w:cs="宋体" w:eastAsia="宋体" w:hint="default"/>
                          <w:sz w:val="18"/>
                          <w:szCs w:val="18"/>
                        </w:rPr>
                      </w:pPr>
                      <w:r>
                        <w:rPr>
                          <w:rFonts w:ascii="宋体" w:hAnsi="宋体" w:cs="宋体" w:eastAsia="宋体" w:hint="default"/>
                          <w:sz w:val="18"/>
                          <w:szCs w:val="18"/>
                        </w:rPr>
                        <w:t>项目余额</w:t>
                      </w:r>
                    </w:p>
                  </w:txbxContent>
                </v:textbox>
                <w10:wrap type="none"/>
              </v:shape>
              <v:shape style="position:absolute;left:8937;top:130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并报表</w:t>
                      </w:r>
                    </w:p>
                  </w:txbxContent>
                </v:textbox>
                <w10:wrap type="none"/>
              </v:shape>
              <v:shape style="position:absolute;left:9999;top:130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益</w:t>
                      </w:r>
                    </w:p>
                  </w:txbxContent>
                </v:textbox>
                <w10:wrap type="none"/>
              </v:shape>
              <v:shape style="position:absolute;left:7744;top:1506;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365;top:1506;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0739;top:1117;width:2586;height:1104" type="#_x0000_t202" filled="false" stroked="false">
                <v:textbox inset="0,0,0,0">
                  <w:txbxContent>
                    <w:p>
                      <w:pPr>
                        <w:spacing w:line="15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于冲减少</w:t>
                      </w:r>
                    </w:p>
                    <w:p>
                      <w:pPr>
                        <w:spacing w:line="185" w:lineRule="exact" w:before="0"/>
                        <w:ind w:left="966" w:right="0" w:firstLine="0"/>
                        <w:jc w:val="left"/>
                        <w:rPr>
                          <w:rFonts w:ascii="宋体" w:hAnsi="宋体" w:cs="宋体" w:eastAsia="宋体" w:hint="default"/>
                          <w:sz w:val="18"/>
                          <w:szCs w:val="18"/>
                        </w:rPr>
                      </w:pPr>
                      <w:r>
                        <w:rPr>
                          <w:rFonts w:ascii="宋体" w:hAnsi="宋体" w:cs="宋体" w:eastAsia="宋体" w:hint="default"/>
                          <w:w w:val="95"/>
                          <w:sz w:val="18"/>
                          <w:szCs w:val="18"/>
                        </w:rPr>
                        <w:t>少数股东在该子公司</w:t>
                      </w:r>
                    </w:p>
                    <w:p>
                      <w:pPr>
                        <w:spacing w:line="18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数股东损</w:t>
                      </w:r>
                    </w:p>
                    <w:p>
                      <w:pPr>
                        <w:spacing w:line="185" w:lineRule="exact" w:before="0"/>
                        <w:ind w:left="966" w:right="0" w:firstLine="0"/>
                        <w:jc w:val="left"/>
                        <w:rPr>
                          <w:rFonts w:ascii="宋体" w:hAnsi="宋体" w:cs="宋体" w:eastAsia="宋体" w:hint="default"/>
                          <w:sz w:val="18"/>
                          <w:szCs w:val="18"/>
                        </w:rPr>
                      </w:pPr>
                      <w:r>
                        <w:rPr>
                          <w:rFonts w:ascii="宋体" w:hAnsi="宋体" w:cs="宋体" w:eastAsia="宋体" w:hint="default"/>
                          <w:w w:val="95"/>
                          <w:sz w:val="18"/>
                          <w:szCs w:val="18"/>
                        </w:rPr>
                        <w:t>期初所有者权益中所</w:t>
                      </w:r>
                    </w:p>
                    <w:p>
                      <w:pPr>
                        <w:spacing w:line="18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益的金额</w:t>
                      </w:r>
                    </w:p>
                    <w:p>
                      <w:pPr>
                        <w:spacing w:line="210" w:lineRule="exact" w:before="0"/>
                        <w:ind w:left="1056" w:right="0" w:firstLine="0"/>
                        <w:jc w:val="left"/>
                        <w:rPr>
                          <w:rFonts w:ascii="宋体" w:hAnsi="宋体" w:cs="宋体" w:eastAsia="宋体" w:hint="default"/>
                          <w:sz w:val="18"/>
                          <w:szCs w:val="18"/>
                        </w:rPr>
                      </w:pPr>
                      <w:r>
                        <w:rPr>
                          <w:rFonts w:ascii="宋体" w:hAnsi="宋体" w:cs="宋体" w:eastAsia="宋体" w:hint="default"/>
                          <w:sz w:val="18"/>
                          <w:szCs w:val="18"/>
                        </w:rPr>
                        <w:t>享有份额后的余额</w:t>
                      </w:r>
                    </w:p>
                  </w:txbxContent>
                </v:textbox>
                <w10:wrap type="none"/>
              </v:shape>
              <v:shape style="position:absolute;left:4546;top:2452;width:105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0"/>
                          <w:sz w:val="18"/>
                          <w:szCs w:val="18"/>
                        </w:rPr>
                        <w:t>自动柜</w:t>
                      </w:r>
                      <w:r>
                        <w:rPr>
                          <w:rFonts w:ascii="宋体" w:hAnsi="宋体" w:cs="宋体" w:eastAsia="宋体" w:hint="default"/>
                          <w:spacing w:val="-59"/>
                          <w:sz w:val="18"/>
                          <w:szCs w:val="18"/>
                        </w:rPr>
                        <w:t> </w:t>
                      </w:r>
                      <w:r>
                        <w:rPr>
                          <w:rFonts w:ascii="宋体" w:hAnsi="宋体" w:cs="宋体" w:eastAsia="宋体" w:hint="default"/>
                          <w:spacing w:val="15"/>
                          <w:sz w:val="18"/>
                          <w:szCs w:val="18"/>
                        </w:rPr>
                        <w:t>员机</w:t>
                      </w:r>
                      <w:r>
                        <w:rPr>
                          <w:rFonts w:ascii="宋体" w:hAnsi="宋体" w:cs="宋体" w:eastAsia="宋体" w:hint="default"/>
                          <w:spacing w:val="-60"/>
                          <w:sz w:val="18"/>
                          <w:szCs w:val="18"/>
                        </w:rPr>
                        <w:t> </w:t>
                      </w:r>
                      <w:r>
                        <w:rPr>
                          <w:rFonts w:ascii="宋体" w:hAnsi="宋体" w:cs="宋体" w:eastAsia="宋体" w:hint="default"/>
                          <w:sz w:val="18"/>
                          <w:szCs w:val="18"/>
                        </w:rPr>
                      </w:r>
                    </w:p>
                  </w:txbxContent>
                </v:textbox>
                <w10:wrap type="none"/>
              </v:shape>
              <v:shape style="position:absolute;left:137;top:2652;width:1654;height:180" type="#_x0000_t202" filled="false" stroked="false">
                <v:textbox inset="0,0,0,0">
                  <w:txbxContent>
                    <w:p>
                      <w:pPr>
                        <w:tabs>
                          <w:tab w:pos="129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4"/>
                          <w:w w:val="95"/>
                          <w:sz w:val="18"/>
                          <w:szCs w:val="18"/>
                        </w:rPr>
                        <w:t>安徽御银电</w:t>
                        <w:tab/>
                      </w:r>
                      <w:r>
                        <w:rPr>
                          <w:rFonts w:ascii="宋体" w:hAnsi="宋体" w:cs="宋体" w:eastAsia="宋体" w:hint="default"/>
                          <w:sz w:val="18"/>
                          <w:szCs w:val="18"/>
                        </w:rPr>
                        <w:t>有限</w:t>
                      </w:r>
                    </w:p>
                  </w:txbxContent>
                </v:textbox>
                <w10:wrap type="none"/>
              </v:shape>
              <v:shape style="position:absolute;left:2780;top:2851;width:73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2"/>
                          <w:sz w:val="18"/>
                          <w:szCs w:val="18"/>
                        </w:rPr>
                        <w:t>设备销</w:t>
                      </w:r>
                      <w:r>
                        <w:rPr>
                          <w:rFonts w:ascii="宋体" w:hAnsi="宋体" w:cs="宋体" w:eastAsia="宋体" w:hint="default"/>
                          <w:spacing w:val="-27"/>
                          <w:sz w:val="18"/>
                          <w:szCs w:val="18"/>
                        </w:rPr>
                        <w:t> </w:t>
                      </w:r>
                      <w:r>
                        <w:rPr>
                          <w:rFonts w:ascii="宋体" w:hAnsi="宋体" w:cs="宋体" w:eastAsia="宋体" w:hint="default"/>
                          <w:sz w:val="18"/>
                          <w:szCs w:val="18"/>
                        </w:rPr>
                      </w:r>
                    </w:p>
                  </w:txbxContent>
                </v:textbox>
                <w10:wrap type="none"/>
              </v:shape>
              <v:shape style="position:absolute;left:4546;top:2851;width:105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0"/>
                          <w:sz w:val="18"/>
                          <w:szCs w:val="18"/>
                        </w:rPr>
                        <w:t>及点钞</w:t>
                      </w:r>
                      <w:r>
                        <w:rPr>
                          <w:rFonts w:ascii="宋体" w:hAnsi="宋体" w:cs="宋体" w:eastAsia="宋体" w:hint="default"/>
                          <w:spacing w:val="-59"/>
                          <w:sz w:val="18"/>
                          <w:szCs w:val="18"/>
                        </w:rPr>
                        <w:t> </w:t>
                      </w:r>
                      <w:r>
                        <w:rPr>
                          <w:rFonts w:ascii="宋体" w:hAnsi="宋体" w:cs="宋体" w:eastAsia="宋体" w:hint="default"/>
                          <w:spacing w:val="15"/>
                          <w:sz w:val="18"/>
                          <w:szCs w:val="18"/>
                        </w:rPr>
                        <w:t>机设</w:t>
                      </w:r>
                      <w:r>
                        <w:rPr>
                          <w:rFonts w:ascii="宋体" w:hAnsi="宋体" w:cs="宋体" w:eastAsia="宋体" w:hint="default"/>
                          <w:spacing w:val="-60"/>
                          <w:sz w:val="18"/>
                          <w:szCs w:val="18"/>
                        </w:rPr>
                        <w:t> </w:t>
                      </w:r>
                      <w:r>
                        <w:rPr>
                          <w:rFonts w:ascii="宋体" w:hAnsi="宋体" w:cs="宋体" w:eastAsia="宋体" w:hint="default"/>
                          <w:sz w:val="18"/>
                          <w:szCs w:val="18"/>
                        </w:rPr>
                      </w:r>
                    </w:p>
                  </w:txbxContent>
                </v:textbox>
                <w10:wrap type="none"/>
              </v:shape>
              <v:shape style="position:absolute;left:137;top:3052;width:2357;height:180" type="#_x0000_t202" filled="false" stroked="false">
                <v:textbox inset="0,0,0,0">
                  <w:txbxContent>
                    <w:p>
                      <w:pPr>
                        <w:tabs>
                          <w:tab w:pos="1293" w:val="left" w:leader="none"/>
                          <w:tab w:pos="199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4"/>
                          <w:w w:val="95"/>
                          <w:sz w:val="18"/>
                          <w:szCs w:val="18"/>
                        </w:rPr>
                        <w:t>子科技有限</w:t>
                        <w:tab/>
                      </w:r>
                      <w:r>
                        <w:rPr>
                          <w:rFonts w:ascii="宋体" w:hAnsi="宋体" w:cs="宋体" w:eastAsia="宋体" w:hint="default"/>
                          <w:sz w:val="18"/>
                          <w:szCs w:val="18"/>
                        </w:rPr>
                        <w:t>责任</w:t>
                        <w:tab/>
                        <w:t>安徽</w:t>
                      </w:r>
                    </w:p>
                  </w:txbxContent>
                </v:textbox>
                <w10:wrap type="none"/>
              </v:shape>
              <v:shape style="position:absolute;left:4060;top:3071;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w:t>
                      </w:r>
                    </w:p>
                  </w:txbxContent>
                </v:textbox>
                <w10:wrap type="none"/>
              </v:shape>
              <v:shape style="position:absolute;left:6178;top:3071;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w:t>
                      </w:r>
                    </w:p>
                  </w:txbxContent>
                </v:textbox>
                <w10:wrap type="none"/>
              </v:shape>
              <v:shape style="position:absolute;left:7765;top:3071;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8479;top:3052;width:819;height:200" type="#_x0000_t202" filled="false" stroked="false">
                <v:textbox inset="0,0,0,0">
                  <w:txbxContent>
                    <w:p>
                      <w:pPr>
                        <w:tabs>
                          <w:tab w:pos="638"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tab/>
                      </w:r>
                      <w:r>
                        <w:rPr>
                          <w:rFonts w:ascii="宋体" w:hAnsi="宋体" w:cs="宋体" w:eastAsia="宋体" w:hint="default"/>
                          <w:position w:val="1"/>
                          <w:sz w:val="18"/>
                          <w:szCs w:val="18"/>
                        </w:rPr>
                        <w:t>是</w:t>
                      </w:r>
                      <w:r>
                        <w:rPr>
                          <w:rFonts w:ascii="宋体" w:hAnsi="宋体" w:cs="宋体" w:eastAsia="宋体" w:hint="default"/>
                          <w:sz w:val="18"/>
                          <w:szCs w:val="18"/>
                        </w:rPr>
                      </w:r>
                    </w:p>
                  </w:txbxContent>
                </v:textbox>
                <w10:wrap type="none"/>
              </v:shape>
              <v:shape style="position:absolute;left:2780;top:3252;width:2789;height:180" type="#_x0000_t202" filled="false" stroked="false">
                <v:textbox inset="0,0,0,0">
                  <w:txbxContent>
                    <w:p>
                      <w:pPr>
                        <w:tabs>
                          <w:tab w:pos="176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4"/>
                          <w:sz w:val="18"/>
                          <w:szCs w:val="18"/>
                        </w:rPr>
                        <w:t>售、租赁</w:t>
                        <w:tab/>
                      </w:r>
                      <w:r>
                        <w:rPr>
                          <w:rFonts w:ascii="宋体" w:hAnsi="宋体" w:cs="宋体" w:eastAsia="宋体" w:hint="default"/>
                          <w:spacing w:val="-10"/>
                          <w:sz w:val="18"/>
                          <w:szCs w:val="18"/>
                        </w:rPr>
                        <w:t>备的研发、销</w:t>
                      </w:r>
                    </w:p>
                  </w:txbxContent>
                </v:textbox>
                <w10:wrap type="none"/>
              </v:shape>
              <v:shape style="position:absolute;left:137;top:345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1431;top:345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4546;top:365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售</w:t>
                      </w:r>
                    </w:p>
                  </w:txbxContent>
                </v:textbox>
                <w10:wrap type="none"/>
              </v:shape>
            </v:group>
          </v:group>
        </w:pict>
      </w:r>
      <w:r>
        <w:rPr>
          <w:rFonts w:ascii="宋体" w:hAnsi="宋体" w:cs="宋体" w:eastAsia="宋体" w:hint="default"/>
          <w:position w:val="-77"/>
          <w:sz w:val="20"/>
          <w:szCs w:val="20"/>
        </w:rPr>
      </w:r>
    </w:p>
    <w:p>
      <w:pPr>
        <w:spacing w:after="0" w:line="3889" w:lineRule="exact"/>
        <w:rPr>
          <w:rFonts w:ascii="宋体" w:hAnsi="宋体" w:cs="宋体" w:eastAsia="宋体" w:hint="default"/>
          <w:sz w:val="20"/>
          <w:szCs w:val="20"/>
        </w:rPr>
        <w:sectPr>
          <w:pgSz w:w="16840" w:h="11910" w:orient="landscape"/>
          <w:pgMar w:header="885" w:footer="1252" w:top="1120" w:bottom="1440" w:left="1300" w:right="1240"/>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5"/>
          <w:szCs w:val="15"/>
        </w:rPr>
      </w:pPr>
    </w:p>
    <w:p>
      <w:pPr>
        <w:tabs>
          <w:tab w:pos="854" w:val="left" w:leader="none"/>
        </w:tabs>
        <w:spacing w:before="0"/>
        <w:ind w:left="125" w:right="328" w:firstLine="0"/>
        <w:jc w:val="left"/>
        <w:rPr>
          <w:rFonts w:ascii="宋体" w:hAnsi="宋体" w:cs="宋体" w:eastAsia="宋体" w:hint="default"/>
          <w:sz w:val="21"/>
          <w:szCs w:val="21"/>
        </w:rPr>
      </w:pPr>
      <w:r>
        <w:rPr>
          <w:rFonts w:ascii="宋体" w:hAnsi="宋体" w:cs="宋体" w:eastAsia="宋体" w:hint="default"/>
          <w:b/>
          <w:bCs/>
          <w:w w:val="95"/>
          <w:sz w:val="21"/>
          <w:szCs w:val="21"/>
        </w:rPr>
        <w:t>(二)</w:t>
        <w:tab/>
      </w:r>
      <w:r>
        <w:rPr>
          <w:rFonts w:ascii="宋体" w:hAnsi="宋体" w:cs="宋体" w:eastAsia="宋体" w:hint="default"/>
          <w:b/>
          <w:bCs/>
          <w:sz w:val="21"/>
          <w:szCs w:val="21"/>
        </w:rPr>
        <w:t>合并范围发生变更的说明</w:t>
      </w:r>
      <w:r>
        <w:rPr>
          <w:rFonts w:ascii="宋体" w:hAnsi="宋体" w:cs="宋体" w:eastAsia="宋体" w:hint="default"/>
          <w:sz w:val="21"/>
          <w:szCs w:val="21"/>
        </w:rPr>
      </w:r>
    </w:p>
    <w:p>
      <w:pPr>
        <w:spacing w:line="336" w:lineRule="auto" w:before="125"/>
        <w:ind w:left="857" w:right="328"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与上年相比本年新增合并单位 </w:t>
      </w:r>
      <w:r>
        <w:rPr>
          <w:rFonts w:ascii="Times New Roman" w:hAnsi="Times New Roman" w:cs="Times New Roman" w:eastAsia="Times New Roman" w:hint="default"/>
          <w:sz w:val="21"/>
          <w:szCs w:val="21"/>
        </w:rPr>
        <w:t>1 </w:t>
      </w:r>
      <w:r>
        <w:rPr>
          <w:rFonts w:ascii="宋体" w:hAnsi="宋体" w:cs="宋体" w:eastAsia="宋体" w:hint="default"/>
          <w:sz w:val="21"/>
          <w:szCs w:val="21"/>
        </w:rPr>
        <w:t>家，原因为：公司于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月新设成立全 资子公司广州御银先端电子科技有限公司，从设立起纳入合并范围。 </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r>
      <w:r>
        <w:rPr>
          <w:rFonts w:ascii="宋体" w:hAnsi="宋体" w:cs="宋体" w:eastAsia="宋体" w:hint="default"/>
          <w:sz w:val="21"/>
          <w:szCs w:val="21"/>
        </w:rPr>
        <w:t>与上年相比本年减少合并单位</w:t>
      </w:r>
      <w:r>
        <w:rPr>
          <w:rFonts w:ascii="宋体" w:hAnsi="宋体" w:cs="宋体" w:eastAsia="宋体" w:hint="default"/>
          <w:spacing w:val="-6"/>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家，原因为：公司于</w:t>
      </w:r>
      <w:r>
        <w:rPr>
          <w:rFonts w:ascii="宋体" w:hAnsi="宋体" w:cs="宋体" w:eastAsia="宋体" w:hint="default"/>
          <w:spacing w:val="-56"/>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月注销全资子公 司珠海市御银电子科技有限公司，从注销起不再纳入合并范围。</w:t>
      </w:r>
    </w:p>
    <w:p>
      <w:pPr>
        <w:spacing w:line="240" w:lineRule="auto" w:before="0"/>
        <w:rPr>
          <w:rFonts w:ascii="宋体" w:hAnsi="宋体" w:cs="宋体" w:eastAsia="宋体" w:hint="default"/>
          <w:sz w:val="20"/>
          <w:szCs w:val="20"/>
        </w:rPr>
      </w:pPr>
    </w:p>
    <w:p>
      <w:pPr>
        <w:tabs>
          <w:tab w:pos="854" w:val="left" w:leader="none"/>
        </w:tabs>
        <w:spacing w:before="180"/>
        <w:ind w:left="125" w:right="328" w:firstLine="0"/>
        <w:jc w:val="left"/>
        <w:rPr>
          <w:rFonts w:ascii="宋体" w:hAnsi="宋体" w:cs="宋体" w:eastAsia="宋体" w:hint="default"/>
          <w:sz w:val="21"/>
          <w:szCs w:val="21"/>
        </w:rPr>
      </w:pPr>
      <w:r>
        <w:rPr>
          <w:rFonts w:ascii="宋体" w:hAnsi="宋体" w:cs="宋体" w:eastAsia="宋体" w:hint="default"/>
          <w:b/>
          <w:bCs/>
          <w:w w:val="95"/>
          <w:sz w:val="21"/>
          <w:szCs w:val="21"/>
        </w:rPr>
        <w:t>(三)</w:t>
        <w:tab/>
      </w:r>
      <w:r>
        <w:rPr>
          <w:rFonts w:ascii="宋体" w:hAnsi="宋体" w:cs="宋体" w:eastAsia="宋体" w:hint="default"/>
          <w:b/>
          <w:bCs/>
          <w:sz w:val="21"/>
          <w:szCs w:val="21"/>
        </w:rPr>
        <w:t>本期新纳入合并范围的主体和本期不再纳入合并范围的主体</w:t>
      </w:r>
      <w:r>
        <w:rPr>
          <w:rFonts w:ascii="宋体" w:hAnsi="宋体" w:cs="宋体" w:eastAsia="宋体" w:hint="default"/>
          <w:sz w:val="21"/>
          <w:szCs w:val="21"/>
        </w:rPr>
      </w:r>
    </w:p>
    <w:p>
      <w:pPr>
        <w:tabs>
          <w:tab w:pos="1399" w:val="left" w:leader="none"/>
        </w:tabs>
        <w:spacing w:line="350" w:lineRule="auto" w:before="125"/>
        <w:ind w:left="1415" w:right="515" w:hanging="567"/>
        <w:jc w:val="left"/>
        <w:rPr>
          <w:rFonts w:ascii="宋体" w:hAnsi="宋体" w:cs="宋体" w:eastAsia="宋体" w:hint="default"/>
          <w:sz w:val="21"/>
          <w:szCs w:val="21"/>
        </w:rPr>
      </w:pPr>
      <w:r>
        <w:rPr/>
        <w:pict>
          <v:group style="position:absolute;margin-left:119.010002pt;margin-top:41.612183pt;width:389.8pt;height:42.5pt;mso-position-horizontal-relative:page;mso-position-vertical-relative:paragraph;z-index:-823000" coordorigin="2380,832" coordsize="7796,850">
            <v:group style="position:absolute;left:2410;top:847;width:5570;height:2" coordorigin="2410,847" coordsize="5570,2">
              <v:shape style="position:absolute;left:2410;top:847;width:5570;height:2" coordorigin="2410,847" coordsize="5570,0" path="m2410,847l7979,847e" filled="false" stroked="true" strokeweight="1.5pt" strokecolor="#000000">
                <v:path arrowok="t"/>
              </v:shape>
            </v:group>
            <v:group style="position:absolute;left:7979;top:847;width:2182;height:2" coordorigin="7979,847" coordsize="2182,2">
              <v:shape style="position:absolute;left:7979;top:847;width:2182;height:2" coordorigin="7979,847" coordsize="2182,0" path="m7979,847l10160,847e" filled="false" stroked="true" strokeweight="1.5pt" strokecolor="#000000">
                <v:path arrowok="t"/>
              </v:shape>
            </v:group>
            <v:group style="position:absolute;left:2395;top:1667;width:3310;height:2" coordorigin="2395,1667" coordsize="3310,2">
              <v:shape style="position:absolute;left:2395;top:1667;width:3310;height:2" coordorigin="2395,1667" coordsize="3310,0" path="m2395,1667l5705,1667e" filled="false" stroked="true" strokeweight="1.5pt" strokecolor="#000000">
                <v:path arrowok="t"/>
              </v:shape>
            </v:group>
            <v:group style="position:absolute;left:5705;top:1667;width:2244;height:2" coordorigin="5705,1667" coordsize="2244,2">
              <v:shape style="position:absolute;left:5705;top:1667;width:2244;height:2" coordorigin="5705,1667" coordsize="2244,0" path="m5705,1667l7949,1667e" filled="false" stroked="true" strokeweight="1.5pt" strokecolor="#000000">
                <v:path arrowok="t"/>
              </v:shape>
              <v:shape style="position:absolute;left:2381;top:833;width:7795;height:818" type="#_x0000_t75" stroked="false">
                <v:imagedata r:id="rId62" o:title=""/>
              </v:shape>
            </v:group>
            <v:group style="position:absolute;left:7949;top:1667;width:30;height:2" coordorigin="7949,1667" coordsize="30,2">
              <v:shape style="position:absolute;left:7949;top:1667;width:30;height:2" coordorigin="7949,1667" coordsize="30,0" path="m7949,1667l7979,1667e" filled="false" stroked="true" strokeweight="1.5pt" strokecolor="#000000">
                <v:path arrowok="t"/>
              </v:shape>
            </v:group>
            <v:group style="position:absolute;left:7979;top:1667;width:2182;height:2" coordorigin="7979,1667" coordsize="2182,2">
              <v:shape style="position:absolute;left:7979;top:1667;width:2182;height:2" coordorigin="7979,1667" coordsize="2182,0" path="m7979,1667l10160,1667e" filled="false" stroked="true" strokeweight="1.5pt" strokecolor="#000000">
                <v:path arrowok="t"/>
              </v:shape>
              <v:shape style="position:absolute;left:4163;top:96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名称</w:t>
                      </w:r>
                    </w:p>
                  </w:txbxContent>
                </v:textbox>
                <w10:wrap type="none"/>
              </v:shape>
              <v:shape style="position:absolute;left:6665;top:96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期末净资产</w:t>
                      </w:r>
                    </w:p>
                  </w:txbxContent>
                </v:textbox>
                <w10:wrap type="none"/>
              </v:shape>
              <v:shape style="position:absolute;left:8890;top:96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本期净利润</w:t>
                      </w:r>
                    </w:p>
                  </w:txbxContent>
                </v:textbox>
                <w10:wrap type="none"/>
              </v:shape>
              <v:shape style="position:absolute;left:2509;top:1366;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广州御银先端电子科技有限公司</w:t>
                      </w:r>
                    </w:p>
                  </w:txbxContent>
                </v:textbox>
                <w10:wrap type="none"/>
              </v:shape>
              <v:shape style="position:absolute;left:6810;top:137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19,988,768.51</w:t>
                      </w:r>
                    </w:p>
                  </w:txbxContent>
                </v:textbox>
                <w10:wrap type="none"/>
              </v:shape>
              <v:shape style="position:absolute;left:9278;top:1375;width:77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-11,231.49</w:t>
                      </w:r>
                    </w:p>
                  </w:txbxContent>
                </v:textbox>
                <w10:wrap type="none"/>
              </v:shape>
            </v:group>
            <w10:wrap type="none"/>
          </v:group>
        </w:pict>
      </w:r>
      <w:r>
        <w:rPr>
          <w:rFonts w:ascii="宋体" w:hAnsi="宋体" w:cs="宋体" w:eastAsia="宋体" w:hint="default"/>
          <w:b/>
          <w:bCs/>
          <w:w w:val="95"/>
          <w:sz w:val="21"/>
          <w:szCs w:val="21"/>
        </w:rPr>
        <w:t>1、</w:t>
        <w:tab/>
      </w:r>
      <w:r>
        <w:rPr>
          <w:rFonts w:ascii="宋体" w:hAnsi="宋体" w:cs="宋体" w:eastAsia="宋体" w:hint="default"/>
          <w:b/>
          <w:bCs/>
          <w:spacing w:val="3"/>
          <w:w w:val="95"/>
          <w:sz w:val="21"/>
          <w:szCs w:val="21"/>
        </w:rPr>
        <w:t>本期新纳入合并范围的子公司、特殊目的主体、通过受托经营或承租等方式</w:t>
      </w:r>
      <w:r>
        <w:rPr>
          <w:rFonts w:ascii="宋体" w:hAnsi="宋体" w:cs="宋体" w:eastAsia="宋体" w:hint="default"/>
          <w:b/>
          <w:bCs/>
          <w:spacing w:val="12"/>
          <w:w w:val="95"/>
          <w:sz w:val="21"/>
          <w:szCs w:val="21"/>
        </w:rPr>
        <w:t> </w:t>
      </w:r>
      <w:r>
        <w:rPr>
          <w:rFonts w:ascii="宋体" w:hAnsi="宋体" w:cs="宋体" w:eastAsia="宋体" w:hint="default"/>
          <w:b/>
          <w:bCs/>
          <w:spacing w:val="12"/>
          <w:w w:val="95"/>
          <w:sz w:val="21"/>
          <w:szCs w:val="21"/>
        </w:rPr>
      </w:r>
      <w:r>
        <w:rPr>
          <w:rFonts w:ascii="宋体" w:hAnsi="宋体" w:cs="宋体" w:eastAsia="宋体" w:hint="default"/>
          <w:b/>
          <w:bCs/>
          <w:sz w:val="21"/>
          <w:szCs w:val="21"/>
        </w:rPr>
        <w:t>形成控制权的经营实体</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tabs>
          <w:tab w:pos="1399" w:val="left" w:leader="none"/>
        </w:tabs>
        <w:spacing w:line="348" w:lineRule="auto" w:before="35"/>
        <w:ind w:left="1415" w:right="515" w:hanging="567"/>
        <w:jc w:val="left"/>
        <w:rPr>
          <w:rFonts w:ascii="宋体" w:hAnsi="宋体" w:cs="宋体" w:eastAsia="宋体" w:hint="default"/>
          <w:sz w:val="21"/>
          <w:szCs w:val="21"/>
        </w:rPr>
      </w:pPr>
      <w:r>
        <w:rPr/>
        <w:pict>
          <v:group style="position:absolute;margin-left:119.010002pt;margin-top:37.053974pt;width:389.8pt;height:41pt;mso-position-horizontal-relative:page;mso-position-vertical-relative:paragraph;z-index:-822832" coordorigin="2380,741" coordsize="7796,820">
            <v:group style="position:absolute;left:2410;top:756;width:5570;height:2" coordorigin="2410,756" coordsize="5570,2">
              <v:shape style="position:absolute;left:2410;top:756;width:5570;height:2" coordorigin="2410,756" coordsize="5570,0" path="m2410,756l7979,756e" filled="false" stroked="true" strokeweight="1.5pt" strokecolor="#000000">
                <v:path arrowok="t"/>
              </v:shape>
            </v:group>
            <v:group style="position:absolute;left:7979;top:756;width:2182;height:2" coordorigin="7979,756" coordsize="2182,2">
              <v:shape style="position:absolute;left:7979;top:756;width:2182;height:2" coordorigin="7979,756" coordsize="2182,0" path="m7979,756l10160,756e" filled="false" stroked="true" strokeweight="1.5pt" strokecolor="#000000">
                <v:path arrowok="t"/>
              </v:shape>
            </v:group>
            <v:group style="position:absolute;left:2395;top:1546;width:3310;height:2" coordorigin="2395,1546" coordsize="3310,2">
              <v:shape style="position:absolute;left:2395;top:1546;width:3310;height:2" coordorigin="2395,1546" coordsize="3310,0" path="m2395,1546l5705,1546e" filled="false" stroked="true" strokeweight="1.5pt" strokecolor="#000000">
                <v:path arrowok="t"/>
              </v:shape>
            </v:group>
            <v:group style="position:absolute;left:5705;top:1546;width:2244;height:2" coordorigin="5705,1546" coordsize="2244,2">
              <v:shape style="position:absolute;left:5705;top:1546;width:2244;height:2" coordorigin="5705,1546" coordsize="2244,0" path="m5705,1546l7949,1546e" filled="false" stroked="true" strokeweight="1.5pt" strokecolor="#000000">
                <v:path arrowok="t"/>
              </v:shape>
              <v:shape style="position:absolute;left:2381;top:742;width:7795;height:788" type="#_x0000_t75" stroked="false">
                <v:imagedata r:id="rId63" o:title=""/>
              </v:shape>
            </v:group>
            <v:group style="position:absolute;left:7949;top:1546;width:30;height:2" coordorigin="7949,1546" coordsize="30,2">
              <v:shape style="position:absolute;left:7949;top:1546;width:30;height:2" coordorigin="7949,1546" coordsize="30,0" path="m7949,1546l7979,1546e" filled="false" stroked="true" strokeweight="1.5pt" strokecolor="#000000">
                <v:path arrowok="t"/>
              </v:shape>
            </v:group>
            <v:group style="position:absolute;left:7979;top:1546;width:2182;height:2" coordorigin="7979,1546" coordsize="2182,2">
              <v:shape style="position:absolute;left:7979;top:1546;width:2182;height:2" coordorigin="7979,1546" coordsize="2182,0" path="m7979,1546l10160,1546e" filled="false" stroked="true" strokeweight="1.5pt" strokecolor="#000000">
                <v:path arrowok="t"/>
              </v:shape>
              <v:shape style="position:absolute;left:3875;top:86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名称</w:t>
                      </w:r>
                    </w:p>
                  </w:txbxContent>
                </v:textbox>
                <w10:wrap type="none"/>
              </v:shape>
              <v:shape style="position:absolute;left:6266;top:86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处置日净资产</w:t>
                      </w:r>
                    </w:p>
                  </w:txbxContent>
                </v:textbox>
                <w10:wrap type="none"/>
              </v:shape>
              <v:shape style="position:absolute;left:8245;top:868;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期初至处置日净利润</w:t>
                      </w:r>
                    </w:p>
                  </w:txbxContent>
                </v:textbox>
                <w10:wrap type="none"/>
              </v:shape>
              <v:shape style="position:absolute;left:2509;top:1254;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珠海市御银电子科技有限公司</w:t>
                      </w:r>
                    </w:p>
                  </w:txbxContent>
                </v:textbox>
                <w10:wrap type="none"/>
              </v:shape>
              <v:shape style="position:absolute;left:6840;top:1261;width:10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-1,071,183.26</w:t>
                      </w:r>
                    </w:p>
                  </w:txbxContent>
                </v:textbox>
                <w10:wrap type="none"/>
              </v:shape>
              <v:shape style="position:absolute;left:9421;top:1261;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1,629.36</w:t>
                      </w:r>
                    </w:p>
                  </w:txbxContent>
                </v:textbox>
                <w10:wrap type="none"/>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pacing w:val="3"/>
          <w:w w:val="95"/>
          <w:sz w:val="21"/>
          <w:szCs w:val="21"/>
        </w:rPr>
        <w:t>本期不再纳入合并范围的子公司、特殊目的主体、通过受托经营或承租等方</w:t>
      </w:r>
      <w:r>
        <w:rPr>
          <w:rFonts w:ascii="宋体" w:hAnsi="宋体" w:cs="宋体" w:eastAsia="宋体" w:hint="default"/>
          <w:b/>
          <w:bCs/>
          <w:spacing w:val="12"/>
          <w:w w:val="95"/>
          <w:sz w:val="21"/>
          <w:szCs w:val="21"/>
        </w:rPr>
        <w:t> </w:t>
      </w:r>
      <w:r>
        <w:rPr>
          <w:rFonts w:ascii="宋体" w:hAnsi="宋体" w:cs="宋体" w:eastAsia="宋体" w:hint="default"/>
          <w:b/>
          <w:bCs/>
          <w:spacing w:val="12"/>
          <w:w w:val="95"/>
          <w:sz w:val="21"/>
          <w:szCs w:val="21"/>
        </w:rPr>
      </w:r>
      <w:r>
        <w:rPr>
          <w:rFonts w:ascii="宋体" w:hAnsi="宋体" w:cs="宋体" w:eastAsia="宋体" w:hint="default"/>
          <w:b/>
          <w:bCs/>
          <w:sz w:val="21"/>
          <w:szCs w:val="21"/>
        </w:rPr>
        <w:t>式形成控制权的经营实体</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4"/>
          <w:szCs w:val="14"/>
        </w:rPr>
      </w:pPr>
    </w:p>
    <w:p>
      <w:pPr>
        <w:tabs>
          <w:tab w:pos="853" w:val="left" w:leader="none"/>
        </w:tabs>
        <w:spacing w:before="0"/>
        <w:ind w:left="125" w:right="328" w:firstLine="0"/>
        <w:jc w:val="left"/>
        <w:rPr>
          <w:rFonts w:ascii="宋体" w:hAnsi="宋体" w:cs="宋体" w:eastAsia="宋体" w:hint="default"/>
          <w:sz w:val="21"/>
          <w:szCs w:val="21"/>
        </w:rPr>
      </w:pPr>
      <w:r>
        <w:rPr>
          <w:rFonts w:ascii="宋体" w:hAnsi="宋体" w:cs="宋体" w:eastAsia="宋体" w:hint="default"/>
          <w:b/>
          <w:bCs/>
          <w:w w:val="95"/>
          <w:sz w:val="21"/>
          <w:szCs w:val="21"/>
        </w:rPr>
        <w:t>五、</w:t>
        <w:tab/>
      </w:r>
      <w:r>
        <w:rPr>
          <w:rFonts w:ascii="宋体" w:hAnsi="宋体" w:cs="宋体" w:eastAsia="宋体" w:hint="default"/>
          <w:b/>
          <w:bCs/>
          <w:sz w:val="21"/>
          <w:szCs w:val="21"/>
        </w:rPr>
        <w:t>合并财务报表主要项目注释</w:t>
      </w:r>
      <w:r>
        <w:rPr>
          <w:rFonts w:ascii="宋体" w:hAnsi="宋体" w:cs="宋体" w:eastAsia="宋体" w:hint="default"/>
          <w:sz w:val="21"/>
          <w:szCs w:val="21"/>
        </w:rPr>
      </w:r>
    </w:p>
    <w:p>
      <w:pPr>
        <w:spacing w:before="75"/>
        <w:ind w:left="857" w:right="328" w:firstLine="0"/>
        <w:jc w:val="left"/>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w:t>
      </w:r>
    </w:p>
    <w:p>
      <w:pPr>
        <w:tabs>
          <w:tab w:pos="853" w:val="left" w:leader="none"/>
        </w:tabs>
        <w:spacing w:before="74"/>
        <w:ind w:left="125" w:right="328" w:firstLine="0"/>
        <w:jc w:val="left"/>
        <w:rPr>
          <w:rFonts w:ascii="宋体" w:hAnsi="宋体" w:cs="宋体" w:eastAsia="宋体" w:hint="default"/>
          <w:sz w:val="21"/>
          <w:szCs w:val="21"/>
        </w:rPr>
      </w:pPr>
      <w:r>
        <w:rPr/>
        <w:pict>
          <v:group style="position:absolute;margin-left:88.529999pt;margin-top:19.082779pt;width:428.55pt;height:271.6pt;mso-position-horizontal-relative:page;mso-position-vertical-relative:paragraph;z-index:-821656" coordorigin="1771,382" coordsize="8571,5432">
            <v:group style="position:absolute;left:1800;top:397;width:8523;height:2" coordorigin="1800,397" coordsize="8523,2">
              <v:shape style="position:absolute;left:1800;top:397;width:8523;height:2" coordorigin="1800,397" coordsize="8523,0" path="m1800,397l10322,397e" filled="false" stroked="true" strokeweight="1.5pt" strokecolor="#000000">
                <v:path arrowok="t"/>
              </v:shape>
              <v:shape style="position:absolute;left:3266;top:383;width:3497;height:432" type="#_x0000_t75" stroked="false">
                <v:imagedata r:id="rId64" o:title=""/>
              </v:shape>
              <v:shape style="position:absolute;left:3276;top:767;width:7066;height:422" type="#_x0000_t75" stroked="false">
                <v:imagedata r:id="rId65" o:title=""/>
              </v:shape>
            </v:group>
            <v:group style="position:absolute;left:1786;top:5798;width:1510;height:2" coordorigin="1786,5798" coordsize="1510,2">
              <v:shape style="position:absolute;left:1786;top:5798;width:1510;height:2" coordorigin="1786,5798" coordsize="1510,0" path="m1786,5798l3295,5798e" filled="false" stroked="true" strokeweight="1.5pt" strokecolor="#000000">
                <v:path arrowok="t"/>
              </v:shape>
            </v:group>
            <v:group style="position:absolute;left:3295;top:5798;width:1252;height:2" coordorigin="3295,5798" coordsize="1252,2">
              <v:shape style="position:absolute;left:3295;top:5798;width:1252;height:2" coordorigin="3295,5798" coordsize="1252,0" path="m3295,5798l4547,5798e" filled="false" stroked="true" strokeweight="1.5pt" strokecolor="#000000">
                <v:path arrowok="t"/>
              </v:shape>
            </v:group>
            <v:group style="position:absolute;left:4547;top:5798;width:837;height:2" coordorigin="4547,5798" coordsize="837,2">
              <v:shape style="position:absolute;left:4547;top:5798;width:837;height:2" coordorigin="4547,5798" coordsize="837,0" path="m4547,5798l5383,5798e" filled="false" stroked="true" strokeweight="1.5pt" strokecolor="#000000">
                <v:path arrowok="t"/>
              </v:shape>
            </v:group>
            <v:group style="position:absolute;left:5383;top:5798;width:1342;height:2" coordorigin="5383,5798" coordsize="1342,2">
              <v:shape style="position:absolute;left:5383;top:5798;width:1342;height:2" coordorigin="5383,5798" coordsize="1342,0" path="m5383,5798l6725,5798e" filled="false" stroked="true" strokeweight="1.5pt" strokecolor="#000000">
                <v:path arrowok="t"/>
              </v:shape>
            </v:group>
            <v:group style="position:absolute;left:6725;top:5798;width:1244;height:2" coordorigin="6725,5798" coordsize="1244,2">
              <v:shape style="position:absolute;left:6725;top:5798;width:1244;height:2" coordorigin="6725,5798" coordsize="1244,0" path="m6725,5798l7968,5798e" filled="false" stroked="true" strokeweight="1.5pt" strokecolor="#000000">
                <v:path arrowok="t"/>
              </v:shape>
            </v:group>
            <v:group style="position:absolute;left:7968;top:5798;width:828;height:2" coordorigin="7968,5798" coordsize="828,2">
              <v:shape style="position:absolute;left:7968;top:5798;width:828;height:2" coordorigin="7968,5798" coordsize="828,0" path="m7968,5798l8796,5798e" filled="false" stroked="true" strokeweight="1.5pt" strokecolor="#000000">
                <v:path arrowok="t"/>
              </v:shape>
              <v:shape style="position:absolute;left:1781;top:1151;width:8561;height:4632" type="#_x0000_t75" stroked="false">
                <v:imagedata r:id="rId66" o:title=""/>
              </v:shape>
            </v:group>
            <v:group style="position:absolute;left:8796;top:5798;width:1527;height:2" coordorigin="8796,5798" coordsize="1527,2">
              <v:shape style="position:absolute;left:8796;top:5798;width:1527;height:2" coordorigin="8796,5798" coordsize="1527,0" path="m8796,5798l10322,5798e" filled="false" stroked="true" strokeweight="1.5pt" strokecolor="#000000">
                <v:path arrowok="t"/>
              </v:shape>
              <v:shape style="position:absolute;left:4654;top:50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165;top:50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370;top:75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565;top:89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外币金额</w:t>
                      </w:r>
                    </w:p>
                  </w:txbxContent>
                </v:textbox>
                <w10:wrap type="none"/>
              </v:shape>
              <v:shape style="position:absolute;left:4699;top:893;width:1810;height:180" type="#_x0000_t202" filled="false" stroked="false">
                <v:textbox inset="0,0,0,0">
                  <w:txbxContent>
                    <w:p>
                      <w:pPr>
                        <w:tabs>
                          <w:tab w:pos="90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折算率</w:t>
                        <w:tab/>
                        <w:t>人民币金额</w:t>
                      </w:r>
                    </w:p>
                  </w:txbxContent>
                </v:textbox>
                <w10:wrap type="none"/>
              </v:shape>
              <v:shape style="position:absolute;left:6990;top:89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外币金额</w:t>
                      </w:r>
                    </w:p>
                  </w:txbxContent>
                </v:textbox>
                <w10:wrap type="none"/>
              </v:shape>
              <v:shape style="position:absolute;left:8117;top:89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折算率</w:t>
                      </w:r>
                    </w:p>
                  </w:txbxContent>
                </v:textbox>
                <w10:wrap type="none"/>
              </v:shape>
              <v:shape style="position:absolute;left:9112;top:89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人民币金额</w:t>
                      </w:r>
                    </w:p>
                  </w:txbxContent>
                </v:textbox>
                <w10:wrap type="none"/>
              </v:shape>
              <v:shape style="position:absolute;left:1908;top:127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现金</w:t>
                      </w:r>
                    </w:p>
                  </w:txbxContent>
                </v:textbox>
                <w10:wrap type="none"/>
              </v:shape>
              <v:shape style="position:absolute;left:3835;top:135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4879;top:135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7260;top:135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8297;top:135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2088;top:166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人民币</w:t>
                      </w:r>
                    </w:p>
                  </w:txbxContent>
                </v:textbox>
                <w10:wrap type="none"/>
              </v:shape>
              <v:shape style="position:absolute;left:3835;top:1738;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4879;top:1738;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5812;top:167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223,551.20</w:t>
                      </w:r>
                    </w:p>
                  </w:txbxContent>
                </v:textbox>
                <w10:wrap type="none"/>
              </v:shape>
              <v:shape style="position:absolute;left:7260;top:1738;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8297;top:1738;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9404;top:167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195,631.63</w:t>
                      </w:r>
                    </w:p>
                  </w:txbxContent>
                </v:textbox>
                <w10:wrap type="none"/>
              </v:shape>
              <v:shape style="position:absolute;left:2088;top:2046;width:8128;height:188" type="#_x0000_t202" filled="false" stroked="false">
                <v:textbox inset="0,0,0,0">
                  <w:txbxContent>
                    <w:p>
                      <w:pPr>
                        <w:tabs>
                          <w:tab w:pos="3723" w:val="left" w:leader="none"/>
                          <w:tab w:pos="7316" w:val="left" w:leader="none"/>
                        </w:tabs>
                        <w:spacing w:line="187"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小计</w:t>
                        <w:tab/>
                      </w:r>
                      <w:r>
                        <w:rPr>
                          <w:rFonts w:ascii="Times New Roman" w:hAnsi="Times New Roman" w:cs="Times New Roman" w:eastAsia="Times New Roman" w:hint="default"/>
                          <w:sz w:val="18"/>
                          <w:szCs w:val="18"/>
                        </w:rPr>
                        <w:t>223,551.20</w:t>
                        <w:tab/>
                        <w:t>195,631.63</w:t>
                      </w:r>
                    </w:p>
                  </w:txbxContent>
                </v:textbox>
                <w10:wrap type="none"/>
              </v:shape>
              <v:shape style="position:absolute;left:1908;top:24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银行存款</w:t>
                      </w:r>
                    </w:p>
                  </w:txbxContent>
                </v:textbox>
                <w10:wrap type="none"/>
              </v:shape>
              <v:shape style="position:absolute;left:3835;top:2507;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4879;top:2507;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7260;top:2507;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8297;top:2507;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2088;top:281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人民币</w:t>
                      </w:r>
                    </w:p>
                  </w:txbxContent>
                </v:textbox>
                <w10:wrap type="none"/>
              </v:shape>
              <v:shape style="position:absolute;left:3835;top:2891;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4879;top:2891;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5497;top:2823;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159,241,240.19</w:t>
                      </w:r>
                    </w:p>
                  </w:txbxContent>
                </v:textbox>
                <w10:wrap type="none"/>
              </v:shape>
              <v:shape style="position:absolute;left:7260;top:2891;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8297;top:2891;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9090;top:2823;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222,141,207.36</w:t>
                      </w:r>
                    </w:p>
                  </w:txbxContent>
                </v:textbox>
                <w10:wrap type="none"/>
              </v:shape>
              <v:shape style="position:absolute;left:1908;top:473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其他货币资金</w:t>
                      </w:r>
                    </w:p>
                  </w:txbxContent>
                </v:textbox>
                <w10:wrap type="none"/>
              </v:shape>
              <v:shape style="position:absolute;left:3835;top:481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4879;top:481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7260;top:481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8297;top:481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2088;top:5122;width:540;height:56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人民币</w:t>
                      </w:r>
                    </w:p>
                    <w:p>
                      <w:pPr>
                        <w:spacing w:before="148"/>
                        <w:ind w:left="0" w:right="0" w:firstLine="0"/>
                        <w:jc w:val="left"/>
                        <w:rPr>
                          <w:rFonts w:ascii="宋体" w:hAnsi="宋体" w:cs="宋体" w:eastAsia="宋体" w:hint="default"/>
                          <w:sz w:val="18"/>
                          <w:szCs w:val="18"/>
                        </w:rPr>
                      </w:pPr>
                      <w:r>
                        <w:rPr>
                          <w:rFonts w:ascii="宋体" w:hAnsi="宋体" w:cs="宋体" w:eastAsia="宋体" w:hint="default"/>
                          <w:sz w:val="18"/>
                          <w:szCs w:val="18"/>
                        </w:rPr>
                        <w:t>美元</w:t>
                      </w:r>
                    </w:p>
                  </w:txbxContent>
                </v:textbox>
                <w10:wrap type="none"/>
              </v:shape>
              <v:shape style="position:absolute;left:3634;top:5198;width:812;height:496" type="#_x0000_t202" filled="false" stroked="false">
                <v:textbox inset="0,0,0,0">
                  <w:txbxContent>
                    <w:p>
                      <w:pPr>
                        <w:spacing w:line="184" w:lineRule="exact" w:before="0"/>
                        <w:ind w:left="20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p>
                      <w:pPr>
                        <w:spacing w:line="203" w:lineRule="exact" w:before="108"/>
                        <w:ind w:left="0" w:right="0" w:firstLine="0"/>
                        <w:jc w:val="left"/>
                        <w:rPr>
                          <w:rFonts w:ascii="Times New Roman" w:hAnsi="Times New Roman" w:cs="Times New Roman" w:eastAsia="Times New Roman" w:hint="default"/>
                          <w:sz w:val="18"/>
                          <w:szCs w:val="18"/>
                        </w:rPr>
                      </w:pPr>
                      <w:r>
                        <w:rPr>
                          <w:rFonts w:ascii="Times New Roman"/>
                          <w:sz w:val="18"/>
                        </w:rPr>
                        <w:t>285,062.18</w:t>
                      </w:r>
                    </w:p>
                  </w:txbxContent>
                </v:textbox>
                <w10:wrap type="none"/>
              </v:shape>
              <v:shape style="position:absolute;left:4786;top:5198;width:496;height:496" type="#_x0000_t202" filled="false" stroked="false">
                <v:textbox inset="0,0,0,0">
                  <w:txbxContent>
                    <w:p>
                      <w:pPr>
                        <w:spacing w:line="184" w:lineRule="exact" w:before="0"/>
                        <w:ind w:left="93"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p>
                      <w:pPr>
                        <w:spacing w:line="203" w:lineRule="exact" w:before="108"/>
                        <w:ind w:left="0" w:right="0" w:firstLine="0"/>
                        <w:jc w:val="left"/>
                        <w:rPr>
                          <w:rFonts w:ascii="Times New Roman" w:hAnsi="Times New Roman" w:cs="Times New Roman" w:eastAsia="Times New Roman" w:hint="default"/>
                          <w:sz w:val="18"/>
                          <w:szCs w:val="18"/>
                        </w:rPr>
                      </w:pPr>
                      <w:r>
                        <w:rPr>
                          <w:rFonts w:ascii="Times New Roman"/>
                          <w:sz w:val="18"/>
                        </w:rPr>
                        <w:t>6.3009</w:t>
                      </w:r>
                    </w:p>
                  </w:txbxContent>
                </v:textbox>
                <w10:wrap type="none"/>
              </v:shape>
              <v:shape style="position:absolute;left:5587;top:5129;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18,398,023.00</w:t>
                      </w:r>
                    </w:p>
                  </w:txbxContent>
                </v:textbox>
                <w10:wrap type="none"/>
              </v:shape>
              <v:shape style="position:absolute;left:7260;top:5198;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5677;top:551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1,796,148.29</w:t>
                      </w:r>
                    </w:p>
                  </w:txbxContent>
                </v:textbox>
                <w10:wrap type="none"/>
              </v:shape>
              <v:shape style="position:absolute;left:7460;top:5513;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13.16</w:t>
                      </w:r>
                    </w:p>
                  </w:txbxContent>
                </v:textbox>
                <w10:wrap type="none"/>
              </v:shape>
              <v:shape style="position:absolute;left:8198;top:5198;width:496;height:496" type="#_x0000_t202" filled="false" stroked="false">
                <v:textbox inset="0,0,0,0">
                  <w:txbxContent>
                    <w:p>
                      <w:pPr>
                        <w:spacing w:line="184" w:lineRule="exact" w:before="0"/>
                        <w:ind w:left="98"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p>
                      <w:pPr>
                        <w:spacing w:line="203" w:lineRule="exact" w:before="108"/>
                        <w:ind w:left="0" w:right="0" w:firstLine="0"/>
                        <w:jc w:val="left"/>
                        <w:rPr>
                          <w:rFonts w:ascii="Times New Roman" w:hAnsi="Times New Roman" w:cs="Times New Roman" w:eastAsia="Times New Roman" w:hint="default"/>
                          <w:sz w:val="18"/>
                          <w:szCs w:val="18"/>
                        </w:rPr>
                      </w:pPr>
                      <w:r>
                        <w:rPr>
                          <w:rFonts w:ascii="Times New Roman"/>
                          <w:sz w:val="18"/>
                        </w:rPr>
                        <w:t>6.6227</w:t>
                      </w:r>
                    </w:p>
                  </w:txbxContent>
                </v:textbox>
                <w10:wrap type="none"/>
              </v:shape>
              <v:shape style="position:absolute;left:9270;top:512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6,581,819.06</w:t>
                      </w:r>
                    </w:p>
                  </w:txbxContent>
                </v:textbox>
                <w10:wrap type="none"/>
              </v:shape>
              <v:shape style="position:absolute;left:9810;top:5513;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87.15</w:t>
                      </w:r>
                    </w:p>
                  </w:txbxContent>
                </v:textbox>
                <w10:wrap type="none"/>
              </v:shape>
            </v:group>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货币资金</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9"/>
          <w:szCs w:val="29"/>
        </w:rPr>
      </w:pPr>
    </w:p>
    <w:tbl>
      <w:tblPr>
        <w:tblW w:w="0" w:type="auto"/>
        <w:jc w:val="left"/>
        <w:tblInd w:w="392" w:type="dxa"/>
        <w:tblLayout w:type="fixed"/>
        <w:tblCellMar>
          <w:top w:w="0" w:type="dxa"/>
          <w:left w:w="0" w:type="dxa"/>
          <w:bottom w:w="0" w:type="dxa"/>
          <w:right w:w="0" w:type="dxa"/>
        </w:tblCellMar>
        <w:tblLook w:val="01E0"/>
      </w:tblPr>
      <w:tblGrid>
        <w:gridCol w:w="988"/>
        <w:gridCol w:w="1574"/>
        <w:gridCol w:w="774"/>
        <w:gridCol w:w="1450"/>
        <w:gridCol w:w="1193"/>
        <w:gridCol w:w="860"/>
        <w:gridCol w:w="1359"/>
      </w:tblGrid>
      <w:tr>
        <w:trPr>
          <w:trHeight w:val="374" w:hRule="exact"/>
        </w:trPr>
        <w:tc>
          <w:tcPr>
            <w:tcW w:w="98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5"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68"/>
              <w:jc w:val="right"/>
              <w:rPr>
                <w:rFonts w:ascii="Times New Roman" w:hAnsi="Times New Roman" w:cs="Times New Roman" w:eastAsia="Times New Roman" w:hint="default"/>
                <w:sz w:val="18"/>
                <w:szCs w:val="18"/>
              </w:rPr>
            </w:pPr>
            <w:r>
              <w:rPr>
                <w:rFonts w:ascii="Times New Roman"/>
                <w:sz w:val="18"/>
              </w:rPr>
              <w:t>2,940.00</w:t>
            </w:r>
          </w:p>
        </w:tc>
        <w:tc>
          <w:tcPr>
            <w:tcW w:w="774"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06"/>
              <w:jc w:val="right"/>
              <w:rPr>
                <w:rFonts w:ascii="Times New Roman" w:hAnsi="Times New Roman" w:cs="Times New Roman" w:eastAsia="Times New Roman" w:hint="default"/>
                <w:sz w:val="18"/>
                <w:szCs w:val="18"/>
              </w:rPr>
            </w:pPr>
            <w:r>
              <w:rPr>
                <w:rFonts w:ascii="Times New Roman"/>
                <w:sz w:val="18"/>
              </w:rPr>
              <w:t>0.8107</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14"/>
              <w:jc w:val="right"/>
              <w:rPr>
                <w:rFonts w:ascii="Times New Roman" w:hAnsi="Times New Roman" w:cs="Times New Roman" w:eastAsia="Times New Roman" w:hint="default"/>
                <w:sz w:val="18"/>
                <w:szCs w:val="18"/>
              </w:rPr>
            </w:pPr>
            <w:r>
              <w:rPr>
                <w:rFonts w:ascii="Times New Roman"/>
                <w:sz w:val="18"/>
              </w:rPr>
              <w:t>2,383.46</w:t>
            </w:r>
          </w:p>
        </w:tc>
        <w:tc>
          <w:tcPr>
            <w:tcW w:w="3412" w:type="dxa"/>
            <w:gridSpan w:val="3"/>
            <w:tcBorders>
              <w:top w:val="nil" w:sz="6" w:space="0" w:color="auto"/>
              <w:left w:val="nil" w:sz="6" w:space="0" w:color="auto"/>
              <w:bottom w:val="nil" w:sz="6" w:space="0" w:color="auto"/>
              <w:right w:val="nil" w:sz="6" w:space="0" w:color="auto"/>
            </w:tcBorders>
          </w:tcPr>
          <w:p>
            <w:pPr/>
          </w:p>
        </w:tc>
      </w:tr>
      <w:tr>
        <w:trPr>
          <w:trHeight w:val="385" w:hRule="exact"/>
        </w:trPr>
        <w:tc>
          <w:tcPr>
            <w:tcW w:w="988"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68"/>
              <w:jc w:val="right"/>
              <w:rPr>
                <w:rFonts w:ascii="Times New Roman" w:hAnsi="Times New Roman" w:cs="Times New Roman" w:eastAsia="Times New Roman" w:hint="default"/>
                <w:sz w:val="18"/>
                <w:szCs w:val="18"/>
              </w:rPr>
            </w:pPr>
            <w:r>
              <w:rPr>
                <w:rFonts w:ascii="Times New Roman"/>
                <w:sz w:val="18"/>
              </w:rPr>
              <w:t>610,071.43</w:t>
            </w:r>
          </w:p>
        </w:tc>
        <w:tc>
          <w:tcPr>
            <w:tcW w:w="77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z w:val="18"/>
              </w:rPr>
              <w:t>6.3009</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4"/>
              <w:jc w:val="right"/>
              <w:rPr>
                <w:rFonts w:ascii="Times New Roman" w:hAnsi="Times New Roman" w:cs="Times New Roman" w:eastAsia="Times New Roman" w:hint="default"/>
                <w:sz w:val="18"/>
                <w:szCs w:val="18"/>
              </w:rPr>
            </w:pPr>
            <w:r>
              <w:rPr>
                <w:rFonts w:ascii="Times New Roman"/>
                <w:spacing w:val="-1"/>
                <w:sz w:val="18"/>
              </w:rPr>
              <w:t>3,843,999.07</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64"/>
              <w:jc w:val="right"/>
              <w:rPr>
                <w:rFonts w:ascii="Times New Roman" w:hAnsi="Times New Roman" w:cs="Times New Roman" w:eastAsia="Times New Roman" w:hint="default"/>
                <w:sz w:val="18"/>
                <w:szCs w:val="18"/>
              </w:rPr>
            </w:pPr>
            <w:r>
              <w:rPr>
                <w:rFonts w:ascii="Times New Roman"/>
                <w:sz w:val="18"/>
              </w:rPr>
              <w:t>385,291.30</w:t>
            </w:r>
          </w:p>
        </w:tc>
        <w:tc>
          <w:tcPr>
            <w:tcW w:w="86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
              <w:jc w:val="center"/>
              <w:rPr>
                <w:rFonts w:ascii="Times New Roman" w:hAnsi="Times New Roman" w:cs="Times New Roman" w:eastAsia="Times New Roman" w:hint="default"/>
                <w:sz w:val="18"/>
                <w:szCs w:val="18"/>
              </w:rPr>
            </w:pPr>
            <w:r>
              <w:rPr>
                <w:rFonts w:ascii="Times New Roman"/>
                <w:sz w:val="18"/>
              </w:rPr>
              <w:t>6.6227</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pacing w:val="-1"/>
                <w:sz w:val="18"/>
              </w:rPr>
              <w:t>2,551,668.69</w:t>
            </w:r>
          </w:p>
        </w:tc>
      </w:tr>
      <w:tr>
        <w:trPr>
          <w:trHeight w:val="384" w:hRule="exact"/>
        </w:trPr>
        <w:tc>
          <w:tcPr>
            <w:tcW w:w="98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68"/>
              <w:jc w:val="right"/>
              <w:rPr>
                <w:rFonts w:ascii="Times New Roman" w:hAnsi="Times New Roman" w:cs="Times New Roman" w:eastAsia="Times New Roman" w:hint="default"/>
                <w:sz w:val="18"/>
                <w:szCs w:val="18"/>
              </w:rPr>
            </w:pPr>
            <w:r>
              <w:rPr>
                <w:rFonts w:ascii="Times New Roman"/>
                <w:sz w:val="18"/>
              </w:rPr>
              <w:t>3.28</w:t>
            </w:r>
          </w:p>
        </w:tc>
        <w:tc>
          <w:tcPr>
            <w:tcW w:w="77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z w:val="18"/>
              </w:rPr>
              <w:t>8.1625</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4"/>
              <w:jc w:val="right"/>
              <w:rPr>
                <w:rFonts w:ascii="Times New Roman" w:hAnsi="Times New Roman" w:cs="Times New Roman" w:eastAsia="Times New Roman" w:hint="default"/>
                <w:sz w:val="18"/>
                <w:szCs w:val="18"/>
              </w:rPr>
            </w:pPr>
            <w:r>
              <w:rPr>
                <w:rFonts w:ascii="Times New Roman"/>
                <w:sz w:val="18"/>
              </w:rPr>
              <w:t>26.77</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64"/>
              <w:jc w:val="right"/>
              <w:rPr>
                <w:rFonts w:ascii="Times New Roman" w:hAnsi="Times New Roman" w:cs="Times New Roman" w:eastAsia="Times New Roman" w:hint="default"/>
                <w:sz w:val="18"/>
                <w:szCs w:val="18"/>
              </w:rPr>
            </w:pPr>
            <w:r>
              <w:rPr>
                <w:rFonts w:ascii="Times New Roman"/>
                <w:sz w:val="18"/>
              </w:rPr>
              <w:t>1,750.29</w:t>
            </w:r>
          </w:p>
        </w:tc>
        <w:tc>
          <w:tcPr>
            <w:tcW w:w="86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
              <w:jc w:val="center"/>
              <w:rPr>
                <w:rFonts w:ascii="Times New Roman" w:hAnsi="Times New Roman" w:cs="Times New Roman" w:eastAsia="Times New Roman" w:hint="default"/>
                <w:sz w:val="18"/>
                <w:szCs w:val="18"/>
              </w:rPr>
            </w:pPr>
            <w:r>
              <w:rPr>
                <w:rFonts w:ascii="Times New Roman"/>
                <w:sz w:val="18"/>
              </w:rPr>
              <w:t>8.8065</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15,413.93</w:t>
            </w:r>
          </w:p>
        </w:tc>
      </w:tr>
      <w:tr>
        <w:trPr>
          <w:trHeight w:val="386" w:hRule="exact"/>
        </w:trPr>
        <w:tc>
          <w:tcPr>
            <w:tcW w:w="98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574" w:type="dxa"/>
            <w:tcBorders>
              <w:top w:val="nil" w:sz="6" w:space="0" w:color="auto"/>
              <w:left w:val="nil" w:sz="6" w:space="0" w:color="auto"/>
              <w:bottom w:val="nil" w:sz="6" w:space="0" w:color="auto"/>
              <w:right w:val="nil" w:sz="6" w:space="0" w:color="auto"/>
            </w:tcBorders>
          </w:tcPr>
          <w:p>
            <w:pPr/>
          </w:p>
        </w:tc>
        <w:tc>
          <w:tcPr>
            <w:tcW w:w="774"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3"/>
              <w:jc w:val="right"/>
              <w:rPr>
                <w:rFonts w:ascii="Times New Roman" w:hAnsi="Times New Roman" w:cs="Times New Roman" w:eastAsia="Times New Roman" w:hint="default"/>
                <w:sz w:val="18"/>
                <w:szCs w:val="18"/>
              </w:rPr>
            </w:pPr>
            <w:r>
              <w:rPr>
                <w:rFonts w:ascii="Times New Roman"/>
                <w:spacing w:val="-1"/>
                <w:sz w:val="18"/>
              </w:rPr>
              <w:t>163,087,649.49</w:t>
            </w:r>
          </w:p>
        </w:tc>
        <w:tc>
          <w:tcPr>
            <w:tcW w:w="1193" w:type="dxa"/>
            <w:tcBorders>
              <w:top w:val="nil" w:sz="6" w:space="0" w:color="auto"/>
              <w:left w:val="nil" w:sz="6" w:space="0" w:color="auto"/>
              <w:bottom w:val="nil" w:sz="6" w:space="0" w:color="auto"/>
              <w:right w:val="nil" w:sz="6" w:space="0" w:color="auto"/>
            </w:tcBorders>
          </w:tcPr>
          <w:p>
            <w:pPr/>
          </w:p>
        </w:tc>
        <w:tc>
          <w:tcPr>
            <w:tcW w:w="860"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224,708,289.98</w:t>
            </w:r>
          </w:p>
        </w:tc>
      </w:tr>
    </w:tbl>
    <w:p>
      <w:pPr>
        <w:spacing w:after="0" w:line="240" w:lineRule="auto"/>
        <w:jc w:val="right"/>
        <w:rPr>
          <w:rFonts w:ascii="Times New Roman" w:hAnsi="Times New Roman" w:cs="Times New Roman" w:eastAsia="Times New Roman" w:hint="default"/>
          <w:sz w:val="18"/>
          <w:szCs w:val="18"/>
        </w:rPr>
        <w:sectPr>
          <w:headerReference w:type="default" r:id="rId60"/>
          <w:footerReference w:type="default" r:id="rId61"/>
          <w:pgSz w:w="11910" w:h="16840"/>
          <w:pgMar w:header="877" w:footer="1256" w:top="1060" w:bottom="1440" w:left="1660" w:right="1460"/>
          <w:pgNumType w:start="121"/>
        </w:sectPr>
      </w:pPr>
    </w:p>
    <w:p>
      <w:pPr>
        <w:spacing w:line="240" w:lineRule="auto" w:before="6"/>
        <w:rPr>
          <w:rFonts w:ascii="宋体" w:hAnsi="宋体" w:cs="宋体" w:eastAsia="宋体" w:hint="default"/>
          <w:b/>
          <w:bCs/>
          <w:sz w:val="24"/>
          <w:szCs w:val="24"/>
        </w:rPr>
      </w:pPr>
    </w:p>
    <w:p>
      <w:pPr>
        <w:spacing w:line="1178" w:lineRule="exact"/>
        <w:ind w:left="530"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8.55pt;height:58.95pt;mso-position-horizontal-relative:char;mso-position-vertical-relative:line" coordorigin="0,0" coordsize="8571,1179">
            <v:group style="position:absolute;left:29;top:15;width:8523;height:2" coordorigin="29,15" coordsize="8523,2">
              <v:shape style="position:absolute;left:29;top:15;width:8523;height:2" coordorigin="29,15" coordsize="8523,0" path="m29,15l8552,15e" filled="false" stroked="true" strokeweight="1.5pt" strokecolor="#000000">
                <v:path arrowok="t"/>
              </v:shape>
              <v:shape style="position:absolute;left:1496;top:1;width:5568;height:432" type="#_x0000_t75" stroked="false">
                <v:imagedata r:id="rId67" o:title=""/>
              </v:shape>
            </v:group>
            <v:group style="position:absolute;left:1421;top:414;width:104;height:375" coordorigin="1421,414" coordsize="104,375">
              <v:shape style="position:absolute;left:1421;top:414;width:104;height:375" coordorigin="1421,414" coordsize="104,375" path="m1421,788l1525,788,1525,414,1421,414,1421,788xe" filled="true" fillcolor="#ffffff" stroked="false">
                <v:path arrowok="t"/>
                <v:fill type="solid"/>
              </v:shape>
            </v:group>
            <v:group style="position:absolute;left:29;top:414;width:108;height:375" coordorigin="29,414" coordsize="108,375">
              <v:shape style="position:absolute;left:29;top:414;width:108;height:375" coordorigin="29,414" coordsize="108,375" path="m29,788l137,788,137,414,29,414,29,788xe" filled="true" fillcolor="#ffffff" stroked="false">
                <v:path arrowok="t"/>
                <v:fill type="solid"/>
              </v:shape>
            </v:group>
            <v:group style="position:absolute;left:1534;top:414;width:1241;height:375" coordorigin="1534,414" coordsize="1241,375">
              <v:shape style="position:absolute;left:1534;top:414;width:1241;height:375" coordorigin="1534,414" coordsize="1241,375" path="m1534,788l2775,788,2775,414,1534,414,1534,788xe" filled="true" fillcolor="#ffffff" stroked="false">
                <v:path arrowok="t"/>
                <v:fill type="solid"/>
              </v:shape>
            </v:group>
            <v:group style="position:absolute;left:1637;top:426;width:1035;height:351" coordorigin="1637,426" coordsize="1035,351">
              <v:shape style="position:absolute;left:1637;top:426;width:1035;height:351" coordorigin="1637,426" coordsize="1035,351" path="m1637,776l2672,776,2672,426,1637,426,1637,776xe" filled="true" fillcolor="#ffffff" stroked="false">
                <v:path arrowok="t"/>
                <v:fill type="solid"/>
              </v:shape>
            </v:group>
            <v:group style="position:absolute;left:2786;top:414;width:827;height:375" coordorigin="2786,414" coordsize="827,375">
              <v:shape style="position:absolute;left:2786;top:414;width:827;height:375" coordorigin="2786,414" coordsize="827,375" path="m2786,788l3613,788,3613,414,2786,414,2786,788xe" filled="true" fillcolor="#ffffff" stroked="false">
                <v:path arrowok="t"/>
                <v:fill type="solid"/>
              </v:shape>
            </v:group>
            <v:group style="position:absolute;left:2888;top:426;width:622;height:351" coordorigin="2888,426" coordsize="622,351">
              <v:shape style="position:absolute;left:2888;top:426;width:622;height:351" coordorigin="2888,426" coordsize="622,351" path="m2888,776l3509,776,3509,426,2888,426,2888,776xe" filled="true" fillcolor="#ffffff" stroked="false">
                <v:path arrowok="t"/>
                <v:fill type="solid"/>
              </v:shape>
            </v:group>
            <v:group style="position:absolute;left:3622;top:414;width:1331;height:375" coordorigin="3622,414" coordsize="1331,375">
              <v:shape style="position:absolute;left:3622;top:414;width:1331;height:375" coordorigin="3622,414" coordsize="1331,375" path="m3622,788l4953,788,4953,414,3622,414,3622,788xe" filled="true" fillcolor="#ffffff" stroked="false">
                <v:path arrowok="t"/>
                <v:fill type="solid"/>
              </v:shape>
            </v:group>
            <v:group style="position:absolute;left:3725;top:445;width:1125;height:312" coordorigin="3725,445" coordsize="1125,312">
              <v:shape style="position:absolute;left:3725;top:445;width:1125;height:312" coordorigin="3725,445" coordsize="1125,312" path="m3725,757l4850,757,4850,445,3725,445,3725,757xe" filled="true" fillcolor="#ffffff" stroked="false">
                <v:path arrowok="t"/>
                <v:fill type="solid"/>
              </v:shape>
            </v:group>
            <v:group style="position:absolute;left:4964;top:414;width:1234;height:375" coordorigin="4964,414" coordsize="1234,375">
              <v:shape style="position:absolute;left:4964;top:414;width:1234;height:375" coordorigin="4964,414" coordsize="1234,375" path="m4964,788l6197,788,6197,414,4964,414,4964,788xe" filled="true" fillcolor="#ffffff" stroked="false">
                <v:path arrowok="t"/>
                <v:fill type="solid"/>
              </v:shape>
            </v:group>
            <v:group style="position:absolute;left:5066;top:426;width:1029;height:351" coordorigin="5066,426" coordsize="1029,351">
              <v:shape style="position:absolute;left:5066;top:426;width:1029;height:351" coordorigin="5066,426" coordsize="1029,351" path="m5066,776l6094,776,6094,426,5066,426,5066,776xe" filled="true" fillcolor="#ffffff" stroked="false">
                <v:path arrowok="t"/>
                <v:fill type="solid"/>
              </v:shape>
            </v:group>
            <v:group style="position:absolute;left:6207;top:414;width:819;height:375" coordorigin="6207,414" coordsize="819,375">
              <v:shape style="position:absolute;left:6207;top:414;width:819;height:375" coordorigin="6207,414" coordsize="819,375" path="m6207,788l7025,788,7025,414,6207,414,6207,788xe" filled="true" fillcolor="#ffffff" stroked="false">
                <v:path arrowok="t"/>
                <v:fill type="solid"/>
              </v:shape>
            </v:group>
            <v:group style="position:absolute;left:6310;top:426;width:612;height:351" coordorigin="6310,426" coordsize="612,351">
              <v:shape style="position:absolute;left:6310;top:426;width:612;height:351" coordorigin="6310,426" coordsize="612,351" path="m6310,776l6922,776,6922,426,6310,426,6310,776xe" filled="true" fillcolor="#ffffff" stroked="false">
                <v:path arrowok="t"/>
                <v:fill type="solid"/>
              </v:shape>
            </v:group>
            <v:group style="position:absolute;left:7035;top:414;width:1517;height:375" coordorigin="7035,414" coordsize="1517,375">
              <v:shape style="position:absolute;left:7035;top:414;width:1517;height:375" coordorigin="7035,414" coordsize="1517,375" path="m7035,788l8552,788,8552,414,7035,414,7035,788xe" filled="true" fillcolor="#ffffff" stroked="false">
                <v:path arrowok="t"/>
                <v:fill type="solid"/>
              </v:shape>
            </v:group>
            <v:group style="position:absolute;left:7138;top:445;width:1306;height:312" coordorigin="7138,445" coordsize="1306,312">
              <v:shape style="position:absolute;left:7138;top:445;width:1306;height:312" coordorigin="7138,445" coordsize="1306,312" path="m7138,757l8444,757,8444,445,7138,445,7138,757xe" filled="true" fillcolor="#ffffff" stroked="false">
                <v:path arrowok="t"/>
                <v:fill type="solid"/>
              </v:shape>
            </v:group>
            <v:group style="position:absolute;left:15;top:1163;width:1510;height:2" coordorigin="15,1163" coordsize="1510,2">
              <v:shape style="position:absolute;left:15;top:1163;width:1510;height:2" coordorigin="15,1163" coordsize="1510,0" path="m15,1163l1525,1163e" filled="false" stroked="true" strokeweight="1.5pt" strokecolor="#000000">
                <v:path arrowok="t"/>
              </v:shape>
            </v:group>
            <v:group style="position:absolute;left:1525;top:1163;width:1252;height:2" coordorigin="1525,1163" coordsize="1252,2">
              <v:shape style="position:absolute;left:1525;top:1163;width:1252;height:2" coordorigin="1525,1163" coordsize="1252,0" path="m1525,1163l2776,1163e" filled="false" stroked="true" strokeweight="1.5pt" strokecolor="#000000">
                <v:path arrowok="t"/>
              </v:shape>
            </v:group>
            <v:group style="position:absolute;left:2776;top:1163;width:837;height:2" coordorigin="2776,1163" coordsize="837,2">
              <v:shape style="position:absolute;left:2776;top:1163;width:837;height:2" coordorigin="2776,1163" coordsize="837,0" path="m2776,1163l3613,1163e" filled="false" stroked="true" strokeweight="1.5pt" strokecolor="#000000">
                <v:path arrowok="t"/>
              </v:shape>
            </v:group>
            <v:group style="position:absolute;left:3613;top:1163;width:1342;height:2" coordorigin="3613,1163" coordsize="1342,2">
              <v:shape style="position:absolute;left:3613;top:1163;width:1342;height:2" coordorigin="3613,1163" coordsize="1342,0" path="m3613,1163l4954,1163e" filled="false" stroked="true" strokeweight="1.5pt" strokecolor="#000000">
                <v:path arrowok="t"/>
              </v:shape>
            </v:group>
            <v:group style="position:absolute;left:4954;top:1163;width:1244;height:2" coordorigin="4954,1163" coordsize="1244,2">
              <v:shape style="position:absolute;left:4954;top:1163;width:1244;height:2" coordorigin="4954,1163" coordsize="1244,0" path="m4954,1163l6197,1163e" filled="false" stroked="true" strokeweight="1.5pt" strokecolor="#000000">
                <v:path arrowok="t"/>
              </v:shape>
            </v:group>
            <v:group style="position:absolute;left:6197;top:1163;width:828;height:2" coordorigin="6197,1163" coordsize="828,2">
              <v:shape style="position:absolute;left:6197;top:1163;width:828;height:2" coordorigin="6197,1163" coordsize="828,0" path="m6197,1163l7025,1163e" filled="false" stroked="true" strokeweight="1.5pt" strokecolor="#000000">
                <v:path arrowok="t"/>
              </v:shape>
              <v:shape style="position:absolute;left:10;top:385;width:8561;height:763" type="#_x0000_t75" stroked="false">
                <v:imagedata r:id="rId68" o:title=""/>
              </v:shape>
            </v:group>
            <v:group style="position:absolute;left:7025;top:1163;width:1527;height:2" coordorigin="7025,1163" coordsize="1527,2">
              <v:shape style="position:absolute;left:7025;top:1163;width:1527;height:2" coordorigin="7025,1163" coordsize="1527,0" path="m7025,1163l8552,1163e" filled="false" stroked="true" strokeweight="1.5pt" strokecolor="#000000">
                <v:path arrowok="t"/>
              </v:shape>
              <v:shape style="position:absolute;left:317;top:1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欧元</w:t>
                      </w:r>
                    </w:p>
                  </w:txbxContent>
                </v:textbox>
                <w10:wrap type="none"/>
              </v:shape>
              <v:shape style="position:absolute;left:2359;top:135;width:1153;height:180" type="#_x0000_t202" filled="false" stroked="false">
                <v:textbox inset="0,0,0,0">
                  <w:txbxContent>
                    <w:p>
                      <w:pPr>
                        <w:tabs>
                          <w:tab w:pos="656"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2.90</w:t>
                        <w:tab/>
                        <w:t>8.1625</w:t>
                      </w:r>
                    </w:p>
                  </w:txbxContent>
                </v:textbox>
                <w10:wrap type="none"/>
              </v:shape>
              <v:shape style="position:absolute;left:4447;top:135;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23.67</w:t>
                      </w:r>
                    </w:p>
                  </w:txbxContent>
                </v:textbox>
                <w10:wrap type="none"/>
              </v:shape>
              <v:shape style="position:absolute;left:317;top:51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3817;top:519;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20,194,194.96</w:t>
                      </w:r>
                    </w:p>
                  </w:txbxContent>
                </v:textbox>
                <w10:wrap type="none"/>
              </v:shape>
              <v:shape style="position:absolute;left:7499;top:51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6,581,906.21</w:t>
                      </w:r>
                    </w:p>
                  </w:txbxContent>
                </v:textbox>
                <w10:wrap type="none"/>
              </v:shape>
              <v:shape style="position:absolute;left:397;top:94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937;top:94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3727;top:891;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183,505,395.65</w:t>
                      </w:r>
                    </w:p>
                  </w:txbxContent>
                </v:textbox>
                <w10:wrap type="none"/>
              </v:shape>
              <v:shape style="position:absolute;left:7319;top:891;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231,485,827.82</w:t>
                      </w:r>
                    </w:p>
                  </w:txbxContent>
                </v:textbox>
                <w10:wrap type="none"/>
              </v:shape>
            </v:group>
          </v:group>
        </w:pict>
      </w:r>
      <w:r>
        <w:rPr>
          <w:rFonts w:ascii="宋体" w:hAnsi="宋体" w:cs="宋体" w:eastAsia="宋体" w:hint="default"/>
          <w:position w:val="-23"/>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tbl>
      <w:tblPr>
        <w:tblW w:w="0" w:type="auto"/>
        <w:jc w:val="left"/>
        <w:tblInd w:w="1169" w:type="dxa"/>
        <w:tblLayout w:type="fixed"/>
        <w:tblCellMar>
          <w:top w:w="0" w:type="dxa"/>
          <w:left w:w="0" w:type="dxa"/>
          <w:bottom w:w="0" w:type="dxa"/>
          <w:right w:w="0" w:type="dxa"/>
        </w:tblCellMar>
        <w:tblLook w:val="01E0"/>
      </w:tblPr>
      <w:tblGrid>
        <w:gridCol w:w="3727"/>
        <w:gridCol w:w="2198"/>
        <w:gridCol w:w="1829"/>
      </w:tblGrid>
      <w:tr>
        <w:trPr>
          <w:trHeight w:val="357" w:hRule="exact"/>
        </w:trPr>
        <w:tc>
          <w:tcPr>
            <w:tcW w:w="372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7" w:right="0"/>
              <w:jc w:val="left"/>
              <w:rPr>
                <w:rFonts w:ascii="宋体" w:hAnsi="宋体" w:cs="宋体" w:eastAsia="宋体" w:hint="default"/>
                <w:sz w:val="21"/>
                <w:szCs w:val="21"/>
              </w:rPr>
            </w:pPr>
            <w:r>
              <w:rPr>
                <w:rFonts w:ascii="宋体" w:hAnsi="宋体" w:cs="宋体" w:eastAsia="宋体" w:hint="default"/>
                <w:sz w:val="21"/>
                <w:szCs w:val="21"/>
              </w:rPr>
              <w:t>其中受限制的货币资金明细如下：</w:t>
            </w:r>
          </w:p>
        </w:tc>
        <w:tc>
          <w:tcPr>
            <w:tcW w:w="4027" w:type="dxa"/>
            <w:gridSpan w:val="2"/>
            <w:tcBorders>
              <w:top w:val="nil" w:sz="6" w:space="0" w:color="auto"/>
              <w:left w:val="nil" w:sz="6" w:space="0" w:color="auto"/>
              <w:bottom w:val="single" w:sz="12" w:space="0" w:color="000000"/>
              <w:right w:val="nil" w:sz="6" w:space="0" w:color="auto"/>
            </w:tcBorders>
          </w:tcPr>
          <w:p>
            <w:pPr/>
          </w:p>
        </w:tc>
      </w:tr>
      <w:tr>
        <w:trPr>
          <w:trHeight w:val="394" w:hRule="exact"/>
        </w:trPr>
        <w:tc>
          <w:tcPr>
            <w:tcW w:w="372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238"/>
              <w:jc w:val="center"/>
              <w:rPr>
                <w:rFonts w:ascii="宋体" w:hAnsi="宋体" w:cs="宋体" w:eastAsia="宋体" w:hint="default"/>
                <w:sz w:val="18"/>
                <w:szCs w:val="18"/>
              </w:rPr>
            </w:pPr>
            <w:r>
              <w:rPr>
                <w:rFonts w:ascii="宋体" w:hAnsi="宋体" w:cs="宋体" w:eastAsia="宋体" w:hint="default"/>
                <w:sz w:val="18"/>
                <w:szCs w:val="18"/>
              </w:rPr>
              <w:t>项目</w:t>
            </w:r>
          </w:p>
        </w:tc>
        <w:tc>
          <w:tcPr>
            <w:tcW w:w="219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6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2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05"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88" w:hRule="exact"/>
        </w:trPr>
        <w:tc>
          <w:tcPr>
            <w:tcW w:w="372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7" w:right="0"/>
              <w:jc w:val="left"/>
              <w:rPr>
                <w:rFonts w:ascii="宋体" w:hAnsi="宋体" w:cs="宋体" w:eastAsia="宋体" w:hint="default"/>
                <w:sz w:val="18"/>
                <w:szCs w:val="18"/>
              </w:rPr>
            </w:pPr>
            <w:r>
              <w:rPr>
                <w:rFonts w:ascii="宋体" w:hAnsi="宋体" w:cs="宋体" w:eastAsia="宋体" w:hint="default"/>
                <w:sz w:val="18"/>
                <w:szCs w:val="18"/>
              </w:rPr>
              <w:t>临时监管户</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03"/>
              <w:jc w:val="right"/>
              <w:rPr>
                <w:rFonts w:ascii="Times New Roman" w:hAnsi="Times New Roman" w:cs="Times New Roman" w:eastAsia="Times New Roman" w:hint="default"/>
                <w:sz w:val="18"/>
                <w:szCs w:val="18"/>
              </w:rPr>
            </w:pPr>
            <w:r>
              <w:rPr>
                <w:rFonts w:ascii="Times New Roman"/>
                <w:spacing w:val="-1"/>
                <w:sz w:val="18"/>
              </w:rPr>
              <w:t>1,796,171.96</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3"/>
              <w:jc w:val="right"/>
              <w:rPr>
                <w:rFonts w:ascii="Times New Roman" w:hAnsi="Times New Roman" w:cs="Times New Roman" w:eastAsia="Times New Roman" w:hint="default"/>
                <w:sz w:val="18"/>
                <w:szCs w:val="18"/>
              </w:rPr>
            </w:pPr>
            <w:r>
              <w:rPr>
                <w:rFonts w:ascii="Times New Roman"/>
                <w:sz w:val="18"/>
              </w:rPr>
              <w:t>15,836.75</w:t>
            </w:r>
          </w:p>
        </w:tc>
      </w:tr>
      <w:tr>
        <w:trPr>
          <w:trHeight w:val="385" w:hRule="exact"/>
        </w:trPr>
        <w:tc>
          <w:tcPr>
            <w:tcW w:w="372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7" w:right="0"/>
              <w:jc w:val="left"/>
              <w:rPr>
                <w:rFonts w:ascii="宋体" w:hAnsi="宋体" w:cs="宋体" w:eastAsia="宋体" w:hint="default"/>
                <w:sz w:val="18"/>
                <w:szCs w:val="18"/>
              </w:rPr>
            </w:pPr>
            <w:r>
              <w:rPr>
                <w:rFonts w:ascii="宋体" w:hAnsi="宋体" w:cs="宋体" w:eastAsia="宋体" w:hint="default"/>
                <w:sz w:val="18"/>
                <w:szCs w:val="18"/>
              </w:rPr>
              <w:t>信用证保证金</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03"/>
              <w:jc w:val="right"/>
              <w:rPr>
                <w:rFonts w:ascii="Times New Roman" w:hAnsi="Times New Roman" w:cs="Times New Roman" w:eastAsia="Times New Roman" w:hint="default"/>
                <w:sz w:val="18"/>
                <w:szCs w:val="18"/>
              </w:rPr>
            </w:pPr>
            <w:r>
              <w:rPr>
                <w:rFonts w:ascii="Times New Roman"/>
                <w:spacing w:val="-1"/>
                <w:sz w:val="18"/>
              </w:rPr>
              <w:t>7,423,787.87</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4,769,165.46</w:t>
            </w:r>
          </w:p>
        </w:tc>
      </w:tr>
      <w:tr>
        <w:trPr>
          <w:trHeight w:val="384" w:hRule="exact"/>
        </w:trPr>
        <w:tc>
          <w:tcPr>
            <w:tcW w:w="372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保函保证金</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3"/>
              <w:jc w:val="right"/>
              <w:rPr>
                <w:rFonts w:ascii="Times New Roman" w:hAnsi="Times New Roman" w:cs="Times New Roman" w:eastAsia="Times New Roman" w:hint="default"/>
                <w:sz w:val="18"/>
                <w:szCs w:val="18"/>
              </w:rPr>
            </w:pPr>
            <w:r>
              <w:rPr>
                <w:rFonts w:ascii="Times New Roman"/>
                <w:spacing w:val="-1"/>
                <w:sz w:val="18"/>
              </w:rPr>
              <w:t>3,417,300.00</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3"/>
              <w:jc w:val="right"/>
              <w:rPr>
                <w:rFonts w:ascii="Times New Roman" w:hAnsi="Times New Roman" w:cs="Times New Roman" w:eastAsia="Times New Roman" w:hint="default"/>
                <w:sz w:val="18"/>
                <w:szCs w:val="18"/>
              </w:rPr>
            </w:pPr>
            <w:r>
              <w:rPr>
                <w:rFonts w:ascii="Times New Roman"/>
                <w:spacing w:val="-1"/>
                <w:sz w:val="18"/>
              </w:rPr>
              <w:t>1,787,250.00</w:t>
            </w:r>
          </w:p>
        </w:tc>
      </w:tr>
      <w:tr>
        <w:trPr>
          <w:trHeight w:val="390" w:hRule="exact"/>
        </w:trPr>
        <w:tc>
          <w:tcPr>
            <w:tcW w:w="3727" w:type="dxa"/>
            <w:tcBorders>
              <w:top w:val="nil" w:sz="6" w:space="0" w:color="auto"/>
              <w:left w:val="nil" w:sz="6" w:space="0" w:color="auto"/>
              <w:bottom w:val="single" w:sz="12" w:space="0" w:color="000000"/>
              <w:right w:val="nil" w:sz="6" w:space="0" w:color="auto"/>
            </w:tcBorders>
          </w:tcPr>
          <w:p>
            <w:pPr>
              <w:pStyle w:val="TableParagraph"/>
              <w:tabs>
                <w:tab w:pos="539" w:val="left" w:leader="none"/>
              </w:tabs>
              <w:spacing w:line="240" w:lineRule="auto" w:before="42"/>
              <w:ind w:right="238"/>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198"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403"/>
              <w:jc w:val="right"/>
              <w:rPr>
                <w:rFonts w:ascii="Times New Roman" w:hAnsi="Times New Roman" w:cs="Times New Roman" w:eastAsia="Times New Roman" w:hint="default"/>
                <w:sz w:val="18"/>
                <w:szCs w:val="18"/>
              </w:rPr>
            </w:pPr>
            <w:r>
              <w:rPr>
                <w:rFonts w:ascii="Times New Roman"/>
                <w:spacing w:val="-1"/>
                <w:sz w:val="18"/>
              </w:rPr>
              <w:t>12,637,259.83</w:t>
            </w:r>
          </w:p>
        </w:tc>
        <w:tc>
          <w:tcPr>
            <w:tcW w:w="1829"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3"/>
              <w:jc w:val="right"/>
              <w:rPr>
                <w:rFonts w:ascii="Times New Roman" w:hAnsi="Times New Roman" w:cs="Times New Roman" w:eastAsia="Times New Roman" w:hint="default"/>
                <w:sz w:val="18"/>
                <w:szCs w:val="18"/>
              </w:rPr>
            </w:pPr>
            <w:r>
              <w:rPr>
                <w:rFonts w:ascii="Times New Roman"/>
                <w:spacing w:val="-1"/>
                <w:sz w:val="18"/>
              </w:rPr>
              <w:t>6,572,252.21</w:t>
            </w:r>
          </w:p>
        </w:tc>
      </w:tr>
    </w:tbl>
    <w:p>
      <w:pPr>
        <w:spacing w:before="78"/>
        <w:ind w:left="1277" w:right="0" w:firstLine="0"/>
        <w:jc w:val="left"/>
        <w:rPr>
          <w:rFonts w:ascii="宋体" w:hAnsi="宋体" w:cs="宋体" w:eastAsia="宋体" w:hint="default"/>
          <w:sz w:val="21"/>
          <w:szCs w:val="21"/>
        </w:rPr>
      </w:pPr>
      <w:r>
        <w:rPr/>
        <w:pict>
          <v:group style="position:absolute;margin-left:119.040001pt;margin-top:-99.276024pt;width:390.6pt;height:97.05pt;mso-position-horizontal-relative:page;mso-position-vertical-relative:paragraph;z-index:-821152" coordorigin="2381,-1986" coordsize="7812,1941">
            <v:shape style="position:absolute;left:5863;top:-1986;width:2208;height:432" type="#_x0000_t75" stroked="false">
              <v:imagedata r:id="rId69" o:title=""/>
            </v:shape>
            <v:shape style="position:absolute;left:2381;top:-1611;width:7812;height:1566" type="#_x0000_t75" stroked="false">
              <v:imagedata r:id="rId70" o:title=""/>
            </v:shape>
            <w10:wrap type="none"/>
          </v:group>
        </w:pict>
      </w:r>
      <w:r>
        <w:rPr>
          <w:rFonts w:ascii="宋体" w:hAnsi="宋体" w:cs="宋体" w:eastAsia="宋体" w:hint="default"/>
          <w:sz w:val="21"/>
          <w:szCs w:val="21"/>
        </w:rPr>
        <w:t>其它货币资金除上表受限的货币资金之外为证券专用账户的流动资金。</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tabs>
          <w:tab w:pos="1273" w:val="left" w:leader="none"/>
        </w:tabs>
        <w:spacing w:before="0"/>
        <w:ind w:left="54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应收票据</w:t>
      </w:r>
      <w:r>
        <w:rPr>
          <w:rFonts w:ascii="宋体" w:hAnsi="宋体" w:cs="宋体" w:eastAsia="宋体" w:hint="default"/>
          <w:sz w:val="21"/>
          <w:szCs w:val="21"/>
        </w:rPr>
      </w:r>
    </w:p>
    <w:p>
      <w:pPr>
        <w:tabs>
          <w:tab w:pos="1816" w:val="left" w:leader="none"/>
        </w:tabs>
        <w:spacing w:before="69"/>
        <w:ind w:left="127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应收票据的分类</w:t>
      </w:r>
      <w:r>
        <w:rPr>
          <w:rFonts w:ascii="宋体" w:hAnsi="宋体" w:cs="宋体" w:eastAsia="宋体" w:hint="default"/>
          <w:sz w:val="21"/>
          <w:szCs w:val="21"/>
        </w:rPr>
      </w:r>
    </w:p>
    <w:p>
      <w:pPr>
        <w:spacing w:line="1587" w:lineRule="exact"/>
        <w:ind w:left="1140"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390.85pt;height:79.4pt;mso-position-horizontal-relative:char;mso-position-vertical-relative:line" coordorigin="0,0" coordsize="7817,1588">
            <v:group style="position:absolute;left:29;top:15;width:7755;height:2" coordorigin="29,15" coordsize="7755,2">
              <v:shape style="position:absolute;left:29;top:15;width:7755;height:2" coordorigin="29,15" coordsize="7755,0" path="m29,15l7784,15e" filled="false" stroked="true" strokeweight="1.5pt" strokecolor="#000000">
                <v:path arrowok="t"/>
              </v:shape>
              <v:shape style="position:absolute;left:2930;top:1;width:2429;height:432" type="#_x0000_t75" stroked="false">
                <v:imagedata r:id="rId71" o:title=""/>
              </v:shape>
            </v:group>
            <v:group style="position:absolute;left:15;top:1573;width:2944;height:2" coordorigin="15,1573" coordsize="2944,2">
              <v:shape style="position:absolute;left:15;top:1573;width:2944;height:2" coordorigin="15,1573" coordsize="2944,0" path="m15,1573l2959,1573e" filled="false" stroked="true" strokeweight="1.5pt" strokecolor="#000000">
                <v:path arrowok="t"/>
              </v:shape>
            </v:group>
            <v:group style="position:absolute;left:2959;top:1573;width:2362;height:2" coordorigin="2959,1573" coordsize="2362,2">
              <v:shape style="position:absolute;left:2959;top:1573;width:2362;height:2" coordorigin="2959,1573" coordsize="2362,0" path="m2959,1573l5320,1573e" filled="false" stroked="true" strokeweight="1.5pt" strokecolor="#000000">
                <v:path arrowok="t"/>
              </v:shape>
              <v:shape style="position:absolute;left:1;top:376;width:7816;height:1182" type="#_x0000_t75" stroked="false">
                <v:imagedata r:id="rId72" o:title=""/>
              </v:shape>
            </v:group>
            <v:group style="position:absolute;left:5320;top:1573;width:2464;height:2" coordorigin="5320,1573" coordsize="2464,2">
              <v:shape style="position:absolute;left:5320;top:1573;width:2464;height:2" coordorigin="5320,1573" coordsize="2464,0" path="m5320,1573l7784,1573e" filled="false" stroked="true" strokeweight="1.5pt" strokecolor="#000000">
                <v:path arrowok="t"/>
              </v:shape>
              <v:shape style="position:absolute;left:1316;top:1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种类</w:t>
                      </w:r>
                    </w:p>
                  </w:txbxContent>
                </v:textbox>
                <w10:wrap type="none"/>
              </v:shape>
              <v:shape style="position:absolute;left:3784;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194;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51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银行承兑汇票</w:t>
                      </w:r>
                    </w:p>
                  </w:txbxContent>
                </v:textbox>
                <w10:wrap type="none"/>
              </v:shape>
              <v:shape style="position:absolute;left:4183;top:519;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40,404,000.00</w:t>
                      </w:r>
                    </w:p>
                  </w:txbxContent>
                </v:textbox>
                <w10:wrap type="none"/>
              </v:shape>
              <v:shape style="position:absolute;left:137;top:89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商业承兑汇票</w:t>
                      </w:r>
                    </w:p>
                  </w:txbxContent>
                </v:textbox>
                <w10:wrap type="none"/>
              </v:shape>
              <v:shape style="position:absolute;left:1316;top:128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183;top:1288;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40,404,000.00</w:t>
                      </w:r>
                    </w:p>
                  </w:txbxContent>
                </v:textbox>
                <w10:wrap type="none"/>
              </v:shape>
            </v:group>
          </v:group>
        </w:pict>
      </w:r>
      <w:r>
        <w:rPr>
          <w:rFonts w:ascii="宋体" w:hAnsi="宋体" w:cs="宋体" w:eastAsia="宋体" w:hint="default"/>
          <w:position w:val="-31"/>
          <w:sz w:val="20"/>
          <w:szCs w:val="20"/>
        </w:rPr>
      </w:r>
    </w:p>
    <w:p>
      <w:pPr>
        <w:tabs>
          <w:tab w:pos="1816" w:val="left" w:leader="none"/>
        </w:tabs>
        <w:spacing w:before="70"/>
        <w:ind w:left="127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期末无质押的应收票据情况。</w:t>
      </w:r>
      <w:r>
        <w:rPr>
          <w:rFonts w:ascii="宋体" w:hAnsi="宋体" w:cs="宋体" w:eastAsia="宋体" w:hint="default"/>
          <w:sz w:val="21"/>
          <w:szCs w:val="21"/>
        </w:rPr>
      </w:r>
    </w:p>
    <w:p>
      <w:pPr>
        <w:tabs>
          <w:tab w:pos="1816" w:val="left" w:leader="none"/>
        </w:tabs>
        <w:spacing w:before="69"/>
        <w:ind w:left="127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期末无因出票人无力履约而将票据转为应收账款的票据情况。</w:t>
      </w:r>
      <w:r>
        <w:rPr>
          <w:rFonts w:ascii="宋体" w:hAnsi="宋体" w:cs="宋体" w:eastAsia="宋体" w:hint="default"/>
          <w:sz w:val="21"/>
          <w:szCs w:val="21"/>
        </w:rPr>
      </w:r>
    </w:p>
    <w:p>
      <w:pPr>
        <w:tabs>
          <w:tab w:pos="1805" w:val="left" w:leader="none"/>
        </w:tabs>
        <w:spacing w:before="69"/>
        <w:ind w:left="127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期末无公司已经背书给他方但尚未到期的票据情况。</w:t>
      </w:r>
      <w:r>
        <w:rPr>
          <w:rFonts w:ascii="宋体" w:hAnsi="宋体" w:cs="宋体" w:eastAsia="宋体" w:hint="default"/>
          <w:sz w:val="21"/>
          <w:szCs w:val="21"/>
        </w:rPr>
      </w:r>
    </w:p>
    <w:p>
      <w:pPr>
        <w:tabs>
          <w:tab w:pos="1816" w:val="left" w:leader="none"/>
        </w:tabs>
        <w:spacing w:before="79"/>
        <w:ind w:left="127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期末无已贴现或质押的商业承兑票据情况。</w:t>
      </w:r>
      <w:r>
        <w:rPr>
          <w:rFonts w:ascii="宋体" w:hAnsi="宋体" w:cs="宋体" w:eastAsia="宋体" w:hint="default"/>
          <w:sz w:val="21"/>
          <w:szCs w:val="21"/>
        </w:rPr>
      </w:r>
    </w:p>
    <w:p>
      <w:pPr>
        <w:tabs>
          <w:tab w:pos="1816" w:val="left" w:leader="none"/>
        </w:tabs>
        <w:spacing w:before="79"/>
        <w:ind w:left="127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期末应收票据中无持本公司</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1273" w:val="left" w:leader="none"/>
        </w:tabs>
        <w:spacing w:before="192"/>
        <w:ind w:left="54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应收账款</w:t>
      </w:r>
      <w:r>
        <w:rPr>
          <w:rFonts w:ascii="宋体" w:hAnsi="宋体" w:cs="宋体" w:eastAsia="宋体" w:hint="default"/>
          <w:sz w:val="21"/>
          <w:szCs w:val="21"/>
        </w:rPr>
      </w:r>
    </w:p>
    <w:p>
      <w:pPr>
        <w:tabs>
          <w:tab w:pos="1816" w:val="left" w:leader="none"/>
        </w:tabs>
        <w:spacing w:before="109"/>
        <w:ind w:left="1277" w:right="0" w:firstLine="0"/>
        <w:jc w:val="left"/>
        <w:rPr>
          <w:rFonts w:ascii="宋体" w:hAnsi="宋体" w:cs="宋体" w:eastAsia="宋体" w:hint="default"/>
          <w:sz w:val="21"/>
          <w:szCs w:val="21"/>
        </w:rPr>
      </w:pPr>
      <w:r>
        <w:rPr/>
        <w:pict>
          <v:group style="position:absolute;margin-left:67.260002pt;margin-top:20.833084pt;width:482.2pt;height:173.5pt;mso-position-horizontal-relative:page;mso-position-vertical-relative:paragraph;z-index:-820936" coordorigin="1345,417" coordsize="9644,3470">
            <v:group style="position:absolute;left:1374;top:432;width:9526;height:2" coordorigin="1374,432" coordsize="9526,2">
              <v:shape style="position:absolute;left:1374;top:432;width:9526;height:2" coordorigin="1374,432" coordsize="9526,0" path="m1374,432l10900,432e" filled="false" stroked="true" strokeweight="1.5pt" strokecolor="#000000">
                <v:path arrowok="t"/>
              </v:shape>
              <v:shape style="position:absolute;left:3037;top:418;width:3991;height:432" type="#_x0000_t75" stroked="false">
                <v:imagedata r:id="rId73" o:title=""/>
              </v:shape>
              <v:shape style="position:absolute;left:3037;top:792;width:7896;height:442" type="#_x0000_t75" stroked="false">
                <v:imagedata r:id="rId74" o:title=""/>
              </v:shape>
            </v:group>
            <v:group style="position:absolute;left:3076;top:1215;width:1332;height:749" coordorigin="3076,1215" coordsize="1332,749">
              <v:shape style="position:absolute;left:3076;top:1215;width:1332;height:749" coordorigin="3076,1215" coordsize="1332,749" path="m3076,1963l4408,1963,4408,1215,3076,1215,3076,1963xe" filled="true" fillcolor="#ffffff" stroked="false">
                <v:path arrowok="t"/>
                <v:fill type="solid"/>
              </v:shape>
            </v:group>
            <v:group style="position:absolute;left:3179;top:1402;width:1126;height:375" coordorigin="3179,1402" coordsize="1126,375">
              <v:shape style="position:absolute;left:3179;top:1402;width:1126;height:375" coordorigin="3179,1402" coordsize="1126,375" path="m3179,1776l4304,1776,4304,1402,3179,1402,3179,1776xe" filled="true" fillcolor="#ffffff" stroked="false">
                <v:path arrowok="t"/>
                <v:fill type="solid"/>
              </v:shape>
            </v:group>
            <v:group style="position:absolute;left:4417;top:1215;width:701;height:749" coordorigin="4417,1215" coordsize="701,749">
              <v:shape style="position:absolute;left:4417;top:1215;width:701;height:749" coordorigin="4417,1215" coordsize="701,749" path="m4417,1963l5118,1963,5118,1215,4417,1215,4417,1963xe" filled="true" fillcolor="#ffffff" stroked="false">
                <v:path arrowok="t"/>
                <v:fill type="solid"/>
              </v:shape>
            </v:group>
            <v:group style="position:absolute;left:4520;top:1215;width:495;height:375" coordorigin="4520,1215" coordsize="495,375">
              <v:shape style="position:absolute;left:4520;top:1215;width:495;height:375" coordorigin="4520,1215" coordsize="495,375" path="m4520,1589l5015,1589,5015,1215,4520,1215,4520,1589xe" filled="true" fillcolor="#ffffff" stroked="false">
                <v:path arrowok="t"/>
                <v:fill type="solid"/>
              </v:shape>
            </v:group>
            <v:group style="position:absolute;left:4520;top:1589;width:495;height:375" coordorigin="4520,1589" coordsize="495,375">
              <v:shape style="position:absolute;left:4520;top:1589;width:495;height:375" coordorigin="4520,1589" coordsize="495,375" path="m4520,1963l5015,1963,5015,1589,4520,1589,4520,1963xe" filled="true" fillcolor="#ffffff" stroked="false">
                <v:path arrowok="t"/>
                <v:fill type="solid"/>
              </v:shape>
            </v:group>
            <v:group style="position:absolute;left:5128;top:1215;width:1241;height:749" coordorigin="5128,1215" coordsize="1241,749">
              <v:shape style="position:absolute;left:5128;top:1215;width:1241;height:749" coordorigin="5128,1215" coordsize="1241,749" path="m5128,1963l6368,1963,6368,1215,5128,1215,5128,1963xe" filled="true" fillcolor="#ffffff" stroked="false">
                <v:path arrowok="t"/>
                <v:fill type="solid"/>
              </v:shape>
            </v:group>
            <v:group style="position:absolute;left:5231;top:1402;width:1036;height:375" coordorigin="5231,1402" coordsize="1036,375">
              <v:shape style="position:absolute;left:5231;top:1402;width:1036;height:375" coordorigin="5231,1402" coordsize="1036,375" path="m5231,1776l6266,1776,6266,1402,5231,1402,5231,1776xe" filled="true" fillcolor="#ffffff" stroked="false">
                <v:path arrowok="t"/>
                <v:fill type="solid"/>
              </v:shape>
            </v:group>
            <v:group style="position:absolute;left:6379;top:1215;width:611;height:749" coordorigin="6379,1215" coordsize="611,749">
              <v:shape style="position:absolute;left:6379;top:1215;width:611;height:749" coordorigin="6379,1215" coordsize="611,749" path="m6379,1963l6990,1963,6990,1215,6379,1215,6379,1963xe" filled="true" fillcolor="#ffffff" stroked="false">
                <v:path arrowok="t"/>
                <v:fill type="solid"/>
              </v:shape>
            </v:group>
            <v:group style="position:absolute;left:6482;top:1215;width:405;height:375" coordorigin="6482,1215" coordsize="405,375">
              <v:shape style="position:absolute;left:6482;top:1215;width:405;height:375" coordorigin="6482,1215" coordsize="405,375" path="m6482,1215l6887,1215,6887,1589,6482,1589,6482,1215xe" filled="true" fillcolor="#ffffff" stroked="false">
                <v:path arrowok="t"/>
                <v:fill type="solid"/>
              </v:shape>
            </v:group>
            <v:group style="position:absolute;left:6482;top:1589;width:405;height:375" coordorigin="6482,1589" coordsize="405,375">
              <v:shape style="position:absolute;left:6482;top:1589;width:405;height:375" coordorigin="6482,1589" coordsize="405,375" path="m6482,1589l6887,1589,6887,1963,6482,1963,6482,1589xe" filled="true" fillcolor="#ffffff" stroked="false">
                <v:path arrowok="t"/>
                <v:fill type="solid"/>
              </v:shape>
            </v:group>
            <v:group style="position:absolute;left:7000;top:1215;width:1242;height:749" coordorigin="7000,1215" coordsize="1242,749">
              <v:shape style="position:absolute;left:7000;top:1215;width:1242;height:749" coordorigin="7000,1215" coordsize="1242,749" path="m7000,1963l8242,1963,8242,1215,7000,1215,7000,1963xe" filled="true" fillcolor="#ffffff" stroked="false">
                <v:path arrowok="t"/>
                <v:fill type="solid"/>
              </v:shape>
            </v:group>
            <v:group style="position:absolute;left:7103;top:1402;width:1036;height:375" coordorigin="7103,1402" coordsize="1036,375">
              <v:shape style="position:absolute;left:7103;top:1402;width:1036;height:375" coordorigin="7103,1402" coordsize="1036,375" path="m7103,1776l8138,1776,8138,1402,7103,1402,7103,1776xe" filled="true" fillcolor="#ffffff" stroked="false">
                <v:path arrowok="t"/>
                <v:fill type="solid"/>
              </v:shape>
            </v:group>
            <v:group style="position:absolute;left:8252;top:1215;width:704;height:749" coordorigin="8252,1215" coordsize="704,749">
              <v:shape style="position:absolute;left:8252;top:1215;width:704;height:749" coordorigin="8252,1215" coordsize="704,749" path="m8252,1963l8956,1963,8956,1215,8252,1215,8252,1963xe" filled="true" fillcolor="#ffffff" stroked="false">
                <v:path arrowok="t"/>
                <v:fill type="solid"/>
              </v:shape>
            </v:group>
            <v:group style="position:absolute;left:8356;top:1215;width:497;height:375" coordorigin="8356,1215" coordsize="497,375">
              <v:shape style="position:absolute;left:8356;top:1215;width:497;height:375" coordorigin="8356,1215" coordsize="497,375" path="m8356,1589l8852,1589,8852,1215,8356,1215,8356,1589xe" filled="true" fillcolor="#ffffff" stroked="false">
                <v:path arrowok="t"/>
                <v:fill type="solid"/>
              </v:shape>
            </v:group>
            <v:group style="position:absolute;left:8356;top:1589;width:497;height:375" coordorigin="8356,1589" coordsize="497,375">
              <v:shape style="position:absolute;left:8356;top:1589;width:497;height:375" coordorigin="8356,1589" coordsize="497,375" path="m8356,1963l8852,1963,8852,1589,8356,1589,8356,1963xe" filled="true" fillcolor="#ffffff" stroked="false">
                <v:path arrowok="t"/>
                <v:fill type="solid"/>
              </v:shape>
            </v:group>
            <v:group style="position:absolute;left:8965;top:1215;width:1151;height:749" coordorigin="8965,1215" coordsize="1151,749">
              <v:shape style="position:absolute;left:8965;top:1215;width:1151;height:749" coordorigin="8965,1215" coordsize="1151,749" path="m8965,1963l10116,1963,10116,1215,8965,1215,8965,1963xe" filled="true" fillcolor="#ffffff" stroked="false">
                <v:path arrowok="t"/>
                <v:fill type="solid"/>
              </v:shape>
            </v:group>
            <v:group style="position:absolute;left:9068;top:1402;width:945;height:375" coordorigin="9068,1402" coordsize="945,375">
              <v:shape style="position:absolute;left:9068;top:1402;width:945;height:375" coordorigin="9068,1402" coordsize="945,375" path="m9068,1776l10013,1776,10013,1402,9068,1402,9068,1776xe" filled="true" fillcolor="#ffffff" stroked="false">
                <v:path arrowok="t"/>
                <v:fill type="solid"/>
              </v:shape>
            </v:group>
            <v:group style="position:absolute;left:10126;top:1215;width:774;height:749" coordorigin="10126,1215" coordsize="774,749">
              <v:shape style="position:absolute;left:10126;top:1215;width:774;height:749" coordorigin="10126,1215" coordsize="774,749" path="m10126,1963l10900,1963,10900,1215,10126,1215,10126,1963xe" filled="true" fillcolor="#ffffff" stroked="false">
                <v:path arrowok="t"/>
                <v:fill type="solid"/>
              </v:shape>
            </v:group>
            <v:group style="position:absolute;left:10229;top:1402;width:563;height:375" coordorigin="10229,1402" coordsize="563,375">
              <v:shape style="position:absolute;left:10229;top:1402;width:563;height:375" coordorigin="10229,1402" coordsize="563,375" path="m10229,1776l10792,1776,10792,1402,10229,1402,10229,1776xe" filled="true" fillcolor="#ffffff" stroked="false">
                <v:path arrowok="t"/>
                <v:fill type="solid"/>
              </v:shape>
              <v:shape style="position:absolute;left:3037;top:1176;width:7895;height:816" type="#_x0000_t75" stroked="false">
                <v:imagedata r:id="rId75" o:title=""/>
              </v:shape>
            </v:group>
            <v:group style="position:absolute;left:2963;top:1974;width:104;height:375" coordorigin="2963,1974" coordsize="104,375">
              <v:shape style="position:absolute;left:2963;top:1974;width:104;height:375" coordorigin="2963,1974" coordsize="104,375" path="m2963,2349l3066,2349,3066,1974,2963,1974,2963,2349xe" filled="true" fillcolor="#ffffff" stroked="false">
                <v:path arrowok="t"/>
                <v:fill type="solid"/>
              </v:shape>
            </v:group>
            <v:group style="position:absolute;left:1374;top:1974;width:108;height:375" coordorigin="1374,1974" coordsize="108,375">
              <v:shape style="position:absolute;left:1374;top:1974;width:108;height:375" coordorigin="1374,1974" coordsize="108,375" path="m1374,2349l1482,2349,1482,1974,1374,1974,1374,2349xe" filled="true" fillcolor="#ffffff" stroked="false">
                <v:path arrowok="t"/>
                <v:fill type="solid"/>
              </v:shape>
            </v:group>
            <v:group style="position:absolute;left:3076;top:1974;width:1332;height:375" coordorigin="3076,1974" coordsize="1332,375">
              <v:shape style="position:absolute;left:3076;top:1974;width:1332;height:375" coordorigin="3076,1974" coordsize="1332,375" path="m3076,2349l4408,2349,4408,1974,3076,1974,3076,2349xe" filled="true" fillcolor="#ffffff" stroked="false">
                <v:path arrowok="t"/>
                <v:fill type="solid"/>
              </v:shape>
            </v:group>
            <v:group style="position:absolute;left:3179;top:2005;width:1126;height:312" coordorigin="3179,2005" coordsize="1126,312">
              <v:shape style="position:absolute;left:3179;top:2005;width:1126;height:312" coordorigin="3179,2005" coordsize="1126,312" path="m3179,2317l4304,2317,4304,2005,3179,2005,3179,2317xe" filled="true" fillcolor="#ffffff" stroked="false">
                <v:path arrowok="t"/>
                <v:fill type="solid"/>
              </v:shape>
            </v:group>
            <v:group style="position:absolute;left:4417;top:1974;width:701;height:375" coordorigin="4417,1974" coordsize="701,375">
              <v:shape style="position:absolute;left:4417;top:1974;width:701;height:375" coordorigin="4417,1974" coordsize="701,375" path="m4417,2349l5118,2349,5118,1974,4417,1974,4417,2349xe" filled="true" fillcolor="#ffffff" stroked="false">
                <v:path arrowok="t"/>
                <v:fill type="solid"/>
              </v:shape>
            </v:group>
            <v:group style="position:absolute;left:4520;top:2005;width:495;height:312" coordorigin="4520,2005" coordsize="495,312">
              <v:shape style="position:absolute;left:4520;top:2005;width:495;height:312" coordorigin="4520,2005" coordsize="495,312" path="m4520,2317l5015,2317,5015,2005,4520,2005,4520,2317xe" filled="true" fillcolor="#ffffff" stroked="false">
                <v:path arrowok="t"/>
                <v:fill type="solid"/>
              </v:shape>
            </v:group>
            <v:group style="position:absolute;left:5128;top:1974;width:1241;height:375" coordorigin="5128,1974" coordsize="1241,375">
              <v:shape style="position:absolute;left:5128;top:1974;width:1241;height:375" coordorigin="5128,1974" coordsize="1241,375" path="m5128,2349l6368,2349,6368,1974,5128,1974,5128,2349xe" filled="true" fillcolor="#ffffff" stroked="false">
                <v:path arrowok="t"/>
                <v:fill type="solid"/>
              </v:shape>
            </v:group>
            <v:group style="position:absolute;left:5231;top:2005;width:1036;height:312" coordorigin="5231,2005" coordsize="1036,312">
              <v:shape style="position:absolute;left:5231;top:2005;width:1036;height:312" coordorigin="5231,2005" coordsize="1036,312" path="m5231,2317l6266,2317,6266,2005,5231,2005,5231,2317xe" filled="true" fillcolor="#ffffff" stroked="false">
                <v:path arrowok="t"/>
                <v:fill type="solid"/>
              </v:shape>
            </v:group>
            <v:group style="position:absolute;left:6379;top:1974;width:611;height:375" coordorigin="6379,1974" coordsize="611,375">
              <v:shape style="position:absolute;left:6379;top:1974;width:611;height:375" coordorigin="6379,1974" coordsize="611,375" path="m6379,2349l6990,2349,6990,1974,6379,1974,6379,2349xe" filled="true" fillcolor="#ffffff" stroked="false">
                <v:path arrowok="t"/>
                <v:fill type="solid"/>
              </v:shape>
            </v:group>
            <v:group style="position:absolute;left:6482;top:2005;width:405;height:312" coordorigin="6482,2005" coordsize="405,312">
              <v:shape style="position:absolute;left:6482;top:2005;width:405;height:312" coordorigin="6482,2005" coordsize="405,312" path="m6482,2005l6887,2005,6887,2317,6482,2317,6482,2005xe" filled="true" fillcolor="#ffffff" stroked="false">
                <v:path arrowok="t"/>
                <v:fill type="solid"/>
              </v:shape>
            </v:group>
            <v:group style="position:absolute;left:7000;top:1974;width:1242;height:375" coordorigin="7000,1974" coordsize="1242,375">
              <v:shape style="position:absolute;left:7000;top:1974;width:1242;height:375" coordorigin="7000,1974" coordsize="1242,375" path="m7000,2349l8242,2349,8242,1974,7000,1974,7000,2349xe" filled="true" fillcolor="#ffffff" stroked="false">
                <v:path arrowok="t"/>
                <v:fill type="solid"/>
              </v:shape>
            </v:group>
            <v:group style="position:absolute;left:7103;top:2005;width:1036;height:312" coordorigin="7103,2005" coordsize="1036,312">
              <v:shape style="position:absolute;left:7103;top:2005;width:1036;height:312" coordorigin="7103,2005" coordsize="1036,312" path="m7103,2317l8138,2317,8138,2005,7103,2005,7103,2317xe" filled="true" fillcolor="#ffffff" stroked="false">
                <v:path arrowok="t"/>
                <v:fill type="solid"/>
              </v:shape>
            </v:group>
            <v:group style="position:absolute;left:8252;top:1974;width:704;height:375" coordorigin="8252,1974" coordsize="704,375">
              <v:shape style="position:absolute;left:8252;top:1974;width:704;height:375" coordorigin="8252,1974" coordsize="704,375" path="m8252,2349l8956,2349,8956,1974,8252,1974,8252,2349xe" filled="true" fillcolor="#ffffff" stroked="false">
                <v:path arrowok="t"/>
                <v:fill type="solid"/>
              </v:shape>
            </v:group>
            <v:group style="position:absolute;left:8356;top:2005;width:497;height:312" coordorigin="8356,2005" coordsize="497,312">
              <v:shape style="position:absolute;left:8356;top:2005;width:497;height:312" coordorigin="8356,2005" coordsize="497,312" path="m8356,2317l8852,2317,8852,2005,8356,2005,8356,2317xe" filled="true" fillcolor="#ffffff" stroked="false">
                <v:path arrowok="t"/>
                <v:fill type="solid"/>
              </v:shape>
            </v:group>
            <v:group style="position:absolute;left:8965;top:1974;width:1151;height:375" coordorigin="8965,1974" coordsize="1151,375">
              <v:shape style="position:absolute;left:8965;top:1974;width:1151;height:375" coordorigin="8965,1974" coordsize="1151,375" path="m8965,2349l10116,2349,10116,1974,8965,1974,8965,2349xe" filled="true" fillcolor="#ffffff" stroked="false">
                <v:path arrowok="t"/>
                <v:fill type="solid"/>
              </v:shape>
            </v:group>
            <v:group style="position:absolute;left:9068;top:2005;width:945;height:312" coordorigin="9068,2005" coordsize="945,312">
              <v:shape style="position:absolute;left:9068;top:2005;width:945;height:312" coordorigin="9068,2005" coordsize="945,312" path="m9068,2317l10013,2317,10013,2005,9068,2005,9068,2317xe" filled="true" fillcolor="#ffffff" stroked="false">
                <v:path arrowok="t"/>
                <v:fill type="solid"/>
              </v:shape>
            </v:group>
            <v:group style="position:absolute;left:10126;top:1974;width:774;height:375" coordorigin="10126,1974" coordsize="774,375">
              <v:shape style="position:absolute;left:10126;top:1974;width:774;height:375" coordorigin="10126,1974" coordsize="774,375" path="m10126,2349l10900,2349,10900,1974,10126,1974,10126,2349xe" filled="true" fillcolor="#ffffff" stroked="false">
                <v:path arrowok="t"/>
                <v:fill type="solid"/>
              </v:shape>
            </v:group>
            <v:group style="position:absolute;left:10229;top:2005;width:563;height:312" coordorigin="10229,2005" coordsize="563,312">
              <v:shape style="position:absolute;left:10229;top:2005;width:563;height:312" coordorigin="10229,2005" coordsize="563,312" path="m10229,2317l10792,2317,10792,2005,10229,2005,10229,2317xe" filled="true" fillcolor="#ffffff" stroked="false">
                <v:path arrowok="t"/>
                <v:fill type="solid"/>
              </v:shape>
              <v:shape style="position:absolute;left:1345;top:1944;width:9587;height:817" type="#_x0000_t75" stroked="false">
                <v:imagedata r:id="rId76" o:title=""/>
              </v:shape>
            </v:group>
            <v:group style="position:absolute;left:2963;top:2742;width:104;height:375" coordorigin="2963,2742" coordsize="104,375">
              <v:shape style="position:absolute;left:2963;top:2742;width:104;height:375" coordorigin="2963,2742" coordsize="104,375" path="m2963,3117l3066,3117,3066,2742,2963,2742,2963,3117xe" filled="true" fillcolor="#ffffff" stroked="false">
                <v:path arrowok="t"/>
                <v:fill type="solid"/>
              </v:shape>
            </v:group>
            <v:group style="position:absolute;left:1374;top:2742;width:108;height:375" coordorigin="1374,2742" coordsize="108,375">
              <v:shape style="position:absolute;left:1374;top:2742;width:108;height:375" coordorigin="1374,2742" coordsize="108,375" path="m1374,3117l1482,3117,1482,2742,1374,2742,1374,3117xe" filled="true" fillcolor="#ffffff" stroked="false">
                <v:path arrowok="t"/>
                <v:fill type="solid"/>
              </v:shape>
            </v:group>
            <v:group style="position:absolute;left:1482;top:2742;width:1481;height:375" coordorigin="1482,2742" coordsize="1481,375">
              <v:shape style="position:absolute;left:1482;top:2742;width:1481;height:375" coordorigin="1482,2742" coordsize="1481,375" path="m1482,3117l2963,3117,2963,2742,1482,2742,1482,3117xe" filled="true" fillcolor="#ffffff" stroked="false">
                <v:path arrowok="t"/>
                <v:fill type="solid"/>
              </v:shape>
            </v:group>
            <v:group style="position:absolute;left:3076;top:2742;width:1332;height:375" coordorigin="3076,2742" coordsize="1332,375">
              <v:shape style="position:absolute;left:3076;top:2742;width:1332;height:375" coordorigin="3076,2742" coordsize="1332,375" path="m3076,3117l4408,3117,4408,2742,3076,2742,3076,3117xe" filled="true" fillcolor="#ffffff" stroked="false">
                <v:path arrowok="t"/>
                <v:fill type="solid"/>
              </v:shape>
            </v:group>
            <v:group style="position:absolute;left:3179;top:2773;width:1126;height:312" coordorigin="3179,2773" coordsize="1126,312">
              <v:shape style="position:absolute;left:3179;top:2773;width:1126;height:312" coordorigin="3179,2773" coordsize="1126,312" path="m3179,3085l4304,3085,4304,2773,3179,2773,3179,3085xe" filled="true" fillcolor="#ffffff" stroked="false">
                <v:path arrowok="t"/>
                <v:fill type="solid"/>
              </v:shape>
            </v:group>
            <v:group style="position:absolute;left:4417;top:2742;width:701;height:375" coordorigin="4417,2742" coordsize="701,375">
              <v:shape style="position:absolute;left:4417;top:2742;width:701;height:375" coordorigin="4417,2742" coordsize="701,375" path="m4417,3117l5118,3117,5118,2742,4417,2742,4417,3117xe" filled="true" fillcolor="#ffffff" stroked="false">
                <v:path arrowok="t"/>
                <v:fill type="solid"/>
              </v:shape>
            </v:group>
            <v:group style="position:absolute;left:4520;top:2773;width:495;height:312" coordorigin="4520,2773" coordsize="495,312">
              <v:shape style="position:absolute;left:4520;top:2773;width:495;height:312" coordorigin="4520,2773" coordsize="495,312" path="m4520,3085l5015,3085,5015,2773,4520,2773,4520,3085xe" filled="true" fillcolor="#ffffff" stroked="false">
                <v:path arrowok="t"/>
                <v:fill type="solid"/>
              </v:shape>
            </v:group>
            <v:group style="position:absolute;left:5128;top:2742;width:1241;height:375" coordorigin="5128,2742" coordsize="1241,375">
              <v:shape style="position:absolute;left:5128;top:2742;width:1241;height:375" coordorigin="5128,2742" coordsize="1241,375" path="m5128,3117l6368,3117,6368,2742,5128,2742,5128,3117xe" filled="true" fillcolor="#ffffff" stroked="false">
                <v:path arrowok="t"/>
                <v:fill type="solid"/>
              </v:shape>
            </v:group>
            <v:group style="position:absolute;left:5231;top:2773;width:1036;height:312" coordorigin="5231,2773" coordsize="1036,312">
              <v:shape style="position:absolute;left:5231;top:2773;width:1036;height:312" coordorigin="5231,2773" coordsize="1036,312" path="m5231,3085l6266,3085,6266,2773,5231,2773,5231,3085xe" filled="true" fillcolor="#ffffff" stroked="false">
                <v:path arrowok="t"/>
                <v:fill type="solid"/>
              </v:shape>
            </v:group>
            <v:group style="position:absolute;left:6379;top:2742;width:611;height:375" coordorigin="6379,2742" coordsize="611,375">
              <v:shape style="position:absolute;left:6379;top:2742;width:611;height:375" coordorigin="6379,2742" coordsize="611,375" path="m6379,3117l6990,3117,6990,2742,6379,2742,6379,3117xe" filled="true" fillcolor="#ffffff" stroked="false">
                <v:path arrowok="t"/>
                <v:fill type="solid"/>
              </v:shape>
            </v:group>
            <v:group style="position:absolute;left:6482;top:2773;width:405;height:312" coordorigin="6482,2773" coordsize="405,312">
              <v:shape style="position:absolute;left:6482;top:2773;width:405;height:312" coordorigin="6482,2773" coordsize="405,312" path="m6482,2773l6887,2773,6887,3085,6482,3085,6482,2773xe" filled="true" fillcolor="#ffffff" stroked="false">
                <v:path arrowok="t"/>
                <v:fill type="solid"/>
              </v:shape>
            </v:group>
            <v:group style="position:absolute;left:7000;top:2742;width:1242;height:375" coordorigin="7000,2742" coordsize="1242,375">
              <v:shape style="position:absolute;left:7000;top:2742;width:1242;height:375" coordorigin="7000,2742" coordsize="1242,375" path="m7000,3117l8242,3117,8242,2742,7000,2742,7000,3117xe" filled="true" fillcolor="#ffffff" stroked="false">
                <v:path arrowok="t"/>
                <v:fill type="solid"/>
              </v:shape>
            </v:group>
            <v:group style="position:absolute;left:7103;top:2773;width:1036;height:312" coordorigin="7103,2773" coordsize="1036,312">
              <v:shape style="position:absolute;left:7103;top:2773;width:1036;height:312" coordorigin="7103,2773" coordsize="1036,312" path="m7103,3085l8138,3085,8138,2773,7103,2773,7103,3085xe" filled="true" fillcolor="#ffffff" stroked="false">
                <v:path arrowok="t"/>
                <v:fill type="solid"/>
              </v:shape>
            </v:group>
            <v:group style="position:absolute;left:8252;top:2742;width:704;height:375" coordorigin="8252,2742" coordsize="704,375">
              <v:shape style="position:absolute;left:8252;top:2742;width:704;height:375" coordorigin="8252,2742" coordsize="704,375" path="m8252,3117l8956,3117,8956,2742,8252,2742,8252,3117xe" filled="true" fillcolor="#ffffff" stroked="false">
                <v:path arrowok="t"/>
                <v:fill type="solid"/>
              </v:shape>
            </v:group>
            <v:group style="position:absolute;left:8356;top:2773;width:497;height:312" coordorigin="8356,2773" coordsize="497,312">
              <v:shape style="position:absolute;left:8356;top:2773;width:497;height:312" coordorigin="8356,2773" coordsize="497,312" path="m8356,3085l8852,3085,8852,2773,8356,2773,8356,3085xe" filled="true" fillcolor="#ffffff" stroked="false">
                <v:path arrowok="t"/>
                <v:fill type="solid"/>
              </v:shape>
            </v:group>
            <v:group style="position:absolute;left:8965;top:2742;width:1151;height:375" coordorigin="8965,2742" coordsize="1151,375">
              <v:shape style="position:absolute;left:8965;top:2742;width:1151;height:375" coordorigin="8965,2742" coordsize="1151,375" path="m8965,3117l10116,3117,10116,2742,8965,2742,8965,3117xe" filled="true" fillcolor="#ffffff" stroked="false">
                <v:path arrowok="t"/>
                <v:fill type="solid"/>
              </v:shape>
            </v:group>
            <v:group style="position:absolute;left:9068;top:2773;width:945;height:312" coordorigin="9068,2773" coordsize="945,312">
              <v:shape style="position:absolute;left:9068;top:2773;width:945;height:312" coordorigin="9068,2773" coordsize="945,312" path="m9068,3085l10013,3085,10013,2773,9068,2773,9068,3085xe" filled="true" fillcolor="#ffffff" stroked="false">
                <v:path arrowok="t"/>
                <v:fill type="solid"/>
              </v:shape>
            </v:group>
            <v:group style="position:absolute;left:10126;top:2742;width:774;height:375" coordorigin="10126,2742" coordsize="774,375">
              <v:shape style="position:absolute;left:10126;top:2742;width:774;height:375" coordorigin="10126,2742" coordsize="774,375" path="m10126,3117l10900,3117,10900,2742,10126,2742,10126,3117xe" filled="true" fillcolor="#ffffff" stroked="false">
                <v:path arrowok="t"/>
                <v:fill type="solid"/>
              </v:shape>
            </v:group>
            <v:group style="position:absolute;left:10229;top:2773;width:563;height:312" coordorigin="10229,2773" coordsize="563,312">
              <v:shape style="position:absolute;left:10229;top:2773;width:563;height:312" coordorigin="10229,2773" coordsize="563,312" path="m10229,3085l10792,3085,10792,2773,10229,2773,10229,3085xe" filled="true" fillcolor="#ffffff" stroked="false">
                <v:path arrowok="t"/>
                <v:fill type="solid"/>
              </v:shape>
              <v:shape style="position:absolute;left:1345;top:2704;width:9587;height:1182" type="#_x0000_t75" stroked="false">
                <v:imagedata r:id="rId77" o:title=""/>
              </v:shape>
              <v:shape style="position:absolute;left:4673;top:54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587;top:54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737;top:92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5699;top:92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616;top:92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9570;top:92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2042;top:111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种类</w:t>
                      </w:r>
                    </w:p>
                  </w:txbxContent>
                </v:textbox>
                <w10:wrap type="none"/>
              </v:shape>
              <v:shape style="position:absolute;left:10808;top:149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应收账款账龄分析</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2"/>
          <w:szCs w:val="22"/>
        </w:rPr>
      </w:pPr>
    </w:p>
    <w:tbl>
      <w:tblPr>
        <w:tblW w:w="0" w:type="auto"/>
        <w:jc w:val="left"/>
        <w:tblInd w:w="207" w:type="dxa"/>
        <w:tblLayout w:type="fixed"/>
        <w:tblCellMar>
          <w:top w:w="0" w:type="dxa"/>
          <w:left w:w="0" w:type="dxa"/>
          <w:bottom w:w="0" w:type="dxa"/>
          <w:right w:w="0" w:type="dxa"/>
        </w:tblCellMar>
        <w:tblLook w:val="01E0"/>
      </w:tblPr>
      <w:tblGrid>
        <w:gridCol w:w="1669"/>
        <w:gridCol w:w="1297"/>
        <w:gridCol w:w="731"/>
        <w:gridCol w:w="1222"/>
        <w:gridCol w:w="673"/>
        <w:gridCol w:w="1209"/>
        <w:gridCol w:w="733"/>
        <w:gridCol w:w="1219"/>
        <w:gridCol w:w="698"/>
      </w:tblGrid>
      <w:tr>
        <w:trPr>
          <w:trHeight w:val="1144"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年以内（含</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42"/>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1"/>
              <w:ind w:right="42"/>
              <w:jc w:val="center"/>
              <w:rPr>
                <w:rFonts w:ascii="Times New Roman" w:hAnsi="Times New Roman" w:cs="Times New Roman" w:eastAsia="Times New Roman" w:hint="default"/>
                <w:sz w:val="18"/>
                <w:szCs w:val="18"/>
              </w:rPr>
            </w:pPr>
            <w:r>
              <w:rPr>
                <w:rFonts w:ascii="Times New Roman"/>
                <w:sz w:val="18"/>
              </w:rPr>
              <w:t>130,828,862.56</w:t>
            </w:r>
          </w:p>
        </w:tc>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09"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13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197" w:right="0"/>
              <w:jc w:val="left"/>
              <w:rPr>
                <w:rFonts w:ascii="Times New Roman" w:hAnsi="Times New Roman" w:cs="Times New Roman" w:eastAsia="Times New Roman" w:hint="default"/>
                <w:sz w:val="18"/>
                <w:szCs w:val="18"/>
              </w:rPr>
            </w:pPr>
            <w:r>
              <w:rPr>
                <w:rFonts w:ascii="Times New Roman"/>
                <w:sz w:val="18"/>
              </w:rPr>
              <w:t>84.53</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56" w:right="0"/>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1"/>
              <w:ind w:left="77" w:right="0"/>
              <w:jc w:val="center"/>
              <w:rPr>
                <w:rFonts w:ascii="Times New Roman" w:hAnsi="Times New Roman" w:cs="Times New Roman" w:eastAsia="Times New Roman" w:hint="default"/>
                <w:sz w:val="18"/>
                <w:szCs w:val="18"/>
              </w:rPr>
            </w:pPr>
            <w:r>
              <w:rPr>
                <w:rFonts w:ascii="Times New Roman"/>
                <w:sz w:val="18"/>
              </w:rPr>
              <w:t>6,541,443.13</w:t>
            </w:r>
          </w:p>
        </w:tc>
        <w:tc>
          <w:tcPr>
            <w:tcW w:w="673"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73"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34"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56" w:right="0"/>
              <w:jc w:val="center"/>
              <w:rPr>
                <w:rFonts w:ascii="Times New Roman" w:hAnsi="Times New Roman" w:cs="Times New Roman" w:eastAsia="Times New Roman" w:hint="default"/>
                <w:sz w:val="18"/>
                <w:szCs w:val="18"/>
              </w:rPr>
            </w:pPr>
            <w:r>
              <w:rPr>
                <w:rFonts w:ascii="Times New Roman"/>
                <w:sz w:val="18"/>
              </w:rPr>
              <w:t>5.00</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43"/>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1"/>
              <w:ind w:right="43"/>
              <w:jc w:val="center"/>
              <w:rPr>
                <w:rFonts w:ascii="Times New Roman" w:hAnsi="Times New Roman" w:cs="Times New Roman" w:eastAsia="Times New Roman" w:hint="default"/>
                <w:sz w:val="18"/>
                <w:szCs w:val="18"/>
              </w:rPr>
            </w:pPr>
            <w:r>
              <w:rPr>
                <w:rFonts w:ascii="Times New Roman"/>
                <w:sz w:val="18"/>
              </w:rPr>
              <w:t>75,498,482.69</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10"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1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199" w:right="0"/>
              <w:jc w:val="left"/>
              <w:rPr>
                <w:rFonts w:ascii="Times New Roman" w:hAnsi="Times New Roman" w:cs="Times New Roman" w:eastAsia="Times New Roman" w:hint="default"/>
                <w:sz w:val="18"/>
                <w:szCs w:val="18"/>
              </w:rPr>
            </w:pPr>
            <w:r>
              <w:rPr>
                <w:rFonts w:ascii="Times New Roman"/>
                <w:sz w:val="18"/>
              </w:rPr>
              <w:t>84.41</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96"/>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1"/>
              <w:ind w:right="96"/>
              <w:jc w:val="center"/>
              <w:rPr>
                <w:rFonts w:ascii="Times New Roman" w:hAnsi="Times New Roman" w:cs="Times New Roman" w:eastAsia="Times New Roman" w:hint="default"/>
                <w:sz w:val="18"/>
                <w:szCs w:val="18"/>
              </w:rPr>
            </w:pPr>
            <w:r>
              <w:rPr>
                <w:rFonts w:ascii="Times New Roman"/>
                <w:sz w:val="18"/>
              </w:rPr>
              <w:t>3,774,924.12</w:t>
            </w:r>
          </w:p>
        </w:tc>
        <w:tc>
          <w:tcPr>
            <w:tcW w:w="69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w:t>
            </w:r>
            <w:r>
              <w:rPr>
                <w:rFonts w:ascii="宋体" w:hAnsi="宋体" w:cs="宋体" w:eastAsia="宋体" w:hint="default"/>
                <w:spacing w:val="-75"/>
                <w:sz w:val="18"/>
                <w:szCs w:val="18"/>
              </w:rPr>
              <w:t>例</w:t>
            </w:r>
            <w:r>
              <w:rPr>
                <w:rFonts w:ascii="宋体" w:hAnsi="宋体" w:cs="宋体" w:eastAsia="宋体" w:hint="default"/>
                <w:sz w:val="18"/>
                <w:szCs w:val="18"/>
              </w:rPr>
              <w:t>（</w:t>
            </w:r>
            <w:r>
              <w:rPr>
                <w:rFonts w:ascii="Times New Roman" w:hAnsi="Times New Roman" w:cs="Times New Roman" w:eastAsia="Times New Roman" w:hint="default"/>
                <w:sz w:val="18"/>
                <w:szCs w:val="18"/>
              </w:rPr>
              <w:t>%</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276" w:right="0"/>
              <w:jc w:val="left"/>
              <w:rPr>
                <w:rFonts w:ascii="Times New Roman" w:hAnsi="Times New Roman" w:cs="Times New Roman" w:eastAsia="Times New Roman" w:hint="default"/>
                <w:sz w:val="18"/>
                <w:szCs w:val="18"/>
              </w:rPr>
            </w:pPr>
            <w:r>
              <w:rPr>
                <w:rFonts w:ascii="Times New Roman"/>
                <w:sz w:val="18"/>
              </w:rPr>
              <w:t>5.00</w:t>
            </w:r>
          </w:p>
        </w:tc>
      </w:tr>
      <w:tr>
        <w:trPr>
          <w:trHeight w:val="384"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81"/>
              <w:ind w:left="45" w:right="0"/>
              <w:jc w:val="center"/>
              <w:rPr>
                <w:rFonts w:ascii="Times New Roman" w:hAnsi="Times New Roman" w:cs="Times New Roman" w:eastAsia="Times New Roman" w:hint="default"/>
                <w:sz w:val="18"/>
                <w:szCs w:val="18"/>
              </w:rPr>
            </w:pPr>
            <w:r>
              <w:rPr>
                <w:rFonts w:ascii="Times New Roman"/>
                <w:sz w:val="18"/>
              </w:rPr>
              <w:t>16,893,797.71</w:t>
            </w:r>
          </w:p>
        </w:tc>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25"/>
              <w:jc w:val="right"/>
              <w:rPr>
                <w:rFonts w:ascii="Times New Roman" w:hAnsi="Times New Roman" w:cs="Times New Roman" w:eastAsia="Times New Roman" w:hint="default"/>
                <w:sz w:val="18"/>
                <w:szCs w:val="18"/>
              </w:rPr>
            </w:pPr>
            <w:r>
              <w:rPr>
                <w:rFonts w:ascii="Times New Roman"/>
                <w:sz w:val="18"/>
              </w:rPr>
              <w:t>10.92</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7"/>
              <w:jc w:val="right"/>
              <w:rPr>
                <w:rFonts w:ascii="Times New Roman" w:hAnsi="Times New Roman" w:cs="Times New Roman" w:eastAsia="Times New Roman" w:hint="default"/>
                <w:sz w:val="18"/>
                <w:szCs w:val="18"/>
              </w:rPr>
            </w:pPr>
            <w:r>
              <w:rPr>
                <w:rFonts w:ascii="Times New Roman"/>
                <w:spacing w:val="-1"/>
                <w:sz w:val="18"/>
              </w:rPr>
              <w:t>1,689,379.77</w:t>
            </w:r>
          </w:p>
        </w:tc>
        <w:tc>
          <w:tcPr>
            <w:tcW w:w="67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8"/>
              <w:jc w:val="right"/>
              <w:rPr>
                <w:rFonts w:ascii="Times New Roman" w:hAnsi="Times New Roman" w:cs="Times New Roman" w:eastAsia="Times New Roman" w:hint="default"/>
                <w:sz w:val="18"/>
                <w:szCs w:val="18"/>
              </w:rPr>
            </w:pPr>
            <w:r>
              <w:rPr>
                <w:rFonts w:ascii="Times New Roman"/>
                <w:sz w:val="18"/>
              </w:rPr>
              <w:t>10.00</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7"/>
              <w:jc w:val="right"/>
              <w:rPr>
                <w:rFonts w:ascii="Times New Roman" w:hAnsi="Times New Roman" w:cs="Times New Roman" w:eastAsia="Times New Roman" w:hint="default"/>
                <w:sz w:val="18"/>
                <w:szCs w:val="18"/>
              </w:rPr>
            </w:pPr>
            <w:r>
              <w:rPr>
                <w:rFonts w:ascii="Times New Roman"/>
                <w:spacing w:val="-1"/>
                <w:sz w:val="18"/>
              </w:rPr>
              <w:t>11,326,563.00</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70" w:right="0"/>
              <w:jc w:val="center"/>
              <w:rPr>
                <w:rFonts w:ascii="Times New Roman" w:hAnsi="Times New Roman" w:cs="Times New Roman" w:eastAsia="Times New Roman" w:hint="default"/>
                <w:sz w:val="18"/>
                <w:szCs w:val="18"/>
              </w:rPr>
            </w:pPr>
            <w:r>
              <w:rPr>
                <w:rFonts w:ascii="Times New Roman"/>
                <w:sz w:val="18"/>
              </w:rPr>
              <w:t>12.66</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84"/>
              <w:jc w:val="right"/>
              <w:rPr>
                <w:rFonts w:ascii="Times New Roman" w:hAnsi="Times New Roman" w:cs="Times New Roman" w:eastAsia="Times New Roman" w:hint="default"/>
                <w:sz w:val="18"/>
                <w:szCs w:val="18"/>
              </w:rPr>
            </w:pPr>
            <w:r>
              <w:rPr>
                <w:rFonts w:ascii="Times New Roman"/>
                <w:spacing w:val="-1"/>
                <w:sz w:val="18"/>
              </w:rPr>
              <w:t>1,132,656.30</w:t>
            </w:r>
          </w:p>
        </w:tc>
        <w:tc>
          <w:tcPr>
            <w:tcW w:w="69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z w:val="18"/>
              </w:rPr>
              <w:t>10.00</w:t>
            </w:r>
          </w:p>
        </w:tc>
      </w:tr>
      <w:tr>
        <w:trPr>
          <w:trHeight w:val="385"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35" w:right="0"/>
              <w:jc w:val="center"/>
              <w:rPr>
                <w:rFonts w:ascii="Times New Roman" w:hAnsi="Times New Roman" w:cs="Times New Roman" w:eastAsia="Times New Roman" w:hint="default"/>
                <w:sz w:val="18"/>
                <w:szCs w:val="18"/>
              </w:rPr>
            </w:pPr>
            <w:r>
              <w:rPr>
                <w:rFonts w:ascii="Times New Roman"/>
                <w:sz w:val="18"/>
              </w:rPr>
              <w:t>5,312,058.26</w:t>
            </w:r>
          </w:p>
        </w:tc>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25"/>
              <w:jc w:val="right"/>
              <w:rPr>
                <w:rFonts w:ascii="Times New Roman" w:hAnsi="Times New Roman" w:cs="Times New Roman" w:eastAsia="Times New Roman" w:hint="default"/>
                <w:sz w:val="18"/>
                <w:szCs w:val="18"/>
              </w:rPr>
            </w:pPr>
            <w:r>
              <w:rPr>
                <w:rFonts w:ascii="Times New Roman"/>
                <w:sz w:val="18"/>
              </w:rPr>
              <w:t>3.43</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7"/>
              <w:jc w:val="right"/>
              <w:rPr>
                <w:rFonts w:ascii="Times New Roman" w:hAnsi="Times New Roman" w:cs="Times New Roman" w:eastAsia="Times New Roman" w:hint="default"/>
                <w:sz w:val="18"/>
                <w:szCs w:val="18"/>
              </w:rPr>
            </w:pPr>
            <w:r>
              <w:rPr>
                <w:rFonts w:ascii="Times New Roman"/>
                <w:spacing w:val="-1"/>
                <w:sz w:val="18"/>
              </w:rPr>
              <w:t>2,656,029.14</w:t>
            </w:r>
          </w:p>
        </w:tc>
        <w:tc>
          <w:tcPr>
            <w:tcW w:w="67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8"/>
              <w:jc w:val="right"/>
              <w:rPr>
                <w:rFonts w:ascii="Times New Roman" w:hAnsi="Times New Roman" w:cs="Times New Roman" w:eastAsia="Times New Roman" w:hint="default"/>
                <w:sz w:val="18"/>
                <w:szCs w:val="18"/>
              </w:rPr>
            </w:pPr>
            <w:r>
              <w:rPr>
                <w:rFonts w:ascii="Times New Roman"/>
                <w:sz w:val="18"/>
              </w:rPr>
              <w:t>50.00</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7"/>
              <w:jc w:val="right"/>
              <w:rPr>
                <w:rFonts w:ascii="Times New Roman" w:hAnsi="Times New Roman" w:cs="Times New Roman" w:eastAsia="Times New Roman" w:hint="default"/>
                <w:sz w:val="18"/>
                <w:szCs w:val="18"/>
              </w:rPr>
            </w:pPr>
            <w:r>
              <w:rPr>
                <w:rFonts w:ascii="Times New Roman"/>
                <w:spacing w:val="-1"/>
                <w:sz w:val="18"/>
              </w:rPr>
              <w:t>2,598,383.76</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60" w:right="0"/>
              <w:jc w:val="center"/>
              <w:rPr>
                <w:rFonts w:ascii="Times New Roman" w:hAnsi="Times New Roman" w:cs="Times New Roman" w:eastAsia="Times New Roman" w:hint="default"/>
                <w:sz w:val="18"/>
                <w:szCs w:val="18"/>
              </w:rPr>
            </w:pPr>
            <w:r>
              <w:rPr>
                <w:rFonts w:ascii="Times New Roman"/>
                <w:sz w:val="18"/>
              </w:rPr>
              <w:t>2.91</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84"/>
              <w:jc w:val="right"/>
              <w:rPr>
                <w:rFonts w:ascii="Times New Roman" w:hAnsi="Times New Roman" w:cs="Times New Roman" w:eastAsia="Times New Roman" w:hint="default"/>
                <w:sz w:val="18"/>
                <w:szCs w:val="18"/>
              </w:rPr>
            </w:pPr>
            <w:r>
              <w:rPr>
                <w:rFonts w:ascii="Times New Roman"/>
                <w:spacing w:val="-1"/>
                <w:sz w:val="18"/>
              </w:rPr>
              <w:t>1,299,191.88</w:t>
            </w:r>
          </w:p>
        </w:tc>
        <w:tc>
          <w:tcPr>
            <w:tcW w:w="69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z w:val="18"/>
              </w:rPr>
              <w:t>50.00</w:t>
            </w:r>
          </w:p>
        </w:tc>
      </w:tr>
      <w:tr>
        <w:trPr>
          <w:trHeight w:val="385"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35" w:right="0"/>
              <w:jc w:val="center"/>
              <w:rPr>
                <w:rFonts w:ascii="Times New Roman" w:hAnsi="Times New Roman" w:cs="Times New Roman" w:eastAsia="Times New Roman" w:hint="default"/>
                <w:sz w:val="18"/>
                <w:szCs w:val="18"/>
              </w:rPr>
            </w:pPr>
            <w:r>
              <w:rPr>
                <w:rFonts w:ascii="Times New Roman"/>
                <w:sz w:val="18"/>
              </w:rPr>
              <w:t>1,736,263.20</w:t>
            </w:r>
          </w:p>
        </w:tc>
        <w:tc>
          <w:tcPr>
            <w:tcW w:w="73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5"/>
              <w:jc w:val="right"/>
              <w:rPr>
                <w:rFonts w:ascii="Times New Roman" w:hAnsi="Times New Roman" w:cs="Times New Roman" w:eastAsia="Times New Roman" w:hint="default"/>
                <w:sz w:val="18"/>
                <w:szCs w:val="18"/>
              </w:rPr>
            </w:pPr>
            <w:r>
              <w:rPr>
                <w:rFonts w:ascii="Times New Roman"/>
                <w:sz w:val="18"/>
              </w:rPr>
              <w:t>1.12</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7"/>
              <w:jc w:val="right"/>
              <w:rPr>
                <w:rFonts w:ascii="Times New Roman" w:hAnsi="Times New Roman" w:cs="Times New Roman" w:eastAsia="Times New Roman" w:hint="default"/>
                <w:sz w:val="18"/>
                <w:szCs w:val="18"/>
              </w:rPr>
            </w:pPr>
            <w:r>
              <w:rPr>
                <w:rFonts w:ascii="Times New Roman"/>
                <w:spacing w:val="-1"/>
                <w:sz w:val="18"/>
              </w:rPr>
              <w:t>1,562,636.88</w:t>
            </w:r>
          </w:p>
        </w:tc>
        <w:tc>
          <w:tcPr>
            <w:tcW w:w="67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8"/>
              <w:jc w:val="right"/>
              <w:rPr>
                <w:rFonts w:ascii="Times New Roman" w:hAnsi="Times New Roman" w:cs="Times New Roman" w:eastAsia="Times New Roman" w:hint="default"/>
                <w:sz w:val="18"/>
                <w:szCs w:val="18"/>
              </w:rPr>
            </w:pPr>
            <w:r>
              <w:rPr>
                <w:rFonts w:ascii="Times New Roman"/>
                <w:sz w:val="18"/>
              </w:rPr>
              <w:t>90.00</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8"/>
                <w:szCs w:val="18"/>
              </w:rPr>
            </w:pPr>
            <w:r>
              <w:rPr>
                <w:rFonts w:ascii="Times New Roman"/>
                <w:sz w:val="18"/>
              </w:rPr>
              <w:t>19,888.00</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60" w:right="0"/>
              <w:jc w:val="center"/>
              <w:rPr>
                <w:rFonts w:ascii="Times New Roman" w:hAnsi="Times New Roman" w:cs="Times New Roman" w:eastAsia="Times New Roman" w:hint="default"/>
                <w:sz w:val="18"/>
                <w:szCs w:val="18"/>
              </w:rPr>
            </w:pPr>
            <w:r>
              <w:rPr>
                <w:rFonts w:ascii="Times New Roman"/>
                <w:sz w:val="18"/>
              </w:rPr>
              <w:t>0.02</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84"/>
              <w:jc w:val="right"/>
              <w:rPr>
                <w:rFonts w:ascii="Times New Roman" w:hAnsi="Times New Roman" w:cs="Times New Roman" w:eastAsia="Times New Roman" w:hint="default"/>
                <w:sz w:val="18"/>
                <w:szCs w:val="18"/>
              </w:rPr>
            </w:pPr>
            <w:r>
              <w:rPr>
                <w:rFonts w:ascii="Times New Roman"/>
                <w:sz w:val="18"/>
              </w:rPr>
              <w:t>17,899.20</w:t>
            </w:r>
          </w:p>
        </w:tc>
        <w:tc>
          <w:tcPr>
            <w:tcW w:w="6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90.00</w:t>
            </w:r>
          </w:p>
        </w:tc>
      </w:tr>
      <w:tr>
        <w:trPr>
          <w:trHeight w:val="389" w:hRule="exact"/>
        </w:trPr>
        <w:tc>
          <w:tcPr>
            <w:tcW w:w="1669"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116"/>
              <w:jc w:val="center"/>
              <w:rPr>
                <w:rFonts w:ascii="宋体" w:hAnsi="宋体" w:cs="宋体" w:eastAsia="宋体" w:hint="default"/>
                <w:sz w:val="18"/>
                <w:szCs w:val="18"/>
              </w:rPr>
            </w:pPr>
            <w:r>
              <w:rPr>
                <w:rFonts w:ascii="宋体" w:hAnsi="宋体" w:cs="宋体" w:eastAsia="宋体" w:hint="default"/>
                <w:sz w:val="18"/>
                <w:szCs w:val="18"/>
              </w:rPr>
              <w:t>合计</w:t>
            </w:r>
          </w:p>
        </w:tc>
        <w:tc>
          <w:tcPr>
            <w:tcW w:w="1297"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42"/>
              <w:jc w:val="center"/>
              <w:rPr>
                <w:rFonts w:ascii="Times New Roman" w:hAnsi="Times New Roman" w:cs="Times New Roman" w:eastAsia="Times New Roman" w:hint="default"/>
                <w:sz w:val="18"/>
                <w:szCs w:val="18"/>
              </w:rPr>
            </w:pPr>
            <w:r>
              <w:rPr>
                <w:rFonts w:ascii="Times New Roman"/>
                <w:sz w:val="18"/>
              </w:rPr>
              <w:t>154,770,981.73</w:t>
            </w:r>
          </w:p>
        </w:tc>
        <w:tc>
          <w:tcPr>
            <w:tcW w:w="731"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25"/>
              <w:jc w:val="right"/>
              <w:rPr>
                <w:rFonts w:ascii="Times New Roman" w:hAnsi="Times New Roman" w:cs="Times New Roman" w:eastAsia="Times New Roman" w:hint="default"/>
                <w:sz w:val="18"/>
                <w:szCs w:val="18"/>
              </w:rPr>
            </w:pPr>
            <w:r>
              <w:rPr>
                <w:rFonts w:ascii="Times New Roman"/>
                <w:sz w:val="18"/>
              </w:rPr>
              <w:t>100.00</w:t>
            </w:r>
          </w:p>
        </w:tc>
        <w:tc>
          <w:tcPr>
            <w:tcW w:w="1222"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97"/>
              <w:jc w:val="right"/>
              <w:rPr>
                <w:rFonts w:ascii="Times New Roman" w:hAnsi="Times New Roman" w:cs="Times New Roman" w:eastAsia="Times New Roman" w:hint="default"/>
                <w:sz w:val="18"/>
                <w:szCs w:val="18"/>
              </w:rPr>
            </w:pPr>
            <w:r>
              <w:rPr>
                <w:rFonts w:ascii="Times New Roman"/>
                <w:spacing w:val="-1"/>
                <w:sz w:val="18"/>
              </w:rPr>
              <w:t>12,449,488.92</w:t>
            </w:r>
          </w:p>
        </w:tc>
        <w:tc>
          <w:tcPr>
            <w:tcW w:w="673"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48"/>
              <w:jc w:val="right"/>
              <w:rPr>
                <w:rFonts w:ascii="Times New Roman" w:hAnsi="Times New Roman" w:cs="Times New Roman" w:eastAsia="Times New Roman" w:hint="default"/>
                <w:sz w:val="18"/>
                <w:szCs w:val="18"/>
              </w:rPr>
            </w:pPr>
            <w:r>
              <w:rPr>
                <w:rFonts w:ascii="Times New Roman"/>
                <w:sz w:val="18"/>
              </w:rPr>
              <w:t>8.04</w:t>
            </w:r>
          </w:p>
        </w:tc>
        <w:tc>
          <w:tcPr>
            <w:tcW w:w="1209"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07"/>
              <w:jc w:val="right"/>
              <w:rPr>
                <w:rFonts w:ascii="Times New Roman" w:hAnsi="Times New Roman" w:cs="Times New Roman" w:eastAsia="Times New Roman" w:hint="default"/>
                <w:sz w:val="18"/>
                <w:szCs w:val="18"/>
              </w:rPr>
            </w:pPr>
            <w:r>
              <w:rPr>
                <w:rFonts w:ascii="Times New Roman"/>
                <w:spacing w:val="-1"/>
                <w:sz w:val="18"/>
              </w:rPr>
              <w:t>89,443,317.45</w:t>
            </w:r>
          </w:p>
        </w:tc>
        <w:tc>
          <w:tcPr>
            <w:tcW w:w="733"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7"/>
              <w:jc w:val="center"/>
              <w:rPr>
                <w:rFonts w:ascii="Times New Roman" w:hAnsi="Times New Roman" w:cs="Times New Roman" w:eastAsia="Times New Roman" w:hint="default"/>
                <w:sz w:val="18"/>
                <w:szCs w:val="18"/>
              </w:rPr>
            </w:pPr>
            <w:r>
              <w:rPr>
                <w:rFonts w:ascii="Times New Roman"/>
                <w:sz w:val="18"/>
              </w:rPr>
              <w:t>100.00</w:t>
            </w:r>
          </w:p>
        </w:tc>
        <w:tc>
          <w:tcPr>
            <w:tcW w:w="1219"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84"/>
              <w:jc w:val="right"/>
              <w:rPr>
                <w:rFonts w:ascii="Times New Roman" w:hAnsi="Times New Roman" w:cs="Times New Roman" w:eastAsia="Times New Roman" w:hint="default"/>
                <w:sz w:val="18"/>
                <w:szCs w:val="18"/>
              </w:rPr>
            </w:pPr>
            <w:r>
              <w:rPr>
                <w:rFonts w:ascii="Times New Roman"/>
                <w:spacing w:val="-1"/>
                <w:sz w:val="18"/>
              </w:rPr>
              <w:t>6,224,671.50</w:t>
            </w:r>
          </w:p>
        </w:tc>
        <w:tc>
          <w:tcPr>
            <w:tcW w:w="698"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z w:val="18"/>
              </w:rPr>
              <w:t>6.96</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1256" w:top="1100" w:bottom="1440" w:left="1240" w:right="80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p>
      <w:pPr>
        <w:tabs>
          <w:tab w:pos="2396" w:val="left" w:leader="none"/>
        </w:tabs>
        <w:spacing w:before="35"/>
        <w:ind w:left="1857" w:right="0" w:firstLine="0"/>
        <w:jc w:val="left"/>
        <w:rPr>
          <w:rFonts w:ascii="宋体" w:hAnsi="宋体" w:cs="宋体" w:eastAsia="宋体" w:hint="default"/>
          <w:sz w:val="21"/>
          <w:szCs w:val="21"/>
        </w:rPr>
      </w:pPr>
      <w:r>
        <w:rPr/>
        <w:pict>
          <v:shape style="position:absolute;margin-left:246.2397pt;margin-top:57.033646pt;width:70.7pt;height:37.450pt;mso-position-horizontal-relative:page;mso-position-vertical-relative:paragraph;z-index:-820144" type="#_x0000_t202" filled="false" stroked="false">
            <v:textbox inset="0,0,0,0">
              <w:txbxContent>
                <w:p>
                  <w:pPr>
                    <w:spacing w:line="240" w:lineRule="auto" w:before="6"/>
                    <w:rPr>
                      <w:rFonts w:ascii="宋体" w:hAnsi="宋体" w:cs="宋体" w:eastAsia="宋体" w:hint="default"/>
                      <w:b/>
                      <w:bCs/>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应收账款按种类披露</w:t>
      </w:r>
      <w:r>
        <w:rPr>
          <w:rFonts w:ascii="宋体" w:hAnsi="宋体" w:cs="宋体" w:eastAsia="宋体" w:hint="default"/>
          <w:sz w:val="21"/>
          <w:szCs w:val="21"/>
        </w:rPr>
      </w:r>
    </w:p>
    <w:p>
      <w:pPr>
        <w:spacing w:line="5755" w:lineRule="exact"/>
        <w:ind w:left="117" w:right="0" w:firstLine="0"/>
        <w:rPr>
          <w:rFonts w:ascii="宋体" w:hAnsi="宋体" w:cs="宋体" w:eastAsia="宋体" w:hint="default"/>
          <w:sz w:val="20"/>
          <w:szCs w:val="20"/>
        </w:rPr>
      </w:pPr>
      <w:r>
        <w:rPr>
          <w:rFonts w:ascii="宋体" w:hAnsi="宋体" w:cs="宋体" w:eastAsia="宋体" w:hint="default"/>
          <w:position w:val="-114"/>
          <w:sz w:val="20"/>
          <w:szCs w:val="20"/>
        </w:rPr>
        <w:pict>
          <v:group style="width:520.85pt;height:287.8pt;mso-position-horizontal-relative:char;mso-position-vertical-relative:line" coordorigin="0,0" coordsize="10417,5756">
            <v:group style="position:absolute;left:29;top:15;width:10352;height:2" coordorigin="29,15" coordsize="10352,2">
              <v:shape style="position:absolute;left:29;top:15;width:10352;height:2" coordorigin="29,15" coordsize="10352,0" path="m29,15l10381,15e" filled="false" stroked="true" strokeweight="1.5pt" strokecolor="#000000">
                <v:path arrowok="t"/>
              </v:shape>
              <v:shape style="position:absolute;left:1983;top:1;width:4357;height:432" type="#_x0000_t75" stroked="false">
                <v:imagedata r:id="rId78" o:title=""/>
              </v:shape>
              <v:shape style="position:absolute;left:1983;top:376;width:8434;height:442" type="#_x0000_t75" stroked="false">
                <v:imagedata r:id="rId79" o:title=""/>
              </v:shape>
            </v:group>
            <v:group style="position:absolute;left:2021;top:798;width:1410;height:749" coordorigin="2021,798" coordsize="1410,749">
              <v:shape style="position:absolute;left:2021;top:798;width:1410;height:749" coordorigin="2021,798" coordsize="1410,749" path="m2021,1547l3431,1547,3431,798,2021,798,2021,1547xe" filled="true" fillcolor="#ffffff" stroked="false">
                <v:path arrowok="t"/>
                <v:fill type="solid"/>
              </v:shape>
            </v:group>
            <v:group style="position:absolute;left:2123;top:985;width:1205;height:375" coordorigin="2123,985" coordsize="1205,375">
              <v:shape style="position:absolute;left:2123;top:985;width:1205;height:375" coordorigin="2123,985" coordsize="1205,375" path="m2123,1360l3328,1360,3328,985,2123,985,2123,1360xe" filled="true" fillcolor="#ffffff" stroked="false">
                <v:path arrowok="t"/>
                <v:fill type="solid"/>
              </v:shape>
            </v:group>
            <v:group style="position:absolute;left:3441;top:798;width:794;height:749" coordorigin="3441,798" coordsize="794,749">
              <v:shape style="position:absolute;left:3441;top:798;width:794;height:749" coordorigin="3441,798" coordsize="794,749" path="m3441,1547l4234,1547,4234,798,3441,798,3441,1547xe" filled="true" fillcolor="#ffffff" stroked="false">
                <v:path arrowok="t"/>
                <v:fill type="solid"/>
              </v:shape>
            </v:group>
            <v:group style="position:absolute;left:3544;top:985;width:587;height:375" coordorigin="3544,985" coordsize="587,375">
              <v:shape style="position:absolute;left:3544;top:985;width:587;height:375" coordorigin="3544,985" coordsize="587,375" path="m3544,1360l4131,1360,4131,985,3544,985,3544,1360xe" filled="true" fillcolor="#ffffff" stroked="false">
                <v:path arrowok="t"/>
                <v:fill type="solid"/>
              </v:shape>
            </v:group>
            <v:group style="position:absolute;left:4244;top:798;width:1318;height:749" coordorigin="4244,798" coordsize="1318,749">
              <v:shape style="position:absolute;left:4244;top:798;width:1318;height:749" coordorigin="4244,798" coordsize="1318,749" path="m4244,1547l5561,1547,5561,798,4244,798,4244,1547xe" filled="true" fillcolor="#ffffff" stroked="false">
                <v:path arrowok="t"/>
                <v:fill type="solid"/>
              </v:shape>
            </v:group>
            <v:group style="position:absolute;left:4347;top:985;width:1112;height:375" coordorigin="4347,985" coordsize="1112,375">
              <v:shape style="position:absolute;left:4347;top:985;width:1112;height:375" coordorigin="4347,985" coordsize="1112,375" path="m4347,1360l5458,1360,5458,985,4347,985,4347,1360xe" filled="true" fillcolor="#ffffff" stroked="false">
                <v:path arrowok="t"/>
                <v:fill type="solid"/>
              </v:shape>
            </v:group>
            <v:group style="position:absolute;left:5571;top:798;width:731;height:749" coordorigin="5571,798" coordsize="731,749">
              <v:shape style="position:absolute;left:5571;top:798;width:731;height:749" coordorigin="5571,798" coordsize="731,749" path="m5571,1547l6302,1547,6302,798,5571,798,5571,1547xe" filled="true" fillcolor="#ffffff" stroked="false">
                <v:path arrowok="t"/>
                <v:fill type="solid"/>
              </v:shape>
            </v:group>
            <v:group style="position:absolute;left:5674;top:798;width:525;height:375" coordorigin="5674,798" coordsize="525,375">
              <v:shape style="position:absolute;left:5674;top:798;width:525;height:375" coordorigin="5674,798" coordsize="525,375" path="m5674,1172l6199,1172,6199,798,5674,798,5674,1172xe" filled="true" fillcolor="#ffffff" stroked="false">
                <v:path arrowok="t"/>
                <v:fill type="solid"/>
              </v:shape>
            </v:group>
            <v:group style="position:absolute;left:5674;top:1172;width:525;height:375" coordorigin="5674,1172" coordsize="525,375">
              <v:shape style="position:absolute;left:5674;top:1172;width:525;height:375" coordorigin="5674,1172" coordsize="525,375" path="m5674,1547l6199,1547,6199,1172,5674,1172,5674,1547xe" filled="true" fillcolor="#ffffff" stroked="false">
                <v:path arrowok="t"/>
                <v:fill type="solid"/>
              </v:shape>
            </v:group>
            <v:group style="position:absolute;left:6311;top:798;width:1372;height:749" coordorigin="6311,798" coordsize="1372,749">
              <v:shape style="position:absolute;left:6311;top:798;width:1372;height:749" coordorigin="6311,798" coordsize="1372,749" path="m6311,1547l7683,1547,7683,798,6311,798,6311,1547xe" filled="true" fillcolor="#ffffff" stroked="false">
                <v:path arrowok="t"/>
                <v:fill type="solid"/>
              </v:shape>
            </v:group>
            <v:group style="position:absolute;left:6415;top:985;width:1166;height:375" coordorigin="6415,985" coordsize="1166,375">
              <v:shape style="position:absolute;left:6415;top:985;width:1166;height:375" coordorigin="6415,985" coordsize="1166,375" path="m6415,1360l7580,1360,7580,985,6415,985,6415,1360xe" filled="true" fillcolor="#ffffff" stroked="false">
                <v:path arrowok="t"/>
                <v:fill type="solid"/>
              </v:shape>
            </v:group>
            <v:group style="position:absolute;left:7693;top:798;width:728;height:749" coordorigin="7693,798" coordsize="728,749">
              <v:shape style="position:absolute;left:7693;top:798;width:728;height:749" coordorigin="7693,798" coordsize="728,749" path="m7693,1547l8420,1547,8420,798,7693,798,7693,1547xe" filled="true" fillcolor="#ffffff" stroked="false">
                <v:path arrowok="t"/>
                <v:fill type="solid"/>
              </v:shape>
            </v:group>
            <v:group style="position:absolute;left:7796;top:798;width:521;height:375" coordorigin="7796,798" coordsize="521,375">
              <v:shape style="position:absolute;left:7796;top:798;width:521;height:375" coordorigin="7796,798" coordsize="521,375" path="m7796,1172l8317,1172,8317,798,7796,798,7796,1172xe" filled="true" fillcolor="#ffffff" stroked="false">
                <v:path arrowok="t"/>
                <v:fill type="solid"/>
              </v:shape>
            </v:group>
            <v:group style="position:absolute;left:7796;top:1172;width:521;height:375" coordorigin="7796,1172" coordsize="521,375">
              <v:shape style="position:absolute;left:7796;top:1172;width:521;height:375" coordorigin="7796,1172" coordsize="521,375" path="m7796,1547l8317,1547,8317,1172,7796,1172,7796,1547xe" filled="true" fillcolor="#ffffff" stroked="false">
                <v:path arrowok="t"/>
                <v:fill type="solid"/>
              </v:shape>
            </v:group>
            <v:group style="position:absolute;left:8431;top:798;width:1238;height:749" coordorigin="8431,798" coordsize="1238,749">
              <v:shape style="position:absolute;left:8431;top:798;width:1238;height:749" coordorigin="8431,798" coordsize="1238,749" path="m8431,1547l9668,1547,9668,798,8431,798,8431,1547xe" filled="true" fillcolor="#ffffff" stroked="false">
                <v:path arrowok="t"/>
                <v:fill type="solid"/>
              </v:shape>
            </v:group>
            <v:group style="position:absolute;left:8533;top:985;width:1032;height:375" coordorigin="8533,985" coordsize="1032,375">
              <v:shape style="position:absolute;left:8533;top:985;width:1032;height:375" coordorigin="8533,985" coordsize="1032,375" path="m8533,1360l9565,1360,9565,985,8533,985,8533,1360xe" filled="true" fillcolor="#ffffff" stroked="false">
                <v:path arrowok="t"/>
                <v:fill type="solid"/>
              </v:shape>
            </v:group>
            <v:group style="position:absolute;left:9679;top:798;width:702;height:749" coordorigin="9679,798" coordsize="702,749">
              <v:shape style="position:absolute;left:9679;top:798;width:702;height:749" coordorigin="9679,798" coordsize="702,749" path="m9679,1547l10381,1547,10381,798,9679,798,9679,1547xe" filled="true" fillcolor="#ffffff" stroked="false">
                <v:path arrowok="t"/>
                <v:fill type="solid"/>
              </v:shape>
            </v:group>
            <v:group style="position:absolute;left:9781;top:798;width:492;height:375" coordorigin="9781,798" coordsize="492,375">
              <v:shape style="position:absolute;left:9781;top:798;width:492;height:375" coordorigin="9781,798" coordsize="492,375" path="m9781,1172l10273,1172,10273,798,9781,798,9781,1172xe" filled="true" fillcolor="#ffffff" stroked="false">
                <v:path arrowok="t"/>
                <v:fill type="solid"/>
              </v:shape>
            </v:group>
            <v:group style="position:absolute;left:9781;top:1172;width:492;height:375" coordorigin="9781,1172" coordsize="492,375">
              <v:shape style="position:absolute;left:9781;top:1172;width:492;height:375" coordorigin="9781,1172" coordsize="492,375" path="m9781,1547l10273,1547,10273,1172,9781,1172,9781,1547xe" filled="true" fillcolor="#ffffff" stroked="false">
                <v:path arrowok="t"/>
                <v:fill type="solid"/>
              </v:shape>
              <v:shape style="position:absolute;left:1993;top:769;width:8414;height:797" type="#_x0000_t75" stroked="false">
                <v:imagedata r:id="rId80" o:title=""/>
              </v:shape>
            </v:group>
            <v:group style="position:absolute;left:15;top:5740;width:1997;height:2" coordorigin="15,5740" coordsize="1997,2">
              <v:shape style="position:absolute;left:15;top:5740;width:1997;height:2" coordorigin="15,5740" coordsize="1997,0" path="m15,5740l2012,5740e" filled="false" stroked="true" strokeweight="1.5pt" strokecolor="#000000">
                <v:path arrowok="t"/>
              </v:shape>
            </v:group>
            <v:group style="position:absolute;left:2012;top:5740;width:1420;height:2" coordorigin="2012,5740" coordsize="1420,2">
              <v:shape style="position:absolute;left:2012;top:5740;width:1420;height:2" coordorigin="2012,5740" coordsize="1420,0" path="m2012,5740l3431,5740e" filled="false" stroked="true" strokeweight="1.5pt" strokecolor="#000000">
                <v:path arrowok="t"/>
              </v:shape>
            </v:group>
            <v:group style="position:absolute;left:3431;top:5740;width:803;height:2" coordorigin="3431,5740" coordsize="803,2">
              <v:shape style="position:absolute;left:3431;top:5740;width:803;height:2" coordorigin="3431,5740" coordsize="803,0" path="m3431,5740l4234,5740e" filled="false" stroked="true" strokeweight="1.5pt" strokecolor="#000000">
                <v:path arrowok="t"/>
              </v:shape>
            </v:group>
            <v:group style="position:absolute;left:4234;top:5740;width:1328;height:2" coordorigin="4234,5740" coordsize="1328,2">
              <v:shape style="position:absolute;left:4234;top:5740;width:1328;height:2" coordorigin="4234,5740" coordsize="1328,0" path="m4234,5740l5561,5740e" filled="false" stroked="true" strokeweight="1.5pt" strokecolor="#000000">
                <v:path arrowok="t"/>
              </v:shape>
            </v:group>
            <v:group style="position:absolute;left:5561;top:5740;width:741;height:2" coordorigin="5561,5740" coordsize="741,2">
              <v:shape style="position:absolute;left:5561;top:5740;width:741;height:2" coordorigin="5561,5740" coordsize="741,0" path="m5561,5740l6302,5740e" filled="false" stroked="true" strokeweight="1.5pt" strokecolor="#000000">
                <v:path arrowok="t"/>
              </v:shape>
            </v:group>
            <v:group style="position:absolute;left:6302;top:5740;width:30;height:2" coordorigin="6302,5740" coordsize="30,2">
              <v:shape style="position:absolute;left:6302;top:5740;width:30;height:2" coordorigin="6302,5740" coordsize="30,0" path="m6302,5740l6332,5740e" filled="false" stroked="true" strokeweight="1.5pt" strokecolor="#000000">
                <v:path arrowok="t"/>
              </v:shape>
            </v:group>
            <v:group style="position:absolute;left:6332;top:5740;width:1352;height:2" coordorigin="6332,5740" coordsize="1352,2">
              <v:shape style="position:absolute;left:6332;top:5740;width:1352;height:2" coordorigin="6332,5740" coordsize="1352,0" path="m6332,5740l7683,5740e" filled="false" stroked="true" strokeweight="1.5pt" strokecolor="#000000">
                <v:path arrowok="t"/>
              </v:shape>
            </v:group>
            <v:group style="position:absolute;left:7683;top:5740;width:737;height:2" coordorigin="7683,5740" coordsize="737,2">
              <v:shape style="position:absolute;left:7683;top:5740;width:737;height:2" coordorigin="7683,5740" coordsize="737,0" path="m7683,5740l8420,5740e" filled="false" stroked="true" strokeweight="1.5pt" strokecolor="#000000">
                <v:path arrowok="t"/>
              </v:shape>
            </v:group>
            <v:group style="position:absolute;left:8420;top:5740;width:1248;height:2" coordorigin="8420,5740" coordsize="1248,2">
              <v:shape style="position:absolute;left:8420;top:5740;width:1248;height:2" coordorigin="8420,5740" coordsize="1248,0" path="m8420,5740l9668,5740e" filled="false" stroked="true" strokeweight="1.5pt" strokecolor="#000000">
                <v:path arrowok="t"/>
              </v:shape>
              <v:shape style="position:absolute;left:10;top:1528;width:10397;height:4198" type="#_x0000_t75" stroked="false">
                <v:imagedata r:id="rId81" o:title=""/>
              </v:shape>
            </v:group>
            <v:group style="position:absolute;left:9668;top:5740;width:713;height:2" coordorigin="9668,5740" coordsize="713,2">
              <v:shape style="position:absolute;left:9668;top:5740;width:713;height:2" coordorigin="9668,5740" coordsize="713,0" path="m9668,5740l10381,5740e" filled="false" stroked="true" strokeweight="1.5pt" strokecolor="#000000">
                <v:path arrowok="t"/>
              </v:shape>
              <v:shape style="position:absolute;left:3801;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7983;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767;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912;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005;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9043;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843;top:69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种类</w:t>
                      </w:r>
                    </w:p>
                  </w:txbxContent>
                </v:textbox>
                <w10:wrap type="none"/>
              </v:shape>
              <v:shape style="position:absolute;left:5792;top:89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7911;top:89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9881;top:89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2581;top:108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3508;top:1083;width:64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比例（</w:t>
                      </w:r>
                      <w:r>
                        <w:rPr>
                          <w:rFonts w:ascii="Times New Roman" w:hAnsi="Times New Roman" w:cs="Times New Roman" w:eastAsia="Times New Roman" w:hint="default"/>
                          <w:spacing w:val="-13"/>
                          <w:sz w:val="18"/>
                          <w:szCs w:val="18"/>
                        </w:rPr>
                        <w:t>%</w:t>
                      </w:r>
                    </w:p>
                  </w:txbxContent>
                </v:textbox>
                <w10:wrap type="none"/>
              </v:shape>
              <v:shape style="position:absolute;left:4757;top:108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6853;top:108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8903;top:108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5717;top:1270;width:4600;height:190" type="#_x0000_t202" filled="false" stroked="false">
                <v:textbox inset="0,0,0,0">
                  <w:txbxContent>
                    <w:p>
                      <w:pPr>
                        <w:tabs>
                          <w:tab w:pos="2119" w:val="left" w:leader="none"/>
                          <w:tab w:pos="4089"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tab/>
                        <w:t>（</w:t>
                      </w:r>
                      <w:r>
                        <w:rPr>
                          <w:rFonts w:ascii="Times New Roman" w:hAnsi="Times New Roman" w:cs="Times New Roman" w:eastAsia="Times New Roman" w:hint="default"/>
                          <w:sz w:val="18"/>
                          <w:szCs w:val="18"/>
                        </w:rPr>
                        <w:t>%</w:t>
                      </w:r>
                      <w:r>
                        <w:rPr>
                          <w:rFonts w:ascii="宋体" w:hAnsi="宋体" w:cs="宋体" w:eastAsia="宋体" w:hint="default"/>
                          <w:sz w:val="18"/>
                          <w:szCs w:val="18"/>
                        </w:rPr>
                        <w:t>）</w:t>
                        <w:tab/>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39;top:1655;width:5321;height:208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6"/>
                          <w:sz w:val="18"/>
                          <w:szCs w:val="18"/>
                        </w:rPr>
                        <w:t>单项金额重大并单项</w:t>
                      </w:r>
                      <w:r>
                        <w:rPr>
                          <w:rFonts w:ascii="宋体" w:hAnsi="宋体" w:cs="宋体" w:eastAsia="宋体" w:hint="default"/>
                          <w:spacing w:val="-71"/>
                          <w:sz w:val="18"/>
                          <w:szCs w:val="18"/>
                        </w:rPr>
                        <w:t> </w:t>
                      </w:r>
                      <w:r>
                        <w:rPr>
                          <w:rFonts w:ascii="宋体" w:hAnsi="宋体" w:cs="宋体" w:eastAsia="宋体" w:hint="default"/>
                          <w:sz w:val="18"/>
                          <w:szCs w:val="18"/>
                        </w:rPr>
                      </w:r>
                    </w:p>
                    <w:p>
                      <w:pPr>
                        <w:spacing w:line="381" w:lineRule="auto" w:before="139"/>
                        <w:ind w:left="0" w:right="3528" w:firstLine="0"/>
                        <w:jc w:val="left"/>
                        <w:rPr>
                          <w:rFonts w:ascii="宋体" w:hAnsi="宋体" w:cs="宋体" w:eastAsia="宋体" w:hint="default"/>
                          <w:sz w:val="18"/>
                          <w:szCs w:val="18"/>
                        </w:rPr>
                      </w:pPr>
                      <w:r>
                        <w:rPr>
                          <w:rFonts w:ascii="宋体" w:hAnsi="宋体" w:cs="宋体" w:eastAsia="宋体" w:hint="default"/>
                          <w:spacing w:val="16"/>
                          <w:sz w:val="18"/>
                          <w:szCs w:val="18"/>
                        </w:rPr>
                        <w:t>计提坏账准备的应收</w:t>
                      </w:r>
                      <w:r>
                        <w:rPr>
                          <w:rFonts w:ascii="宋体" w:hAnsi="宋体" w:cs="宋体" w:eastAsia="宋体" w:hint="default"/>
                          <w:spacing w:val="-85"/>
                          <w:sz w:val="18"/>
                          <w:szCs w:val="18"/>
                        </w:rPr>
                        <w:t> </w:t>
                      </w:r>
                      <w:r>
                        <w:rPr>
                          <w:rFonts w:ascii="宋体" w:hAnsi="宋体" w:cs="宋体" w:eastAsia="宋体" w:hint="default"/>
                          <w:sz w:val="18"/>
                          <w:szCs w:val="18"/>
                        </w:rPr>
                        <w:t>账款</w:t>
                      </w:r>
                    </w:p>
                    <w:p>
                      <w:pPr>
                        <w:spacing w:line="381" w:lineRule="auto" w:before="42"/>
                        <w:ind w:left="0" w:right="3528" w:firstLine="0"/>
                        <w:jc w:val="left"/>
                        <w:rPr>
                          <w:rFonts w:ascii="宋体" w:hAnsi="宋体" w:cs="宋体" w:eastAsia="宋体" w:hint="default"/>
                          <w:sz w:val="18"/>
                          <w:szCs w:val="18"/>
                        </w:rPr>
                      </w:pPr>
                      <w:r>
                        <w:rPr>
                          <w:rFonts w:ascii="宋体" w:hAnsi="宋体" w:cs="宋体" w:eastAsia="宋体" w:hint="default"/>
                          <w:spacing w:val="16"/>
                          <w:sz w:val="18"/>
                          <w:szCs w:val="18"/>
                        </w:rPr>
                        <w:t>按组合计提坏账准备</w:t>
                      </w:r>
                      <w:r>
                        <w:rPr>
                          <w:rFonts w:ascii="宋体" w:hAnsi="宋体" w:cs="宋体" w:eastAsia="宋体" w:hint="default"/>
                          <w:spacing w:val="-85"/>
                          <w:sz w:val="18"/>
                          <w:szCs w:val="18"/>
                        </w:rPr>
                        <w:t> </w:t>
                      </w:r>
                      <w:r>
                        <w:rPr>
                          <w:rFonts w:ascii="宋体" w:hAnsi="宋体" w:cs="宋体" w:eastAsia="宋体" w:hint="default"/>
                          <w:sz w:val="18"/>
                          <w:szCs w:val="18"/>
                        </w:rPr>
                        <w:t>的应收账款</w:t>
                      </w:r>
                    </w:p>
                    <w:p>
                      <w:pPr>
                        <w:tabs>
                          <w:tab w:pos="2063" w:val="left" w:leader="none"/>
                          <w:tab w:pos="3497" w:val="left" w:leader="none"/>
                          <w:tab w:pos="4285" w:val="left" w:leader="none"/>
                        </w:tabs>
                        <w:spacing w:line="245" w:lineRule="exact" w:before="42"/>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：账龄分析法</w:t>
                        <w:tab/>
                      </w:r>
                      <w:r>
                        <w:rPr>
                          <w:rFonts w:ascii="Times New Roman" w:hAnsi="Times New Roman" w:cs="Times New Roman" w:eastAsia="Times New Roman" w:hint="default"/>
                          <w:spacing w:val="-1"/>
                          <w:sz w:val="18"/>
                          <w:szCs w:val="18"/>
                        </w:rPr>
                        <w:t>154,770,981.73</w:t>
                        <w:tab/>
                      </w:r>
                      <w:r>
                        <w:rPr>
                          <w:rFonts w:ascii="Times New Roman" w:hAnsi="Times New Roman" w:cs="Times New Roman" w:eastAsia="Times New Roman" w:hint="default"/>
                          <w:sz w:val="18"/>
                          <w:szCs w:val="18"/>
                        </w:rPr>
                        <w:t>100.00</w:t>
                        <w:tab/>
                      </w:r>
                      <w:r>
                        <w:rPr>
                          <w:rFonts w:ascii="Times New Roman" w:hAnsi="Times New Roman" w:cs="Times New Roman" w:eastAsia="Times New Roman" w:hint="default"/>
                          <w:spacing w:val="-1"/>
                          <w:sz w:val="18"/>
                          <w:szCs w:val="18"/>
                        </w:rPr>
                        <w:t>12,449,488.92</w:t>
                      </w:r>
                    </w:p>
                  </w:txbxContent>
                </v:textbox>
                <w10:wrap type="none"/>
              </v:shape>
              <v:shape style="position:absolute;left:5885;top:3554;width:4389;height:180" type="#_x0000_t202" filled="false" stroked="false">
                <v:textbox inset="0,0,0,0">
                  <w:txbxContent>
                    <w:p>
                      <w:pPr>
                        <w:tabs>
                          <w:tab w:pos="659" w:val="left" w:leader="none"/>
                          <w:tab w:pos="1936" w:val="left" w:leader="none"/>
                          <w:tab w:pos="2734" w:val="left" w:leader="none"/>
                          <w:tab w:pos="407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8.04</w:t>
                        <w:tab/>
                      </w:r>
                      <w:r>
                        <w:rPr>
                          <w:rFonts w:ascii="Times New Roman"/>
                          <w:spacing w:val="-1"/>
                          <w:sz w:val="18"/>
                        </w:rPr>
                        <w:t>89,443,317.45</w:t>
                        <w:tab/>
                      </w:r>
                      <w:r>
                        <w:rPr>
                          <w:rFonts w:ascii="Times New Roman"/>
                          <w:sz w:val="18"/>
                        </w:rPr>
                        <w:t>100.00</w:t>
                        <w:tab/>
                      </w:r>
                      <w:r>
                        <w:rPr>
                          <w:rFonts w:ascii="Times New Roman"/>
                          <w:spacing w:val="-1"/>
                          <w:sz w:val="18"/>
                        </w:rPr>
                        <w:t>6,224,671.50</w:t>
                        <w:tab/>
                      </w:r>
                      <w:r>
                        <w:rPr>
                          <w:rFonts w:ascii="Times New Roman"/>
                          <w:sz w:val="18"/>
                        </w:rPr>
                        <w:t>6.96</w:t>
                      </w:r>
                    </w:p>
                  </w:txbxContent>
                </v:textbox>
                <w10:wrap type="none"/>
              </v:shape>
              <v:shape style="position:absolute;left:139;top:39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组合小计</w:t>
                      </w:r>
                    </w:p>
                  </w:txbxContent>
                </v:textbox>
                <w10:wrap type="none"/>
              </v:shape>
              <v:shape style="position:absolute;left:2203;top:3939;width:3257;height:180" type="#_x0000_t202" filled="false" stroked="false">
                <v:textbox inset="0,0,0,0">
                  <w:txbxContent>
                    <w:p>
                      <w:pPr>
                        <w:tabs>
                          <w:tab w:pos="1433" w:val="left" w:leader="none"/>
                          <w:tab w:pos="222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154,770,981.73</w:t>
                        <w:tab/>
                      </w:r>
                      <w:r>
                        <w:rPr>
                          <w:rFonts w:ascii="Times New Roman"/>
                          <w:sz w:val="18"/>
                        </w:rPr>
                        <w:t>100.00</w:t>
                        <w:tab/>
                      </w:r>
                      <w:r>
                        <w:rPr>
                          <w:rFonts w:ascii="Times New Roman"/>
                          <w:spacing w:val="-1"/>
                          <w:sz w:val="18"/>
                        </w:rPr>
                        <w:t>12,449,488.92</w:t>
                      </w:r>
                    </w:p>
                  </w:txbxContent>
                </v:textbox>
                <w10:wrap type="none"/>
              </v:shape>
              <v:shape style="position:absolute;left:5885;top:3939;width:4389;height:180" type="#_x0000_t202" filled="false" stroked="false">
                <v:textbox inset="0,0,0,0">
                  <w:txbxContent>
                    <w:p>
                      <w:pPr>
                        <w:tabs>
                          <w:tab w:pos="659" w:val="left" w:leader="none"/>
                          <w:tab w:pos="1936" w:val="left" w:leader="none"/>
                          <w:tab w:pos="2734" w:val="left" w:leader="none"/>
                          <w:tab w:pos="407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8.04</w:t>
                        <w:tab/>
                      </w:r>
                      <w:r>
                        <w:rPr>
                          <w:rFonts w:ascii="Times New Roman"/>
                          <w:spacing w:val="-1"/>
                          <w:sz w:val="18"/>
                        </w:rPr>
                        <w:t>89,443,317.45</w:t>
                        <w:tab/>
                      </w:r>
                      <w:r>
                        <w:rPr>
                          <w:rFonts w:ascii="Times New Roman"/>
                          <w:sz w:val="18"/>
                        </w:rPr>
                        <w:t>100.00</w:t>
                        <w:tab/>
                      </w:r>
                      <w:r>
                        <w:rPr>
                          <w:rFonts w:ascii="Times New Roman"/>
                          <w:spacing w:val="-1"/>
                          <w:sz w:val="18"/>
                        </w:rPr>
                        <w:t>6,224,671.50</w:t>
                        <w:tab/>
                      </w:r>
                      <w:r>
                        <w:rPr>
                          <w:rFonts w:ascii="Times New Roman"/>
                          <w:sz w:val="18"/>
                        </w:rPr>
                        <w:t>6.96</w:t>
                      </w:r>
                    </w:p>
                  </w:txbxContent>
                </v:textbox>
                <w10:wrap type="none"/>
              </v:shape>
              <v:shape style="position:absolute;left:139;top:4315;width:5321;height:132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6"/>
                          <w:sz w:val="18"/>
                          <w:szCs w:val="18"/>
                        </w:rPr>
                        <w:t>单项金额虽不重大但</w:t>
                      </w:r>
                      <w:r>
                        <w:rPr>
                          <w:rFonts w:ascii="宋体" w:hAnsi="宋体" w:cs="宋体" w:eastAsia="宋体" w:hint="default"/>
                          <w:spacing w:val="-71"/>
                          <w:sz w:val="18"/>
                          <w:szCs w:val="18"/>
                        </w:rPr>
                        <w:t> </w:t>
                      </w:r>
                      <w:r>
                        <w:rPr>
                          <w:rFonts w:ascii="宋体" w:hAnsi="宋体" w:cs="宋体" w:eastAsia="宋体" w:hint="default"/>
                          <w:sz w:val="18"/>
                          <w:szCs w:val="18"/>
                        </w:rPr>
                      </w:r>
                    </w:p>
                    <w:p>
                      <w:pPr>
                        <w:spacing w:line="381" w:lineRule="auto" w:before="139"/>
                        <w:ind w:left="0" w:right="3528" w:firstLine="0"/>
                        <w:jc w:val="left"/>
                        <w:rPr>
                          <w:rFonts w:ascii="宋体" w:hAnsi="宋体" w:cs="宋体" w:eastAsia="宋体" w:hint="default"/>
                          <w:sz w:val="18"/>
                          <w:szCs w:val="18"/>
                        </w:rPr>
                      </w:pPr>
                      <w:r>
                        <w:rPr>
                          <w:rFonts w:ascii="宋体" w:hAnsi="宋体" w:cs="宋体" w:eastAsia="宋体" w:hint="default"/>
                          <w:spacing w:val="16"/>
                          <w:sz w:val="18"/>
                          <w:szCs w:val="18"/>
                        </w:rPr>
                        <w:t>单项计提坏账准备的</w:t>
                      </w:r>
                      <w:r>
                        <w:rPr>
                          <w:rFonts w:ascii="宋体" w:hAnsi="宋体" w:cs="宋体" w:eastAsia="宋体" w:hint="default"/>
                          <w:spacing w:val="-85"/>
                          <w:sz w:val="18"/>
                          <w:szCs w:val="18"/>
                        </w:rPr>
                        <w:t> </w:t>
                      </w:r>
                      <w:r>
                        <w:rPr>
                          <w:rFonts w:ascii="宋体" w:hAnsi="宋体" w:cs="宋体" w:eastAsia="宋体" w:hint="default"/>
                          <w:sz w:val="18"/>
                          <w:szCs w:val="18"/>
                        </w:rPr>
                        <w:t>应收账款</w:t>
                      </w:r>
                    </w:p>
                    <w:p>
                      <w:pPr>
                        <w:tabs>
                          <w:tab w:pos="2063" w:val="left" w:leader="none"/>
                          <w:tab w:pos="3497" w:val="left" w:leader="none"/>
                          <w:tab w:pos="4285" w:val="left" w:leader="none"/>
                        </w:tabs>
                        <w:spacing w:line="243" w:lineRule="exact" w:before="42"/>
                        <w:ind w:left="70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合计</w:t>
                        <w:tab/>
                      </w:r>
                      <w:r>
                        <w:rPr>
                          <w:rFonts w:ascii="Times New Roman" w:hAnsi="Times New Roman" w:cs="Times New Roman" w:eastAsia="Times New Roman" w:hint="default"/>
                          <w:spacing w:val="-1"/>
                          <w:sz w:val="18"/>
                          <w:szCs w:val="18"/>
                        </w:rPr>
                        <w:t>154,770,981.73</w:t>
                        <w:tab/>
                      </w:r>
                      <w:r>
                        <w:rPr>
                          <w:rFonts w:ascii="Times New Roman" w:hAnsi="Times New Roman" w:cs="Times New Roman" w:eastAsia="Times New Roman" w:hint="default"/>
                          <w:sz w:val="18"/>
                          <w:szCs w:val="18"/>
                        </w:rPr>
                        <w:t>100.00</w:t>
                        <w:tab/>
                      </w:r>
                      <w:r>
                        <w:rPr>
                          <w:rFonts w:ascii="Times New Roman" w:hAnsi="Times New Roman" w:cs="Times New Roman" w:eastAsia="Times New Roman" w:hint="default"/>
                          <w:spacing w:val="-1"/>
                          <w:sz w:val="18"/>
                          <w:szCs w:val="18"/>
                        </w:rPr>
                        <w:t>12,449,488.92</w:t>
                      </w:r>
                    </w:p>
                  </w:txbxContent>
                </v:textbox>
                <w10:wrap type="none"/>
              </v:shape>
              <v:shape style="position:absolute;left:5885;top:5456;width:4389;height:180" type="#_x0000_t202" filled="false" stroked="false">
                <v:textbox inset="0,0,0,0">
                  <w:txbxContent>
                    <w:p>
                      <w:pPr>
                        <w:tabs>
                          <w:tab w:pos="659" w:val="left" w:leader="none"/>
                          <w:tab w:pos="1936" w:val="left" w:leader="none"/>
                          <w:tab w:pos="2734" w:val="left" w:leader="none"/>
                          <w:tab w:pos="407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8.04</w:t>
                        <w:tab/>
                      </w:r>
                      <w:r>
                        <w:rPr>
                          <w:rFonts w:ascii="Times New Roman"/>
                          <w:spacing w:val="-1"/>
                          <w:sz w:val="18"/>
                        </w:rPr>
                        <w:t>89,443,317.45</w:t>
                        <w:tab/>
                      </w:r>
                      <w:r>
                        <w:rPr>
                          <w:rFonts w:ascii="Times New Roman"/>
                          <w:sz w:val="18"/>
                        </w:rPr>
                        <w:t>100.00</w:t>
                        <w:tab/>
                      </w:r>
                      <w:r>
                        <w:rPr>
                          <w:rFonts w:ascii="Times New Roman"/>
                          <w:spacing w:val="-1"/>
                          <w:sz w:val="18"/>
                        </w:rPr>
                        <w:t>6,224,671.50</w:t>
                        <w:tab/>
                      </w:r>
                      <w:r>
                        <w:rPr>
                          <w:rFonts w:ascii="Times New Roman"/>
                          <w:sz w:val="18"/>
                        </w:rPr>
                        <w:t>6.96</w:t>
                      </w:r>
                    </w:p>
                  </w:txbxContent>
                </v:textbox>
                <w10:wrap type="none"/>
              </v:shape>
            </v:group>
          </v:group>
        </w:pict>
      </w:r>
      <w:r>
        <w:rPr>
          <w:rFonts w:ascii="宋体" w:hAnsi="宋体" w:cs="宋体" w:eastAsia="宋体" w:hint="default"/>
          <w:position w:val="-114"/>
          <w:sz w:val="20"/>
          <w:szCs w:val="20"/>
        </w:rPr>
      </w:r>
    </w:p>
    <w:p>
      <w:pPr>
        <w:spacing w:line="240" w:lineRule="auto" w:before="10"/>
        <w:rPr>
          <w:rFonts w:ascii="宋体" w:hAnsi="宋体" w:cs="宋体" w:eastAsia="宋体" w:hint="default"/>
          <w:b/>
          <w:bCs/>
          <w:sz w:val="5"/>
          <w:szCs w:val="5"/>
        </w:rPr>
      </w:pPr>
    </w:p>
    <w:p>
      <w:pPr>
        <w:spacing w:before="35"/>
        <w:ind w:left="1857" w:right="0" w:firstLine="0"/>
        <w:jc w:val="left"/>
        <w:rPr>
          <w:rFonts w:ascii="宋体" w:hAnsi="宋体" w:cs="宋体" w:eastAsia="宋体" w:hint="default"/>
          <w:sz w:val="21"/>
          <w:szCs w:val="21"/>
        </w:rPr>
      </w:pPr>
      <w:r>
        <w:rPr>
          <w:rFonts w:ascii="宋体" w:hAnsi="宋体" w:cs="宋体" w:eastAsia="宋体" w:hint="default"/>
          <w:sz w:val="21"/>
          <w:szCs w:val="21"/>
        </w:rPr>
        <w:t>应收账款种类的说明：详见附注二、（十）。</w:t>
      </w:r>
    </w:p>
    <w:p>
      <w:pPr>
        <w:spacing w:before="126"/>
        <w:ind w:left="1857" w:right="0" w:firstLine="0"/>
        <w:jc w:val="left"/>
        <w:rPr>
          <w:rFonts w:ascii="宋体" w:hAnsi="宋体" w:cs="宋体" w:eastAsia="宋体" w:hint="default"/>
          <w:sz w:val="21"/>
          <w:szCs w:val="21"/>
        </w:rPr>
      </w:pPr>
      <w:r>
        <w:rPr/>
        <w:pict>
          <v:group style="position:absolute;margin-left:88.559998pt;margin-top:21.623682pt;width:421.5pt;height:173.5pt;mso-position-horizontal-relative:page;mso-position-vertical-relative:paragraph;z-index:-820072" coordorigin="1771,432" coordsize="8430,3470">
            <v:group style="position:absolute;left:1800;top:447;width:8366;height:2" coordorigin="1800,447" coordsize="8366,2">
              <v:shape style="position:absolute;left:1800;top:447;width:8366;height:2" coordorigin="1800,447" coordsize="8366,0" path="m1800,447l10165,447e" filled="false" stroked="true" strokeweight="1.5pt" strokecolor="#000000">
                <v:path arrowok="t"/>
              </v:shape>
              <v:shape style="position:absolute;left:2760;top:434;width:3653;height:432" type="#_x0000_t75" stroked="false">
                <v:imagedata r:id="rId82" o:title=""/>
              </v:shape>
            </v:group>
            <v:group style="position:absolute;left:4952;top:846;width:104;height:375" coordorigin="4952,846" coordsize="104,375">
              <v:shape style="position:absolute;left:4952;top:846;width:104;height:375" coordorigin="4952,846" coordsize="104,375" path="m4952,1221l5056,1221,5056,846,4952,846,4952,1221xe" filled="true" fillcolor="#ffffff" stroked="false">
                <v:path arrowok="t"/>
                <v:fill type="solid"/>
              </v:shape>
            </v:group>
            <v:group style="position:absolute;left:2798;top:846;width:102;height:375" coordorigin="2798,846" coordsize="102,375">
              <v:shape style="position:absolute;left:2798;top:846;width:102;height:375" coordorigin="2798,846" coordsize="102,375" path="m2798,1221l2900,1221,2900,846,2798,846,2798,1221xe" filled="true" fillcolor="#ffffff" stroked="false">
                <v:path arrowok="t"/>
                <v:fill type="solid"/>
              </v:shape>
            </v:group>
            <v:group style="position:absolute;left:2900;top:846;width:2052;height:375" coordorigin="2900,846" coordsize="2052,375">
              <v:shape style="position:absolute;left:2900;top:846;width:2052;height:375" coordorigin="2900,846" coordsize="2052,375" path="m2900,1221l4952,1221,4952,846,2900,846,2900,1221xe" filled="true" fillcolor="#ffffff" stroked="false">
                <v:path arrowok="t"/>
                <v:fill type="solid"/>
              </v:shape>
            </v:group>
            <v:group style="position:absolute;left:5066;top:846;width:1308;height:1134" coordorigin="5066,846" coordsize="1308,1134">
              <v:shape style="position:absolute;left:5066;top:846;width:1308;height:1134" coordorigin="5066,846" coordsize="1308,1134" path="m5066,1980l6374,1980,6374,846,5066,846,5066,1980xe" filled="true" fillcolor="#ffffff" stroked="false">
                <v:path arrowok="t"/>
                <v:fill type="solid"/>
              </v:shape>
            </v:group>
            <v:group style="position:absolute;left:5168;top:1226;width:1103;height:375" coordorigin="5168,1226" coordsize="1103,375">
              <v:shape style="position:absolute;left:5168;top:1226;width:1103;height:375" coordorigin="5168,1226" coordsize="1103,375" path="m5168,1600l6271,1600,6271,1226,5168,1226,5168,1600xe" filled="true" fillcolor="#ffffff" stroked="false">
                <v:path arrowok="t"/>
                <v:fill type="solid"/>
              </v:shape>
              <v:shape style="position:absolute;left:2760;top:808;width:7441;height:442" type="#_x0000_t75" stroked="false">
                <v:imagedata r:id="rId83" o:title=""/>
              </v:shape>
            </v:group>
            <v:group style="position:absolute;left:2798;top:1232;width:1408;height:749" coordorigin="2798,1232" coordsize="1408,749">
              <v:shape style="position:absolute;left:2798;top:1232;width:1408;height:749" coordorigin="2798,1232" coordsize="1408,749" path="m2798,1980l4206,1980,4206,1232,2798,1232,2798,1980xe" filled="true" fillcolor="#ffffff" stroked="false">
                <v:path arrowok="t"/>
                <v:fill type="solid"/>
              </v:shape>
            </v:group>
            <v:group style="position:absolute;left:2900;top:1419;width:1203;height:375" coordorigin="2900,1419" coordsize="1203,375">
              <v:shape style="position:absolute;left:2900;top:1419;width:1203;height:375" coordorigin="2900,1419" coordsize="1203,375" path="m2900,1793l4103,1793,4103,1419,2900,1419,2900,1793xe" filled="true" fillcolor="#ffffff" stroked="false">
                <v:path arrowok="t"/>
                <v:fill type="solid"/>
              </v:shape>
            </v:group>
            <v:group style="position:absolute;left:4216;top:1232;width:840;height:749" coordorigin="4216,1232" coordsize="840,749">
              <v:shape style="position:absolute;left:4216;top:1232;width:840;height:749" coordorigin="4216,1232" coordsize="840,749" path="m4216,1980l5056,1980,5056,1232,4216,1232,4216,1980xe" filled="true" fillcolor="#ffffff" stroked="false">
                <v:path arrowok="t"/>
                <v:fill type="solid"/>
              </v:shape>
            </v:group>
            <v:group style="position:absolute;left:4319;top:1232;width:634;height:375" coordorigin="4319,1232" coordsize="634,375">
              <v:shape style="position:absolute;left:4319;top:1232;width:634;height:375" coordorigin="4319,1232" coordsize="634,375" path="m4319,1606l4952,1606,4952,1232,4319,1232,4319,1606xe" filled="true" fillcolor="#ffffff" stroked="false">
                <v:path arrowok="t"/>
                <v:fill type="solid"/>
              </v:shape>
            </v:group>
            <v:group style="position:absolute;left:4319;top:1606;width:634;height:375" coordorigin="4319,1606" coordsize="634,375">
              <v:shape style="position:absolute;left:4319;top:1606;width:634;height:375" coordorigin="4319,1606" coordsize="634,375" path="m4319,1980l4952,1980,4952,1606,4319,1606,4319,1980xe" filled="true" fillcolor="#ffffff" stroked="false">
                <v:path arrowok="t"/>
                <v:fill type="solid"/>
              </v:shape>
            </v:group>
            <v:group style="position:absolute;left:6384;top:1232;width:1526;height:749" coordorigin="6384,1232" coordsize="1526,749">
              <v:shape style="position:absolute;left:6384;top:1232;width:1526;height:749" coordorigin="6384,1232" coordsize="1526,749" path="m6384,1980l7909,1980,7909,1232,6384,1232,6384,1980xe" filled="true" fillcolor="#ffffff" stroked="false">
                <v:path arrowok="t"/>
                <v:fill type="solid"/>
              </v:shape>
            </v:group>
            <v:group style="position:absolute;left:6487;top:1419;width:1319;height:375" coordorigin="6487,1419" coordsize="1319,375">
              <v:shape style="position:absolute;left:6487;top:1419;width:1319;height:375" coordorigin="6487,1419" coordsize="1319,375" path="m6487,1793l7806,1793,7806,1419,6487,1419,6487,1793xe" filled="true" fillcolor="#ffffff" stroked="false">
                <v:path arrowok="t"/>
                <v:fill type="solid"/>
              </v:shape>
            </v:group>
            <v:group style="position:absolute;left:7919;top:1232;width:824;height:749" coordorigin="7919,1232" coordsize="824,749">
              <v:shape style="position:absolute;left:7919;top:1232;width:824;height:749" coordorigin="7919,1232" coordsize="824,749" path="m7919,1980l8742,1980,8742,1232,7919,1232,7919,1980xe" filled="true" fillcolor="#ffffff" stroked="false">
                <v:path arrowok="t"/>
                <v:fill type="solid"/>
              </v:shape>
            </v:group>
            <v:group style="position:absolute;left:8022;top:1232;width:617;height:375" coordorigin="8022,1232" coordsize="617,375">
              <v:shape style="position:absolute;left:8022;top:1232;width:617;height:375" coordorigin="8022,1232" coordsize="617,375" path="m8022,1606l8639,1606,8639,1232,8022,1232,8022,1606xe" filled="true" fillcolor="#ffffff" stroked="false">
                <v:path arrowok="t"/>
                <v:fill type="solid"/>
              </v:shape>
            </v:group>
            <v:group style="position:absolute;left:8022;top:1606;width:617;height:375" coordorigin="8022,1606" coordsize="617,375">
              <v:shape style="position:absolute;left:8022;top:1606;width:617;height:375" coordorigin="8022,1606" coordsize="617,375" path="m8022,1980l8639,1980,8639,1606,8022,1606,8022,1980xe" filled="true" fillcolor="#ffffff" stroked="false">
                <v:path arrowok="t"/>
                <v:fill type="solid"/>
              </v:shape>
              <v:shape style="position:absolute;left:2760;top:1192;width:6020;height:817" type="#_x0000_t75" stroked="false">
                <v:imagedata r:id="rId84" o:title=""/>
              </v:shape>
            </v:group>
            <v:group style="position:absolute;left:1800;top:1990;width:108;height:375" coordorigin="1800,1990" coordsize="108,375">
              <v:shape style="position:absolute;left:1800;top:1990;width:108;height:375" coordorigin="1800,1990" coordsize="108,375" path="m1800,2364l1908,2364,1908,1990,1800,1990,1800,2364xe" filled="true" fillcolor="#ffffff" stroked="false">
                <v:path arrowok="t"/>
                <v:fill type="solid"/>
              </v:shape>
            </v:group>
            <v:group style="position:absolute;left:2798;top:1990;width:1408;height:375" coordorigin="2798,1990" coordsize="1408,375">
              <v:shape style="position:absolute;left:2798;top:1990;width:1408;height:375" coordorigin="2798,1990" coordsize="1408,375" path="m2798,2364l4206,2364,4206,1990,2798,1990,2798,2364xe" filled="true" fillcolor="#ffffff" stroked="false">
                <v:path arrowok="t"/>
                <v:fill type="solid"/>
              </v:shape>
            </v:group>
            <v:group style="position:absolute;left:2900;top:2021;width:1203;height:312" coordorigin="2900,2021" coordsize="1203,312">
              <v:shape style="position:absolute;left:2900;top:2021;width:1203;height:312" coordorigin="2900,2021" coordsize="1203,312" path="m2900,2333l4103,2333,4103,2021,2900,2021,2900,2333xe" filled="true" fillcolor="#ffffff" stroked="false">
                <v:path arrowok="t"/>
                <v:fill type="solid"/>
              </v:shape>
            </v:group>
            <v:group style="position:absolute;left:4216;top:1990;width:840;height:375" coordorigin="4216,1990" coordsize="840,375">
              <v:shape style="position:absolute;left:4216;top:1990;width:840;height:375" coordorigin="4216,1990" coordsize="840,375" path="m4216,2364l5056,2364,5056,1990,4216,1990,4216,2364xe" filled="true" fillcolor="#ffffff" stroked="false">
                <v:path arrowok="t"/>
                <v:fill type="solid"/>
              </v:shape>
            </v:group>
            <v:group style="position:absolute;left:4319;top:2021;width:634;height:312" coordorigin="4319,2021" coordsize="634,312">
              <v:shape style="position:absolute;left:4319;top:2021;width:634;height:312" coordorigin="4319,2021" coordsize="634,312" path="m4319,2333l4952,2333,4952,2021,4319,2021,4319,2333xe" filled="true" fillcolor="#ffffff" stroked="false">
                <v:path arrowok="t"/>
                <v:fill type="solid"/>
              </v:shape>
            </v:group>
            <v:group style="position:absolute;left:5066;top:1990;width:1308;height:375" coordorigin="5066,1990" coordsize="1308,375">
              <v:shape style="position:absolute;left:5066;top:1990;width:1308;height:375" coordorigin="5066,1990" coordsize="1308,375" path="m5066,2364l6374,2364,6374,1990,5066,1990,5066,2364xe" filled="true" fillcolor="#ffffff" stroked="false">
                <v:path arrowok="t"/>
                <v:fill type="solid"/>
              </v:shape>
            </v:group>
            <v:group style="position:absolute;left:5168;top:2021;width:1103;height:312" coordorigin="5168,2021" coordsize="1103,312">
              <v:shape style="position:absolute;left:5168;top:2021;width:1103;height:312" coordorigin="5168,2021" coordsize="1103,312" path="m5168,2333l6271,2333,6271,2021,5168,2021,5168,2333xe" filled="true" fillcolor="#ffffff" stroked="false">
                <v:path arrowok="t"/>
                <v:fill type="solid"/>
              </v:shape>
            </v:group>
            <v:group style="position:absolute;left:6384;top:1990;width:1526;height:375" coordorigin="6384,1990" coordsize="1526,375">
              <v:shape style="position:absolute;left:6384;top:1990;width:1526;height:375" coordorigin="6384,1990" coordsize="1526,375" path="m6384,2364l7909,2364,7909,1990,6384,1990,6384,2364xe" filled="true" fillcolor="#ffffff" stroked="false">
                <v:path arrowok="t"/>
                <v:fill type="solid"/>
              </v:shape>
            </v:group>
            <v:group style="position:absolute;left:6487;top:2021;width:1319;height:312" coordorigin="6487,2021" coordsize="1319,312">
              <v:shape style="position:absolute;left:6487;top:2021;width:1319;height:312" coordorigin="6487,2021" coordsize="1319,312" path="m6487,2333l7806,2333,7806,2021,6487,2021,6487,2333xe" filled="true" fillcolor="#ffffff" stroked="false">
                <v:path arrowok="t"/>
                <v:fill type="solid"/>
              </v:shape>
            </v:group>
            <v:group style="position:absolute;left:7919;top:1990;width:824;height:375" coordorigin="7919,1990" coordsize="824,375">
              <v:shape style="position:absolute;left:7919;top:1990;width:824;height:375" coordorigin="7919,1990" coordsize="824,375" path="m7919,2364l8742,2364,8742,1990,7919,1990,7919,2364xe" filled="true" fillcolor="#ffffff" stroked="false">
                <v:path arrowok="t"/>
                <v:fill type="solid"/>
              </v:shape>
            </v:group>
            <v:group style="position:absolute;left:8022;top:2021;width:617;height:312" coordorigin="8022,2021" coordsize="617,312">
              <v:shape style="position:absolute;left:8022;top:2021;width:617;height:312" coordorigin="8022,2021" coordsize="617,312" path="m8022,2333l8639,2333,8639,2021,8022,2021,8022,2333xe" filled="true" fillcolor="#ffffff" stroked="false">
                <v:path arrowok="t"/>
                <v:fill type="solid"/>
              </v:shape>
            </v:group>
            <v:group style="position:absolute;left:8752;top:1990;width:1414;height:375" coordorigin="8752,1990" coordsize="1414,375">
              <v:shape style="position:absolute;left:8752;top:1990;width:1414;height:375" coordorigin="8752,1990" coordsize="1414,375" path="m8752,2364l10165,2364,10165,1990,8752,1990,8752,2364xe" filled="true" fillcolor="#ffffff" stroked="false">
                <v:path arrowok="t"/>
                <v:fill type="solid"/>
              </v:shape>
            </v:group>
            <v:group style="position:absolute;left:8855;top:2021;width:1203;height:312" coordorigin="8855,2021" coordsize="1203,312">
              <v:shape style="position:absolute;left:8855;top:2021;width:1203;height:312" coordorigin="8855,2021" coordsize="1203,312" path="m8855,2333l10057,2333,10057,2021,8855,2021,8855,2333xe" filled="true" fillcolor="#ffffff" stroked="false">
                <v:path arrowok="t"/>
                <v:fill type="solid"/>
              </v:shape>
              <v:shape style="position:absolute;left:1771;top:1952;width:8430;height:442" type="#_x0000_t75" stroked="false">
                <v:imagedata r:id="rId85" o:title=""/>
              </v:shape>
            </v:group>
            <v:group style="position:absolute;left:2686;top:2374;width:102;height:375" coordorigin="2686,2374" coordsize="102,375">
              <v:shape style="position:absolute;left:2686;top:2374;width:102;height:375" coordorigin="2686,2374" coordsize="102,375" path="m2686,2748l2788,2748,2788,2374,2686,2374,2686,2748xe" filled="true" fillcolor="#ffffff" stroked="false">
                <v:path arrowok="t"/>
                <v:fill type="solid"/>
              </v:shape>
            </v:group>
            <v:group style="position:absolute;left:1800;top:2374;width:108;height:375" coordorigin="1800,2374" coordsize="108,375">
              <v:shape style="position:absolute;left:1800;top:2374;width:108;height:375" coordorigin="1800,2374" coordsize="108,375" path="m1800,2748l1908,2748,1908,2374,1800,2374,1800,2748xe" filled="true" fillcolor="#ffffff" stroked="false">
                <v:path arrowok="t"/>
                <v:fill type="solid"/>
              </v:shape>
            </v:group>
            <v:group style="position:absolute;left:1908;top:2374;width:778;height:375" coordorigin="1908,2374" coordsize="778,375">
              <v:shape style="position:absolute;left:1908;top:2374;width:778;height:375" coordorigin="1908,2374" coordsize="778,375" path="m1908,2748l2686,2748,2686,2374,1908,2374,1908,2748xe" filled="true" fillcolor="#ffffff" stroked="false">
                <v:path arrowok="t"/>
                <v:fill type="solid"/>
              </v:shape>
            </v:group>
            <v:group style="position:absolute;left:2798;top:2374;width:1408;height:375" coordorigin="2798,2374" coordsize="1408,375">
              <v:shape style="position:absolute;left:2798;top:2374;width:1408;height:375" coordorigin="2798,2374" coordsize="1408,375" path="m2798,2748l4206,2748,4206,2374,2798,2374,2798,2748xe" filled="true" fillcolor="#ffffff" stroked="false">
                <v:path arrowok="t"/>
                <v:fill type="solid"/>
              </v:shape>
            </v:group>
            <v:group style="position:absolute;left:2900;top:2405;width:1203;height:312" coordorigin="2900,2405" coordsize="1203,312">
              <v:shape style="position:absolute;left:2900;top:2405;width:1203;height:312" coordorigin="2900,2405" coordsize="1203,312" path="m2900,2717l4103,2717,4103,2405,2900,2405,2900,2717xe" filled="true" fillcolor="#ffffff" stroked="false">
                <v:path arrowok="t"/>
                <v:fill type="solid"/>
              </v:shape>
            </v:group>
            <v:group style="position:absolute;left:4216;top:2374;width:840;height:375" coordorigin="4216,2374" coordsize="840,375">
              <v:shape style="position:absolute;left:4216;top:2374;width:840;height:375" coordorigin="4216,2374" coordsize="840,375" path="m4216,2748l5056,2748,5056,2374,4216,2374,4216,2748xe" filled="true" fillcolor="#ffffff" stroked="false">
                <v:path arrowok="t"/>
                <v:fill type="solid"/>
              </v:shape>
            </v:group>
            <v:group style="position:absolute;left:4319;top:2405;width:634;height:312" coordorigin="4319,2405" coordsize="634,312">
              <v:shape style="position:absolute;left:4319;top:2405;width:634;height:312" coordorigin="4319,2405" coordsize="634,312" path="m4319,2717l4952,2717,4952,2405,4319,2405,4319,2717xe" filled="true" fillcolor="#ffffff" stroked="false">
                <v:path arrowok="t"/>
                <v:fill type="solid"/>
              </v:shape>
            </v:group>
            <v:group style="position:absolute;left:5066;top:2374;width:1308;height:375" coordorigin="5066,2374" coordsize="1308,375">
              <v:shape style="position:absolute;left:5066;top:2374;width:1308;height:375" coordorigin="5066,2374" coordsize="1308,375" path="m5066,2748l6374,2748,6374,2374,5066,2374,5066,2748xe" filled="true" fillcolor="#ffffff" stroked="false">
                <v:path arrowok="t"/>
                <v:fill type="solid"/>
              </v:shape>
            </v:group>
            <v:group style="position:absolute;left:5168;top:2405;width:1103;height:312" coordorigin="5168,2405" coordsize="1103,312">
              <v:shape style="position:absolute;left:5168;top:2405;width:1103;height:312" coordorigin="5168,2405" coordsize="1103,312" path="m5168,2717l6271,2717,6271,2405,5168,2405,5168,2717xe" filled="true" fillcolor="#ffffff" stroked="false">
                <v:path arrowok="t"/>
                <v:fill type="solid"/>
              </v:shape>
            </v:group>
            <v:group style="position:absolute;left:6384;top:2374;width:1526;height:375" coordorigin="6384,2374" coordsize="1526,375">
              <v:shape style="position:absolute;left:6384;top:2374;width:1526;height:375" coordorigin="6384,2374" coordsize="1526,375" path="m6384,2748l7909,2748,7909,2374,6384,2374,6384,2748xe" filled="true" fillcolor="#ffffff" stroked="false">
                <v:path arrowok="t"/>
                <v:fill type="solid"/>
              </v:shape>
            </v:group>
            <v:group style="position:absolute;left:6487;top:2405;width:1319;height:312" coordorigin="6487,2405" coordsize="1319,312">
              <v:shape style="position:absolute;left:6487;top:2405;width:1319;height:312" coordorigin="6487,2405" coordsize="1319,312" path="m6487,2717l7806,2717,7806,2405,6487,2405,6487,2717xe" filled="true" fillcolor="#ffffff" stroked="false">
                <v:path arrowok="t"/>
                <v:fill type="solid"/>
              </v:shape>
            </v:group>
            <v:group style="position:absolute;left:7919;top:2374;width:824;height:375" coordorigin="7919,2374" coordsize="824,375">
              <v:shape style="position:absolute;left:7919;top:2374;width:824;height:375" coordorigin="7919,2374" coordsize="824,375" path="m7919,2748l8742,2748,8742,2374,7919,2374,7919,2748xe" filled="true" fillcolor="#ffffff" stroked="false">
                <v:path arrowok="t"/>
                <v:fill type="solid"/>
              </v:shape>
            </v:group>
            <v:group style="position:absolute;left:8022;top:2405;width:617;height:312" coordorigin="8022,2405" coordsize="617,312">
              <v:shape style="position:absolute;left:8022;top:2405;width:617;height:312" coordorigin="8022,2405" coordsize="617,312" path="m8022,2717l8639,2717,8639,2405,8022,2405,8022,2717xe" filled="true" fillcolor="#ffffff" stroked="false">
                <v:path arrowok="t"/>
                <v:fill type="solid"/>
              </v:shape>
            </v:group>
            <v:group style="position:absolute;left:8752;top:2374;width:1414;height:375" coordorigin="8752,2374" coordsize="1414,375">
              <v:shape style="position:absolute;left:8752;top:2374;width:1414;height:375" coordorigin="8752,2374" coordsize="1414,375" path="m8752,2748l10165,2748,10165,2374,8752,2374,8752,2748xe" filled="true" fillcolor="#ffffff" stroked="false">
                <v:path arrowok="t"/>
                <v:fill type="solid"/>
              </v:shape>
            </v:group>
            <v:group style="position:absolute;left:8855;top:2405;width:1203;height:312" coordorigin="8855,2405" coordsize="1203,312">
              <v:shape style="position:absolute;left:8855;top:2405;width:1203;height:312" coordorigin="8855,2405" coordsize="1203,312" path="m8855,2717l10057,2717,10057,2405,8855,2405,8855,2717xe" filled="true" fillcolor="#ffffff" stroked="false">
                <v:path arrowok="t"/>
                <v:fill type="solid"/>
              </v:shape>
              <v:shape style="position:absolute;left:1771;top:2336;width:8430;height:442" type="#_x0000_t75" stroked="false">
                <v:imagedata r:id="rId85" o:title=""/>
              </v:shape>
            </v:group>
            <v:group style="position:absolute;left:2686;top:2759;width:102;height:375" coordorigin="2686,2759" coordsize="102,375">
              <v:shape style="position:absolute;left:2686;top:2759;width:102;height:375" coordorigin="2686,2759" coordsize="102,375" path="m2686,3134l2788,3134,2788,2759,2686,2759,2686,3134xe" filled="true" fillcolor="#ffffff" stroked="false">
                <v:path arrowok="t"/>
                <v:fill type="solid"/>
              </v:shape>
            </v:group>
            <v:group style="position:absolute;left:1800;top:2759;width:108;height:375" coordorigin="1800,2759" coordsize="108,375">
              <v:shape style="position:absolute;left:1800;top:2759;width:108;height:375" coordorigin="1800,2759" coordsize="108,375" path="m1800,3134l1908,3134,1908,2759,1800,2759,1800,3134xe" filled="true" fillcolor="#ffffff" stroked="false">
                <v:path arrowok="t"/>
                <v:fill type="solid"/>
              </v:shape>
            </v:group>
            <v:group style="position:absolute;left:1908;top:2759;width:778;height:375" coordorigin="1908,2759" coordsize="778,375">
              <v:shape style="position:absolute;left:1908;top:2759;width:778;height:375" coordorigin="1908,2759" coordsize="778,375" path="m1908,3134l2686,3134,2686,2759,1908,2759,1908,3134xe" filled="true" fillcolor="#ffffff" stroked="false">
                <v:path arrowok="t"/>
                <v:fill type="solid"/>
              </v:shape>
            </v:group>
            <v:group style="position:absolute;left:2798;top:2759;width:1408;height:375" coordorigin="2798,2759" coordsize="1408,375">
              <v:shape style="position:absolute;left:2798;top:2759;width:1408;height:375" coordorigin="2798,2759" coordsize="1408,375" path="m2798,3134l4206,3134,4206,2759,2798,2759,2798,3134xe" filled="true" fillcolor="#ffffff" stroked="false">
                <v:path arrowok="t"/>
                <v:fill type="solid"/>
              </v:shape>
            </v:group>
            <v:group style="position:absolute;left:2900;top:2790;width:1203;height:312" coordorigin="2900,2790" coordsize="1203,312">
              <v:shape style="position:absolute;left:2900;top:2790;width:1203;height:312" coordorigin="2900,2790" coordsize="1203,312" path="m2900,3102l4103,3102,4103,2790,2900,2790,2900,3102xe" filled="true" fillcolor="#ffffff" stroked="false">
                <v:path arrowok="t"/>
                <v:fill type="solid"/>
              </v:shape>
            </v:group>
            <v:group style="position:absolute;left:4216;top:2759;width:840;height:375" coordorigin="4216,2759" coordsize="840,375">
              <v:shape style="position:absolute;left:4216;top:2759;width:840;height:375" coordorigin="4216,2759" coordsize="840,375" path="m4216,3134l5056,3134,5056,2759,4216,2759,4216,3134xe" filled="true" fillcolor="#ffffff" stroked="false">
                <v:path arrowok="t"/>
                <v:fill type="solid"/>
              </v:shape>
            </v:group>
            <v:group style="position:absolute;left:4319;top:2790;width:634;height:312" coordorigin="4319,2790" coordsize="634,312">
              <v:shape style="position:absolute;left:4319;top:2790;width:634;height:312" coordorigin="4319,2790" coordsize="634,312" path="m4319,3102l4952,3102,4952,2790,4319,2790,4319,3102xe" filled="true" fillcolor="#ffffff" stroked="false">
                <v:path arrowok="t"/>
                <v:fill type="solid"/>
              </v:shape>
            </v:group>
            <v:group style="position:absolute;left:5066;top:2759;width:1308;height:375" coordorigin="5066,2759" coordsize="1308,375">
              <v:shape style="position:absolute;left:5066;top:2759;width:1308;height:375" coordorigin="5066,2759" coordsize="1308,375" path="m5066,3134l6374,3134,6374,2759,5066,2759,5066,3134xe" filled="true" fillcolor="#ffffff" stroked="false">
                <v:path arrowok="t"/>
                <v:fill type="solid"/>
              </v:shape>
            </v:group>
            <v:group style="position:absolute;left:5168;top:2790;width:1103;height:312" coordorigin="5168,2790" coordsize="1103,312">
              <v:shape style="position:absolute;left:5168;top:2790;width:1103;height:312" coordorigin="5168,2790" coordsize="1103,312" path="m5168,3102l6271,3102,6271,2790,5168,2790,5168,3102xe" filled="true" fillcolor="#ffffff" stroked="false">
                <v:path arrowok="t"/>
                <v:fill type="solid"/>
              </v:shape>
            </v:group>
            <v:group style="position:absolute;left:6384;top:2759;width:1526;height:375" coordorigin="6384,2759" coordsize="1526,375">
              <v:shape style="position:absolute;left:6384;top:2759;width:1526;height:375" coordorigin="6384,2759" coordsize="1526,375" path="m6384,3134l7909,3134,7909,2759,6384,2759,6384,3134xe" filled="true" fillcolor="#ffffff" stroked="false">
                <v:path arrowok="t"/>
                <v:fill type="solid"/>
              </v:shape>
            </v:group>
            <v:group style="position:absolute;left:6487;top:2790;width:1319;height:312" coordorigin="6487,2790" coordsize="1319,312">
              <v:shape style="position:absolute;left:6487;top:2790;width:1319;height:312" coordorigin="6487,2790" coordsize="1319,312" path="m6487,3102l7806,3102,7806,2790,6487,2790,6487,3102xe" filled="true" fillcolor="#ffffff" stroked="false">
                <v:path arrowok="t"/>
                <v:fill type="solid"/>
              </v:shape>
            </v:group>
            <v:group style="position:absolute;left:7919;top:2759;width:824;height:375" coordorigin="7919,2759" coordsize="824,375">
              <v:shape style="position:absolute;left:7919;top:2759;width:824;height:375" coordorigin="7919,2759" coordsize="824,375" path="m7919,3134l8742,3134,8742,2759,7919,2759,7919,3134xe" filled="true" fillcolor="#ffffff" stroked="false">
                <v:path arrowok="t"/>
                <v:fill type="solid"/>
              </v:shape>
            </v:group>
            <v:group style="position:absolute;left:8022;top:2790;width:617;height:312" coordorigin="8022,2790" coordsize="617,312">
              <v:shape style="position:absolute;left:8022;top:2790;width:617;height:312" coordorigin="8022,2790" coordsize="617,312" path="m8022,3102l8639,3102,8639,2790,8022,2790,8022,3102xe" filled="true" fillcolor="#ffffff" stroked="false">
                <v:path arrowok="t"/>
                <v:fill type="solid"/>
              </v:shape>
            </v:group>
            <v:group style="position:absolute;left:8752;top:2759;width:1414;height:375" coordorigin="8752,2759" coordsize="1414,375">
              <v:shape style="position:absolute;left:8752;top:2759;width:1414;height:375" coordorigin="8752,2759" coordsize="1414,375" path="m8752,3134l10165,3134,10165,2759,8752,2759,8752,3134xe" filled="true" fillcolor="#ffffff" stroked="false">
                <v:path arrowok="t"/>
                <v:fill type="solid"/>
              </v:shape>
            </v:group>
            <v:group style="position:absolute;left:8855;top:2790;width:1203;height:312" coordorigin="8855,2790" coordsize="1203,312">
              <v:shape style="position:absolute;left:8855;top:2790;width:1203;height:312" coordorigin="8855,2790" coordsize="1203,312" path="m8855,3102l10057,3102,10057,2790,8855,2790,8855,3102xe" filled="true" fillcolor="#ffffff" stroked="false">
                <v:path arrowok="t"/>
                <v:fill type="solid"/>
              </v:shape>
              <v:shape style="position:absolute;left:1771;top:2729;width:8430;height:817" type="#_x0000_t75" stroked="false">
                <v:imagedata r:id="rId86" o:title=""/>
              </v:shape>
            </v:group>
            <v:group style="position:absolute;left:2686;top:3527;width:102;height:375" coordorigin="2686,3527" coordsize="102,375">
              <v:shape style="position:absolute;left:2686;top:3527;width:102;height:375" coordorigin="2686,3527" coordsize="102,375" path="m2686,3902l2788,3902,2788,3527,2686,3527,2686,3902xe" filled="true" fillcolor="#ffffff" stroked="false">
                <v:path arrowok="t"/>
                <v:fill type="solid"/>
              </v:shape>
            </v:group>
            <v:group style="position:absolute;left:1800;top:3527;width:108;height:375" coordorigin="1800,3527" coordsize="108,375">
              <v:shape style="position:absolute;left:1800;top:3527;width:108;height:375" coordorigin="1800,3527" coordsize="108,375" path="m1800,3902l1908,3902,1908,3527,1800,3527,1800,3902xe" filled="true" fillcolor="#ffffff" stroked="false">
                <v:path arrowok="t"/>
                <v:fill type="solid"/>
              </v:shape>
            </v:group>
            <v:group style="position:absolute;left:1908;top:3527;width:778;height:375" coordorigin="1908,3527" coordsize="778,375">
              <v:shape style="position:absolute;left:1908;top:3527;width:778;height:375" coordorigin="1908,3527" coordsize="778,375" path="m1908,3902l2686,3902,2686,3527,1908,3527,1908,3902xe" filled="true" fillcolor="#ffffff" stroked="false">
                <v:path arrowok="t"/>
                <v:fill type="solid"/>
              </v:shape>
            </v:group>
            <v:group style="position:absolute;left:2798;top:3527;width:1408;height:375" coordorigin="2798,3527" coordsize="1408,375">
              <v:shape style="position:absolute;left:2798;top:3527;width:1408;height:375" coordorigin="2798,3527" coordsize="1408,375" path="m2798,3902l4206,3902,4206,3527,2798,3527,2798,3902xe" filled="true" fillcolor="#ffffff" stroked="false">
                <v:path arrowok="t"/>
                <v:fill type="solid"/>
              </v:shape>
            </v:group>
            <v:group style="position:absolute;left:2900;top:3558;width:1203;height:312" coordorigin="2900,3558" coordsize="1203,312">
              <v:shape style="position:absolute;left:2900;top:3558;width:1203;height:312" coordorigin="2900,3558" coordsize="1203,312" path="m2900,3870l4103,3870,4103,3558,2900,3558,2900,3870xe" filled="true" fillcolor="#ffffff" stroked="false">
                <v:path arrowok="t"/>
                <v:fill type="solid"/>
              </v:shape>
            </v:group>
            <v:group style="position:absolute;left:4216;top:3527;width:840;height:375" coordorigin="4216,3527" coordsize="840,375">
              <v:shape style="position:absolute;left:4216;top:3527;width:840;height:375" coordorigin="4216,3527" coordsize="840,375" path="m4216,3902l5056,3902,5056,3527,4216,3527,4216,3902xe" filled="true" fillcolor="#ffffff" stroked="false">
                <v:path arrowok="t"/>
                <v:fill type="solid"/>
              </v:shape>
            </v:group>
            <v:group style="position:absolute;left:4319;top:3558;width:634;height:312" coordorigin="4319,3558" coordsize="634,312">
              <v:shape style="position:absolute;left:4319;top:3558;width:634;height:312" coordorigin="4319,3558" coordsize="634,312" path="m4319,3870l4952,3870,4952,3558,4319,3558,4319,3870xe" filled="true" fillcolor="#ffffff" stroked="false">
                <v:path arrowok="t"/>
                <v:fill type="solid"/>
              </v:shape>
            </v:group>
            <v:group style="position:absolute;left:5066;top:3527;width:1308;height:375" coordorigin="5066,3527" coordsize="1308,375">
              <v:shape style="position:absolute;left:5066;top:3527;width:1308;height:375" coordorigin="5066,3527" coordsize="1308,375" path="m5066,3902l6374,3902,6374,3527,5066,3527,5066,3902xe" filled="true" fillcolor="#ffffff" stroked="false">
                <v:path arrowok="t"/>
                <v:fill type="solid"/>
              </v:shape>
            </v:group>
            <v:group style="position:absolute;left:5168;top:3558;width:1103;height:312" coordorigin="5168,3558" coordsize="1103,312">
              <v:shape style="position:absolute;left:5168;top:3558;width:1103;height:312" coordorigin="5168,3558" coordsize="1103,312" path="m5168,3870l6271,3870,6271,3558,5168,3558,5168,3870xe" filled="true" fillcolor="#ffffff" stroked="false">
                <v:path arrowok="t"/>
                <v:fill type="solid"/>
              </v:shape>
            </v:group>
            <v:group style="position:absolute;left:6384;top:3527;width:1526;height:375" coordorigin="6384,3527" coordsize="1526,375">
              <v:shape style="position:absolute;left:6384;top:3527;width:1526;height:375" coordorigin="6384,3527" coordsize="1526,375" path="m6384,3902l7909,3902,7909,3527,6384,3527,6384,3902xe" filled="true" fillcolor="#ffffff" stroked="false">
                <v:path arrowok="t"/>
                <v:fill type="solid"/>
              </v:shape>
            </v:group>
            <v:group style="position:absolute;left:6487;top:3558;width:1319;height:312" coordorigin="6487,3558" coordsize="1319,312">
              <v:shape style="position:absolute;left:6487;top:3558;width:1319;height:312" coordorigin="6487,3558" coordsize="1319,312" path="m6487,3870l7806,3870,7806,3558,6487,3558,6487,3870xe" filled="true" fillcolor="#ffffff" stroked="false">
                <v:path arrowok="t"/>
                <v:fill type="solid"/>
              </v:shape>
            </v:group>
            <v:group style="position:absolute;left:7919;top:3527;width:824;height:375" coordorigin="7919,3527" coordsize="824,375">
              <v:shape style="position:absolute;left:7919;top:3527;width:824;height:375" coordorigin="7919,3527" coordsize="824,375" path="m7919,3902l8742,3902,8742,3527,7919,3527,7919,3902xe" filled="true" fillcolor="#ffffff" stroked="false">
                <v:path arrowok="t"/>
                <v:fill type="solid"/>
              </v:shape>
            </v:group>
            <v:group style="position:absolute;left:8022;top:3558;width:617;height:312" coordorigin="8022,3558" coordsize="617,312">
              <v:shape style="position:absolute;left:8022;top:3558;width:617;height:312" coordorigin="8022,3558" coordsize="617,312" path="m8022,3870l8639,3870,8639,3558,8022,3558,8022,3870xe" filled="true" fillcolor="#ffffff" stroked="false">
                <v:path arrowok="t"/>
                <v:fill type="solid"/>
              </v:shape>
            </v:group>
            <v:group style="position:absolute;left:8752;top:3527;width:1414;height:375" coordorigin="8752,3527" coordsize="1414,375">
              <v:shape style="position:absolute;left:8752;top:3527;width:1414;height:375" coordorigin="8752,3527" coordsize="1414,375" path="m8752,3902l10165,3902,10165,3527,8752,3527,8752,3902xe" filled="true" fillcolor="#ffffff" stroked="false">
                <v:path arrowok="t"/>
                <v:fill type="solid"/>
              </v:shape>
            </v:group>
            <v:group style="position:absolute;left:8855;top:3558;width:1203;height:312" coordorigin="8855,3558" coordsize="1203,312">
              <v:shape style="position:absolute;left:8855;top:3558;width:1203;height:312" coordorigin="8855,3558" coordsize="1203,312" path="m8855,3870l10057,3870,10057,3558,8855,3558,8855,3870xe" filled="true" fillcolor="#ffffff" stroked="false">
                <v:path arrowok="t"/>
                <v:fill type="solid"/>
              </v:shape>
              <v:shape style="position:absolute;left:1771;top:3489;width:8411;height:413" type="#_x0000_t75" stroked="false">
                <v:imagedata r:id="rId87" o:title=""/>
              </v:shape>
              <v:shape style="position:absolute;left:4225;top:56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7912;top:56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rFonts w:ascii="宋体" w:hAnsi="宋体" w:cs="宋体" w:eastAsia="宋体" w:hint="default"/>
          <w:sz w:val="21"/>
          <w:szCs w:val="21"/>
        </w:rPr>
        <w:t>组合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中，采用账龄分析法计提坏账准备的应收账款：</w:t>
      </w:r>
    </w:p>
    <w:p>
      <w:pPr>
        <w:spacing w:line="240" w:lineRule="auto" w:before="10"/>
        <w:rPr>
          <w:rFonts w:ascii="宋体" w:hAnsi="宋体" w:cs="宋体" w:eastAsia="宋体" w:hint="default"/>
          <w:sz w:val="27"/>
          <w:szCs w:val="27"/>
        </w:rPr>
      </w:pPr>
    </w:p>
    <w:tbl>
      <w:tblPr>
        <w:tblW w:w="0" w:type="auto"/>
        <w:jc w:val="left"/>
        <w:tblInd w:w="1125" w:type="dxa"/>
        <w:tblLayout w:type="fixed"/>
        <w:tblCellMar>
          <w:top w:w="0" w:type="dxa"/>
          <w:left w:w="0" w:type="dxa"/>
          <w:bottom w:w="0" w:type="dxa"/>
          <w:right w:w="0" w:type="dxa"/>
        </w:tblCellMar>
        <w:tblLook w:val="01E0"/>
      </w:tblPr>
      <w:tblGrid>
        <w:gridCol w:w="1007"/>
        <w:gridCol w:w="1540"/>
        <w:gridCol w:w="761"/>
        <w:gridCol w:w="1427"/>
        <w:gridCol w:w="1477"/>
        <w:gridCol w:w="869"/>
        <w:gridCol w:w="1297"/>
      </w:tblGrid>
      <w:tr>
        <w:trPr>
          <w:trHeight w:val="1210" w:hRule="exact"/>
        </w:trPr>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left="331"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1540" w:type="dxa"/>
            <w:tcBorders>
              <w:top w:val="nil" w:sz="6" w:space="0" w:color="auto"/>
              <w:left w:val="nil" w:sz="6" w:space="0" w:color="auto"/>
              <w:bottom w:val="nil" w:sz="6" w:space="0" w:color="auto"/>
              <w:right w:val="nil" w:sz="6" w:space="0" w:color="auto"/>
            </w:tcBorders>
          </w:tcPr>
          <w:p>
            <w:pPr>
              <w:pStyle w:val="TableParagraph"/>
              <w:spacing w:line="583" w:lineRule="auto" w:before="108"/>
              <w:ind w:left="528" w:right="44" w:firstLine="244"/>
              <w:jc w:val="left"/>
              <w:rPr>
                <w:rFonts w:ascii="宋体" w:hAnsi="宋体" w:cs="宋体" w:eastAsia="宋体" w:hint="default"/>
                <w:sz w:val="18"/>
                <w:szCs w:val="18"/>
              </w:rPr>
            </w:pPr>
            <w:r>
              <w:rPr>
                <w:rFonts w:ascii="宋体" w:hAnsi="宋体" w:cs="宋体" w:eastAsia="宋体" w:hint="default"/>
                <w:sz w:val="18"/>
                <w:szCs w:val="18"/>
              </w:rPr>
              <w:t>账面余额 金额</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4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26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77" w:type="dxa"/>
            <w:tcBorders>
              <w:top w:val="nil" w:sz="6" w:space="0" w:color="auto"/>
              <w:left w:val="nil" w:sz="6" w:space="0" w:color="auto"/>
              <w:bottom w:val="nil" w:sz="6" w:space="0" w:color="auto"/>
              <w:right w:val="nil" w:sz="6" w:space="0" w:color="auto"/>
            </w:tcBorders>
          </w:tcPr>
          <w:p>
            <w:pPr>
              <w:pStyle w:val="TableParagraph"/>
              <w:spacing w:line="583" w:lineRule="auto" w:before="108"/>
              <w:ind w:left="444" w:right="74" w:firstLine="236"/>
              <w:jc w:val="left"/>
              <w:rPr>
                <w:rFonts w:ascii="宋体" w:hAnsi="宋体" w:cs="宋体" w:eastAsia="宋体" w:hint="default"/>
                <w:sz w:val="18"/>
                <w:szCs w:val="18"/>
              </w:rPr>
            </w:pPr>
            <w:r>
              <w:rPr>
                <w:rFonts w:ascii="宋体" w:hAnsi="宋体" w:cs="宋体" w:eastAsia="宋体" w:hint="default"/>
                <w:sz w:val="18"/>
                <w:szCs w:val="18"/>
              </w:rPr>
              <w:t>账面余额 金额</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7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84" w:hRule="exact"/>
        </w:trPr>
        <w:tc>
          <w:tcPr>
            <w:tcW w:w="1007" w:type="dxa"/>
            <w:tcBorders>
              <w:top w:val="nil" w:sz="6" w:space="0" w:color="auto"/>
              <w:left w:val="nil" w:sz="6" w:space="0" w:color="auto"/>
              <w:bottom w:val="nil" w:sz="6" w:space="0" w:color="auto"/>
              <w:right w:val="single" w:sz="4" w:space="0" w:color="FFFFFF"/>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40" w:type="dxa"/>
            <w:tcBorders>
              <w:top w:val="nil" w:sz="6" w:space="0" w:color="auto"/>
              <w:left w:val="single" w:sz="4" w:space="0" w:color="FFFFFF"/>
              <w:bottom w:val="nil" w:sz="6" w:space="0" w:color="auto"/>
              <w:right w:val="nil" w:sz="6" w:space="0" w:color="auto"/>
            </w:tcBorders>
          </w:tcPr>
          <w:p>
            <w:pPr>
              <w:pStyle w:val="TableParagraph"/>
              <w:spacing w:line="240" w:lineRule="auto" w:before="81"/>
              <w:ind w:right="227"/>
              <w:jc w:val="right"/>
              <w:rPr>
                <w:rFonts w:ascii="Times New Roman" w:hAnsi="Times New Roman" w:cs="Times New Roman" w:eastAsia="Times New Roman" w:hint="default"/>
                <w:sz w:val="18"/>
                <w:szCs w:val="18"/>
              </w:rPr>
            </w:pPr>
            <w:r>
              <w:rPr>
                <w:rFonts w:ascii="Times New Roman"/>
                <w:spacing w:val="-1"/>
                <w:sz w:val="18"/>
              </w:rPr>
              <w:t>130,828,862.56</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81"/>
              <w:ind w:left="73" w:right="0"/>
              <w:jc w:val="center"/>
              <w:rPr>
                <w:rFonts w:ascii="Times New Roman" w:hAnsi="Times New Roman" w:cs="Times New Roman" w:eastAsia="Times New Roman" w:hint="default"/>
                <w:sz w:val="18"/>
                <w:szCs w:val="18"/>
              </w:rPr>
            </w:pPr>
            <w:r>
              <w:rPr>
                <w:rFonts w:ascii="Times New Roman"/>
                <w:sz w:val="18"/>
              </w:rPr>
              <w:t>84.53</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48"/>
              <w:jc w:val="right"/>
              <w:rPr>
                <w:rFonts w:ascii="Times New Roman" w:hAnsi="Times New Roman" w:cs="Times New Roman" w:eastAsia="Times New Roman" w:hint="default"/>
                <w:sz w:val="18"/>
                <w:szCs w:val="18"/>
              </w:rPr>
            </w:pPr>
            <w:r>
              <w:rPr>
                <w:rFonts w:ascii="Times New Roman"/>
                <w:spacing w:val="-1"/>
                <w:sz w:val="18"/>
              </w:rPr>
              <w:t>6,541,443.13</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89"/>
              <w:jc w:val="right"/>
              <w:rPr>
                <w:rFonts w:ascii="Times New Roman" w:hAnsi="Times New Roman" w:cs="Times New Roman" w:eastAsia="Times New Roman" w:hint="default"/>
                <w:sz w:val="18"/>
                <w:szCs w:val="18"/>
              </w:rPr>
            </w:pPr>
            <w:r>
              <w:rPr>
                <w:rFonts w:ascii="Times New Roman"/>
                <w:spacing w:val="-1"/>
                <w:sz w:val="18"/>
              </w:rPr>
              <w:t>75,498,482.69</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7"/>
              <w:jc w:val="right"/>
              <w:rPr>
                <w:rFonts w:ascii="Times New Roman" w:hAnsi="Times New Roman" w:cs="Times New Roman" w:eastAsia="Times New Roman" w:hint="default"/>
                <w:sz w:val="18"/>
                <w:szCs w:val="18"/>
              </w:rPr>
            </w:pPr>
            <w:r>
              <w:rPr>
                <w:rFonts w:ascii="Times New Roman"/>
                <w:sz w:val="18"/>
              </w:rPr>
              <w:t>84.41</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pacing w:val="-1"/>
                <w:sz w:val="18"/>
              </w:rPr>
              <w:t>3,774,924.12</w:t>
            </w:r>
          </w:p>
        </w:tc>
      </w:tr>
      <w:tr>
        <w:trPr>
          <w:trHeight w:val="385" w:hRule="exact"/>
        </w:trPr>
        <w:tc>
          <w:tcPr>
            <w:tcW w:w="1007" w:type="dxa"/>
            <w:tcBorders>
              <w:top w:val="nil" w:sz="6" w:space="0" w:color="auto"/>
              <w:left w:val="nil" w:sz="6" w:space="0" w:color="auto"/>
              <w:bottom w:val="nil" w:sz="6" w:space="0" w:color="auto"/>
              <w:right w:val="single" w:sz="4" w:space="0" w:color="FFFFFF"/>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40" w:type="dxa"/>
            <w:tcBorders>
              <w:top w:val="nil" w:sz="6" w:space="0" w:color="auto"/>
              <w:left w:val="single" w:sz="4" w:space="0" w:color="FFFFFF"/>
              <w:bottom w:val="nil" w:sz="6" w:space="0" w:color="auto"/>
              <w:right w:val="nil" w:sz="6" w:space="0" w:color="auto"/>
            </w:tcBorders>
          </w:tcPr>
          <w:p>
            <w:pPr>
              <w:pStyle w:val="TableParagraph"/>
              <w:spacing w:line="240" w:lineRule="auto" w:before="81"/>
              <w:ind w:right="227"/>
              <w:jc w:val="right"/>
              <w:rPr>
                <w:rFonts w:ascii="Times New Roman" w:hAnsi="Times New Roman" w:cs="Times New Roman" w:eastAsia="Times New Roman" w:hint="default"/>
                <w:sz w:val="18"/>
                <w:szCs w:val="18"/>
              </w:rPr>
            </w:pPr>
            <w:r>
              <w:rPr>
                <w:rFonts w:ascii="Times New Roman"/>
                <w:spacing w:val="-1"/>
                <w:sz w:val="18"/>
              </w:rPr>
              <w:t>16,893,797.71</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81"/>
              <w:ind w:left="73" w:right="0"/>
              <w:jc w:val="center"/>
              <w:rPr>
                <w:rFonts w:ascii="Times New Roman" w:hAnsi="Times New Roman" w:cs="Times New Roman" w:eastAsia="Times New Roman" w:hint="default"/>
                <w:sz w:val="18"/>
                <w:szCs w:val="18"/>
              </w:rPr>
            </w:pPr>
            <w:r>
              <w:rPr>
                <w:rFonts w:ascii="Times New Roman"/>
                <w:sz w:val="18"/>
              </w:rPr>
              <w:t>10.92</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48"/>
              <w:jc w:val="right"/>
              <w:rPr>
                <w:rFonts w:ascii="Times New Roman" w:hAnsi="Times New Roman" w:cs="Times New Roman" w:eastAsia="Times New Roman" w:hint="default"/>
                <w:sz w:val="18"/>
                <w:szCs w:val="18"/>
              </w:rPr>
            </w:pPr>
            <w:r>
              <w:rPr>
                <w:rFonts w:ascii="Times New Roman"/>
                <w:spacing w:val="-1"/>
                <w:sz w:val="18"/>
              </w:rPr>
              <w:t>1,689,379.77</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89"/>
              <w:jc w:val="right"/>
              <w:rPr>
                <w:rFonts w:ascii="Times New Roman" w:hAnsi="Times New Roman" w:cs="Times New Roman" w:eastAsia="Times New Roman" w:hint="default"/>
                <w:sz w:val="18"/>
                <w:szCs w:val="18"/>
              </w:rPr>
            </w:pPr>
            <w:r>
              <w:rPr>
                <w:rFonts w:ascii="Times New Roman"/>
                <w:spacing w:val="-1"/>
                <w:sz w:val="18"/>
              </w:rPr>
              <w:t>11,326,563.00</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7"/>
              <w:jc w:val="right"/>
              <w:rPr>
                <w:rFonts w:ascii="Times New Roman" w:hAnsi="Times New Roman" w:cs="Times New Roman" w:eastAsia="Times New Roman" w:hint="default"/>
                <w:sz w:val="18"/>
                <w:szCs w:val="18"/>
              </w:rPr>
            </w:pPr>
            <w:r>
              <w:rPr>
                <w:rFonts w:ascii="Times New Roman"/>
                <w:sz w:val="18"/>
              </w:rPr>
              <w:t>12.66</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pacing w:val="-1"/>
                <w:sz w:val="18"/>
              </w:rPr>
              <w:t>1,132,656.30</w:t>
            </w:r>
          </w:p>
        </w:tc>
      </w:tr>
      <w:tr>
        <w:trPr>
          <w:trHeight w:val="375" w:hRule="exact"/>
        </w:trPr>
        <w:tc>
          <w:tcPr>
            <w:tcW w:w="1007" w:type="dxa"/>
            <w:tcBorders>
              <w:top w:val="nil" w:sz="6" w:space="0" w:color="auto"/>
              <w:left w:val="nil" w:sz="6" w:space="0" w:color="auto"/>
              <w:bottom w:val="nil" w:sz="6" w:space="0" w:color="auto"/>
              <w:right w:val="single" w:sz="4" w:space="0" w:color="FFFFFF"/>
            </w:tcBorders>
          </w:tcPr>
          <w:p>
            <w:pPr>
              <w:pStyle w:val="TableParagraph"/>
              <w:spacing w:line="240" w:lineRule="auto" w:before="4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40" w:type="dxa"/>
            <w:tcBorders>
              <w:top w:val="nil" w:sz="6" w:space="0" w:color="auto"/>
              <w:left w:val="single" w:sz="4" w:space="0" w:color="FFFFFF"/>
              <w:bottom w:val="nil" w:sz="6" w:space="0" w:color="auto"/>
              <w:right w:val="nil" w:sz="6" w:space="0" w:color="auto"/>
            </w:tcBorders>
          </w:tcPr>
          <w:p>
            <w:pPr>
              <w:pStyle w:val="TableParagraph"/>
              <w:spacing w:line="240" w:lineRule="auto" w:before="82"/>
              <w:ind w:right="227"/>
              <w:jc w:val="right"/>
              <w:rPr>
                <w:rFonts w:ascii="Times New Roman" w:hAnsi="Times New Roman" w:cs="Times New Roman" w:eastAsia="Times New Roman" w:hint="default"/>
                <w:sz w:val="18"/>
                <w:szCs w:val="18"/>
              </w:rPr>
            </w:pPr>
            <w:r>
              <w:rPr>
                <w:rFonts w:ascii="Times New Roman"/>
                <w:spacing w:val="-1"/>
                <w:sz w:val="18"/>
              </w:rPr>
              <w:t>5,312,058.26</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63" w:right="0"/>
              <w:jc w:val="center"/>
              <w:rPr>
                <w:rFonts w:ascii="Times New Roman" w:hAnsi="Times New Roman" w:cs="Times New Roman" w:eastAsia="Times New Roman" w:hint="default"/>
                <w:sz w:val="18"/>
                <w:szCs w:val="18"/>
              </w:rPr>
            </w:pPr>
            <w:r>
              <w:rPr>
                <w:rFonts w:ascii="Times New Roman"/>
                <w:sz w:val="18"/>
              </w:rPr>
              <w:t>3.43</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8"/>
              <w:jc w:val="right"/>
              <w:rPr>
                <w:rFonts w:ascii="Times New Roman" w:hAnsi="Times New Roman" w:cs="Times New Roman" w:eastAsia="Times New Roman" w:hint="default"/>
                <w:sz w:val="18"/>
                <w:szCs w:val="18"/>
              </w:rPr>
            </w:pPr>
            <w:r>
              <w:rPr>
                <w:rFonts w:ascii="Times New Roman"/>
                <w:spacing w:val="-1"/>
                <w:sz w:val="18"/>
              </w:rPr>
              <w:t>2,656,029.14</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89"/>
              <w:jc w:val="right"/>
              <w:rPr>
                <w:rFonts w:ascii="Times New Roman" w:hAnsi="Times New Roman" w:cs="Times New Roman" w:eastAsia="Times New Roman" w:hint="default"/>
                <w:sz w:val="18"/>
                <w:szCs w:val="18"/>
              </w:rPr>
            </w:pPr>
            <w:r>
              <w:rPr>
                <w:rFonts w:ascii="Times New Roman"/>
                <w:spacing w:val="-1"/>
                <w:sz w:val="18"/>
              </w:rPr>
              <w:t>2,598,383.76</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6"/>
              <w:jc w:val="right"/>
              <w:rPr>
                <w:rFonts w:ascii="Times New Roman" w:hAnsi="Times New Roman" w:cs="Times New Roman" w:eastAsia="Times New Roman" w:hint="default"/>
                <w:sz w:val="18"/>
                <w:szCs w:val="18"/>
              </w:rPr>
            </w:pPr>
            <w:r>
              <w:rPr>
                <w:rFonts w:ascii="Times New Roman"/>
                <w:sz w:val="18"/>
              </w:rPr>
              <w:t>2.91</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pacing w:val="-1"/>
                <w:sz w:val="18"/>
              </w:rPr>
              <w:t>1,299,191.88</w:t>
            </w:r>
          </w:p>
        </w:tc>
      </w:tr>
      <w:tr>
        <w:trPr>
          <w:trHeight w:val="394" w:hRule="exact"/>
        </w:trPr>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27"/>
              <w:jc w:val="right"/>
              <w:rPr>
                <w:rFonts w:ascii="Times New Roman" w:hAnsi="Times New Roman" w:cs="Times New Roman" w:eastAsia="Times New Roman" w:hint="default"/>
                <w:sz w:val="18"/>
                <w:szCs w:val="18"/>
              </w:rPr>
            </w:pPr>
            <w:r>
              <w:rPr>
                <w:rFonts w:ascii="Times New Roman"/>
                <w:spacing w:val="-1"/>
                <w:sz w:val="18"/>
              </w:rPr>
              <w:t>1,736,263.20</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63" w:right="0"/>
              <w:jc w:val="center"/>
              <w:rPr>
                <w:rFonts w:ascii="Times New Roman" w:hAnsi="Times New Roman" w:cs="Times New Roman" w:eastAsia="Times New Roman" w:hint="default"/>
                <w:sz w:val="18"/>
                <w:szCs w:val="18"/>
              </w:rPr>
            </w:pPr>
            <w:r>
              <w:rPr>
                <w:rFonts w:ascii="Times New Roman"/>
                <w:sz w:val="18"/>
              </w:rPr>
              <w:t>1.12</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48"/>
              <w:jc w:val="right"/>
              <w:rPr>
                <w:rFonts w:ascii="Times New Roman" w:hAnsi="Times New Roman" w:cs="Times New Roman" w:eastAsia="Times New Roman" w:hint="default"/>
                <w:sz w:val="18"/>
                <w:szCs w:val="18"/>
              </w:rPr>
            </w:pPr>
            <w:r>
              <w:rPr>
                <w:rFonts w:ascii="Times New Roman"/>
                <w:spacing w:val="-1"/>
                <w:sz w:val="18"/>
              </w:rPr>
              <w:t>1,562,636.88</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89"/>
              <w:jc w:val="right"/>
              <w:rPr>
                <w:rFonts w:ascii="Times New Roman" w:hAnsi="Times New Roman" w:cs="Times New Roman" w:eastAsia="Times New Roman" w:hint="default"/>
                <w:sz w:val="18"/>
                <w:szCs w:val="18"/>
              </w:rPr>
            </w:pPr>
            <w:r>
              <w:rPr>
                <w:rFonts w:ascii="Times New Roman"/>
                <w:sz w:val="18"/>
              </w:rPr>
              <w:t>19,888.00</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26"/>
              <w:jc w:val="right"/>
              <w:rPr>
                <w:rFonts w:ascii="Times New Roman" w:hAnsi="Times New Roman" w:cs="Times New Roman" w:eastAsia="Times New Roman" w:hint="default"/>
                <w:sz w:val="18"/>
                <w:szCs w:val="18"/>
              </w:rPr>
            </w:pPr>
            <w:r>
              <w:rPr>
                <w:rFonts w:ascii="Times New Roman"/>
                <w:sz w:val="18"/>
              </w:rPr>
              <w:t>0.02</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17,899.20</w:t>
            </w:r>
          </w:p>
        </w:tc>
      </w:tr>
      <w:tr>
        <w:trPr>
          <w:trHeight w:val="389" w:hRule="exact"/>
        </w:trPr>
        <w:tc>
          <w:tcPr>
            <w:tcW w:w="1007"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left="33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40"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27"/>
              <w:jc w:val="right"/>
              <w:rPr>
                <w:rFonts w:ascii="Times New Roman" w:hAnsi="Times New Roman" w:cs="Times New Roman" w:eastAsia="Times New Roman" w:hint="default"/>
                <w:sz w:val="18"/>
                <w:szCs w:val="18"/>
              </w:rPr>
            </w:pPr>
            <w:r>
              <w:rPr>
                <w:rFonts w:ascii="Times New Roman"/>
                <w:spacing w:val="-1"/>
                <w:sz w:val="18"/>
              </w:rPr>
              <w:t>154,770,981.73</w:t>
            </w:r>
          </w:p>
        </w:tc>
        <w:tc>
          <w:tcPr>
            <w:tcW w:w="761"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4"/>
              <w:jc w:val="center"/>
              <w:rPr>
                <w:rFonts w:ascii="Times New Roman" w:hAnsi="Times New Roman" w:cs="Times New Roman" w:eastAsia="Times New Roman" w:hint="default"/>
                <w:sz w:val="18"/>
                <w:szCs w:val="18"/>
              </w:rPr>
            </w:pPr>
            <w:r>
              <w:rPr>
                <w:rFonts w:ascii="Times New Roman"/>
                <w:sz w:val="18"/>
              </w:rPr>
              <w:t>100.00</w:t>
            </w:r>
          </w:p>
        </w:tc>
        <w:tc>
          <w:tcPr>
            <w:tcW w:w="1427"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48"/>
              <w:jc w:val="right"/>
              <w:rPr>
                <w:rFonts w:ascii="Times New Roman" w:hAnsi="Times New Roman" w:cs="Times New Roman" w:eastAsia="Times New Roman" w:hint="default"/>
                <w:sz w:val="18"/>
                <w:szCs w:val="18"/>
              </w:rPr>
            </w:pPr>
            <w:r>
              <w:rPr>
                <w:rFonts w:ascii="Times New Roman"/>
                <w:spacing w:val="-1"/>
                <w:sz w:val="18"/>
              </w:rPr>
              <w:t>12,449,488.92</w:t>
            </w:r>
          </w:p>
        </w:tc>
        <w:tc>
          <w:tcPr>
            <w:tcW w:w="1477"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89"/>
              <w:jc w:val="right"/>
              <w:rPr>
                <w:rFonts w:ascii="Times New Roman" w:hAnsi="Times New Roman" w:cs="Times New Roman" w:eastAsia="Times New Roman" w:hint="default"/>
                <w:sz w:val="18"/>
                <w:szCs w:val="18"/>
              </w:rPr>
            </w:pPr>
            <w:r>
              <w:rPr>
                <w:rFonts w:ascii="Times New Roman"/>
                <w:spacing w:val="-1"/>
                <w:sz w:val="18"/>
              </w:rPr>
              <w:t>89,443,317.45</w:t>
            </w:r>
          </w:p>
        </w:tc>
        <w:tc>
          <w:tcPr>
            <w:tcW w:w="869"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25"/>
              <w:jc w:val="right"/>
              <w:rPr>
                <w:rFonts w:ascii="Times New Roman" w:hAnsi="Times New Roman" w:cs="Times New Roman" w:eastAsia="Times New Roman" w:hint="default"/>
                <w:sz w:val="18"/>
                <w:szCs w:val="18"/>
              </w:rPr>
            </w:pPr>
            <w:r>
              <w:rPr>
                <w:rFonts w:ascii="Times New Roman"/>
                <w:sz w:val="18"/>
              </w:rPr>
              <w:t>100.00</w:t>
            </w:r>
          </w:p>
        </w:tc>
        <w:tc>
          <w:tcPr>
            <w:tcW w:w="1297"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pacing w:val="-1"/>
                <w:sz w:val="18"/>
              </w:rPr>
              <w:t>6,224,671.50</w:t>
            </w:r>
          </w:p>
        </w:tc>
      </w:tr>
    </w:tbl>
    <w:p>
      <w:pPr>
        <w:tabs>
          <w:tab w:pos="2396" w:val="left" w:leader="none"/>
        </w:tabs>
        <w:spacing w:before="78"/>
        <w:ind w:left="185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本报告期不存在转回或收回的应收账款情况。</w:t>
      </w:r>
      <w:r>
        <w:rPr>
          <w:rFonts w:ascii="宋体" w:hAnsi="宋体" w:cs="宋体" w:eastAsia="宋体" w:hint="default"/>
          <w:sz w:val="21"/>
          <w:szCs w:val="21"/>
        </w:rPr>
      </w:r>
    </w:p>
    <w:p>
      <w:pPr>
        <w:tabs>
          <w:tab w:pos="2396" w:val="left" w:leader="none"/>
        </w:tabs>
        <w:spacing w:before="110"/>
        <w:ind w:left="185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本报告期不存在实际核销的应收账款情况。</w:t>
      </w:r>
      <w:r>
        <w:rPr>
          <w:rFonts w:ascii="宋体" w:hAnsi="宋体" w:cs="宋体" w:eastAsia="宋体" w:hint="default"/>
          <w:sz w:val="21"/>
          <w:szCs w:val="21"/>
        </w:rPr>
      </w:r>
    </w:p>
    <w:p>
      <w:pPr>
        <w:tabs>
          <w:tab w:pos="2396" w:val="left" w:leader="none"/>
        </w:tabs>
        <w:spacing w:before="109"/>
        <w:ind w:left="185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期末应收账款中无持本公司</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sz w:val="21"/>
          <w:szCs w:val="21"/>
        </w:rPr>
      </w:r>
    </w:p>
    <w:p>
      <w:pPr>
        <w:tabs>
          <w:tab w:pos="2396" w:val="left" w:leader="none"/>
        </w:tabs>
        <w:spacing w:before="109"/>
        <w:ind w:left="185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应收账款中欠款金额前五名单位情况</w:t>
      </w:r>
      <w:r>
        <w:rPr>
          <w:rFonts w:ascii="宋体" w:hAnsi="宋体" w:cs="宋体" w:eastAsia="宋体" w:hint="default"/>
          <w:sz w:val="21"/>
          <w:szCs w:val="21"/>
        </w:rPr>
      </w:r>
    </w:p>
    <w:p>
      <w:pPr>
        <w:spacing w:line="1183" w:lineRule="exact"/>
        <w:ind w:left="1720"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382.9pt;height:59.2pt;mso-position-horizontal-relative:char;mso-position-vertical-relative:line" coordorigin="0,0" coordsize="7658,1184">
            <v:group style="position:absolute;left:29;top:15;width:5288;height:2" coordorigin="29,15" coordsize="5288,2">
              <v:shape style="position:absolute;left:29;top:15;width:5288;height:2" coordorigin="29,15" coordsize="5288,0" path="m29,15l5317,15e" filled="false" stroked="true" strokeweight="1.5pt" strokecolor="#000000">
                <v:path arrowok="t"/>
              </v:shape>
            </v:group>
            <v:group style="position:absolute;left:5317;top:15;width:1329;height:2" coordorigin="5317,15" coordsize="1329,2">
              <v:shape style="position:absolute;left:5317;top:15;width:1329;height:2" coordorigin="5317,15" coordsize="1329,0" path="m5317,15l6645,15e" filled="false" stroked="true" strokeweight="1.5pt" strokecolor="#000000">
                <v:path arrowok="t"/>
              </v:shape>
            </v:group>
            <v:group style="position:absolute;left:6645;top:15;width:998;height:2" coordorigin="6645,15" coordsize="998,2">
              <v:shape style="position:absolute;left:6645;top:15;width:998;height:2" coordorigin="6645,15" coordsize="998,0" path="m6645,15l7642,15e" filled="false" stroked="true" strokeweight="1.5pt" strokecolor="#000000">
                <v:path arrowok="t"/>
              </v:shape>
            </v:group>
            <v:group style="position:absolute;left:15;top:1168;width:2378;height:2" coordorigin="15,1168" coordsize="2378,2">
              <v:shape style="position:absolute;left:15;top:1168;width:2378;height:2" coordorigin="15,1168" coordsize="2378,0" path="m15,1168l2392,1168e" filled="false" stroked="true" strokeweight="1.5pt" strokecolor="#000000">
                <v:path arrowok="t"/>
              </v:shape>
              <v:shape style="position:absolute;left:2363;top:1;width:67;height:1181" type="#_x0000_t75" stroked="false">
                <v:imagedata r:id="rId88" o:title=""/>
              </v:shape>
            </v:group>
            <v:group style="position:absolute;left:2392;top:1168;width:1496;height:2" coordorigin="2392,1168" coordsize="1496,2">
              <v:shape style="position:absolute;left:2392;top:1168;width:1496;height:2" coordorigin="2392,1168" coordsize="1496,0" path="m2392,1168l3887,1168e" filled="false" stroked="true" strokeweight="1.5pt" strokecolor="#000000">
                <v:path arrowok="t"/>
              </v:shape>
              <v:shape style="position:absolute;left:3859;top:1;width:67;height:1171" type="#_x0000_t75" stroked="false">
                <v:imagedata r:id="rId89" o:title=""/>
              </v:shape>
            </v:group>
            <v:group style="position:absolute;left:3887;top:1168;width:1400;height:2" coordorigin="3887,1168" coordsize="1400,2">
              <v:shape style="position:absolute;left:3887;top:1168;width:1400;height:2" coordorigin="3887,1168" coordsize="1400,0" path="m3887,1168l5287,1168e" filled="false" stroked="true" strokeweight="1.5pt" strokecolor="#000000">
                <v:path arrowok="t"/>
              </v:shape>
              <v:shape style="position:absolute;left:5258;top:1;width:67;height:1181" type="#_x0000_t75" stroked="false">
                <v:imagedata r:id="rId88" o:title=""/>
              </v:shape>
            </v:group>
            <v:group style="position:absolute;left:5287;top:1168;width:30;height:2" coordorigin="5287,1168" coordsize="30,2">
              <v:shape style="position:absolute;left:5287;top:1168;width:30;height:2" coordorigin="5287,1168" coordsize="30,0" path="m5287,1168l5317,1168e" filled="false" stroked="true" strokeweight="1.5pt" strokecolor="#000000">
                <v:path arrowok="t"/>
              </v:shape>
            </v:group>
            <v:group style="position:absolute;left:5317;top:1168;width:1329;height:2" coordorigin="5317,1168" coordsize="1329,2">
              <v:shape style="position:absolute;left:5317;top:1168;width:1329;height:2" coordorigin="5317,1168" coordsize="1329,0" path="m5317,1168l6645,1168e" filled="false" stroked="true" strokeweight="1.5pt" strokecolor="#000000">
                <v:path arrowok="t"/>
              </v:shape>
              <v:shape style="position:absolute;left:6616;top:1;width:67;height:1181" type="#_x0000_t75" stroked="false">
                <v:imagedata r:id="rId88" o:title=""/>
              </v:shape>
            </v:group>
            <v:group style="position:absolute;left:6645;top:1168;width:998;height:2" coordorigin="6645,1168" coordsize="998,2">
              <v:shape style="position:absolute;left:6645;top:1168;width:998;height:2" coordorigin="6645,1168" coordsize="998,0" path="m6645,1168l7642,1168e" filled="false" stroked="true" strokeweight="1.5pt" strokecolor="#000000">
                <v:path arrowok="t"/>
              </v:shape>
              <v:shape style="position:absolute;left:6785;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占应收账</w:t>
                      </w:r>
                    </w:p>
                  </w:txbxContent>
                </v:textbox>
                <w10:wrap type="none"/>
              </v:shape>
              <v:shape style="position:absolute;left:853;top:50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2605;top:50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与本公司关系</w:t>
                      </w:r>
                    </w:p>
                  </w:txbxContent>
                </v:textbox>
                <w10:wrap type="none"/>
              </v:shape>
              <v:shape style="position:absolute;left:4232;top:50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5789;top:50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6785;top:50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款总额的</w:t>
                      </w:r>
                    </w:p>
                  </w:txbxContent>
                </v:textbox>
                <w10:wrap type="none"/>
              </v:shape>
              <v:shape style="position:absolute;left:6831;top:876;width:63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xbxContent>
                </v:textbox>
                <w10:wrap type="none"/>
              </v:shape>
            </v:group>
          </v:group>
        </w:pict>
      </w:r>
      <w:r>
        <w:rPr>
          <w:rFonts w:ascii="宋体" w:hAnsi="宋体" w:cs="宋体" w:eastAsia="宋体" w:hint="default"/>
          <w:position w:val="-23"/>
          <w:sz w:val="20"/>
          <w:szCs w:val="20"/>
        </w:rPr>
      </w:r>
    </w:p>
    <w:p>
      <w:pPr>
        <w:spacing w:after="0" w:line="1183" w:lineRule="exact"/>
        <w:rPr>
          <w:rFonts w:ascii="宋体" w:hAnsi="宋体" w:cs="宋体" w:eastAsia="宋体" w:hint="default"/>
          <w:sz w:val="20"/>
          <w:szCs w:val="20"/>
        </w:rPr>
        <w:sectPr>
          <w:pgSz w:w="11910" w:h="16840"/>
          <w:pgMar w:header="877" w:footer="1256" w:top="1100" w:bottom="1440" w:left="660" w:right="60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5"/>
          <w:szCs w:val="15"/>
        </w:rPr>
      </w:pPr>
    </w:p>
    <w:tbl>
      <w:tblPr>
        <w:tblW w:w="0" w:type="auto"/>
        <w:jc w:val="left"/>
        <w:tblInd w:w="1822" w:type="dxa"/>
        <w:tblLayout w:type="fixed"/>
        <w:tblCellMar>
          <w:top w:w="0" w:type="dxa"/>
          <w:left w:w="0" w:type="dxa"/>
          <w:bottom w:w="0" w:type="dxa"/>
          <w:right w:w="0" w:type="dxa"/>
        </w:tblCellMar>
        <w:tblLook w:val="01E0"/>
      </w:tblPr>
      <w:tblGrid>
        <w:gridCol w:w="2259"/>
        <w:gridCol w:w="1379"/>
        <w:gridCol w:w="1631"/>
        <w:gridCol w:w="1430"/>
        <w:gridCol w:w="770"/>
      </w:tblGrid>
      <w:tr>
        <w:trPr>
          <w:trHeight w:val="640" w:hRule="exact"/>
        </w:trPr>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2"/>
                <w:szCs w:val="2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广东省东莞市邮政局</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2"/>
                <w:szCs w:val="22"/>
              </w:rPr>
            </w:pPr>
          </w:p>
          <w:p>
            <w:pPr>
              <w:pStyle w:val="TableParagraph"/>
              <w:spacing w:line="240" w:lineRule="auto"/>
              <w:ind w:right="413"/>
              <w:jc w:val="right"/>
              <w:rPr>
                <w:rFonts w:ascii="宋体" w:hAnsi="宋体" w:cs="宋体" w:eastAsia="宋体" w:hint="default"/>
                <w:sz w:val="18"/>
                <w:szCs w:val="18"/>
              </w:rPr>
            </w:pPr>
            <w:r>
              <w:rPr>
                <w:rFonts w:ascii="宋体" w:hAnsi="宋体" w:cs="宋体" w:eastAsia="宋体" w:hint="default"/>
                <w:sz w:val="18"/>
                <w:szCs w:val="18"/>
              </w:rPr>
              <w:t>客户</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184"/>
              <w:jc w:val="right"/>
              <w:rPr>
                <w:rFonts w:ascii="Times New Roman" w:hAnsi="Times New Roman" w:cs="Times New Roman" w:eastAsia="Times New Roman" w:hint="default"/>
                <w:sz w:val="18"/>
                <w:szCs w:val="18"/>
              </w:rPr>
            </w:pPr>
            <w:r>
              <w:rPr>
                <w:rFonts w:ascii="Times New Roman"/>
                <w:spacing w:val="-1"/>
                <w:sz w:val="18"/>
              </w:rPr>
              <w:t>11,789,955.96</w:t>
            </w:r>
          </w:p>
        </w:tc>
        <w:tc>
          <w:tcPr>
            <w:tcW w:w="1430" w:type="dxa"/>
            <w:tcBorders>
              <w:top w:val="nil" w:sz="6" w:space="0" w:color="auto"/>
              <w:left w:val="nil" w:sz="6" w:space="0" w:color="auto"/>
              <w:bottom w:val="nil" w:sz="6" w:space="0" w:color="auto"/>
              <w:right w:val="nil" w:sz="6" w:space="0" w:color="auto"/>
            </w:tcBorders>
          </w:tcPr>
          <w:p>
            <w:pPr>
              <w:pStyle w:val="TableParagraph"/>
              <w:spacing w:line="194" w:lineRule="exact"/>
              <w:ind w:left="261" w:right="0" w:hanging="76"/>
              <w:jc w:val="left"/>
              <w:rPr>
                <w:rFonts w:ascii="宋体" w:hAnsi="宋体" w:cs="宋体" w:eastAsia="宋体" w:hint="default"/>
                <w:sz w:val="18"/>
                <w:szCs w:val="18"/>
              </w:rPr>
            </w:pPr>
            <w:r>
              <w:rPr>
                <w:rFonts w:ascii="宋体" w:hAnsi="宋体" w:cs="宋体" w:eastAsia="宋体" w:hint="default"/>
                <w:sz w:val="18"/>
                <w:szCs w:val="18"/>
              </w:rPr>
              <w:t>年、</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103"/>
              <w:ind w:left="26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7.62</w:t>
            </w:r>
          </w:p>
        </w:tc>
      </w:tr>
      <w:tr>
        <w:trPr>
          <w:trHeight w:val="385" w:hRule="exact"/>
        </w:trPr>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山西农信</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413"/>
              <w:jc w:val="right"/>
              <w:rPr>
                <w:rFonts w:ascii="宋体" w:hAnsi="宋体" w:cs="宋体" w:eastAsia="宋体" w:hint="default"/>
                <w:sz w:val="18"/>
                <w:szCs w:val="18"/>
              </w:rPr>
            </w:pPr>
            <w:r>
              <w:rPr>
                <w:rFonts w:ascii="宋体" w:hAnsi="宋体" w:cs="宋体" w:eastAsia="宋体" w:hint="default"/>
                <w:sz w:val="18"/>
                <w:szCs w:val="18"/>
              </w:rPr>
              <w:t>客户</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84"/>
              <w:jc w:val="right"/>
              <w:rPr>
                <w:rFonts w:ascii="Times New Roman" w:hAnsi="Times New Roman" w:cs="Times New Roman" w:eastAsia="Times New Roman" w:hint="default"/>
                <w:sz w:val="18"/>
                <w:szCs w:val="18"/>
              </w:rPr>
            </w:pPr>
            <w:r>
              <w:rPr>
                <w:rFonts w:ascii="Times New Roman"/>
                <w:spacing w:val="-1"/>
                <w:sz w:val="18"/>
              </w:rPr>
              <w:t>9,321,090.00</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6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6.02</w:t>
            </w:r>
          </w:p>
        </w:tc>
      </w:tr>
      <w:tr>
        <w:trPr>
          <w:trHeight w:val="387" w:hRule="exact"/>
        </w:trPr>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陕西省农信社</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413"/>
              <w:jc w:val="right"/>
              <w:rPr>
                <w:rFonts w:ascii="宋体" w:hAnsi="宋体" w:cs="宋体" w:eastAsia="宋体" w:hint="default"/>
                <w:sz w:val="18"/>
                <w:szCs w:val="18"/>
              </w:rPr>
            </w:pPr>
            <w:r>
              <w:rPr>
                <w:rFonts w:ascii="宋体" w:hAnsi="宋体" w:cs="宋体" w:eastAsia="宋体" w:hint="default"/>
                <w:sz w:val="18"/>
                <w:szCs w:val="18"/>
              </w:rPr>
              <w:t>客户</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84"/>
              <w:jc w:val="right"/>
              <w:rPr>
                <w:rFonts w:ascii="Times New Roman" w:hAnsi="Times New Roman" w:cs="Times New Roman" w:eastAsia="Times New Roman" w:hint="default"/>
                <w:sz w:val="18"/>
                <w:szCs w:val="18"/>
              </w:rPr>
            </w:pPr>
            <w:r>
              <w:rPr>
                <w:rFonts w:ascii="Times New Roman"/>
                <w:spacing w:val="-1"/>
                <w:sz w:val="18"/>
              </w:rPr>
              <w:t>7,266,865.00</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6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4.70</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8"/>
          <w:szCs w:val="18"/>
        </w:rPr>
      </w:pPr>
    </w:p>
    <w:p>
      <w:pPr>
        <w:tabs>
          <w:tab w:pos="2396" w:val="left" w:leader="none"/>
        </w:tabs>
        <w:spacing w:before="35"/>
        <w:ind w:left="1857" w:right="0" w:firstLine="0"/>
        <w:jc w:val="left"/>
        <w:rPr>
          <w:rFonts w:ascii="宋体" w:hAnsi="宋体" w:cs="宋体" w:eastAsia="宋体" w:hint="default"/>
          <w:sz w:val="21"/>
          <w:szCs w:val="21"/>
        </w:rPr>
      </w:pPr>
      <w:r>
        <w:rPr/>
        <w:pict>
          <v:group style="position:absolute;margin-left:119.010002pt;margin-top:-142.046021pt;width:383.15pt;height:123.55pt;mso-position-horizontal-relative:page;mso-position-vertical-relative:paragraph;z-index:-819232" coordorigin="2380,-2841" coordsize="7663,2471">
            <v:group style="position:absolute;left:2410;top:-2826;width:5288;height:2" coordorigin="2410,-2826" coordsize="5288,2">
              <v:shape style="position:absolute;left:2410;top:-2826;width:5288;height:2" coordorigin="2410,-2826" coordsize="5288,0" path="m2410,-2826l7697,-2826e" filled="false" stroked="true" strokeweight="1.5pt" strokecolor="#000000">
                <v:path arrowok="t"/>
              </v:shape>
            </v:group>
            <v:group style="position:absolute;left:7697;top:-2826;width:1329;height:2" coordorigin="7697,-2826" coordsize="1329,2">
              <v:shape style="position:absolute;left:7697;top:-2826;width:1329;height:2" coordorigin="7697,-2826" coordsize="1329,0" path="m7697,-2826l9025,-2826e" filled="false" stroked="true" strokeweight="1.5pt" strokecolor="#000000">
                <v:path arrowok="t"/>
              </v:shape>
            </v:group>
            <v:group style="position:absolute;left:9025;top:-2826;width:998;height:2" coordorigin="9025,-2826" coordsize="998,2">
              <v:shape style="position:absolute;left:9025;top:-2826;width:998;height:2" coordorigin="9025,-2826" coordsize="998,0" path="m9025,-2826l10022,-2826e" filled="false" stroked="true" strokeweight="1.5pt" strokecolor="#000000">
                <v:path arrowok="t"/>
              </v:shape>
              <v:shape style="position:absolute;left:4744;top:-2840;width:4320;height:682" type="#_x0000_t75" stroked="false">
                <v:imagedata r:id="rId90" o:title=""/>
              </v:shape>
            </v:group>
            <v:group style="position:absolute;left:2395;top:-385;width:2378;height:2" coordorigin="2395,-385" coordsize="2378,2">
              <v:shape style="position:absolute;left:2395;top:-385;width:2378;height:2" coordorigin="2395,-385" coordsize="2378,0" path="m2395,-385l4772,-385e" filled="false" stroked="true" strokeweight="1.5pt" strokecolor="#000000">
                <v:path arrowok="t"/>
              </v:shape>
              <v:shape style="position:absolute;left:2390;top:-2206;width:7652;height:1835" type="#_x0000_t75" stroked="false">
                <v:imagedata r:id="rId91" o:title=""/>
              </v:shape>
            </v:group>
            <v:group style="position:absolute;left:4772;top:-385;width:1496;height:2" coordorigin="4772,-385" coordsize="1496,2">
              <v:shape style="position:absolute;left:4772;top:-385;width:1496;height:2" coordorigin="4772,-385" coordsize="1496,0" path="m4772,-385l6268,-385e" filled="false" stroked="true" strokeweight="1.5pt" strokecolor="#000000">
                <v:path arrowok="t"/>
              </v:shape>
              <v:shape style="position:absolute;left:6239;top:-1053;width:67;height:682" type="#_x0000_t75" stroked="false">
                <v:imagedata r:id="rId92" o:title=""/>
              </v:shape>
            </v:group>
            <v:group style="position:absolute;left:6268;top:-385;width:1400;height:2" coordorigin="6268,-385" coordsize="1400,2">
              <v:shape style="position:absolute;left:6268;top:-385;width:1400;height:2" coordorigin="6268,-385" coordsize="1400,0" path="m6268,-385l7667,-385e" filled="false" stroked="true" strokeweight="1.5pt" strokecolor="#000000">
                <v:path arrowok="t"/>
              </v:shape>
              <v:shape style="position:absolute;left:7638;top:-1053;width:67;height:682" type="#_x0000_t75" stroked="false">
                <v:imagedata r:id="rId92" o:title=""/>
              </v:shape>
            </v:group>
            <v:group style="position:absolute;left:7667;top:-385;width:30;height:2" coordorigin="7667,-385" coordsize="30,2">
              <v:shape style="position:absolute;left:7667;top:-385;width:30;height:2" coordorigin="7667,-385" coordsize="30,0" path="m7667,-385l7697,-385e" filled="false" stroked="true" strokeweight="1.5pt" strokecolor="#000000">
                <v:path arrowok="t"/>
              </v:shape>
            </v:group>
            <v:group style="position:absolute;left:7697;top:-385;width:1329;height:2" coordorigin="7697,-385" coordsize="1329,2">
              <v:shape style="position:absolute;left:7697;top:-385;width:1329;height:2" coordorigin="7697,-385" coordsize="1329,0" path="m7697,-385l9025,-385e" filled="false" stroked="true" strokeweight="1.5pt" strokecolor="#000000">
                <v:path arrowok="t"/>
              </v:shape>
              <v:shape style="position:absolute;left:8996;top:-1053;width:67;height:682" type="#_x0000_t75" stroked="false">
                <v:imagedata r:id="rId92" o:title=""/>
              </v:shape>
            </v:group>
            <v:group style="position:absolute;left:9025;top:-385;width:998;height:2" coordorigin="9025,-385" coordsize="998,2">
              <v:shape style="position:absolute;left:9025;top:-385;width:998;height:2" coordorigin="9025,-385" coordsize="998,0" path="m9025,-385l10022,-385e" filled="false" stroked="true" strokeweight="1.5pt" strokecolor="#000000">
                <v:path arrowok="t"/>
              </v:shape>
              <v:shape style="position:absolute;left:7802;top:-2745;width:1095;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1-2</w:t>
                      </w:r>
                    </w:p>
                  </w:txbxContent>
                </v:textbox>
                <w10:wrap type="none"/>
              </v:shape>
              <v:shape style="position:absolute;left:2518;top:-2589;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安徽省农村信用社联合社</w:t>
                      </w:r>
                    </w:p>
                  </w:txbxContent>
                </v:textbox>
                <w10:wrap type="none"/>
              </v:shape>
              <v:shape style="position:absolute;left:5345;top:-258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客户</w:t>
                      </w:r>
                    </w:p>
                  </w:txbxContent>
                </v:textbox>
                <w10:wrap type="none"/>
              </v:shape>
              <v:shape style="position:absolute;left:6535;top:-2581;width:10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15,503,116.01</w:t>
                      </w:r>
                    </w:p>
                  </w:txbxContent>
                </v:textbox>
                <w10:wrap type="none"/>
              </v:shape>
              <v:shape style="position:absolute;left:9510;top:-2581;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10.02</w:t>
                      </w:r>
                    </w:p>
                  </w:txbxContent>
                </v:textbox>
                <w10:wrap type="none"/>
              </v:shape>
              <v:shape style="position:absolute;left:2518;top:-958;width:2166;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4"/>
                          <w:sz w:val="18"/>
                          <w:szCs w:val="18"/>
                        </w:rPr>
                        <w:t>中国邮政储蓄银行有限责</w:t>
                      </w:r>
                      <w:r>
                        <w:rPr>
                          <w:rFonts w:ascii="宋体" w:hAnsi="宋体" w:cs="宋体" w:eastAsia="宋体" w:hint="default"/>
                          <w:spacing w:val="-74"/>
                          <w:sz w:val="18"/>
                          <w:szCs w:val="18"/>
                        </w:rPr>
                        <w:t> </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任公司深圳分行</w:t>
                      </w:r>
                    </w:p>
                  </w:txbxContent>
                </v:textbox>
                <w10:wrap type="none"/>
              </v:shape>
              <v:shape style="position:absolute;left:5345;top:-80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客户</w:t>
                      </w:r>
                    </w:p>
                  </w:txbxContent>
                </v:textbox>
                <w10:wrap type="none"/>
              </v:shape>
              <v:shape style="position:absolute;left:6619;top:-79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6,335,570.66</w:t>
                      </w:r>
                    </w:p>
                  </w:txbxContent>
                </v:textbox>
                <w10:wrap type="none"/>
              </v:shape>
              <v:shape style="position:absolute;left:8012;top:-802;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9600;top:-79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4.09</w:t>
                      </w:r>
                    </w:p>
                  </w:txbxContent>
                </v:textbox>
                <w10:wrap type="none"/>
              </v:shape>
            </v:group>
            <w10:wrap type="none"/>
          </v:group>
        </w:pict>
      </w:r>
      <w:r>
        <w:rPr>
          <w:rFonts w:ascii="Times New Roman" w:hAnsi="Times New Roman" w:cs="Times New Roman" w:eastAsia="Times New Roman" w:hint="default"/>
          <w:b/>
          <w:bCs/>
          <w:w w:val="95"/>
          <w:sz w:val="21"/>
          <w:szCs w:val="21"/>
        </w:rPr>
        <w:t>7</w:t>
      </w:r>
      <w:r>
        <w:rPr>
          <w:rFonts w:ascii="宋体" w:hAnsi="宋体" w:cs="宋体" w:eastAsia="宋体" w:hint="default"/>
          <w:b/>
          <w:bCs/>
          <w:w w:val="95"/>
          <w:sz w:val="21"/>
          <w:szCs w:val="21"/>
        </w:rPr>
        <w:t>、</w:t>
        <w:tab/>
      </w:r>
      <w:r>
        <w:rPr>
          <w:rFonts w:ascii="宋体" w:hAnsi="宋体" w:cs="宋体" w:eastAsia="宋体" w:hint="default"/>
          <w:b/>
          <w:bCs/>
          <w:sz w:val="21"/>
          <w:szCs w:val="21"/>
        </w:rPr>
        <w:t>期末余额中无应收关联方账款的情况。</w:t>
      </w:r>
      <w:r>
        <w:rPr>
          <w:rFonts w:ascii="宋体" w:hAnsi="宋体" w:cs="宋体" w:eastAsia="宋体" w:hint="default"/>
          <w:sz w:val="21"/>
          <w:szCs w:val="21"/>
        </w:rPr>
      </w:r>
    </w:p>
    <w:p>
      <w:pPr>
        <w:tabs>
          <w:tab w:pos="2396" w:val="left" w:leader="none"/>
        </w:tabs>
        <w:spacing w:before="110"/>
        <w:ind w:left="185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8</w:t>
      </w:r>
      <w:r>
        <w:rPr>
          <w:rFonts w:ascii="宋体" w:hAnsi="宋体" w:cs="宋体" w:eastAsia="宋体" w:hint="default"/>
          <w:b/>
          <w:bCs/>
          <w:w w:val="95"/>
          <w:sz w:val="21"/>
          <w:szCs w:val="21"/>
        </w:rPr>
        <w:t>、</w:t>
        <w:tab/>
      </w:r>
      <w:r>
        <w:rPr>
          <w:rFonts w:ascii="宋体" w:hAnsi="宋体" w:cs="宋体" w:eastAsia="宋体" w:hint="default"/>
          <w:b/>
          <w:bCs/>
          <w:sz w:val="21"/>
          <w:szCs w:val="21"/>
        </w:rPr>
        <w:t>本报告期无因金融资产转移而终止确认的应收款项的情况。</w:t>
      </w:r>
      <w:r>
        <w:rPr>
          <w:rFonts w:ascii="宋体" w:hAnsi="宋体" w:cs="宋体" w:eastAsia="宋体" w:hint="default"/>
          <w:sz w:val="21"/>
          <w:szCs w:val="21"/>
        </w:rPr>
      </w:r>
    </w:p>
    <w:p>
      <w:pPr>
        <w:tabs>
          <w:tab w:pos="2385" w:val="left" w:leader="none"/>
        </w:tabs>
        <w:spacing w:before="109"/>
        <w:ind w:left="185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9</w:t>
      </w:r>
      <w:r>
        <w:rPr>
          <w:rFonts w:ascii="宋体" w:hAnsi="宋体" w:cs="宋体" w:eastAsia="宋体" w:hint="default"/>
          <w:b/>
          <w:bCs/>
          <w:w w:val="95"/>
          <w:sz w:val="21"/>
          <w:szCs w:val="21"/>
        </w:rPr>
        <w:t>、</w:t>
        <w:tab/>
      </w:r>
      <w:r>
        <w:rPr>
          <w:rFonts w:ascii="宋体" w:hAnsi="宋体" w:cs="宋体" w:eastAsia="宋体" w:hint="default"/>
          <w:b/>
          <w:bCs/>
          <w:sz w:val="21"/>
          <w:szCs w:val="21"/>
        </w:rPr>
        <w:t>本报告期无未全部终止确认的被转移的应收账款的情况。</w:t>
      </w:r>
      <w:r>
        <w:rPr>
          <w:rFonts w:ascii="宋体" w:hAnsi="宋体" w:cs="宋体" w:eastAsia="宋体" w:hint="default"/>
          <w:sz w:val="21"/>
          <w:szCs w:val="21"/>
        </w:rPr>
      </w:r>
    </w:p>
    <w:p>
      <w:pPr>
        <w:spacing w:before="109"/>
        <w:ind w:left="1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w:t>
      </w:r>
      <w:r>
        <w:rPr>
          <w:rFonts w:ascii="宋体" w:hAnsi="宋体" w:cs="宋体" w:eastAsia="宋体" w:hint="default"/>
          <w:b/>
          <w:bCs/>
          <w:spacing w:val="5"/>
          <w:sz w:val="21"/>
          <w:szCs w:val="21"/>
        </w:rPr>
        <w:t> </w:t>
      </w:r>
      <w:r>
        <w:rPr>
          <w:rFonts w:ascii="宋体" w:hAnsi="宋体" w:cs="宋体" w:eastAsia="宋体" w:hint="default"/>
          <w:b/>
          <w:bCs/>
          <w:sz w:val="21"/>
          <w:szCs w:val="21"/>
        </w:rPr>
        <w:t>本报告期无以应收款项为标的进行证券化的情况。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tabs>
          <w:tab w:pos="1853" w:val="left" w:leader="none"/>
        </w:tabs>
        <w:spacing w:before="0"/>
        <w:ind w:left="1231"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其他应收款</w:t>
      </w:r>
      <w:r>
        <w:rPr>
          <w:rFonts w:ascii="宋体" w:hAnsi="宋体" w:cs="宋体" w:eastAsia="宋体" w:hint="default"/>
          <w:sz w:val="21"/>
          <w:szCs w:val="21"/>
        </w:rPr>
      </w:r>
    </w:p>
    <w:p>
      <w:pPr>
        <w:tabs>
          <w:tab w:pos="2413" w:val="left" w:leader="none"/>
        </w:tabs>
        <w:spacing w:before="29"/>
        <w:ind w:left="1857" w:right="0" w:firstLine="0"/>
        <w:jc w:val="left"/>
        <w:rPr>
          <w:rFonts w:ascii="宋体" w:hAnsi="宋体" w:cs="宋体" w:eastAsia="宋体" w:hint="default"/>
          <w:sz w:val="21"/>
          <w:szCs w:val="21"/>
        </w:rPr>
      </w:pPr>
      <w:r>
        <w:rPr/>
        <w:pict>
          <v:group style="position:absolute;margin-left:67.260002pt;margin-top:16.833063pt;width:478.3pt;height:173.5pt;mso-position-horizontal-relative:page;mso-position-vertical-relative:paragraph;z-index:-819040" coordorigin="1345,337" coordsize="9566,3470">
            <v:group style="position:absolute;left:1374;top:352;width:5561;height:2" coordorigin="1374,352" coordsize="5561,2">
              <v:shape style="position:absolute;left:1374;top:352;width:5561;height:2" coordorigin="1374,352" coordsize="5561,0" path="m1374,352l6935,352e" filled="false" stroked="true" strokeweight="1.5pt" strokecolor="#000000">
                <v:path arrowok="t"/>
              </v:shape>
            </v:group>
            <v:group style="position:absolute;left:6935;top:352;width:3939;height:2" coordorigin="6935,352" coordsize="3939,2">
              <v:shape style="position:absolute;left:6935;top:352;width:3939;height:2" coordorigin="6935,352" coordsize="3939,0" path="m6935,352l10873,352e" filled="false" stroked="true" strokeweight="1.5pt" strokecolor="#000000">
                <v:path arrowok="t"/>
              </v:shape>
              <v:shape style="position:absolute;left:2894;top:338;width:4049;height:432" type="#_x0000_t75" stroked="false">
                <v:imagedata r:id="rId93" o:title=""/>
              </v:shape>
              <v:shape style="position:absolute;left:2894;top:712;width:8009;height:442" type="#_x0000_t75" stroked="false">
                <v:imagedata r:id="rId94" o:title=""/>
              </v:shape>
            </v:group>
            <v:group style="position:absolute;left:2933;top:1135;width:1270;height:749" coordorigin="2933,1135" coordsize="1270,749">
              <v:shape style="position:absolute;left:2933;top:1135;width:1270;height:749" coordorigin="2933,1135" coordsize="1270,749" path="m2933,1883l4202,1883,4202,1135,2933,1135,2933,1883xe" filled="true" fillcolor="#ffffff" stroked="false">
                <v:path arrowok="t"/>
                <v:fill type="solid"/>
              </v:shape>
            </v:group>
            <v:group style="position:absolute;left:3036;top:1322;width:1064;height:375" coordorigin="3036,1322" coordsize="1064,375">
              <v:shape style="position:absolute;left:3036;top:1322;width:1064;height:375" coordorigin="3036,1322" coordsize="1064,375" path="m3036,1696l4099,1696,4099,1322,3036,1322,3036,1696xe" filled="true" fillcolor="#ffffff" stroked="false">
                <v:path arrowok="t"/>
                <v:fill type="solid"/>
              </v:shape>
            </v:group>
            <v:group style="position:absolute;left:4212;top:1135;width:708;height:749" coordorigin="4212,1135" coordsize="708,749">
              <v:shape style="position:absolute;left:4212;top:1135;width:708;height:749" coordorigin="4212,1135" coordsize="708,749" path="m4212,1883l4920,1883,4920,1135,4212,1135,4212,1883xe" filled="true" fillcolor="#ffffff" stroked="false">
                <v:path arrowok="t"/>
                <v:fill type="solid"/>
              </v:shape>
            </v:group>
            <v:group style="position:absolute;left:4315;top:1135;width:502;height:375" coordorigin="4315,1135" coordsize="502,375">
              <v:shape style="position:absolute;left:4315;top:1135;width:502;height:375" coordorigin="4315,1135" coordsize="502,375" path="m4315,1509l4817,1509,4817,1135,4315,1135,4315,1509xe" filled="true" fillcolor="#ffffff" stroked="false">
                <v:path arrowok="t"/>
                <v:fill type="solid"/>
              </v:shape>
            </v:group>
            <v:group style="position:absolute;left:4315;top:1509;width:502;height:375" coordorigin="4315,1509" coordsize="502,375">
              <v:shape style="position:absolute;left:4315;top:1509;width:502;height:375" coordorigin="4315,1509" coordsize="502,375" path="m4315,1883l4817,1883,4817,1509,4315,1509,4315,1883xe" filled="true" fillcolor="#ffffff" stroked="false">
                <v:path arrowok="t"/>
                <v:fill type="solid"/>
              </v:shape>
            </v:group>
            <v:group style="position:absolute;left:4930;top:1135;width:1262;height:749" coordorigin="4930,1135" coordsize="1262,749">
              <v:shape style="position:absolute;left:4930;top:1135;width:1262;height:749" coordorigin="4930,1135" coordsize="1262,749" path="m4930,1883l6191,1883,6191,1135,4930,1135,4930,1883xe" filled="true" fillcolor="#ffffff" stroked="false">
                <v:path arrowok="t"/>
                <v:fill type="solid"/>
              </v:shape>
            </v:group>
            <v:group style="position:absolute;left:5033;top:1322;width:1055;height:375" coordorigin="5033,1322" coordsize="1055,375">
              <v:shape style="position:absolute;left:5033;top:1322;width:1055;height:375" coordorigin="5033,1322" coordsize="1055,375" path="m5033,1696l6088,1696,6088,1322,5033,1322,5033,1696xe" filled="true" fillcolor="#ffffff" stroked="false">
                <v:path arrowok="t"/>
                <v:fill type="solid"/>
              </v:shape>
            </v:group>
            <v:group style="position:absolute;left:6202;top:1135;width:704;height:749" coordorigin="6202,1135" coordsize="704,749">
              <v:shape style="position:absolute;left:6202;top:1135;width:704;height:749" coordorigin="6202,1135" coordsize="704,749" path="m6202,1883l6905,1883,6905,1135,6202,1135,6202,1883xe" filled="true" fillcolor="#ffffff" stroked="false">
                <v:path arrowok="t"/>
                <v:fill type="solid"/>
              </v:shape>
            </v:group>
            <v:group style="position:absolute;left:6304;top:1135;width:498;height:375" coordorigin="6304,1135" coordsize="498,375">
              <v:shape style="position:absolute;left:6304;top:1135;width:498;height:375" coordorigin="6304,1135" coordsize="498,375" path="m6304,1509l6802,1509,6802,1135,6304,1135,6304,1509xe" filled="true" fillcolor="#ffffff" stroked="false">
                <v:path arrowok="t"/>
                <v:fill type="solid"/>
              </v:shape>
            </v:group>
            <v:group style="position:absolute;left:6304;top:1509;width:498;height:375" coordorigin="6304,1509" coordsize="498,375">
              <v:shape style="position:absolute;left:6304;top:1509;width:498;height:375" coordorigin="6304,1509" coordsize="498,375" path="m6304,1883l6802,1883,6802,1509,6304,1509,6304,1883xe" filled="true" fillcolor="#ffffff" stroked="false">
                <v:path arrowok="t"/>
                <v:fill type="solid"/>
              </v:shape>
            </v:group>
            <v:group style="position:absolute;left:6916;top:1135;width:1244;height:749" coordorigin="6916,1135" coordsize="1244,749">
              <v:shape style="position:absolute;left:6916;top:1135;width:1244;height:749" coordorigin="6916,1135" coordsize="1244,749" path="m6916,1883l8159,1883,8159,1135,6916,1135,6916,1883xe" filled="true" fillcolor="#ffffff" stroked="false">
                <v:path arrowok="t"/>
                <v:fill type="solid"/>
              </v:shape>
            </v:group>
            <v:group style="position:absolute;left:7018;top:1322;width:1038;height:375" coordorigin="7018,1322" coordsize="1038,375">
              <v:shape style="position:absolute;left:7018;top:1322;width:1038;height:375" coordorigin="7018,1322" coordsize="1038,375" path="m7018,1696l8056,1696,8056,1322,7018,1322,7018,1696xe" filled="true" fillcolor="#ffffff" stroked="false">
                <v:path arrowok="t"/>
                <v:fill type="solid"/>
              </v:shape>
            </v:group>
            <v:group style="position:absolute;left:8168;top:1135;width:708;height:749" coordorigin="8168,1135" coordsize="708,749">
              <v:shape style="position:absolute;left:8168;top:1135;width:708;height:749" coordorigin="8168,1135" coordsize="708,749" path="m8168,1883l8876,1883,8876,1135,8168,1135,8168,1883xe" filled="true" fillcolor="#ffffff" stroked="false">
                <v:path arrowok="t"/>
                <v:fill type="solid"/>
              </v:shape>
            </v:group>
            <v:group style="position:absolute;left:8272;top:1135;width:503;height:375" coordorigin="8272,1135" coordsize="503,375">
              <v:shape style="position:absolute;left:8272;top:1135;width:503;height:375" coordorigin="8272,1135" coordsize="503,375" path="m8272,1509l8774,1509,8774,1135,8272,1135,8272,1509xe" filled="true" fillcolor="#ffffff" stroked="false">
                <v:path arrowok="t"/>
                <v:fill type="solid"/>
              </v:shape>
            </v:group>
            <v:group style="position:absolute;left:8272;top:1509;width:503;height:375" coordorigin="8272,1509" coordsize="503,375">
              <v:shape style="position:absolute;left:8272;top:1509;width:503;height:375" coordorigin="8272,1509" coordsize="503,375" path="m8272,1883l8774,1883,8774,1509,8272,1509,8272,1883xe" filled="true" fillcolor="#ffffff" stroked="false">
                <v:path arrowok="t"/>
                <v:fill type="solid"/>
              </v:shape>
            </v:group>
            <v:group style="position:absolute;left:8887;top:1135;width:1275;height:749" coordorigin="8887,1135" coordsize="1275,749">
              <v:shape style="position:absolute;left:8887;top:1135;width:1275;height:749" coordorigin="8887,1135" coordsize="1275,749" path="m8887,1883l10162,1883,10162,1135,8887,1135,8887,1883xe" filled="true" fillcolor="#ffffff" stroked="false">
                <v:path arrowok="t"/>
                <v:fill type="solid"/>
              </v:shape>
            </v:group>
            <v:group style="position:absolute;left:8990;top:1322;width:1068;height:375" coordorigin="8990,1322" coordsize="1068,375">
              <v:shape style="position:absolute;left:8990;top:1322;width:1068;height:375" coordorigin="8990,1322" coordsize="1068,375" path="m8990,1696l10058,1696,10058,1322,8990,1322,8990,1696xe" filled="true" fillcolor="#ffffff" stroked="false">
                <v:path arrowok="t"/>
                <v:fill type="solid"/>
              </v:shape>
            </v:group>
            <v:group style="position:absolute;left:10171;top:1135;width:702;height:749" coordorigin="10171,1135" coordsize="702,749">
              <v:shape style="position:absolute;left:10171;top:1135;width:702;height:749" coordorigin="10171,1135" coordsize="702,749" path="m10171,1883l10873,1883,10873,1135,10171,1135,10171,1883xe" filled="true" fillcolor="#ffffff" stroked="false">
                <v:path arrowok="t"/>
                <v:fill type="solid"/>
              </v:shape>
            </v:group>
            <v:group style="position:absolute;left:10274;top:1135;width:491;height:375" coordorigin="10274,1135" coordsize="491,375">
              <v:shape style="position:absolute;left:10274;top:1135;width:491;height:375" coordorigin="10274,1135" coordsize="491,375" path="m10274,1509l10765,1509,10765,1135,10274,1135,10274,1509xe" filled="true" fillcolor="#ffffff" stroked="false">
                <v:path arrowok="t"/>
                <v:fill type="solid"/>
              </v:shape>
            </v:group>
            <v:group style="position:absolute;left:10274;top:1509;width:491;height:375" coordorigin="10274,1509" coordsize="491,375">
              <v:shape style="position:absolute;left:10274;top:1509;width:491;height:375" coordorigin="10274,1509" coordsize="491,375" path="m10274,1883l10765,1883,10765,1509,10274,1509,10274,1883xe" filled="true" fillcolor="#ffffff" stroked="false">
                <v:path arrowok="t"/>
                <v:fill type="solid"/>
              </v:shape>
              <v:shape style="position:absolute;left:2894;top:1096;width:8016;height:816" type="#_x0000_t75" stroked="false">
                <v:imagedata r:id="rId95" o:title=""/>
              </v:shape>
            </v:group>
            <v:group style="position:absolute;left:2820;top:1894;width:104;height:375" coordorigin="2820,1894" coordsize="104,375">
              <v:shape style="position:absolute;left:2820;top:1894;width:104;height:375" coordorigin="2820,1894" coordsize="104,375" path="m2820,2269l2923,2269,2923,1894,2820,1894,2820,2269xe" filled="true" fillcolor="#ffffff" stroked="false">
                <v:path arrowok="t"/>
                <v:fill type="solid"/>
              </v:shape>
            </v:group>
            <v:group style="position:absolute;left:1374;top:1894;width:108;height:375" coordorigin="1374,1894" coordsize="108,375">
              <v:shape style="position:absolute;left:1374;top:1894;width:108;height:375" coordorigin="1374,1894" coordsize="108,375" path="m1374,2269l1482,2269,1482,1894,1374,1894,1374,2269xe" filled="true" fillcolor="#ffffff" stroked="false">
                <v:path arrowok="t"/>
                <v:fill type="solid"/>
              </v:shape>
            </v:group>
            <v:group style="position:absolute;left:2933;top:1894;width:1270;height:375" coordorigin="2933,1894" coordsize="1270,375">
              <v:shape style="position:absolute;left:2933;top:1894;width:1270;height:375" coordorigin="2933,1894" coordsize="1270,375" path="m2933,2269l4202,2269,4202,1894,2933,1894,2933,2269xe" filled="true" fillcolor="#ffffff" stroked="false">
                <v:path arrowok="t"/>
                <v:fill type="solid"/>
              </v:shape>
            </v:group>
            <v:group style="position:absolute;left:3036;top:1925;width:1064;height:312" coordorigin="3036,1925" coordsize="1064,312">
              <v:shape style="position:absolute;left:3036;top:1925;width:1064;height:312" coordorigin="3036,1925" coordsize="1064,312" path="m3036,2237l4099,2237,4099,1925,3036,1925,3036,2237xe" filled="true" fillcolor="#ffffff" stroked="false">
                <v:path arrowok="t"/>
                <v:fill type="solid"/>
              </v:shape>
            </v:group>
            <v:group style="position:absolute;left:4212;top:1894;width:708;height:375" coordorigin="4212,1894" coordsize="708,375">
              <v:shape style="position:absolute;left:4212;top:1894;width:708;height:375" coordorigin="4212,1894" coordsize="708,375" path="m4212,2269l4920,2269,4920,1894,4212,1894,4212,2269xe" filled="true" fillcolor="#ffffff" stroked="false">
                <v:path arrowok="t"/>
                <v:fill type="solid"/>
              </v:shape>
            </v:group>
            <v:group style="position:absolute;left:4315;top:1925;width:502;height:312" coordorigin="4315,1925" coordsize="502,312">
              <v:shape style="position:absolute;left:4315;top:1925;width:502;height:312" coordorigin="4315,1925" coordsize="502,312" path="m4315,2237l4817,2237,4817,1925,4315,1925,4315,2237xe" filled="true" fillcolor="#ffffff" stroked="false">
                <v:path arrowok="t"/>
                <v:fill type="solid"/>
              </v:shape>
            </v:group>
            <v:group style="position:absolute;left:4930;top:1894;width:1262;height:375" coordorigin="4930,1894" coordsize="1262,375">
              <v:shape style="position:absolute;left:4930;top:1894;width:1262;height:375" coordorigin="4930,1894" coordsize="1262,375" path="m4930,2269l6191,2269,6191,1894,4930,1894,4930,2269xe" filled="true" fillcolor="#ffffff" stroked="false">
                <v:path arrowok="t"/>
                <v:fill type="solid"/>
              </v:shape>
            </v:group>
            <v:group style="position:absolute;left:5033;top:1925;width:1055;height:312" coordorigin="5033,1925" coordsize="1055,312">
              <v:shape style="position:absolute;left:5033;top:1925;width:1055;height:312" coordorigin="5033,1925" coordsize="1055,312" path="m5033,2237l6088,2237,6088,1925,5033,1925,5033,2237xe" filled="true" fillcolor="#ffffff" stroked="false">
                <v:path arrowok="t"/>
                <v:fill type="solid"/>
              </v:shape>
            </v:group>
            <v:group style="position:absolute;left:6202;top:1894;width:704;height:375" coordorigin="6202,1894" coordsize="704,375">
              <v:shape style="position:absolute;left:6202;top:1894;width:704;height:375" coordorigin="6202,1894" coordsize="704,375" path="m6202,2269l6905,2269,6905,1894,6202,1894,6202,2269xe" filled="true" fillcolor="#ffffff" stroked="false">
                <v:path arrowok="t"/>
                <v:fill type="solid"/>
              </v:shape>
            </v:group>
            <v:group style="position:absolute;left:6304;top:1925;width:498;height:312" coordorigin="6304,1925" coordsize="498,312">
              <v:shape style="position:absolute;left:6304;top:1925;width:498;height:312" coordorigin="6304,1925" coordsize="498,312" path="m6304,2237l6802,2237,6802,1925,6304,1925,6304,2237xe" filled="true" fillcolor="#ffffff" stroked="false">
                <v:path arrowok="t"/>
                <v:fill type="solid"/>
              </v:shape>
            </v:group>
            <v:group style="position:absolute;left:6916;top:1894;width:1244;height:375" coordorigin="6916,1894" coordsize="1244,375">
              <v:shape style="position:absolute;left:6916;top:1894;width:1244;height:375" coordorigin="6916,1894" coordsize="1244,375" path="m6916,2269l8159,2269,8159,1894,6916,1894,6916,2269xe" filled="true" fillcolor="#ffffff" stroked="false">
                <v:path arrowok="t"/>
                <v:fill type="solid"/>
              </v:shape>
            </v:group>
            <v:group style="position:absolute;left:7018;top:1925;width:1038;height:312" coordorigin="7018,1925" coordsize="1038,312">
              <v:shape style="position:absolute;left:7018;top:1925;width:1038;height:312" coordorigin="7018,1925" coordsize="1038,312" path="m7018,2237l8056,2237,8056,1925,7018,1925,7018,2237xe" filled="true" fillcolor="#ffffff" stroked="false">
                <v:path arrowok="t"/>
                <v:fill type="solid"/>
              </v:shape>
            </v:group>
            <v:group style="position:absolute;left:8168;top:1894;width:708;height:375" coordorigin="8168,1894" coordsize="708,375">
              <v:shape style="position:absolute;left:8168;top:1894;width:708;height:375" coordorigin="8168,1894" coordsize="708,375" path="m8168,2269l8876,2269,8876,1894,8168,1894,8168,2269xe" filled="true" fillcolor="#ffffff" stroked="false">
                <v:path arrowok="t"/>
                <v:fill type="solid"/>
              </v:shape>
            </v:group>
            <v:group style="position:absolute;left:8272;top:1925;width:503;height:312" coordorigin="8272,1925" coordsize="503,312">
              <v:shape style="position:absolute;left:8272;top:1925;width:503;height:312" coordorigin="8272,1925" coordsize="503,312" path="m8272,2237l8774,2237,8774,1925,8272,1925,8272,2237xe" filled="true" fillcolor="#ffffff" stroked="false">
                <v:path arrowok="t"/>
                <v:fill type="solid"/>
              </v:shape>
            </v:group>
            <v:group style="position:absolute;left:8887;top:1894;width:1275;height:375" coordorigin="8887,1894" coordsize="1275,375">
              <v:shape style="position:absolute;left:8887;top:1894;width:1275;height:375" coordorigin="8887,1894" coordsize="1275,375" path="m8887,2269l10162,2269,10162,1894,8887,1894,8887,2269xe" filled="true" fillcolor="#ffffff" stroked="false">
                <v:path arrowok="t"/>
                <v:fill type="solid"/>
              </v:shape>
            </v:group>
            <v:group style="position:absolute;left:8990;top:1925;width:1068;height:312" coordorigin="8990,1925" coordsize="1068,312">
              <v:shape style="position:absolute;left:8990;top:1925;width:1068;height:312" coordorigin="8990,1925" coordsize="1068,312" path="m8990,2237l10058,2237,10058,1925,8990,1925,8990,2237xe" filled="true" fillcolor="#ffffff" stroked="false">
                <v:path arrowok="t"/>
                <v:fill type="solid"/>
              </v:shape>
            </v:group>
            <v:group style="position:absolute;left:10171;top:1894;width:702;height:375" coordorigin="10171,1894" coordsize="702,375">
              <v:shape style="position:absolute;left:10171;top:1894;width:702;height:375" coordorigin="10171,1894" coordsize="702,375" path="m10171,2269l10873,2269,10873,1894,10171,1894,10171,2269xe" filled="true" fillcolor="#ffffff" stroked="false">
                <v:path arrowok="t"/>
                <v:fill type="solid"/>
              </v:shape>
            </v:group>
            <v:group style="position:absolute;left:10274;top:1925;width:491;height:312" coordorigin="10274,1925" coordsize="491,312">
              <v:shape style="position:absolute;left:10274;top:1925;width:491;height:312" coordorigin="10274,1925" coordsize="491,312" path="m10274,2237l10765,2237,10765,1925,10274,1925,10274,2237xe" filled="true" fillcolor="#ffffff" stroked="false">
                <v:path arrowok="t"/>
                <v:fill type="solid"/>
              </v:shape>
              <v:shape style="position:absolute;left:1345;top:1864;width:9565;height:817" type="#_x0000_t75" stroked="false">
                <v:imagedata r:id="rId96" o:title=""/>
              </v:shape>
            </v:group>
            <v:group style="position:absolute;left:2820;top:2662;width:104;height:375" coordorigin="2820,2662" coordsize="104,375">
              <v:shape style="position:absolute;left:2820;top:2662;width:104;height:375" coordorigin="2820,2662" coordsize="104,375" path="m2820,3037l2923,3037,2923,2662,2820,2662,2820,3037xe" filled="true" fillcolor="#ffffff" stroked="false">
                <v:path arrowok="t"/>
                <v:fill type="solid"/>
              </v:shape>
            </v:group>
            <v:group style="position:absolute;left:1374;top:2662;width:108;height:375" coordorigin="1374,2662" coordsize="108,375">
              <v:shape style="position:absolute;left:1374;top:2662;width:108;height:375" coordorigin="1374,2662" coordsize="108,375" path="m1374,3037l1482,3037,1482,2662,1374,2662,1374,3037xe" filled="true" fillcolor="#ffffff" stroked="false">
                <v:path arrowok="t"/>
                <v:fill type="solid"/>
              </v:shape>
            </v:group>
            <v:group style="position:absolute;left:1482;top:2662;width:1338;height:375" coordorigin="1482,2662" coordsize="1338,375">
              <v:shape style="position:absolute;left:1482;top:2662;width:1338;height:375" coordorigin="1482,2662" coordsize="1338,375" path="m1482,3037l2820,3037,2820,2662,1482,2662,1482,3037xe" filled="true" fillcolor="#ffffff" stroked="false">
                <v:path arrowok="t"/>
                <v:fill type="solid"/>
              </v:shape>
            </v:group>
            <v:group style="position:absolute;left:2933;top:2662;width:1270;height:375" coordorigin="2933,2662" coordsize="1270,375">
              <v:shape style="position:absolute;left:2933;top:2662;width:1270;height:375" coordorigin="2933,2662" coordsize="1270,375" path="m2933,3037l4202,3037,4202,2662,2933,2662,2933,3037xe" filled="true" fillcolor="#ffffff" stroked="false">
                <v:path arrowok="t"/>
                <v:fill type="solid"/>
              </v:shape>
            </v:group>
            <v:group style="position:absolute;left:3036;top:2693;width:1064;height:312" coordorigin="3036,2693" coordsize="1064,312">
              <v:shape style="position:absolute;left:3036;top:2693;width:1064;height:312" coordorigin="3036,2693" coordsize="1064,312" path="m3036,3005l4099,3005,4099,2693,3036,2693,3036,3005xe" filled="true" fillcolor="#ffffff" stroked="false">
                <v:path arrowok="t"/>
                <v:fill type="solid"/>
              </v:shape>
            </v:group>
            <v:group style="position:absolute;left:4212;top:2662;width:708;height:375" coordorigin="4212,2662" coordsize="708,375">
              <v:shape style="position:absolute;left:4212;top:2662;width:708;height:375" coordorigin="4212,2662" coordsize="708,375" path="m4212,3037l4920,3037,4920,2662,4212,2662,4212,3037xe" filled="true" fillcolor="#ffffff" stroked="false">
                <v:path arrowok="t"/>
                <v:fill type="solid"/>
              </v:shape>
            </v:group>
            <v:group style="position:absolute;left:4315;top:2693;width:502;height:312" coordorigin="4315,2693" coordsize="502,312">
              <v:shape style="position:absolute;left:4315;top:2693;width:502;height:312" coordorigin="4315,2693" coordsize="502,312" path="m4315,3005l4817,3005,4817,2693,4315,2693,4315,3005xe" filled="true" fillcolor="#ffffff" stroked="false">
                <v:path arrowok="t"/>
                <v:fill type="solid"/>
              </v:shape>
            </v:group>
            <v:group style="position:absolute;left:4930;top:2662;width:1262;height:375" coordorigin="4930,2662" coordsize="1262,375">
              <v:shape style="position:absolute;left:4930;top:2662;width:1262;height:375" coordorigin="4930,2662" coordsize="1262,375" path="m4930,3037l6191,3037,6191,2662,4930,2662,4930,3037xe" filled="true" fillcolor="#ffffff" stroked="false">
                <v:path arrowok="t"/>
                <v:fill type="solid"/>
              </v:shape>
            </v:group>
            <v:group style="position:absolute;left:5033;top:2693;width:1055;height:312" coordorigin="5033,2693" coordsize="1055,312">
              <v:shape style="position:absolute;left:5033;top:2693;width:1055;height:312" coordorigin="5033,2693" coordsize="1055,312" path="m5033,3005l6088,3005,6088,2693,5033,2693,5033,3005xe" filled="true" fillcolor="#ffffff" stroked="false">
                <v:path arrowok="t"/>
                <v:fill type="solid"/>
              </v:shape>
            </v:group>
            <v:group style="position:absolute;left:6202;top:2662;width:704;height:375" coordorigin="6202,2662" coordsize="704,375">
              <v:shape style="position:absolute;left:6202;top:2662;width:704;height:375" coordorigin="6202,2662" coordsize="704,375" path="m6202,3037l6905,3037,6905,2662,6202,2662,6202,3037xe" filled="true" fillcolor="#ffffff" stroked="false">
                <v:path arrowok="t"/>
                <v:fill type="solid"/>
              </v:shape>
            </v:group>
            <v:group style="position:absolute;left:6304;top:2693;width:498;height:312" coordorigin="6304,2693" coordsize="498,312">
              <v:shape style="position:absolute;left:6304;top:2693;width:498;height:312" coordorigin="6304,2693" coordsize="498,312" path="m6304,3005l6802,3005,6802,2693,6304,2693,6304,3005xe" filled="true" fillcolor="#ffffff" stroked="false">
                <v:path arrowok="t"/>
                <v:fill type="solid"/>
              </v:shape>
            </v:group>
            <v:group style="position:absolute;left:6916;top:2662;width:1244;height:375" coordorigin="6916,2662" coordsize="1244,375">
              <v:shape style="position:absolute;left:6916;top:2662;width:1244;height:375" coordorigin="6916,2662" coordsize="1244,375" path="m6916,3037l8159,3037,8159,2662,6916,2662,6916,3037xe" filled="true" fillcolor="#ffffff" stroked="false">
                <v:path arrowok="t"/>
                <v:fill type="solid"/>
              </v:shape>
            </v:group>
            <v:group style="position:absolute;left:7018;top:2693;width:1038;height:312" coordorigin="7018,2693" coordsize="1038,312">
              <v:shape style="position:absolute;left:7018;top:2693;width:1038;height:312" coordorigin="7018,2693" coordsize="1038,312" path="m7018,3005l8056,3005,8056,2693,7018,2693,7018,3005xe" filled="true" fillcolor="#ffffff" stroked="false">
                <v:path arrowok="t"/>
                <v:fill type="solid"/>
              </v:shape>
            </v:group>
            <v:group style="position:absolute;left:8168;top:2662;width:708;height:375" coordorigin="8168,2662" coordsize="708,375">
              <v:shape style="position:absolute;left:8168;top:2662;width:708;height:375" coordorigin="8168,2662" coordsize="708,375" path="m8168,3037l8876,3037,8876,2662,8168,2662,8168,3037xe" filled="true" fillcolor="#ffffff" stroked="false">
                <v:path arrowok="t"/>
                <v:fill type="solid"/>
              </v:shape>
            </v:group>
            <v:group style="position:absolute;left:8272;top:2693;width:503;height:312" coordorigin="8272,2693" coordsize="503,312">
              <v:shape style="position:absolute;left:8272;top:2693;width:503;height:312" coordorigin="8272,2693" coordsize="503,312" path="m8272,3005l8774,3005,8774,2693,8272,2693,8272,3005xe" filled="true" fillcolor="#ffffff" stroked="false">
                <v:path arrowok="t"/>
                <v:fill type="solid"/>
              </v:shape>
            </v:group>
            <v:group style="position:absolute;left:8887;top:2662;width:1275;height:375" coordorigin="8887,2662" coordsize="1275,375">
              <v:shape style="position:absolute;left:8887;top:2662;width:1275;height:375" coordorigin="8887,2662" coordsize="1275,375" path="m8887,3037l10162,3037,10162,2662,8887,2662,8887,3037xe" filled="true" fillcolor="#ffffff" stroked="false">
                <v:path arrowok="t"/>
                <v:fill type="solid"/>
              </v:shape>
            </v:group>
            <v:group style="position:absolute;left:8990;top:2693;width:1068;height:312" coordorigin="8990,2693" coordsize="1068,312">
              <v:shape style="position:absolute;left:8990;top:2693;width:1068;height:312" coordorigin="8990,2693" coordsize="1068,312" path="m8990,3005l10058,3005,10058,2693,8990,2693,8990,3005xe" filled="true" fillcolor="#ffffff" stroked="false">
                <v:path arrowok="t"/>
                <v:fill type="solid"/>
              </v:shape>
            </v:group>
            <v:group style="position:absolute;left:10171;top:2662;width:702;height:375" coordorigin="10171,2662" coordsize="702,375">
              <v:shape style="position:absolute;left:10171;top:2662;width:702;height:375" coordorigin="10171,2662" coordsize="702,375" path="m10171,3037l10873,3037,10873,2662,10171,2662,10171,3037xe" filled="true" fillcolor="#ffffff" stroked="false">
                <v:path arrowok="t"/>
                <v:fill type="solid"/>
              </v:shape>
            </v:group>
            <v:group style="position:absolute;left:10274;top:2693;width:491;height:312" coordorigin="10274,2693" coordsize="491,312">
              <v:shape style="position:absolute;left:10274;top:2693;width:491;height:312" coordorigin="10274,2693" coordsize="491,312" path="m10274,3005l10765,3005,10765,2693,10274,2693,10274,3005xe" filled="true" fillcolor="#ffffff" stroked="false">
                <v:path arrowok="t"/>
                <v:fill type="solid"/>
              </v:shape>
              <v:shape style="position:absolute;left:1345;top:2624;width:9565;height:1182" type="#_x0000_t75" stroked="false">
                <v:imagedata r:id="rId97" o:title=""/>
              </v:shape>
              <v:shape style="position:absolute;left:4559;top:4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531;top:4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566;top:84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5557;top:84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535;top:84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9517;top:84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1970;top:103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种类</w:t>
                      </w:r>
                    </w:p>
                  </w:txbxContent>
                </v:textbox>
                <w10:wrap type="non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其他应收款账龄分析</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2"/>
          <w:szCs w:val="22"/>
        </w:rPr>
      </w:pPr>
    </w:p>
    <w:tbl>
      <w:tblPr>
        <w:tblW w:w="0" w:type="auto"/>
        <w:jc w:val="left"/>
        <w:tblInd w:w="786" w:type="dxa"/>
        <w:tblLayout w:type="fixed"/>
        <w:tblCellMar>
          <w:top w:w="0" w:type="dxa"/>
          <w:left w:w="0" w:type="dxa"/>
          <w:bottom w:w="0" w:type="dxa"/>
          <w:right w:w="0" w:type="dxa"/>
        </w:tblCellMar>
        <w:tblLook w:val="01E0"/>
      </w:tblPr>
      <w:tblGrid>
        <w:gridCol w:w="1540"/>
        <w:gridCol w:w="1224"/>
        <w:gridCol w:w="788"/>
        <w:gridCol w:w="1211"/>
        <w:gridCol w:w="721"/>
        <w:gridCol w:w="1236"/>
        <w:gridCol w:w="796"/>
        <w:gridCol w:w="1216"/>
        <w:gridCol w:w="694"/>
      </w:tblGrid>
      <w:tr>
        <w:trPr>
          <w:trHeight w:val="285" w:hRule="exact"/>
        </w:trPr>
        <w:tc>
          <w:tcPr>
            <w:tcW w:w="1540" w:type="dxa"/>
            <w:vMerge w:val="restart"/>
            <w:tcBorders>
              <w:top w:val="nil" w:sz="6" w:space="0" w:color="auto"/>
              <w:left w:val="nil" w:sz="6" w:space="0" w:color="auto"/>
              <w:right w:val="nil" w:sz="6" w:space="0" w:color="auto"/>
            </w:tcBorders>
          </w:tcPr>
          <w:p>
            <w:pPr/>
          </w:p>
        </w:tc>
        <w:tc>
          <w:tcPr>
            <w:tcW w:w="1224" w:type="dxa"/>
            <w:tcBorders>
              <w:top w:val="single" w:sz="6" w:space="0" w:color="auto"/>
              <w:left w:val="single" w:sz="6" w:space="0" w:color="auto"/>
              <w:bottom w:val="single" w:sz="6" w:space="0" w:color="auto"/>
              <w:right w:val="single" w:sz="6" w:space="0" w:color="auto"/>
            </w:tcBorders>
          </w:tcPr>
          <w:p>
            <w:pP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15"/>
              <w:jc w:val="right"/>
              <w:rPr>
                <w:rFonts w:ascii="宋体" w:hAnsi="宋体" w:cs="宋体" w:eastAsia="宋体" w:hint="default"/>
                <w:sz w:val="18"/>
                <w:szCs w:val="18"/>
              </w:rPr>
            </w:pPr>
            <w:r>
              <w:rPr>
                <w:rFonts w:ascii="宋体" w:hAnsi="宋体" w:cs="宋体" w:eastAsia="宋体" w:hint="default"/>
                <w:sz w:val="18"/>
                <w:szCs w:val="18"/>
              </w:rPr>
              <w:t>比例</w:t>
            </w:r>
          </w:p>
        </w:tc>
        <w:tc>
          <w:tcPr>
            <w:tcW w:w="1211" w:type="dxa"/>
            <w:tcBorders>
              <w:top w:val="nil" w:sz="6" w:space="0" w:color="auto"/>
              <w:left w:val="nil" w:sz="6" w:space="0" w:color="auto"/>
              <w:bottom w:val="nil" w:sz="6" w:space="0" w:color="auto"/>
              <w:right w:val="nil" w:sz="6" w:space="0" w:color="auto"/>
            </w:tcBorders>
          </w:tcPr>
          <w:p>
            <w:pPr/>
          </w:p>
        </w:tc>
        <w:tc>
          <w:tcPr>
            <w:tcW w:w="721"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61"/>
              <w:jc w:val="right"/>
              <w:rPr>
                <w:rFonts w:ascii="宋体" w:hAnsi="宋体" w:cs="宋体" w:eastAsia="宋体" w:hint="default"/>
                <w:sz w:val="18"/>
                <w:szCs w:val="18"/>
              </w:rPr>
            </w:pPr>
            <w:r>
              <w:rPr>
                <w:rFonts w:ascii="宋体" w:hAnsi="宋体" w:cs="宋体" w:eastAsia="宋体" w:hint="default"/>
                <w:sz w:val="18"/>
                <w:szCs w:val="18"/>
              </w:rPr>
              <w:t>比例</w:t>
            </w:r>
          </w:p>
        </w:tc>
        <w:tc>
          <w:tcPr>
            <w:tcW w:w="1236"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10"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216" w:type="dxa"/>
            <w:tcBorders>
              <w:top w:val="nil" w:sz="6" w:space="0" w:color="auto"/>
              <w:left w:val="nil" w:sz="6" w:space="0" w:color="auto"/>
              <w:bottom w:val="nil" w:sz="6" w:space="0" w:color="auto"/>
              <w:right w:val="nil" w:sz="6" w:space="0" w:color="auto"/>
            </w:tcBorders>
          </w:tcPr>
          <w:p>
            <w:pP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475" w:hRule="exact"/>
        </w:trPr>
        <w:tc>
          <w:tcPr>
            <w:tcW w:w="1540" w:type="dxa"/>
            <w:vMerge/>
            <w:tcBorders>
              <w:left w:val="nil" w:sz="6" w:space="0" w:color="auto"/>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nil" w:sz="6" w:space="0" w:color="auto"/>
            </w:tcBorders>
          </w:tcPr>
          <w:p>
            <w:pPr>
              <w:pStyle w:val="TableParagraph"/>
              <w:spacing w:line="180" w:lineRule="exact"/>
              <w:ind w:left="5"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41"/>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11" w:type="dxa"/>
            <w:tcBorders>
              <w:top w:val="nil" w:sz="6" w:space="0" w:color="auto"/>
              <w:left w:val="nil" w:sz="6" w:space="0" w:color="auto"/>
              <w:bottom w:val="nil" w:sz="6" w:space="0" w:color="auto"/>
              <w:right w:val="nil" w:sz="6" w:space="0" w:color="auto"/>
            </w:tcBorders>
          </w:tcPr>
          <w:p>
            <w:pPr>
              <w:pStyle w:val="TableParagraph"/>
              <w:spacing w:line="180" w:lineRule="exact"/>
              <w:ind w:right="17"/>
              <w:jc w:val="center"/>
              <w:rPr>
                <w:rFonts w:ascii="宋体" w:hAnsi="宋体" w:cs="宋体" w:eastAsia="宋体" w:hint="default"/>
                <w:sz w:val="18"/>
                <w:szCs w:val="18"/>
              </w:rPr>
            </w:pPr>
            <w:r>
              <w:rPr>
                <w:rFonts w:ascii="宋体" w:hAnsi="宋体" w:cs="宋体" w:eastAsia="宋体" w:hint="default"/>
                <w:sz w:val="18"/>
                <w:szCs w:val="18"/>
              </w:rPr>
              <w:t>金额</w:t>
            </w:r>
          </w:p>
        </w:tc>
        <w:tc>
          <w:tcPr>
            <w:tcW w:w="721"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87"/>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36" w:type="dxa"/>
            <w:tcBorders>
              <w:top w:val="nil" w:sz="6" w:space="0" w:color="auto"/>
              <w:left w:val="nil" w:sz="6" w:space="0" w:color="auto"/>
              <w:bottom w:val="nil" w:sz="6" w:space="0" w:color="auto"/>
              <w:right w:val="nil" w:sz="6" w:space="0" w:color="auto"/>
            </w:tcBorders>
          </w:tcPr>
          <w:p>
            <w:pPr>
              <w:pStyle w:val="TableParagraph"/>
              <w:spacing w:line="180" w:lineRule="exact"/>
              <w:ind w:left="4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48"/>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16" w:type="dxa"/>
            <w:tcBorders>
              <w:top w:val="nil" w:sz="6" w:space="0" w:color="auto"/>
              <w:left w:val="nil" w:sz="6" w:space="0" w:color="auto"/>
              <w:bottom w:val="nil" w:sz="6" w:space="0" w:color="auto"/>
              <w:right w:val="nil" w:sz="6" w:space="0" w:color="auto"/>
            </w:tcBorders>
          </w:tcPr>
          <w:p>
            <w:pPr>
              <w:pStyle w:val="TableParagraph"/>
              <w:spacing w:line="180" w:lineRule="exact"/>
              <w:ind w:right="22"/>
              <w:jc w:val="center"/>
              <w:rPr>
                <w:rFonts w:ascii="宋体" w:hAnsi="宋体" w:cs="宋体" w:eastAsia="宋体" w:hint="default"/>
                <w:sz w:val="18"/>
                <w:szCs w:val="18"/>
              </w:rPr>
            </w:pPr>
            <w:r>
              <w:rPr>
                <w:rFonts w:ascii="宋体" w:hAnsi="宋体" w:cs="宋体" w:eastAsia="宋体" w:hint="default"/>
                <w:sz w:val="18"/>
                <w:szCs w:val="18"/>
              </w:rPr>
              <w:t>金额</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61"/>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85" w:hRule="exact"/>
        </w:trPr>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年以</w:t>
            </w:r>
            <w:r>
              <w:rPr>
                <w:rFonts w:ascii="宋体" w:hAnsi="宋体" w:cs="宋体" w:eastAsia="宋体" w:hint="default"/>
                <w:spacing w:val="-90"/>
                <w:sz w:val="18"/>
                <w:szCs w:val="18"/>
              </w:rPr>
              <w:t>内</w:t>
            </w:r>
            <w:r>
              <w:rPr>
                <w:rFonts w:ascii="宋体" w:hAnsi="宋体" w:cs="宋体" w:eastAsia="宋体" w:hint="default"/>
                <w:sz w:val="18"/>
                <w:szCs w:val="18"/>
              </w:rPr>
              <w:t>（含</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9"/>
              <w:jc w:val="right"/>
              <w:rPr>
                <w:rFonts w:ascii="Times New Roman" w:hAnsi="Times New Roman" w:cs="Times New Roman" w:eastAsia="Times New Roman" w:hint="default"/>
                <w:sz w:val="18"/>
                <w:szCs w:val="18"/>
              </w:rPr>
            </w:pPr>
            <w:r>
              <w:rPr>
                <w:rFonts w:ascii="Times New Roman"/>
                <w:spacing w:val="-1"/>
                <w:sz w:val="18"/>
              </w:rPr>
              <w:t>24,923,078.97</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9"/>
              <w:jc w:val="right"/>
              <w:rPr>
                <w:rFonts w:ascii="Times New Roman" w:hAnsi="Times New Roman" w:cs="Times New Roman" w:eastAsia="Times New Roman" w:hint="default"/>
                <w:sz w:val="18"/>
                <w:szCs w:val="18"/>
              </w:rPr>
            </w:pPr>
            <w:r>
              <w:rPr>
                <w:rFonts w:ascii="Times New Roman"/>
                <w:sz w:val="18"/>
              </w:rPr>
              <w:t>93.07</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9"/>
              <w:jc w:val="right"/>
              <w:rPr>
                <w:rFonts w:ascii="Times New Roman" w:hAnsi="Times New Roman" w:cs="Times New Roman" w:eastAsia="Times New Roman" w:hint="default"/>
                <w:sz w:val="18"/>
                <w:szCs w:val="18"/>
              </w:rPr>
            </w:pPr>
            <w:r>
              <w:rPr>
                <w:rFonts w:ascii="Times New Roman"/>
                <w:spacing w:val="-1"/>
                <w:sz w:val="18"/>
              </w:rPr>
              <w:t>1,005,540.14</w:t>
            </w:r>
          </w:p>
        </w:tc>
        <w:tc>
          <w:tcPr>
            <w:tcW w:w="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7"/>
              <w:jc w:val="right"/>
              <w:rPr>
                <w:rFonts w:ascii="Times New Roman" w:hAnsi="Times New Roman" w:cs="Times New Roman" w:eastAsia="Times New Roman" w:hint="default"/>
                <w:sz w:val="18"/>
                <w:szCs w:val="18"/>
              </w:rPr>
            </w:pPr>
            <w:r>
              <w:rPr>
                <w:rFonts w:ascii="Times New Roman"/>
                <w:sz w:val="18"/>
              </w:rPr>
              <w:t>4.03</w:t>
            </w:r>
          </w:p>
        </w:tc>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9"/>
              <w:jc w:val="right"/>
              <w:rPr>
                <w:rFonts w:ascii="Times New Roman" w:hAnsi="Times New Roman" w:cs="Times New Roman" w:eastAsia="Times New Roman" w:hint="default"/>
                <w:sz w:val="18"/>
                <w:szCs w:val="18"/>
              </w:rPr>
            </w:pPr>
            <w:r>
              <w:rPr>
                <w:rFonts w:ascii="Times New Roman"/>
                <w:spacing w:val="-1"/>
                <w:sz w:val="18"/>
              </w:rPr>
              <w:t>51,331,203.78</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86"/>
              <w:jc w:val="right"/>
              <w:rPr>
                <w:rFonts w:ascii="Times New Roman" w:hAnsi="Times New Roman" w:cs="Times New Roman" w:eastAsia="Times New Roman" w:hint="default"/>
                <w:sz w:val="18"/>
                <w:szCs w:val="18"/>
              </w:rPr>
            </w:pPr>
            <w:r>
              <w:rPr>
                <w:rFonts w:ascii="Times New Roman"/>
                <w:sz w:val="18"/>
              </w:rPr>
              <w:t>94.60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8"/>
              <w:jc w:val="right"/>
              <w:rPr>
                <w:rFonts w:ascii="Times New Roman" w:hAnsi="Times New Roman" w:cs="Times New Roman" w:eastAsia="Times New Roman" w:hint="default"/>
                <w:sz w:val="18"/>
                <w:szCs w:val="18"/>
              </w:rPr>
            </w:pPr>
            <w:r>
              <w:rPr>
                <w:rFonts w:ascii="Times New Roman"/>
                <w:spacing w:val="-1"/>
                <w:sz w:val="18"/>
              </w:rPr>
              <w:t>2,309,795.24</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4.50</w:t>
            </w:r>
          </w:p>
        </w:tc>
      </w:tr>
      <w:tr>
        <w:trPr>
          <w:trHeight w:val="384" w:hRule="exact"/>
        </w:trPr>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8"/>
              <w:jc w:val="right"/>
              <w:rPr>
                <w:rFonts w:ascii="Times New Roman" w:hAnsi="Times New Roman" w:cs="Times New Roman" w:eastAsia="Times New Roman" w:hint="default"/>
                <w:sz w:val="18"/>
                <w:szCs w:val="18"/>
              </w:rPr>
            </w:pPr>
            <w:r>
              <w:rPr>
                <w:rFonts w:ascii="Times New Roman"/>
                <w:sz w:val="18"/>
              </w:rPr>
              <w:t>978,984.21</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79"/>
              <w:jc w:val="right"/>
              <w:rPr>
                <w:rFonts w:ascii="Times New Roman" w:hAnsi="Times New Roman" w:cs="Times New Roman" w:eastAsia="Times New Roman" w:hint="default"/>
                <w:sz w:val="18"/>
                <w:szCs w:val="18"/>
              </w:rPr>
            </w:pPr>
            <w:r>
              <w:rPr>
                <w:rFonts w:ascii="Times New Roman"/>
                <w:sz w:val="18"/>
              </w:rPr>
              <w:t>3.65</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9"/>
              <w:jc w:val="right"/>
              <w:rPr>
                <w:rFonts w:ascii="Times New Roman" w:hAnsi="Times New Roman" w:cs="Times New Roman" w:eastAsia="Times New Roman" w:hint="default"/>
                <w:sz w:val="18"/>
                <w:szCs w:val="18"/>
              </w:rPr>
            </w:pPr>
            <w:r>
              <w:rPr>
                <w:rFonts w:ascii="Times New Roman"/>
                <w:sz w:val="18"/>
              </w:rPr>
              <w:t>97,898.42</w:t>
            </w:r>
          </w:p>
        </w:tc>
        <w:tc>
          <w:tcPr>
            <w:tcW w:w="72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26"/>
              <w:jc w:val="right"/>
              <w:rPr>
                <w:rFonts w:ascii="Times New Roman" w:hAnsi="Times New Roman" w:cs="Times New Roman" w:eastAsia="Times New Roman" w:hint="default"/>
                <w:sz w:val="18"/>
                <w:szCs w:val="18"/>
              </w:rPr>
            </w:pPr>
            <w:r>
              <w:rPr>
                <w:rFonts w:ascii="Times New Roman"/>
                <w:sz w:val="18"/>
              </w:rPr>
              <w:t>10.00</w:t>
            </w:r>
          </w:p>
        </w:tc>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9"/>
              <w:jc w:val="right"/>
              <w:rPr>
                <w:rFonts w:ascii="Times New Roman" w:hAnsi="Times New Roman" w:cs="Times New Roman" w:eastAsia="Times New Roman" w:hint="default"/>
                <w:sz w:val="18"/>
                <w:szCs w:val="18"/>
              </w:rPr>
            </w:pPr>
            <w:r>
              <w:rPr>
                <w:rFonts w:ascii="Times New Roman"/>
                <w:spacing w:val="-1"/>
                <w:sz w:val="18"/>
              </w:rPr>
              <w:t>2,273,684.79</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87"/>
              <w:jc w:val="right"/>
              <w:rPr>
                <w:rFonts w:ascii="Times New Roman" w:hAnsi="Times New Roman" w:cs="Times New Roman" w:eastAsia="Times New Roman" w:hint="default"/>
                <w:sz w:val="18"/>
                <w:szCs w:val="18"/>
              </w:rPr>
            </w:pPr>
            <w:r>
              <w:rPr>
                <w:rFonts w:ascii="Times New Roman"/>
                <w:sz w:val="18"/>
              </w:rPr>
              <w:t>4.19</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7"/>
              <w:jc w:val="right"/>
              <w:rPr>
                <w:rFonts w:ascii="Times New Roman" w:hAnsi="Times New Roman" w:cs="Times New Roman" w:eastAsia="Times New Roman" w:hint="default"/>
                <w:sz w:val="18"/>
                <w:szCs w:val="18"/>
              </w:rPr>
            </w:pPr>
            <w:r>
              <w:rPr>
                <w:rFonts w:ascii="Times New Roman"/>
                <w:sz w:val="18"/>
              </w:rPr>
              <w:t>227,368.48</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z w:val="18"/>
              </w:rPr>
              <w:t>10.00</w:t>
            </w:r>
          </w:p>
        </w:tc>
      </w:tr>
      <w:tr>
        <w:trPr>
          <w:trHeight w:val="385" w:hRule="exact"/>
        </w:trPr>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8"/>
              <w:jc w:val="right"/>
              <w:rPr>
                <w:rFonts w:ascii="Times New Roman" w:hAnsi="Times New Roman" w:cs="Times New Roman" w:eastAsia="Times New Roman" w:hint="default"/>
                <w:sz w:val="18"/>
                <w:szCs w:val="18"/>
              </w:rPr>
            </w:pPr>
            <w:r>
              <w:rPr>
                <w:rFonts w:ascii="Times New Roman"/>
                <w:sz w:val="18"/>
              </w:rPr>
              <w:t>219,028.77</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79"/>
              <w:jc w:val="right"/>
              <w:rPr>
                <w:rFonts w:ascii="Times New Roman" w:hAnsi="Times New Roman" w:cs="Times New Roman" w:eastAsia="Times New Roman" w:hint="default"/>
                <w:sz w:val="18"/>
                <w:szCs w:val="18"/>
              </w:rPr>
            </w:pPr>
            <w:r>
              <w:rPr>
                <w:rFonts w:ascii="Times New Roman"/>
                <w:sz w:val="18"/>
              </w:rPr>
              <w:t>0.82</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9"/>
              <w:jc w:val="right"/>
              <w:rPr>
                <w:rFonts w:ascii="Times New Roman" w:hAnsi="Times New Roman" w:cs="Times New Roman" w:eastAsia="Times New Roman" w:hint="default"/>
                <w:sz w:val="18"/>
                <w:szCs w:val="18"/>
              </w:rPr>
            </w:pPr>
            <w:r>
              <w:rPr>
                <w:rFonts w:ascii="Times New Roman"/>
                <w:sz w:val="18"/>
              </w:rPr>
              <w:t>109,514.39</w:t>
            </w:r>
          </w:p>
        </w:tc>
        <w:tc>
          <w:tcPr>
            <w:tcW w:w="72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26"/>
              <w:jc w:val="right"/>
              <w:rPr>
                <w:rFonts w:ascii="Times New Roman" w:hAnsi="Times New Roman" w:cs="Times New Roman" w:eastAsia="Times New Roman" w:hint="default"/>
                <w:sz w:val="18"/>
                <w:szCs w:val="18"/>
              </w:rPr>
            </w:pPr>
            <w:r>
              <w:rPr>
                <w:rFonts w:ascii="Times New Roman"/>
                <w:sz w:val="18"/>
              </w:rPr>
              <w:t>50.00</w:t>
            </w:r>
          </w:p>
        </w:tc>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8"/>
              <w:jc w:val="right"/>
              <w:rPr>
                <w:rFonts w:ascii="Times New Roman" w:hAnsi="Times New Roman" w:cs="Times New Roman" w:eastAsia="Times New Roman" w:hint="default"/>
                <w:sz w:val="18"/>
                <w:szCs w:val="18"/>
              </w:rPr>
            </w:pPr>
            <w:r>
              <w:rPr>
                <w:rFonts w:ascii="Times New Roman"/>
                <w:sz w:val="18"/>
              </w:rPr>
              <w:t>359,418.87</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87"/>
              <w:jc w:val="right"/>
              <w:rPr>
                <w:rFonts w:ascii="Times New Roman" w:hAnsi="Times New Roman" w:cs="Times New Roman" w:eastAsia="Times New Roman" w:hint="default"/>
                <w:sz w:val="18"/>
                <w:szCs w:val="18"/>
              </w:rPr>
            </w:pPr>
            <w:r>
              <w:rPr>
                <w:rFonts w:ascii="Times New Roman"/>
                <w:sz w:val="18"/>
              </w:rPr>
              <w:t>0.66</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7"/>
              <w:jc w:val="right"/>
              <w:rPr>
                <w:rFonts w:ascii="Times New Roman" w:hAnsi="Times New Roman" w:cs="Times New Roman" w:eastAsia="Times New Roman" w:hint="default"/>
                <w:sz w:val="18"/>
                <w:szCs w:val="18"/>
              </w:rPr>
            </w:pPr>
            <w:r>
              <w:rPr>
                <w:rFonts w:ascii="Times New Roman"/>
                <w:sz w:val="18"/>
              </w:rPr>
              <w:t>179,709.44</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z w:val="18"/>
              </w:rPr>
              <w:t>50.00</w:t>
            </w:r>
          </w:p>
        </w:tc>
      </w:tr>
      <w:tr>
        <w:trPr>
          <w:trHeight w:val="385" w:hRule="exact"/>
        </w:trPr>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8"/>
              <w:jc w:val="right"/>
              <w:rPr>
                <w:rFonts w:ascii="Times New Roman" w:hAnsi="Times New Roman" w:cs="Times New Roman" w:eastAsia="Times New Roman" w:hint="default"/>
                <w:sz w:val="18"/>
                <w:szCs w:val="18"/>
              </w:rPr>
            </w:pPr>
            <w:r>
              <w:rPr>
                <w:rFonts w:ascii="Times New Roman"/>
                <w:sz w:val="18"/>
              </w:rPr>
              <w:t>658,137.58</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9"/>
              <w:jc w:val="right"/>
              <w:rPr>
                <w:rFonts w:ascii="Times New Roman" w:hAnsi="Times New Roman" w:cs="Times New Roman" w:eastAsia="Times New Roman" w:hint="default"/>
                <w:sz w:val="18"/>
                <w:szCs w:val="18"/>
              </w:rPr>
            </w:pPr>
            <w:r>
              <w:rPr>
                <w:rFonts w:ascii="Times New Roman"/>
                <w:sz w:val="18"/>
              </w:rPr>
              <w:t>2.46</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9"/>
              <w:jc w:val="right"/>
              <w:rPr>
                <w:rFonts w:ascii="Times New Roman" w:hAnsi="Times New Roman" w:cs="Times New Roman" w:eastAsia="Times New Roman" w:hint="default"/>
                <w:sz w:val="18"/>
                <w:szCs w:val="18"/>
              </w:rPr>
            </w:pPr>
            <w:r>
              <w:rPr>
                <w:rFonts w:ascii="Times New Roman"/>
                <w:sz w:val="18"/>
              </w:rPr>
              <w:t>592,323.82</w:t>
            </w:r>
          </w:p>
        </w:tc>
        <w:tc>
          <w:tcPr>
            <w:tcW w:w="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6"/>
              <w:jc w:val="right"/>
              <w:rPr>
                <w:rFonts w:ascii="Times New Roman" w:hAnsi="Times New Roman" w:cs="Times New Roman" w:eastAsia="Times New Roman" w:hint="default"/>
                <w:sz w:val="18"/>
                <w:szCs w:val="18"/>
              </w:rPr>
            </w:pPr>
            <w:r>
              <w:rPr>
                <w:rFonts w:ascii="Times New Roman"/>
                <w:sz w:val="18"/>
              </w:rPr>
              <w:t>90.00</w:t>
            </w:r>
          </w:p>
        </w:tc>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8"/>
              <w:jc w:val="right"/>
              <w:rPr>
                <w:rFonts w:ascii="Times New Roman" w:hAnsi="Times New Roman" w:cs="Times New Roman" w:eastAsia="Times New Roman" w:hint="default"/>
                <w:sz w:val="18"/>
                <w:szCs w:val="18"/>
              </w:rPr>
            </w:pPr>
            <w:r>
              <w:rPr>
                <w:rFonts w:ascii="Times New Roman"/>
                <w:sz w:val="18"/>
              </w:rPr>
              <w:t>298,718.71</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87"/>
              <w:jc w:val="right"/>
              <w:rPr>
                <w:rFonts w:ascii="Times New Roman" w:hAnsi="Times New Roman" w:cs="Times New Roman" w:eastAsia="Times New Roman" w:hint="default"/>
                <w:sz w:val="18"/>
                <w:szCs w:val="18"/>
              </w:rPr>
            </w:pPr>
            <w:r>
              <w:rPr>
                <w:rFonts w:ascii="Times New Roman"/>
                <w:sz w:val="18"/>
              </w:rPr>
              <w:t>0.55</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7"/>
              <w:jc w:val="right"/>
              <w:rPr>
                <w:rFonts w:ascii="Times New Roman" w:hAnsi="Times New Roman" w:cs="Times New Roman" w:eastAsia="Times New Roman" w:hint="default"/>
                <w:sz w:val="18"/>
                <w:szCs w:val="18"/>
              </w:rPr>
            </w:pPr>
            <w:r>
              <w:rPr>
                <w:rFonts w:ascii="Times New Roman"/>
                <w:sz w:val="18"/>
              </w:rPr>
              <w:t>268,846.84</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90.00</w:t>
            </w:r>
          </w:p>
        </w:tc>
      </w:tr>
      <w:tr>
        <w:trPr>
          <w:trHeight w:val="389" w:hRule="exact"/>
        </w:trPr>
        <w:tc>
          <w:tcPr>
            <w:tcW w:w="1540"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131"/>
              <w:jc w:val="center"/>
              <w:rPr>
                <w:rFonts w:ascii="宋体" w:hAnsi="宋体" w:cs="宋体" w:eastAsia="宋体" w:hint="default"/>
                <w:sz w:val="18"/>
                <w:szCs w:val="18"/>
              </w:rPr>
            </w:pPr>
            <w:r>
              <w:rPr>
                <w:rFonts w:ascii="宋体" w:hAnsi="宋体" w:cs="宋体" w:eastAsia="宋体" w:hint="default"/>
                <w:sz w:val="18"/>
                <w:szCs w:val="18"/>
              </w:rPr>
              <w:t>合计</w:t>
            </w:r>
          </w:p>
        </w:tc>
        <w:tc>
          <w:tcPr>
            <w:tcW w:w="1224"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09"/>
              <w:jc w:val="right"/>
              <w:rPr>
                <w:rFonts w:ascii="Times New Roman" w:hAnsi="Times New Roman" w:cs="Times New Roman" w:eastAsia="Times New Roman" w:hint="default"/>
                <w:sz w:val="18"/>
                <w:szCs w:val="18"/>
              </w:rPr>
            </w:pPr>
            <w:r>
              <w:rPr>
                <w:rFonts w:ascii="Times New Roman"/>
                <w:spacing w:val="-1"/>
                <w:sz w:val="18"/>
              </w:rPr>
              <w:t>26,779,229.53</w:t>
            </w:r>
          </w:p>
        </w:tc>
        <w:tc>
          <w:tcPr>
            <w:tcW w:w="788"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79"/>
              <w:jc w:val="right"/>
              <w:rPr>
                <w:rFonts w:ascii="Times New Roman" w:hAnsi="Times New Roman" w:cs="Times New Roman" w:eastAsia="Times New Roman" w:hint="default"/>
                <w:sz w:val="18"/>
                <w:szCs w:val="18"/>
              </w:rPr>
            </w:pPr>
            <w:r>
              <w:rPr>
                <w:rFonts w:ascii="Times New Roman"/>
                <w:sz w:val="18"/>
              </w:rPr>
              <w:t>100.00</w:t>
            </w:r>
          </w:p>
        </w:tc>
        <w:tc>
          <w:tcPr>
            <w:tcW w:w="1211"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19"/>
              <w:jc w:val="right"/>
              <w:rPr>
                <w:rFonts w:ascii="Times New Roman" w:hAnsi="Times New Roman" w:cs="Times New Roman" w:eastAsia="Times New Roman" w:hint="default"/>
                <w:sz w:val="18"/>
                <w:szCs w:val="18"/>
              </w:rPr>
            </w:pPr>
            <w:r>
              <w:rPr>
                <w:rFonts w:ascii="Times New Roman"/>
                <w:spacing w:val="-1"/>
                <w:sz w:val="18"/>
              </w:rPr>
              <w:t>1,805,276.77</w:t>
            </w:r>
          </w:p>
        </w:tc>
        <w:tc>
          <w:tcPr>
            <w:tcW w:w="721"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27"/>
              <w:jc w:val="right"/>
              <w:rPr>
                <w:rFonts w:ascii="Times New Roman" w:hAnsi="Times New Roman" w:cs="Times New Roman" w:eastAsia="Times New Roman" w:hint="default"/>
                <w:sz w:val="18"/>
                <w:szCs w:val="18"/>
              </w:rPr>
            </w:pPr>
            <w:r>
              <w:rPr>
                <w:rFonts w:ascii="Times New Roman"/>
                <w:sz w:val="18"/>
              </w:rPr>
              <w:t>6.74</w:t>
            </w:r>
          </w:p>
        </w:tc>
        <w:tc>
          <w:tcPr>
            <w:tcW w:w="1236"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09"/>
              <w:jc w:val="right"/>
              <w:rPr>
                <w:rFonts w:ascii="Times New Roman" w:hAnsi="Times New Roman" w:cs="Times New Roman" w:eastAsia="Times New Roman" w:hint="default"/>
                <w:sz w:val="18"/>
                <w:szCs w:val="18"/>
              </w:rPr>
            </w:pPr>
            <w:r>
              <w:rPr>
                <w:rFonts w:ascii="Times New Roman"/>
                <w:spacing w:val="-1"/>
                <w:sz w:val="18"/>
              </w:rPr>
              <w:t>54,263,026.15</w:t>
            </w:r>
          </w:p>
        </w:tc>
        <w:tc>
          <w:tcPr>
            <w:tcW w:w="796"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86"/>
              <w:jc w:val="right"/>
              <w:rPr>
                <w:rFonts w:ascii="Times New Roman" w:hAnsi="Times New Roman" w:cs="Times New Roman" w:eastAsia="Times New Roman" w:hint="default"/>
                <w:sz w:val="18"/>
                <w:szCs w:val="18"/>
              </w:rPr>
            </w:pPr>
            <w:r>
              <w:rPr>
                <w:rFonts w:ascii="Times New Roman"/>
                <w:sz w:val="18"/>
              </w:rPr>
              <w:t>100.00</w:t>
            </w:r>
          </w:p>
        </w:tc>
        <w:tc>
          <w:tcPr>
            <w:tcW w:w="1216"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18"/>
              <w:jc w:val="right"/>
              <w:rPr>
                <w:rFonts w:ascii="Times New Roman" w:hAnsi="Times New Roman" w:cs="Times New Roman" w:eastAsia="Times New Roman" w:hint="default"/>
                <w:sz w:val="18"/>
                <w:szCs w:val="18"/>
              </w:rPr>
            </w:pPr>
            <w:r>
              <w:rPr>
                <w:rFonts w:ascii="Times New Roman"/>
                <w:spacing w:val="-1"/>
                <w:sz w:val="18"/>
              </w:rPr>
              <w:t>2,985,719.99</w:t>
            </w:r>
          </w:p>
        </w:tc>
        <w:tc>
          <w:tcPr>
            <w:tcW w:w="694"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z w:val="18"/>
              </w:rPr>
              <w:t>5.50</w:t>
            </w:r>
          </w:p>
        </w:tc>
      </w:tr>
    </w:tbl>
    <w:p>
      <w:pPr>
        <w:spacing w:line="240" w:lineRule="auto" w:before="8"/>
        <w:rPr>
          <w:rFonts w:ascii="宋体" w:hAnsi="宋体" w:cs="宋体" w:eastAsia="宋体" w:hint="default"/>
          <w:b/>
          <w:bCs/>
          <w:sz w:val="21"/>
          <w:szCs w:val="21"/>
        </w:rPr>
      </w:pPr>
    </w:p>
    <w:p>
      <w:pPr>
        <w:tabs>
          <w:tab w:pos="2399" w:val="left" w:leader="none"/>
        </w:tabs>
        <w:spacing w:before="35"/>
        <w:ind w:left="1705" w:right="0" w:firstLine="0"/>
        <w:jc w:val="left"/>
        <w:rPr>
          <w:rFonts w:ascii="宋体" w:hAnsi="宋体" w:cs="宋体" w:eastAsia="宋体" w:hint="default"/>
          <w:sz w:val="21"/>
          <w:szCs w:val="21"/>
        </w:rPr>
      </w:pPr>
      <w:r>
        <w:rPr/>
        <w:pict>
          <v:shape style="position:absolute;margin-left:246.2397pt;margin-top:57.034378pt;width:70.7pt;height:37.450pt;mso-position-horizontal-relative:page;mso-position-vertical-relative:paragraph;z-index:-819496" type="#_x0000_t202" filled="false" stroked="false">
            <v:textbox inset="0,0,0,0">
              <w:txbxContent>
                <w:p>
                  <w:pPr>
                    <w:spacing w:line="240" w:lineRule="auto" w:before="6"/>
                    <w:rPr>
                      <w:rFonts w:ascii="宋体" w:hAnsi="宋体" w:cs="宋体" w:eastAsia="宋体" w:hint="default"/>
                      <w:b/>
                      <w:bCs/>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其他应收款按种类披露</w:t>
      </w:r>
      <w:r>
        <w:rPr>
          <w:rFonts w:ascii="宋体" w:hAnsi="宋体" w:cs="宋体" w:eastAsia="宋体" w:hint="default"/>
          <w:sz w:val="21"/>
          <w:szCs w:val="21"/>
        </w:rPr>
      </w:r>
    </w:p>
    <w:p>
      <w:pPr>
        <w:spacing w:line="4238" w:lineRule="exact"/>
        <w:ind w:left="117" w:right="0" w:firstLine="0"/>
        <w:rPr>
          <w:rFonts w:ascii="宋体" w:hAnsi="宋体" w:cs="宋体" w:eastAsia="宋体" w:hint="default"/>
          <w:sz w:val="20"/>
          <w:szCs w:val="20"/>
        </w:rPr>
      </w:pPr>
      <w:r>
        <w:rPr>
          <w:rFonts w:ascii="宋体" w:hAnsi="宋体" w:cs="宋体" w:eastAsia="宋体" w:hint="default"/>
          <w:position w:val="-84"/>
          <w:sz w:val="20"/>
          <w:szCs w:val="20"/>
        </w:rPr>
        <w:pict>
          <v:group style="width:520.35pt;height:211.95pt;mso-position-horizontal-relative:char;mso-position-vertical-relative:line" coordorigin="0,0" coordsize="10407,4239">
            <v:group style="position:absolute;left:29;top:15;width:10352;height:2" coordorigin="29,15" coordsize="10352,2">
              <v:shape style="position:absolute;left:29;top:15;width:10352;height:2" coordorigin="29,15" coordsize="10352,0" path="m29,15l10381,15e" filled="false" stroked="true" strokeweight="1.5pt" strokecolor="#000000">
                <v:path arrowok="t"/>
              </v:shape>
              <v:shape style="position:absolute;left:1983;top:1;width:4357;height:432" type="#_x0000_t75" stroked="false">
                <v:imagedata r:id="rId98" o:title=""/>
              </v:shape>
              <v:shape style="position:absolute;left:1993;top:385;width:8414;height:424" type="#_x0000_t75" stroked="false">
                <v:imagedata r:id="rId99" o:title=""/>
              </v:shape>
            </v:group>
            <v:group style="position:absolute;left:4244;top:799;width:1318;height:749" coordorigin="4244,799" coordsize="1318,749">
              <v:shape style="position:absolute;left:4244;top:799;width:1318;height:749" coordorigin="4244,799" coordsize="1318,749" path="m4244,1548l5561,1548,5561,799,4244,799,4244,1548xe" filled="true" fillcolor="#ffffff" stroked="false">
                <v:path arrowok="t"/>
                <v:fill type="solid"/>
              </v:shape>
            </v:group>
            <v:group style="position:absolute;left:4347;top:986;width:1112;height:375" coordorigin="4347,986" coordsize="1112,375">
              <v:shape style="position:absolute;left:4347;top:986;width:1112;height:375" coordorigin="4347,986" coordsize="1112,375" path="m4347,1361l5458,1361,5458,986,4347,986,4347,1361xe" filled="true" fillcolor="#ffffff" stroked="false">
                <v:path arrowok="t"/>
                <v:fill type="solid"/>
              </v:shape>
              <v:shape style="position:absolute;left:1993;top:770;width:8414;height:797" type="#_x0000_t75" stroked="false">
                <v:imagedata r:id="rId100" o:title=""/>
              </v:shape>
            </v:group>
            <v:group style="position:absolute;left:15;top:4223;width:1997;height:2" coordorigin="15,4223" coordsize="1997,2">
              <v:shape style="position:absolute;left:15;top:4223;width:1997;height:2" coordorigin="15,4223" coordsize="1997,0" path="m15,4223l2012,4223e" filled="false" stroked="true" strokeweight="1.5pt" strokecolor="#000000">
                <v:path arrowok="t"/>
              </v:shape>
            </v:group>
            <v:group style="position:absolute;left:2012;top:4223;width:1420;height:2" coordorigin="2012,4223" coordsize="1420,2">
              <v:shape style="position:absolute;left:2012;top:4223;width:1420;height:2" coordorigin="2012,4223" coordsize="1420,0" path="m2012,4223l3431,4223e" filled="false" stroked="true" strokeweight="1.5pt" strokecolor="#000000">
                <v:path arrowok="t"/>
              </v:shape>
            </v:group>
            <v:group style="position:absolute;left:3431;top:4223;width:803;height:2" coordorigin="3431,4223" coordsize="803,2">
              <v:shape style="position:absolute;left:3431;top:4223;width:803;height:2" coordorigin="3431,4223" coordsize="803,0" path="m3431,4223l4234,4223e" filled="false" stroked="true" strokeweight="1.5pt" strokecolor="#000000">
                <v:path arrowok="t"/>
              </v:shape>
            </v:group>
            <v:group style="position:absolute;left:4234;top:4223;width:1328;height:2" coordorigin="4234,4223" coordsize="1328,2">
              <v:shape style="position:absolute;left:4234;top:4223;width:1328;height:2" coordorigin="4234,4223" coordsize="1328,0" path="m4234,4223l5561,4223e" filled="false" stroked="true" strokeweight="1.5pt" strokecolor="#000000">
                <v:path arrowok="t"/>
              </v:shape>
            </v:group>
            <v:group style="position:absolute;left:5561;top:4223;width:741;height:2" coordorigin="5561,4223" coordsize="741,2">
              <v:shape style="position:absolute;left:5561;top:4223;width:741;height:2" coordorigin="5561,4223" coordsize="741,0" path="m5561,4223l6302,4223e" filled="false" stroked="true" strokeweight="1.5pt" strokecolor="#000000">
                <v:path arrowok="t"/>
              </v:shape>
            </v:group>
            <v:group style="position:absolute;left:6302;top:4223;width:30;height:2" coordorigin="6302,4223" coordsize="30,2">
              <v:shape style="position:absolute;left:6302;top:4223;width:30;height:2" coordorigin="6302,4223" coordsize="30,0" path="m6302,4223l6332,4223e" filled="false" stroked="true" strokeweight="1.5pt" strokecolor="#000000">
                <v:path arrowok="t"/>
              </v:shape>
            </v:group>
            <v:group style="position:absolute;left:6332;top:4223;width:1352;height:2" coordorigin="6332,4223" coordsize="1352,2">
              <v:shape style="position:absolute;left:6332;top:4223;width:1352;height:2" coordorigin="6332,4223" coordsize="1352,0" path="m6332,4223l7683,4223e" filled="false" stroked="true" strokeweight="1.5pt" strokecolor="#000000">
                <v:path arrowok="t"/>
              </v:shape>
            </v:group>
            <v:group style="position:absolute;left:7683;top:4223;width:737;height:2" coordorigin="7683,4223" coordsize="737,2">
              <v:shape style="position:absolute;left:7683;top:4223;width:737;height:2" coordorigin="7683,4223" coordsize="737,0" path="m7683,4223l8420,4223e" filled="false" stroked="true" strokeweight="1.5pt" strokecolor="#000000">
                <v:path arrowok="t"/>
              </v:shape>
            </v:group>
            <v:group style="position:absolute;left:8420;top:4223;width:1248;height:2" coordorigin="8420,4223" coordsize="1248,2">
              <v:shape style="position:absolute;left:8420;top:4223;width:1248;height:2" coordorigin="8420,4223" coordsize="1248,0" path="m8420,4223l9668,4223e" filled="false" stroked="true" strokeweight="1.5pt" strokecolor="#000000">
                <v:path arrowok="t"/>
              </v:shape>
              <v:shape style="position:absolute;left:10;top:1529;width:10397;height:2680" type="#_x0000_t75" stroked="false">
                <v:imagedata r:id="rId101" o:title=""/>
              </v:shape>
            </v:group>
            <v:group style="position:absolute;left:9668;top:4223;width:713;height:2" coordorigin="9668,4223" coordsize="713,2">
              <v:shape style="position:absolute;left:9668;top:4223;width:713;height:2" coordorigin="9668,4223" coordsize="713,0" path="m9668,4223l10381,4223e" filled="false" stroked="true" strokeweight="1.5pt" strokecolor="#000000">
                <v:path arrowok="t"/>
              </v:shape>
              <v:shape style="position:absolute;left:3801;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7983;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767;top:5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912;top:5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005;top:5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9043;top:5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843;top:70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种类</w:t>
                      </w:r>
                    </w:p>
                  </w:txbxContent>
                </v:textbox>
                <w10:wrap type="none"/>
              </v:shape>
              <v:shape style="position:absolute;left:5792;top:89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7911;top:89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9881;top:89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2581;top:108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3508;top:1084;width:64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pacing w:val="-13"/>
                          <w:sz w:val="18"/>
                          <w:szCs w:val="18"/>
                        </w:rPr>
                        <w:t>比例（</w:t>
                      </w:r>
                      <w:r>
                        <w:rPr>
                          <w:rFonts w:ascii="Times New Roman" w:hAnsi="Times New Roman" w:cs="Times New Roman" w:eastAsia="Times New Roman" w:hint="default"/>
                          <w:spacing w:val="-13"/>
                          <w:sz w:val="18"/>
                          <w:szCs w:val="18"/>
                        </w:rPr>
                        <w:t>%</w:t>
                      </w:r>
                    </w:p>
                  </w:txbxContent>
                </v:textbox>
                <w10:wrap type="none"/>
              </v:shape>
              <v:shape style="position:absolute;left:4757;top:108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6853;top:108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8903;top:108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5717;top:1271;width:4600;height:190" type="#_x0000_t202" filled="false" stroked="false">
                <v:textbox inset="0,0,0,0">
                  <w:txbxContent>
                    <w:p>
                      <w:pPr>
                        <w:tabs>
                          <w:tab w:pos="2119" w:val="left" w:leader="none"/>
                          <w:tab w:pos="4089"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tab/>
                        <w:t>（</w:t>
                      </w:r>
                      <w:r>
                        <w:rPr>
                          <w:rFonts w:ascii="Times New Roman" w:hAnsi="Times New Roman" w:cs="Times New Roman" w:eastAsia="Times New Roman" w:hint="default"/>
                          <w:sz w:val="18"/>
                          <w:szCs w:val="18"/>
                        </w:rPr>
                        <w:t>%</w:t>
                      </w:r>
                      <w:r>
                        <w:rPr>
                          <w:rFonts w:ascii="宋体" w:hAnsi="宋体" w:cs="宋体" w:eastAsia="宋体" w:hint="default"/>
                          <w:sz w:val="18"/>
                          <w:szCs w:val="18"/>
                        </w:rPr>
                        <w:t>）</w:t>
                        <w:tab/>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39;top:1655;width:5321;height:208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6"/>
                          <w:sz w:val="18"/>
                          <w:szCs w:val="18"/>
                        </w:rPr>
                        <w:t>单项金额重大并单项</w:t>
                      </w:r>
                      <w:r>
                        <w:rPr>
                          <w:rFonts w:ascii="宋体" w:hAnsi="宋体" w:cs="宋体" w:eastAsia="宋体" w:hint="default"/>
                          <w:spacing w:val="-71"/>
                          <w:sz w:val="18"/>
                          <w:szCs w:val="18"/>
                        </w:rPr>
                        <w:t> </w:t>
                      </w:r>
                      <w:r>
                        <w:rPr>
                          <w:rFonts w:ascii="宋体" w:hAnsi="宋体" w:cs="宋体" w:eastAsia="宋体" w:hint="default"/>
                          <w:sz w:val="18"/>
                          <w:szCs w:val="18"/>
                        </w:rPr>
                      </w:r>
                    </w:p>
                    <w:p>
                      <w:pPr>
                        <w:spacing w:line="381" w:lineRule="auto" w:before="139"/>
                        <w:ind w:left="0" w:right="3528" w:firstLine="0"/>
                        <w:jc w:val="left"/>
                        <w:rPr>
                          <w:rFonts w:ascii="宋体" w:hAnsi="宋体" w:cs="宋体" w:eastAsia="宋体" w:hint="default"/>
                          <w:sz w:val="18"/>
                          <w:szCs w:val="18"/>
                        </w:rPr>
                      </w:pPr>
                      <w:r>
                        <w:rPr>
                          <w:rFonts w:ascii="宋体" w:hAnsi="宋体" w:cs="宋体" w:eastAsia="宋体" w:hint="default"/>
                          <w:spacing w:val="16"/>
                          <w:sz w:val="18"/>
                          <w:szCs w:val="18"/>
                        </w:rPr>
                        <w:t>计提坏账准备的其他</w:t>
                      </w:r>
                      <w:r>
                        <w:rPr>
                          <w:rFonts w:ascii="宋体" w:hAnsi="宋体" w:cs="宋体" w:eastAsia="宋体" w:hint="default"/>
                          <w:spacing w:val="-85"/>
                          <w:sz w:val="18"/>
                          <w:szCs w:val="18"/>
                        </w:rPr>
                        <w:t> </w:t>
                      </w:r>
                      <w:r>
                        <w:rPr>
                          <w:rFonts w:ascii="宋体" w:hAnsi="宋体" w:cs="宋体" w:eastAsia="宋体" w:hint="default"/>
                          <w:sz w:val="18"/>
                          <w:szCs w:val="18"/>
                        </w:rPr>
                        <w:t>应收款</w:t>
                      </w:r>
                    </w:p>
                    <w:p>
                      <w:pPr>
                        <w:spacing w:line="381" w:lineRule="auto" w:before="43"/>
                        <w:ind w:left="0" w:right="3528" w:firstLine="0"/>
                        <w:jc w:val="left"/>
                        <w:rPr>
                          <w:rFonts w:ascii="宋体" w:hAnsi="宋体" w:cs="宋体" w:eastAsia="宋体" w:hint="default"/>
                          <w:sz w:val="18"/>
                          <w:szCs w:val="18"/>
                        </w:rPr>
                      </w:pPr>
                      <w:r>
                        <w:rPr>
                          <w:rFonts w:ascii="宋体" w:hAnsi="宋体" w:cs="宋体" w:eastAsia="宋体" w:hint="default"/>
                          <w:spacing w:val="16"/>
                          <w:sz w:val="18"/>
                          <w:szCs w:val="18"/>
                        </w:rPr>
                        <w:t>按组合计提坏账准备</w:t>
                      </w:r>
                      <w:r>
                        <w:rPr>
                          <w:rFonts w:ascii="宋体" w:hAnsi="宋体" w:cs="宋体" w:eastAsia="宋体" w:hint="default"/>
                          <w:spacing w:val="-85"/>
                          <w:sz w:val="18"/>
                          <w:szCs w:val="18"/>
                        </w:rPr>
                        <w:t> </w:t>
                      </w:r>
                      <w:r>
                        <w:rPr>
                          <w:rFonts w:ascii="宋体" w:hAnsi="宋体" w:cs="宋体" w:eastAsia="宋体" w:hint="default"/>
                          <w:sz w:val="18"/>
                          <w:szCs w:val="18"/>
                        </w:rPr>
                        <w:t>的其他应收账款</w:t>
                      </w:r>
                    </w:p>
                    <w:p>
                      <w:pPr>
                        <w:tabs>
                          <w:tab w:pos="2153" w:val="left" w:leader="none"/>
                          <w:tab w:pos="3587" w:val="left" w:leader="none"/>
                          <w:tab w:pos="4375" w:val="left" w:leader="none"/>
                        </w:tabs>
                        <w:spacing w:line="245" w:lineRule="exact" w:before="42"/>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：账龄分析法</w:t>
                        <w:tab/>
                      </w:r>
                      <w:r>
                        <w:rPr>
                          <w:rFonts w:ascii="Times New Roman" w:hAnsi="Times New Roman" w:cs="Times New Roman" w:eastAsia="Times New Roman" w:hint="default"/>
                          <w:spacing w:val="-1"/>
                          <w:sz w:val="18"/>
                          <w:szCs w:val="18"/>
                        </w:rPr>
                        <w:t>21,966,357.65</w:t>
                        <w:tab/>
                      </w:r>
                      <w:r>
                        <w:rPr>
                          <w:rFonts w:ascii="Times New Roman" w:hAnsi="Times New Roman" w:cs="Times New Roman" w:eastAsia="Times New Roman" w:hint="default"/>
                          <w:sz w:val="18"/>
                          <w:szCs w:val="18"/>
                        </w:rPr>
                        <w:t>82.03</w:t>
                        <w:tab/>
                      </w:r>
                      <w:r>
                        <w:rPr>
                          <w:rFonts w:ascii="Times New Roman" w:hAnsi="Times New Roman" w:cs="Times New Roman" w:eastAsia="Times New Roman" w:hint="default"/>
                          <w:spacing w:val="-1"/>
                          <w:sz w:val="18"/>
                          <w:szCs w:val="18"/>
                        </w:rPr>
                        <w:t>1,805,276.77</w:t>
                      </w:r>
                    </w:p>
                  </w:txbxContent>
                </v:textbox>
                <w10:wrap type="none"/>
              </v:shape>
              <v:shape style="position:absolute;left:5885;top:3555;width:4389;height:180" type="#_x0000_t202" filled="false" stroked="false">
                <v:textbox inset="0,0,0,0">
                  <w:txbxContent>
                    <w:p>
                      <w:pPr>
                        <w:tabs>
                          <w:tab w:pos="659" w:val="left" w:leader="none"/>
                          <w:tab w:pos="2026" w:val="left" w:leader="none"/>
                          <w:tab w:pos="2734" w:val="left" w:leader="none"/>
                          <w:tab w:pos="407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8.22</w:t>
                        <w:tab/>
                      </w:r>
                      <w:r>
                        <w:rPr>
                          <w:rFonts w:ascii="Times New Roman"/>
                          <w:spacing w:val="-1"/>
                          <w:sz w:val="18"/>
                        </w:rPr>
                        <w:t>49,849,077.78</w:t>
                        <w:tab/>
                      </w:r>
                      <w:r>
                        <w:rPr>
                          <w:rFonts w:ascii="Times New Roman"/>
                          <w:sz w:val="18"/>
                        </w:rPr>
                        <w:t>91.87</w:t>
                        <w:tab/>
                      </w:r>
                      <w:r>
                        <w:rPr>
                          <w:rFonts w:ascii="Times New Roman"/>
                          <w:spacing w:val="-1"/>
                          <w:sz w:val="18"/>
                        </w:rPr>
                        <w:t>2,985,719.99</w:t>
                        <w:tab/>
                      </w:r>
                      <w:r>
                        <w:rPr>
                          <w:rFonts w:ascii="Times New Roman"/>
                          <w:sz w:val="18"/>
                        </w:rPr>
                        <w:t>5.99</w:t>
                      </w:r>
                    </w:p>
                  </w:txbxContent>
                </v:textbox>
                <w10:wrap type="none"/>
              </v:shape>
              <v:shape style="position:absolute;left:139;top:3931;width:175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：余额百分比法</w:t>
                      </w:r>
                    </w:p>
                  </w:txbxContent>
                </v:textbox>
                <w10:wrap type="none"/>
              </v:shape>
              <v:shape style="position:absolute;left:2383;top:3939;width:1750;height:180" type="#_x0000_t202" filled="false" stroked="false">
                <v:textbox inset="0,0,0,0">
                  <w:txbxContent>
                    <w:p>
                      <w:pPr>
                        <w:tabs>
                          <w:tab w:pos="1343"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4,812,871.88</w:t>
                        <w:tab/>
                      </w:r>
                      <w:r>
                        <w:rPr>
                          <w:rFonts w:ascii="Times New Roman"/>
                          <w:sz w:val="18"/>
                        </w:rPr>
                        <w:t>17.97</w:t>
                      </w:r>
                    </w:p>
                  </w:txbxContent>
                </v:textbox>
                <w10:wrap type="none"/>
              </v:shape>
              <v:shape style="position:absolute;left:6635;top:393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4,413,948.37</w:t>
                      </w:r>
                    </w:p>
                  </w:txbxContent>
                </v:textbox>
                <w10:wrap type="none"/>
              </v:shape>
              <v:shape style="position:absolute;left:8002;top:3939;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8.13</w:t>
                      </w:r>
                    </w:p>
                  </w:txbxContent>
                </v:textbox>
                <w10:wrap type="none"/>
              </v:shape>
            </v:group>
          </v:group>
        </w:pict>
      </w:r>
      <w:r>
        <w:rPr>
          <w:rFonts w:ascii="宋体" w:hAnsi="宋体" w:cs="宋体" w:eastAsia="宋体" w:hint="default"/>
          <w:position w:val="-84"/>
          <w:sz w:val="20"/>
          <w:szCs w:val="20"/>
        </w:rPr>
      </w:r>
    </w:p>
    <w:p>
      <w:pPr>
        <w:spacing w:after="0" w:line="4238" w:lineRule="exact"/>
        <w:rPr>
          <w:rFonts w:ascii="宋体" w:hAnsi="宋体" w:cs="宋体" w:eastAsia="宋体" w:hint="default"/>
          <w:sz w:val="20"/>
          <w:szCs w:val="20"/>
        </w:rPr>
        <w:sectPr>
          <w:pgSz w:w="11910" w:h="16840"/>
          <w:pgMar w:header="877" w:footer="1256" w:top="1100" w:bottom="1440" w:left="660" w:right="620"/>
        </w:sect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tbl>
      <w:tblPr>
        <w:tblW w:w="0" w:type="auto"/>
        <w:jc w:val="left"/>
        <w:tblInd w:w="2374" w:type="dxa"/>
        <w:tblLayout w:type="fixed"/>
        <w:tblCellMar>
          <w:top w:w="0" w:type="dxa"/>
          <w:left w:w="0" w:type="dxa"/>
          <w:bottom w:w="0" w:type="dxa"/>
          <w:right w:w="0" w:type="dxa"/>
        </w:tblCellMar>
        <w:tblLook w:val="01E0"/>
      </w:tblPr>
      <w:tblGrid>
        <w:gridCol w:w="1225"/>
        <w:gridCol w:w="841"/>
        <w:gridCol w:w="1349"/>
        <w:gridCol w:w="701"/>
        <w:gridCol w:w="1328"/>
        <w:gridCol w:w="767"/>
        <w:gridCol w:w="1293"/>
        <w:gridCol w:w="547"/>
      </w:tblGrid>
      <w:tr>
        <w:trPr>
          <w:trHeight w:val="849" w:hRule="exact"/>
        </w:trPr>
        <w:tc>
          <w:tcPr>
            <w:tcW w:w="1225" w:type="dxa"/>
            <w:tcBorders>
              <w:top w:val="nil" w:sz="6" w:space="0" w:color="auto"/>
              <w:left w:val="nil" w:sz="6" w:space="0" w:color="auto"/>
              <w:bottom w:val="nil" w:sz="6" w:space="0" w:color="auto"/>
              <w:right w:val="nil" w:sz="6" w:space="0" w:color="auto"/>
            </w:tcBorders>
          </w:tcPr>
          <w:p>
            <w:pPr>
              <w:pStyle w:val="TableParagraph"/>
              <w:spacing w:line="184" w:lineRule="exact"/>
              <w:ind w:left="35" w:right="0"/>
              <w:jc w:val="left"/>
              <w:rPr>
                <w:rFonts w:ascii="Times New Roman" w:hAnsi="Times New Roman" w:cs="Times New Roman" w:eastAsia="Times New Roman" w:hint="default"/>
                <w:sz w:val="18"/>
                <w:szCs w:val="18"/>
              </w:rPr>
            </w:pPr>
            <w:r>
              <w:rPr>
                <w:rFonts w:ascii="Times New Roman"/>
                <w:sz w:val="18"/>
              </w:rPr>
              <w:t>26,779,229.53</w:t>
            </w:r>
          </w:p>
        </w:tc>
        <w:tc>
          <w:tcPr>
            <w:tcW w:w="841" w:type="dxa"/>
            <w:tcBorders>
              <w:top w:val="nil" w:sz="6" w:space="0" w:color="auto"/>
              <w:left w:val="nil" w:sz="6" w:space="0" w:color="auto"/>
              <w:bottom w:val="nil" w:sz="6" w:space="0" w:color="auto"/>
              <w:right w:val="nil" w:sz="6" w:space="0" w:color="auto"/>
            </w:tcBorders>
          </w:tcPr>
          <w:p>
            <w:pPr>
              <w:pStyle w:val="TableParagraph"/>
              <w:spacing w:line="184" w:lineRule="exact"/>
              <w:ind w:left="154" w:right="0"/>
              <w:jc w:val="left"/>
              <w:rPr>
                <w:rFonts w:ascii="Times New Roman" w:hAnsi="Times New Roman" w:cs="Times New Roman" w:eastAsia="Times New Roman" w:hint="default"/>
                <w:sz w:val="18"/>
                <w:szCs w:val="18"/>
              </w:rPr>
            </w:pPr>
            <w:r>
              <w:rPr>
                <w:rFonts w:ascii="Times New Roman"/>
                <w:sz w:val="18"/>
              </w:rPr>
              <w:t>100.00</w:t>
            </w:r>
          </w:p>
        </w:tc>
        <w:tc>
          <w:tcPr>
            <w:tcW w:w="1349" w:type="dxa"/>
            <w:tcBorders>
              <w:top w:val="nil" w:sz="6" w:space="0" w:color="auto"/>
              <w:left w:val="nil" w:sz="6" w:space="0" w:color="auto"/>
              <w:bottom w:val="nil" w:sz="6" w:space="0" w:color="auto"/>
              <w:right w:val="nil" w:sz="6" w:space="0" w:color="auto"/>
            </w:tcBorders>
          </w:tcPr>
          <w:p>
            <w:pPr>
              <w:pStyle w:val="TableParagraph"/>
              <w:spacing w:line="184" w:lineRule="exact"/>
              <w:ind w:left="190" w:right="0"/>
              <w:jc w:val="left"/>
              <w:rPr>
                <w:rFonts w:ascii="Times New Roman" w:hAnsi="Times New Roman" w:cs="Times New Roman" w:eastAsia="Times New Roman" w:hint="default"/>
                <w:sz w:val="18"/>
                <w:szCs w:val="18"/>
              </w:rPr>
            </w:pPr>
            <w:r>
              <w:rPr>
                <w:rFonts w:ascii="Times New Roman"/>
                <w:sz w:val="18"/>
              </w:rPr>
              <w:t>1,805,276.77</w:t>
            </w:r>
          </w:p>
        </w:tc>
        <w:tc>
          <w:tcPr>
            <w:tcW w:w="701" w:type="dxa"/>
            <w:tcBorders>
              <w:top w:val="nil" w:sz="6" w:space="0" w:color="auto"/>
              <w:left w:val="nil" w:sz="6" w:space="0" w:color="auto"/>
              <w:bottom w:val="nil" w:sz="6" w:space="0" w:color="auto"/>
              <w:right w:val="nil" w:sz="6" w:space="0" w:color="auto"/>
            </w:tcBorders>
          </w:tcPr>
          <w:p>
            <w:pPr>
              <w:pStyle w:val="TableParagraph"/>
              <w:spacing w:line="184" w:lineRule="exact"/>
              <w:ind w:left="40" w:right="0"/>
              <w:jc w:val="center"/>
              <w:rPr>
                <w:rFonts w:ascii="Times New Roman" w:hAnsi="Times New Roman" w:cs="Times New Roman" w:eastAsia="Times New Roman" w:hint="default"/>
                <w:sz w:val="18"/>
                <w:szCs w:val="18"/>
              </w:rPr>
            </w:pPr>
            <w:r>
              <w:rPr>
                <w:rFonts w:ascii="Times New Roman"/>
                <w:sz w:val="18"/>
              </w:rPr>
              <w:t>6.74</w:t>
            </w:r>
          </w:p>
        </w:tc>
        <w:tc>
          <w:tcPr>
            <w:tcW w:w="1328" w:type="dxa"/>
            <w:tcBorders>
              <w:top w:val="nil" w:sz="6" w:space="0" w:color="auto"/>
              <w:left w:val="nil" w:sz="6" w:space="0" w:color="auto"/>
              <w:bottom w:val="nil" w:sz="6" w:space="0" w:color="auto"/>
              <w:right w:val="nil" w:sz="6" w:space="0" w:color="auto"/>
            </w:tcBorders>
          </w:tcPr>
          <w:p>
            <w:pPr>
              <w:pStyle w:val="TableParagraph"/>
              <w:spacing w:line="184" w:lineRule="exact"/>
              <w:ind w:right="118"/>
              <w:jc w:val="right"/>
              <w:rPr>
                <w:rFonts w:ascii="Times New Roman" w:hAnsi="Times New Roman" w:cs="Times New Roman" w:eastAsia="Times New Roman" w:hint="default"/>
                <w:sz w:val="18"/>
                <w:szCs w:val="18"/>
              </w:rPr>
            </w:pPr>
            <w:r>
              <w:rPr>
                <w:rFonts w:ascii="Times New Roman"/>
                <w:spacing w:val="-1"/>
                <w:sz w:val="18"/>
              </w:rPr>
              <w:t>54,263,026.15</w:t>
            </w:r>
          </w:p>
        </w:tc>
        <w:tc>
          <w:tcPr>
            <w:tcW w:w="767" w:type="dxa"/>
            <w:tcBorders>
              <w:top w:val="nil" w:sz="6" w:space="0" w:color="auto"/>
              <w:left w:val="nil" w:sz="6" w:space="0" w:color="auto"/>
              <w:bottom w:val="nil" w:sz="6" w:space="0" w:color="auto"/>
              <w:right w:val="nil" w:sz="6" w:space="0" w:color="auto"/>
            </w:tcBorders>
          </w:tcPr>
          <w:p>
            <w:pPr>
              <w:pStyle w:val="TableParagraph"/>
              <w:spacing w:line="184" w:lineRule="exact"/>
              <w:ind w:left="120" w:right="0"/>
              <w:jc w:val="left"/>
              <w:rPr>
                <w:rFonts w:ascii="Times New Roman" w:hAnsi="Times New Roman" w:cs="Times New Roman" w:eastAsia="Times New Roman" w:hint="default"/>
                <w:sz w:val="18"/>
                <w:szCs w:val="18"/>
              </w:rPr>
            </w:pPr>
            <w:r>
              <w:rPr>
                <w:rFonts w:ascii="Times New Roman"/>
                <w:sz w:val="18"/>
              </w:rPr>
              <w:t>100.00</w:t>
            </w:r>
          </w:p>
        </w:tc>
        <w:tc>
          <w:tcPr>
            <w:tcW w:w="1293" w:type="dxa"/>
            <w:tcBorders>
              <w:top w:val="nil" w:sz="6" w:space="0" w:color="auto"/>
              <w:left w:val="nil" w:sz="6" w:space="0" w:color="auto"/>
              <w:bottom w:val="nil" w:sz="6" w:space="0" w:color="auto"/>
              <w:right w:val="nil" w:sz="6" w:space="0" w:color="auto"/>
            </w:tcBorders>
          </w:tcPr>
          <w:p>
            <w:pPr>
              <w:pStyle w:val="TableParagraph"/>
              <w:spacing w:line="184" w:lineRule="exact"/>
              <w:ind w:left="151" w:right="0"/>
              <w:jc w:val="left"/>
              <w:rPr>
                <w:rFonts w:ascii="Times New Roman" w:hAnsi="Times New Roman" w:cs="Times New Roman" w:eastAsia="Times New Roman" w:hint="default"/>
                <w:sz w:val="18"/>
                <w:szCs w:val="18"/>
              </w:rPr>
            </w:pPr>
            <w:r>
              <w:rPr>
                <w:rFonts w:ascii="Times New Roman"/>
                <w:sz w:val="18"/>
              </w:rPr>
              <w:t>2,985,719.99</w:t>
            </w:r>
          </w:p>
        </w:tc>
        <w:tc>
          <w:tcPr>
            <w:tcW w:w="547"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Times New Roman" w:hAnsi="Times New Roman" w:cs="Times New Roman" w:eastAsia="Times New Roman" w:hint="default"/>
                <w:sz w:val="18"/>
                <w:szCs w:val="18"/>
              </w:rPr>
            </w:pPr>
            <w:r>
              <w:rPr>
                <w:rFonts w:ascii="Times New Roman"/>
                <w:sz w:val="18"/>
              </w:rPr>
              <w:t>5.50</w:t>
            </w:r>
          </w:p>
        </w:tc>
      </w:tr>
      <w:tr>
        <w:trPr>
          <w:trHeight w:val="954" w:hRule="exact"/>
        </w:trPr>
        <w:tc>
          <w:tcPr>
            <w:tcW w:w="12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26,779,229.53</w:t>
            </w:r>
          </w:p>
        </w:tc>
        <w:tc>
          <w:tcPr>
            <w:tcW w:w="8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90" w:right="0"/>
              <w:jc w:val="left"/>
              <w:rPr>
                <w:rFonts w:ascii="Times New Roman" w:hAnsi="Times New Roman" w:cs="Times New Roman" w:eastAsia="Times New Roman" w:hint="default"/>
                <w:sz w:val="18"/>
                <w:szCs w:val="18"/>
              </w:rPr>
            </w:pPr>
            <w:r>
              <w:rPr>
                <w:rFonts w:ascii="Times New Roman"/>
                <w:sz w:val="18"/>
              </w:rPr>
              <w:t>1,805,276.77</w:t>
            </w:r>
          </w:p>
        </w:tc>
        <w:tc>
          <w:tcPr>
            <w:tcW w:w="7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40" w:right="0"/>
              <w:jc w:val="center"/>
              <w:rPr>
                <w:rFonts w:ascii="Times New Roman" w:hAnsi="Times New Roman" w:cs="Times New Roman" w:eastAsia="Times New Roman" w:hint="default"/>
                <w:sz w:val="18"/>
                <w:szCs w:val="18"/>
              </w:rPr>
            </w:pPr>
            <w:r>
              <w:rPr>
                <w:rFonts w:ascii="Times New Roman"/>
                <w:sz w:val="18"/>
              </w:rPr>
              <w:t>6.74</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18"/>
              <w:jc w:val="right"/>
              <w:rPr>
                <w:rFonts w:ascii="Times New Roman" w:hAnsi="Times New Roman" w:cs="Times New Roman" w:eastAsia="Times New Roman" w:hint="default"/>
                <w:sz w:val="18"/>
                <w:szCs w:val="18"/>
              </w:rPr>
            </w:pPr>
            <w:r>
              <w:rPr>
                <w:rFonts w:ascii="Times New Roman"/>
                <w:spacing w:val="-1"/>
                <w:sz w:val="18"/>
              </w:rPr>
              <w:t>54,263,026.15</w:t>
            </w:r>
          </w:p>
        </w:tc>
        <w:tc>
          <w:tcPr>
            <w:tcW w:w="76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100.00</w:t>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51" w:right="0"/>
              <w:jc w:val="left"/>
              <w:rPr>
                <w:rFonts w:ascii="Times New Roman" w:hAnsi="Times New Roman" w:cs="Times New Roman" w:eastAsia="Times New Roman" w:hint="default"/>
                <w:sz w:val="18"/>
                <w:szCs w:val="18"/>
              </w:rPr>
            </w:pPr>
            <w:r>
              <w:rPr>
                <w:rFonts w:ascii="Times New Roman"/>
                <w:sz w:val="18"/>
              </w:rPr>
              <w:t>2,985,719.99</w:t>
            </w:r>
          </w:p>
        </w:tc>
        <w:tc>
          <w:tcPr>
            <w:tcW w:w="5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5.50</w:t>
            </w:r>
          </w:p>
        </w:tc>
      </w:tr>
    </w:tbl>
    <w:p>
      <w:pPr>
        <w:spacing w:line="240" w:lineRule="auto" w:before="7"/>
        <w:rPr>
          <w:rFonts w:ascii="宋体" w:hAnsi="宋体" w:cs="宋体" w:eastAsia="宋体" w:hint="default"/>
          <w:b/>
          <w:bCs/>
          <w:sz w:val="5"/>
          <w:szCs w:val="5"/>
        </w:rPr>
      </w:pPr>
    </w:p>
    <w:p>
      <w:pPr>
        <w:spacing w:before="35"/>
        <w:ind w:left="1857" w:right="0" w:firstLine="0"/>
        <w:jc w:val="left"/>
        <w:rPr>
          <w:rFonts w:ascii="宋体" w:hAnsi="宋体" w:cs="宋体" w:eastAsia="宋体" w:hint="default"/>
          <w:sz w:val="21"/>
          <w:szCs w:val="21"/>
        </w:rPr>
      </w:pPr>
      <w:r>
        <w:rPr/>
        <w:pict>
          <v:group style="position:absolute;margin-left:38.849998pt;margin-top:-100.526001pt;width:520.35pt;height:97.65pt;mso-position-horizontal-relative:page;mso-position-vertical-relative:paragraph;z-index:-818368" coordorigin="777,-2011" coordsize="10407,1953">
            <v:group style="position:absolute;left:806;top:-1996;width:6303;height:2" coordorigin="806,-1996" coordsize="6303,2">
              <v:shape style="position:absolute;left:806;top:-1996;width:6303;height:2" coordorigin="806,-1996" coordsize="6303,0" path="m806,-1996l7109,-1996e" filled="false" stroked="true" strokeweight="1.5pt" strokecolor="#000000">
                <v:path arrowok="t"/>
              </v:shape>
            </v:group>
            <v:group style="position:absolute;left:7109;top:-1996;width:1352;height:2" coordorigin="7109,-1996" coordsize="1352,2">
              <v:shape style="position:absolute;left:7109;top:-1996;width:1352;height:2" coordorigin="7109,-1996" coordsize="1352,0" path="m7109,-1996l8460,-1996e" filled="false" stroked="true" strokeweight="1.5pt" strokecolor="#000000">
                <v:path arrowok="t"/>
              </v:shape>
            </v:group>
            <v:group style="position:absolute;left:8460;top:-1996;width:2698;height:2" coordorigin="8460,-1996" coordsize="2698,2">
              <v:shape style="position:absolute;left:8460;top:-1996;width:2698;height:2" coordorigin="8460,-1996" coordsize="2698,0" path="m8460,-1996l11158,-1996e" filled="false" stroked="true" strokeweight="1.5pt" strokecolor="#000000">
                <v:path arrowok="t"/>
              </v:shape>
              <v:shape style="position:absolute;left:2760;top:-2009;width:7723;height:432" type="#_x0000_t75" stroked="false">
                <v:imagedata r:id="rId102" o:title=""/>
              </v:shape>
            </v:group>
            <v:group style="position:absolute;left:808;top:-1597;width:1980;height:1124" coordorigin="808,-1597" coordsize="1980,1124">
              <v:shape style="position:absolute;left:808;top:-1597;width:1980;height:1124" coordorigin="808,-1597" coordsize="1980,1124" path="m808,-473l2788,-473,2788,-1597,808,-1597,808,-473xe" filled="true" fillcolor="#ffffff" stroked="false">
                <v:path arrowok="t"/>
                <v:fill type="solid"/>
              </v:shape>
            </v:group>
            <v:group style="position:absolute;left:916;top:-1597;width:1770;height:375" coordorigin="916,-1597" coordsize="1770,375">
              <v:shape style="position:absolute;left:916;top:-1597;width:1770;height:375" coordorigin="916,-1597" coordsize="1770,375" path="m916,-1222l2686,-1222,2686,-1597,916,-1597,916,-1222xe" filled="true" fillcolor="#ffffff" stroked="false">
                <v:path arrowok="t"/>
                <v:fill type="solid"/>
              </v:shape>
            </v:group>
            <v:group style="position:absolute;left:916;top:-1222;width:1770;height:375" coordorigin="916,-1222" coordsize="1770,375">
              <v:shape style="position:absolute;left:916;top:-1222;width:1770;height:375" coordorigin="916,-1222" coordsize="1770,375" path="m916,-848l2686,-848,2686,-1222,916,-1222,916,-848xe" filled="true" fillcolor="#ffffff" stroked="false">
                <v:path arrowok="t"/>
                <v:fill type="solid"/>
              </v:shape>
            </v:group>
            <v:group style="position:absolute;left:916;top:-848;width:1770;height:375" coordorigin="916,-848" coordsize="1770,375">
              <v:shape style="position:absolute;left:916;top:-848;width:1770;height:375" coordorigin="916,-848" coordsize="1770,375" path="m916,-473l2686,-473,2686,-848,916,-848,916,-473xe" filled="true" fillcolor="#ffffff" stroked="false">
                <v:path arrowok="t"/>
                <v:fill type="solid"/>
              </v:shape>
            </v:group>
            <v:group style="position:absolute;left:2798;top:-1597;width:1410;height:1124" coordorigin="2798,-1597" coordsize="1410,1124">
              <v:shape style="position:absolute;left:2798;top:-1597;width:1410;height:1124" coordorigin="2798,-1597" coordsize="1410,1124" path="m2798,-473l4208,-473,4208,-1597,2798,-1597,2798,-473xe" filled="true" fillcolor="#ffffff" stroked="false">
                <v:path arrowok="t"/>
                <v:fill type="solid"/>
              </v:shape>
            </v:group>
            <v:group style="position:absolute;left:2900;top:-1191;width:1205;height:312" coordorigin="2900,-1191" coordsize="1205,312">
              <v:shape style="position:absolute;left:2900;top:-1191;width:1205;height:312" coordorigin="2900,-1191" coordsize="1205,312" path="m2900,-879l4105,-879,4105,-1191,2900,-1191,2900,-879xe" filled="true" fillcolor="#ffffff" stroked="false">
                <v:path arrowok="t"/>
                <v:fill type="solid"/>
              </v:shape>
            </v:group>
            <v:group style="position:absolute;left:4218;top:-1597;width:794;height:1124" coordorigin="4218,-1597" coordsize="794,1124">
              <v:shape style="position:absolute;left:4218;top:-1597;width:794;height:1124" coordorigin="4218,-1597" coordsize="794,1124" path="m4218,-473l5011,-473,5011,-1597,4218,-1597,4218,-473xe" filled="true" fillcolor="#ffffff" stroked="false">
                <v:path arrowok="t"/>
                <v:fill type="solid"/>
              </v:shape>
            </v:group>
            <v:group style="position:absolute;left:4321;top:-1191;width:587;height:312" coordorigin="4321,-1191" coordsize="587,312">
              <v:shape style="position:absolute;left:4321;top:-1191;width:587;height:312" coordorigin="4321,-1191" coordsize="587,312" path="m4321,-879l4908,-879,4908,-1191,4321,-1191,4321,-879xe" filled="true" fillcolor="#ffffff" stroked="false">
                <v:path arrowok="t"/>
                <v:fill type="solid"/>
              </v:shape>
            </v:group>
            <v:group style="position:absolute;left:5021;top:-1597;width:1318;height:1124" coordorigin="5021,-1597" coordsize="1318,1124">
              <v:shape style="position:absolute;left:5021;top:-1597;width:1318;height:1124" coordorigin="5021,-1597" coordsize="1318,1124" path="m5021,-473l6338,-473,6338,-1597,5021,-1597,5021,-473xe" filled="true" fillcolor="#ffffff" stroked="false">
                <v:path arrowok="t"/>
                <v:fill type="solid"/>
              </v:shape>
            </v:group>
            <v:group style="position:absolute;left:5124;top:-1191;width:1112;height:312" coordorigin="5124,-1191" coordsize="1112,312">
              <v:shape style="position:absolute;left:5124;top:-1191;width:1112;height:312" coordorigin="5124,-1191" coordsize="1112,312" path="m5124,-879l6235,-879,6235,-1191,5124,-1191,5124,-879xe" filled="true" fillcolor="#ffffff" stroked="false">
                <v:path arrowok="t"/>
                <v:fill type="solid"/>
              </v:shape>
            </v:group>
            <v:group style="position:absolute;left:6348;top:-1597;width:731;height:1124" coordorigin="6348,-1597" coordsize="731,1124">
              <v:shape style="position:absolute;left:6348;top:-1597;width:731;height:1124" coordorigin="6348,-1597" coordsize="731,1124" path="m6348,-473l7079,-473,7079,-1597,6348,-1597,6348,-473xe" filled="true" fillcolor="#ffffff" stroked="false">
                <v:path arrowok="t"/>
                <v:fill type="solid"/>
              </v:shape>
            </v:group>
            <v:group style="position:absolute;left:6451;top:-1191;width:525;height:312" coordorigin="6451,-1191" coordsize="525,312">
              <v:shape style="position:absolute;left:6451;top:-1191;width:525;height:312" coordorigin="6451,-1191" coordsize="525,312" path="m6451,-879l6976,-879,6976,-1191,6451,-1191,6451,-879xe" filled="true" fillcolor="#ffffff" stroked="false">
                <v:path arrowok="t"/>
                <v:fill type="solid"/>
              </v:shape>
            </v:group>
            <v:group style="position:absolute;left:7088;top:-1597;width:1372;height:1124" coordorigin="7088,-1597" coordsize="1372,1124">
              <v:shape style="position:absolute;left:7088;top:-1597;width:1372;height:1124" coordorigin="7088,-1597" coordsize="1372,1124" path="m7088,-473l8460,-473,8460,-1597,7088,-1597,7088,-473xe" filled="true" fillcolor="#ffffff" stroked="false">
                <v:path arrowok="t"/>
                <v:fill type="solid"/>
              </v:shape>
            </v:group>
            <v:group style="position:absolute;left:7192;top:-1191;width:1166;height:312" coordorigin="7192,-1191" coordsize="1166,312">
              <v:shape style="position:absolute;left:7192;top:-1191;width:1166;height:312" coordorigin="7192,-1191" coordsize="1166,312" path="m7192,-879l8357,-879,8357,-1191,7192,-1191,7192,-879xe" filled="true" fillcolor="#ffffff" stroked="false">
                <v:path arrowok="t"/>
                <v:fill type="solid"/>
              </v:shape>
            </v:group>
            <v:group style="position:absolute;left:8470;top:-1597;width:728;height:1124" coordorigin="8470,-1597" coordsize="728,1124">
              <v:shape style="position:absolute;left:8470;top:-1597;width:728;height:1124" coordorigin="8470,-1597" coordsize="728,1124" path="m8470,-473l9197,-473,9197,-1597,8470,-1597,8470,-473xe" filled="true" fillcolor="#ffffff" stroked="false">
                <v:path arrowok="t"/>
                <v:fill type="solid"/>
              </v:shape>
            </v:group>
            <v:group style="position:absolute;left:8573;top:-1191;width:521;height:312" coordorigin="8573,-1191" coordsize="521,312">
              <v:shape style="position:absolute;left:8573;top:-1191;width:521;height:312" coordorigin="8573,-1191" coordsize="521,312" path="m8573,-879l9094,-879,9094,-1191,8573,-1191,8573,-879xe" filled="true" fillcolor="#ffffff" stroked="false">
                <v:path arrowok="t"/>
                <v:fill type="solid"/>
              </v:shape>
            </v:group>
            <v:group style="position:absolute;left:9208;top:-1597;width:1238;height:1124" coordorigin="9208,-1597" coordsize="1238,1124">
              <v:shape style="position:absolute;left:9208;top:-1597;width:1238;height:1124" coordorigin="9208,-1597" coordsize="1238,1124" path="m9208,-473l10445,-473,10445,-1597,9208,-1597,9208,-473xe" filled="true" fillcolor="#ffffff" stroked="false">
                <v:path arrowok="t"/>
                <v:fill type="solid"/>
              </v:shape>
            </v:group>
            <v:group style="position:absolute;left:9310;top:-1191;width:1032;height:312" coordorigin="9310,-1191" coordsize="1032,312">
              <v:shape style="position:absolute;left:9310;top:-1191;width:1032;height:312" coordorigin="9310,-1191" coordsize="1032,312" path="m9310,-879l10342,-879,10342,-1191,9310,-1191,9310,-879xe" filled="true" fillcolor="#ffffff" stroked="false">
                <v:path arrowok="t"/>
                <v:fill type="solid"/>
              </v:shape>
            </v:group>
            <v:group style="position:absolute;left:10456;top:-1597;width:702;height:1124" coordorigin="10456,-1597" coordsize="702,1124">
              <v:shape style="position:absolute;left:10456;top:-1597;width:702;height:1124" coordorigin="10456,-1597" coordsize="702,1124" path="m10456,-473l11158,-473,11158,-1597,10456,-1597,10456,-473xe" filled="true" fillcolor="#ffffff" stroked="false">
                <v:path arrowok="t"/>
                <v:fill type="solid"/>
              </v:shape>
            </v:group>
            <v:group style="position:absolute;left:10558;top:-1191;width:492;height:312" coordorigin="10558,-1191" coordsize="492,312">
              <v:shape style="position:absolute;left:10558;top:-1191;width:492;height:312" coordorigin="10558,-1191" coordsize="492,312" path="m10558,-879l11050,-879,11050,-1191,10558,-1191,10558,-879xe" filled="true" fillcolor="#ffffff" stroked="false">
                <v:path arrowok="t"/>
                <v:fill type="solid"/>
              </v:shape>
            </v:group>
            <v:group style="position:absolute;left:792;top:-73;width:1997;height:2" coordorigin="792,-73" coordsize="1997,2">
              <v:shape style="position:absolute;left:792;top:-73;width:1997;height:2" coordorigin="792,-73" coordsize="1997,0" path="m792,-73l2789,-73e" filled="false" stroked="true" strokeweight="1.5pt" strokecolor="#000000">
                <v:path arrowok="t"/>
              </v:shape>
            </v:group>
            <v:group style="position:absolute;left:2789;top:-73;width:1420;height:2" coordorigin="2789,-73" coordsize="1420,2">
              <v:shape style="position:absolute;left:2789;top:-73;width:1420;height:2" coordorigin="2789,-73" coordsize="1420,0" path="m2789,-73l4208,-73e" filled="false" stroked="true" strokeweight="1.5pt" strokecolor="#000000">
                <v:path arrowok="t"/>
              </v:shape>
            </v:group>
            <v:group style="position:absolute;left:4208;top:-73;width:803;height:2" coordorigin="4208,-73" coordsize="803,2">
              <v:shape style="position:absolute;left:4208;top:-73;width:803;height:2" coordorigin="4208,-73" coordsize="803,0" path="m4208,-73l5011,-73e" filled="false" stroked="true" strokeweight="1.5pt" strokecolor="#000000">
                <v:path arrowok="t"/>
              </v:shape>
            </v:group>
            <v:group style="position:absolute;left:5011;top:-73;width:1328;height:2" coordorigin="5011,-73" coordsize="1328,2">
              <v:shape style="position:absolute;left:5011;top:-73;width:1328;height:2" coordorigin="5011,-73" coordsize="1328,0" path="m5011,-73l6338,-73e" filled="false" stroked="true" strokeweight="1.5pt" strokecolor="#000000">
                <v:path arrowok="t"/>
              </v:shape>
            </v:group>
            <v:group style="position:absolute;left:6338;top:-73;width:741;height:2" coordorigin="6338,-73" coordsize="741,2">
              <v:shape style="position:absolute;left:6338;top:-73;width:741;height:2" coordorigin="6338,-73" coordsize="741,0" path="m6338,-73l7079,-73e" filled="false" stroked="true" strokeweight="1.5pt" strokecolor="#000000">
                <v:path arrowok="t"/>
              </v:shape>
            </v:group>
            <v:group style="position:absolute;left:7079;top:-73;width:30;height:2" coordorigin="7079,-73" coordsize="30,2">
              <v:shape style="position:absolute;left:7079;top:-73;width:30;height:2" coordorigin="7079,-73" coordsize="30,0" path="m7079,-73l7109,-73e" filled="false" stroked="true" strokeweight="1.5pt" strokecolor="#000000">
                <v:path arrowok="t"/>
              </v:shape>
            </v:group>
            <v:group style="position:absolute;left:7109;top:-73;width:1352;height:2" coordorigin="7109,-73" coordsize="1352,2">
              <v:shape style="position:absolute;left:7109;top:-73;width:1352;height:2" coordorigin="7109,-73" coordsize="1352,0" path="m7109,-73l8460,-73e" filled="false" stroked="true" strokeweight="1.5pt" strokecolor="#000000">
                <v:path arrowok="t"/>
              </v:shape>
            </v:group>
            <v:group style="position:absolute;left:8460;top:-73;width:737;height:2" coordorigin="8460,-73" coordsize="737,2">
              <v:shape style="position:absolute;left:8460;top:-73;width:737;height:2" coordorigin="8460,-73" coordsize="737,0" path="m8460,-73l9197,-73e" filled="false" stroked="true" strokeweight="1.5pt" strokecolor="#000000">
                <v:path arrowok="t"/>
              </v:shape>
            </v:group>
            <v:group style="position:absolute;left:9197;top:-73;width:1248;height:2" coordorigin="9197,-73" coordsize="1248,2">
              <v:shape style="position:absolute;left:9197;top:-73;width:1248;height:2" coordorigin="9197,-73" coordsize="1248,0" path="m9197,-73l10445,-73e" filled="false" stroked="true" strokeweight="1.5pt" strokecolor="#000000">
                <v:path arrowok="t"/>
              </v:shape>
              <v:shape style="position:absolute;left:787;top:-1625;width:10397;height:1537" type="#_x0000_t75" stroked="false">
                <v:imagedata r:id="rId103" o:title=""/>
              </v:shape>
            </v:group>
            <v:group style="position:absolute;left:10445;top:-73;width:713;height:2" coordorigin="10445,-73" coordsize="713,2">
              <v:shape style="position:absolute;left:10445;top:-73;width:713;height:2" coordorigin="10445,-73" coordsize="713,0" path="m10445,-73l11158,-73e" filled="false" stroked="true" strokeweight="1.5pt" strokecolor="#000000">
                <v:path arrowok="t"/>
              </v:shape>
              <v:shape style="position:absolute;left:777;top:-2011;width:10407;height:1953" type="#_x0000_t202" filled="false" stroked="false">
                <v:textbox inset="0,0,0,0">
                  <w:txbxContent>
                    <w:p>
                      <w:pPr>
                        <w:spacing w:before="71"/>
                        <w:ind w:left="138" w:right="0" w:firstLine="0"/>
                        <w:jc w:val="both"/>
                        <w:rPr>
                          <w:rFonts w:ascii="宋体" w:hAnsi="宋体" w:cs="宋体" w:eastAsia="宋体" w:hint="default"/>
                          <w:sz w:val="18"/>
                          <w:szCs w:val="18"/>
                        </w:rPr>
                      </w:pPr>
                      <w:r>
                        <w:rPr>
                          <w:rFonts w:ascii="宋体" w:hAnsi="宋体" w:cs="宋体" w:eastAsia="宋体" w:hint="default"/>
                          <w:sz w:val="18"/>
                          <w:szCs w:val="18"/>
                        </w:rPr>
                        <w:t>组合小计</w:t>
                      </w:r>
                    </w:p>
                    <w:p>
                      <w:pPr>
                        <w:spacing w:line="381" w:lineRule="auto" w:before="148"/>
                        <w:ind w:left="138" w:right="8475" w:firstLine="0"/>
                        <w:jc w:val="both"/>
                        <w:rPr>
                          <w:rFonts w:ascii="宋体" w:hAnsi="宋体" w:cs="宋体" w:eastAsia="宋体" w:hint="default"/>
                          <w:sz w:val="18"/>
                          <w:szCs w:val="18"/>
                        </w:rPr>
                      </w:pPr>
                      <w:r>
                        <w:rPr>
                          <w:rFonts w:ascii="宋体" w:hAnsi="宋体" w:cs="宋体" w:eastAsia="宋体" w:hint="default"/>
                          <w:spacing w:val="16"/>
                          <w:sz w:val="18"/>
                          <w:szCs w:val="18"/>
                        </w:rPr>
                        <w:t>单项金额虽不重大但</w:t>
                      </w:r>
                      <w:r>
                        <w:rPr>
                          <w:rFonts w:ascii="宋体" w:hAnsi="宋体" w:cs="宋体" w:eastAsia="宋体" w:hint="default"/>
                          <w:spacing w:val="-85"/>
                          <w:sz w:val="18"/>
                          <w:szCs w:val="18"/>
                        </w:rPr>
                        <w:t> </w:t>
                      </w:r>
                      <w:r>
                        <w:rPr>
                          <w:rFonts w:ascii="宋体" w:hAnsi="宋体" w:cs="宋体" w:eastAsia="宋体" w:hint="default"/>
                          <w:spacing w:val="16"/>
                          <w:sz w:val="18"/>
                          <w:szCs w:val="18"/>
                        </w:rPr>
                        <w:t>单项计提坏账准备的</w:t>
                      </w:r>
                      <w:r>
                        <w:rPr>
                          <w:rFonts w:ascii="宋体" w:hAnsi="宋体" w:cs="宋体" w:eastAsia="宋体" w:hint="default"/>
                          <w:spacing w:val="-85"/>
                          <w:sz w:val="18"/>
                          <w:szCs w:val="18"/>
                        </w:rPr>
                        <w:t> </w:t>
                      </w:r>
                      <w:r>
                        <w:rPr>
                          <w:rFonts w:ascii="宋体" w:hAnsi="宋体" w:cs="宋体" w:eastAsia="宋体" w:hint="default"/>
                          <w:sz w:val="18"/>
                          <w:szCs w:val="18"/>
                        </w:rPr>
                        <w:t>其他应收账款</w:t>
                      </w:r>
                    </w:p>
                    <w:p>
                      <w:pPr>
                        <w:spacing w:before="43"/>
                        <w:ind w:left="843"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rFonts w:ascii="宋体" w:hAnsi="宋体" w:cs="宋体" w:eastAsia="宋体" w:hint="default"/>
          <w:sz w:val="21"/>
          <w:szCs w:val="21"/>
        </w:rPr>
        <w:t>其他应收款种类的说明：详见附注二</w:t>
      </w:r>
      <w:r>
        <w:rPr>
          <w:rFonts w:ascii="宋体" w:hAnsi="宋体" w:cs="宋体" w:eastAsia="宋体" w:hint="default"/>
          <w:spacing w:val="-105"/>
          <w:sz w:val="21"/>
          <w:szCs w:val="21"/>
        </w:rPr>
        <w:t>、</w:t>
      </w:r>
      <w:r>
        <w:rPr>
          <w:rFonts w:ascii="宋体" w:hAnsi="宋体" w:cs="宋体" w:eastAsia="宋体" w:hint="default"/>
          <w:sz w:val="21"/>
          <w:szCs w:val="21"/>
        </w:rPr>
        <w:t>（十</w:t>
      </w:r>
      <w:r>
        <w:rPr>
          <w:rFonts w:ascii="宋体" w:hAnsi="宋体" w:cs="宋体" w:eastAsia="宋体" w:hint="default"/>
          <w:spacing w:val="-105"/>
          <w:sz w:val="21"/>
          <w:szCs w:val="21"/>
        </w:rPr>
        <w:t>）</w:t>
      </w:r>
      <w:r>
        <w:rPr>
          <w:rFonts w:ascii="宋体" w:hAnsi="宋体" w:cs="宋体" w:eastAsia="宋体" w:hint="default"/>
          <w:sz w:val="21"/>
          <w:szCs w:val="21"/>
        </w:rPr>
        <w:t>。</w:t>
      </w:r>
    </w:p>
    <w:p>
      <w:pPr>
        <w:spacing w:before="85"/>
        <w:ind w:left="1857" w:right="0" w:firstLine="0"/>
        <w:jc w:val="left"/>
        <w:rPr>
          <w:rFonts w:ascii="宋体" w:hAnsi="宋体" w:cs="宋体" w:eastAsia="宋体" w:hint="default"/>
          <w:sz w:val="21"/>
          <w:szCs w:val="21"/>
        </w:rPr>
      </w:pPr>
      <w:r>
        <w:rPr/>
        <w:pict>
          <v:group style="position:absolute;margin-left:88.559998pt;margin-top:19.573816pt;width:421.5pt;height:173.5pt;mso-position-horizontal-relative:page;mso-position-vertical-relative:paragraph;z-index:-817936" coordorigin="1771,391" coordsize="8430,3470">
            <v:group style="position:absolute;left:1800;top:406;width:8366;height:2" coordorigin="1800,406" coordsize="8366,2">
              <v:shape style="position:absolute;left:1800;top:406;width:8366;height:2" coordorigin="1800,406" coordsize="8366,0" path="m1800,406l10165,406e" filled="false" stroked="true" strokeweight="1.5pt" strokecolor="#000000">
                <v:path arrowok="t"/>
              </v:shape>
              <v:shape style="position:absolute;left:2760;top:393;width:3653;height:432" type="#_x0000_t75" stroked="false">
                <v:imagedata r:id="rId104" o:title=""/>
              </v:shape>
            </v:group>
            <v:group style="position:absolute;left:4952;top:805;width:104;height:375" coordorigin="4952,805" coordsize="104,375">
              <v:shape style="position:absolute;left:4952;top:805;width:104;height:375" coordorigin="4952,805" coordsize="104,375" path="m4952,1180l5056,1180,5056,805,4952,805,4952,1180xe" filled="true" fillcolor="#ffffff" stroked="false">
                <v:path arrowok="t"/>
                <v:fill type="solid"/>
              </v:shape>
            </v:group>
            <v:group style="position:absolute;left:2798;top:805;width:102;height:375" coordorigin="2798,805" coordsize="102,375">
              <v:shape style="position:absolute;left:2798;top:805;width:102;height:375" coordorigin="2798,805" coordsize="102,375" path="m2798,1180l2900,1180,2900,805,2798,805,2798,1180xe" filled="true" fillcolor="#ffffff" stroked="false">
                <v:path arrowok="t"/>
                <v:fill type="solid"/>
              </v:shape>
            </v:group>
            <v:group style="position:absolute;left:2900;top:805;width:2052;height:375" coordorigin="2900,805" coordsize="2052,375">
              <v:shape style="position:absolute;left:2900;top:805;width:2052;height:375" coordorigin="2900,805" coordsize="2052,375" path="m2900,1180l4952,1180,4952,805,2900,805,2900,1180xe" filled="true" fillcolor="#ffffff" stroked="false">
                <v:path arrowok="t"/>
                <v:fill type="solid"/>
              </v:shape>
            </v:group>
            <v:group style="position:absolute;left:5066;top:805;width:1308;height:1134" coordorigin="5066,805" coordsize="1308,1134">
              <v:shape style="position:absolute;left:5066;top:805;width:1308;height:1134" coordorigin="5066,805" coordsize="1308,1134" path="m5066,1939l6374,1939,6374,805,5066,805,5066,1939xe" filled="true" fillcolor="#ffffff" stroked="false">
                <v:path arrowok="t"/>
                <v:fill type="solid"/>
              </v:shape>
            </v:group>
            <v:group style="position:absolute;left:5168;top:1185;width:1103;height:375" coordorigin="5168,1185" coordsize="1103,375">
              <v:shape style="position:absolute;left:5168;top:1185;width:1103;height:375" coordorigin="5168,1185" coordsize="1103,375" path="m5168,1559l6271,1559,6271,1185,5168,1185,5168,1559xe" filled="true" fillcolor="#ffffff" stroked="false">
                <v:path arrowok="t"/>
                <v:fill type="solid"/>
              </v:shape>
              <v:shape style="position:absolute;left:2760;top:767;width:7441;height:442" type="#_x0000_t75" stroked="false">
                <v:imagedata r:id="rId105" o:title=""/>
              </v:shape>
            </v:group>
            <v:group style="position:absolute;left:2798;top:1191;width:1408;height:749" coordorigin="2798,1191" coordsize="1408,749">
              <v:shape style="position:absolute;left:2798;top:1191;width:1408;height:749" coordorigin="2798,1191" coordsize="1408,749" path="m2798,1939l4206,1939,4206,1191,2798,1191,2798,1939xe" filled="true" fillcolor="#ffffff" stroked="false">
                <v:path arrowok="t"/>
                <v:fill type="solid"/>
              </v:shape>
            </v:group>
            <v:group style="position:absolute;left:2900;top:1378;width:1203;height:375" coordorigin="2900,1378" coordsize="1203,375">
              <v:shape style="position:absolute;left:2900;top:1378;width:1203;height:375" coordorigin="2900,1378" coordsize="1203,375" path="m2900,1752l4103,1752,4103,1378,2900,1378,2900,1752xe" filled="true" fillcolor="#ffffff" stroked="false">
                <v:path arrowok="t"/>
                <v:fill type="solid"/>
              </v:shape>
            </v:group>
            <v:group style="position:absolute;left:4216;top:1191;width:840;height:749" coordorigin="4216,1191" coordsize="840,749">
              <v:shape style="position:absolute;left:4216;top:1191;width:840;height:749" coordorigin="4216,1191" coordsize="840,749" path="m4216,1939l5056,1939,5056,1191,4216,1191,4216,1939xe" filled="true" fillcolor="#ffffff" stroked="false">
                <v:path arrowok="t"/>
                <v:fill type="solid"/>
              </v:shape>
            </v:group>
            <v:group style="position:absolute;left:4319;top:1191;width:634;height:375" coordorigin="4319,1191" coordsize="634,375">
              <v:shape style="position:absolute;left:4319;top:1191;width:634;height:375" coordorigin="4319,1191" coordsize="634,375" path="m4319,1565l4952,1565,4952,1191,4319,1191,4319,1565xe" filled="true" fillcolor="#ffffff" stroked="false">
                <v:path arrowok="t"/>
                <v:fill type="solid"/>
              </v:shape>
            </v:group>
            <v:group style="position:absolute;left:4319;top:1565;width:634;height:375" coordorigin="4319,1565" coordsize="634,375">
              <v:shape style="position:absolute;left:4319;top:1565;width:634;height:375" coordorigin="4319,1565" coordsize="634,375" path="m4319,1939l4952,1939,4952,1565,4319,1565,4319,1939xe" filled="true" fillcolor="#ffffff" stroked="false">
                <v:path arrowok="t"/>
                <v:fill type="solid"/>
              </v:shape>
            </v:group>
            <v:group style="position:absolute;left:6384;top:1191;width:1526;height:749" coordorigin="6384,1191" coordsize="1526,749">
              <v:shape style="position:absolute;left:6384;top:1191;width:1526;height:749" coordorigin="6384,1191" coordsize="1526,749" path="m6384,1939l7909,1939,7909,1191,6384,1191,6384,1939xe" filled="true" fillcolor="#ffffff" stroked="false">
                <v:path arrowok="t"/>
                <v:fill type="solid"/>
              </v:shape>
            </v:group>
            <v:group style="position:absolute;left:6487;top:1378;width:1319;height:375" coordorigin="6487,1378" coordsize="1319,375">
              <v:shape style="position:absolute;left:6487;top:1378;width:1319;height:375" coordorigin="6487,1378" coordsize="1319,375" path="m6487,1752l7806,1752,7806,1378,6487,1378,6487,1752xe" filled="true" fillcolor="#ffffff" stroked="false">
                <v:path arrowok="t"/>
                <v:fill type="solid"/>
              </v:shape>
            </v:group>
            <v:group style="position:absolute;left:7919;top:1191;width:824;height:749" coordorigin="7919,1191" coordsize="824,749">
              <v:shape style="position:absolute;left:7919;top:1191;width:824;height:749" coordorigin="7919,1191" coordsize="824,749" path="m7919,1939l8742,1939,8742,1191,7919,1191,7919,1939xe" filled="true" fillcolor="#ffffff" stroked="false">
                <v:path arrowok="t"/>
                <v:fill type="solid"/>
              </v:shape>
            </v:group>
            <v:group style="position:absolute;left:8022;top:1191;width:617;height:375" coordorigin="8022,1191" coordsize="617,375">
              <v:shape style="position:absolute;left:8022;top:1191;width:617;height:375" coordorigin="8022,1191" coordsize="617,375" path="m8022,1565l8639,1565,8639,1191,8022,1191,8022,1565xe" filled="true" fillcolor="#ffffff" stroked="false">
                <v:path arrowok="t"/>
                <v:fill type="solid"/>
              </v:shape>
            </v:group>
            <v:group style="position:absolute;left:8022;top:1565;width:617;height:375" coordorigin="8022,1565" coordsize="617,375">
              <v:shape style="position:absolute;left:8022;top:1565;width:617;height:375" coordorigin="8022,1565" coordsize="617,375" path="m8022,1939l8639,1939,8639,1565,8022,1565,8022,1939xe" filled="true" fillcolor="#ffffff" stroked="false">
                <v:path arrowok="t"/>
                <v:fill type="solid"/>
              </v:shape>
              <v:shape style="position:absolute;left:2760;top:1151;width:6020;height:817" type="#_x0000_t75" stroked="false">
                <v:imagedata r:id="rId106" o:title=""/>
              </v:shape>
            </v:group>
            <v:group style="position:absolute;left:1800;top:1949;width:108;height:375" coordorigin="1800,1949" coordsize="108,375">
              <v:shape style="position:absolute;left:1800;top:1949;width:108;height:375" coordorigin="1800,1949" coordsize="108,375" path="m1800,2323l1908,2323,1908,1949,1800,1949,1800,2323xe" filled="true" fillcolor="#ffffff" stroked="false">
                <v:path arrowok="t"/>
                <v:fill type="solid"/>
              </v:shape>
            </v:group>
            <v:group style="position:absolute;left:2798;top:1949;width:1408;height:375" coordorigin="2798,1949" coordsize="1408,375">
              <v:shape style="position:absolute;left:2798;top:1949;width:1408;height:375" coordorigin="2798,1949" coordsize="1408,375" path="m2798,2323l4206,2323,4206,1949,2798,1949,2798,2323xe" filled="true" fillcolor="#ffffff" stroked="false">
                <v:path arrowok="t"/>
                <v:fill type="solid"/>
              </v:shape>
            </v:group>
            <v:group style="position:absolute;left:2900;top:1980;width:1203;height:312" coordorigin="2900,1980" coordsize="1203,312">
              <v:shape style="position:absolute;left:2900;top:1980;width:1203;height:312" coordorigin="2900,1980" coordsize="1203,312" path="m2900,2292l4103,2292,4103,1980,2900,1980,2900,2292xe" filled="true" fillcolor="#ffffff" stroked="false">
                <v:path arrowok="t"/>
                <v:fill type="solid"/>
              </v:shape>
            </v:group>
            <v:group style="position:absolute;left:4216;top:1949;width:840;height:375" coordorigin="4216,1949" coordsize="840,375">
              <v:shape style="position:absolute;left:4216;top:1949;width:840;height:375" coordorigin="4216,1949" coordsize="840,375" path="m4216,2323l5056,2323,5056,1949,4216,1949,4216,2323xe" filled="true" fillcolor="#ffffff" stroked="false">
                <v:path arrowok="t"/>
                <v:fill type="solid"/>
              </v:shape>
            </v:group>
            <v:group style="position:absolute;left:4319;top:1980;width:634;height:312" coordorigin="4319,1980" coordsize="634,312">
              <v:shape style="position:absolute;left:4319;top:1980;width:634;height:312" coordorigin="4319,1980" coordsize="634,312" path="m4319,2292l4952,2292,4952,1980,4319,1980,4319,2292xe" filled="true" fillcolor="#ffffff" stroked="false">
                <v:path arrowok="t"/>
                <v:fill type="solid"/>
              </v:shape>
            </v:group>
            <v:group style="position:absolute;left:5066;top:1949;width:1308;height:375" coordorigin="5066,1949" coordsize="1308,375">
              <v:shape style="position:absolute;left:5066;top:1949;width:1308;height:375" coordorigin="5066,1949" coordsize="1308,375" path="m5066,2323l6374,2323,6374,1949,5066,1949,5066,2323xe" filled="true" fillcolor="#ffffff" stroked="false">
                <v:path arrowok="t"/>
                <v:fill type="solid"/>
              </v:shape>
            </v:group>
            <v:group style="position:absolute;left:5168;top:1980;width:1103;height:312" coordorigin="5168,1980" coordsize="1103,312">
              <v:shape style="position:absolute;left:5168;top:1980;width:1103;height:312" coordorigin="5168,1980" coordsize="1103,312" path="m5168,2292l6271,2292,6271,1980,5168,1980,5168,2292xe" filled="true" fillcolor="#ffffff" stroked="false">
                <v:path arrowok="t"/>
                <v:fill type="solid"/>
              </v:shape>
            </v:group>
            <v:group style="position:absolute;left:6384;top:1949;width:1526;height:375" coordorigin="6384,1949" coordsize="1526,375">
              <v:shape style="position:absolute;left:6384;top:1949;width:1526;height:375" coordorigin="6384,1949" coordsize="1526,375" path="m6384,2323l7909,2323,7909,1949,6384,1949,6384,2323xe" filled="true" fillcolor="#ffffff" stroked="false">
                <v:path arrowok="t"/>
                <v:fill type="solid"/>
              </v:shape>
            </v:group>
            <v:group style="position:absolute;left:6487;top:1980;width:1319;height:312" coordorigin="6487,1980" coordsize="1319,312">
              <v:shape style="position:absolute;left:6487;top:1980;width:1319;height:312" coordorigin="6487,1980" coordsize="1319,312" path="m6487,2292l7806,2292,7806,1980,6487,1980,6487,2292xe" filled="true" fillcolor="#ffffff" stroked="false">
                <v:path arrowok="t"/>
                <v:fill type="solid"/>
              </v:shape>
            </v:group>
            <v:group style="position:absolute;left:7919;top:1949;width:824;height:375" coordorigin="7919,1949" coordsize="824,375">
              <v:shape style="position:absolute;left:7919;top:1949;width:824;height:375" coordorigin="7919,1949" coordsize="824,375" path="m7919,2323l8742,2323,8742,1949,7919,1949,7919,2323xe" filled="true" fillcolor="#ffffff" stroked="false">
                <v:path arrowok="t"/>
                <v:fill type="solid"/>
              </v:shape>
            </v:group>
            <v:group style="position:absolute;left:8022;top:1980;width:617;height:312" coordorigin="8022,1980" coordsize="617,312">
              <v:shape style="position:absolute;left:8022;top:1980;width:617;height:312" coordorigin="8022,1980" coordsize="617,312" path="m8022,2292l8639,2292,8639,1980,8022,1980,8022,2292xe" filled="true" fillcolor="#ffffff" stroked="false">
                <v:path arrowok="t"/>
                <v:fill type="solid"/>
              </v:shape>
            </v:group>
            <v:group style="position:absolute;left:8752;top:1949;width:1414;height:375" coordorigin="8752,1949" coordsize="1414,375">
              <v:shape style="position:absolute;left:8752;top:1949;width:1414;height:375" coordorigin="8752,1949" coordsize="1414,375" path="m8752,2323l10165,2323,10165,1949,8752,1949,8752,2323xe" filled="true" fillcolor="#ffffff" stroked="false">
                <v:path arrowok="t"/>
                <v:fill type="solid"/>
              </v:shape>
            </v:group>
            <v:group style="position:absolute;left:8855;top:1980;width:1203;height:312" coordorigin="8855,1980" coordsize="1203,312">
              <v:shape style="position:absolute;left:8855;top:1980;width:1203;height:312" coordorigin="8855,1980" coordsize="1203,312" path="m8855,2292l10057,2292,10057,1980,8855,1980,8855,2292xe" filled="true" fillcolor="#ffffff" stroked="false">
                <v:path arrowok="t"/>
                <v:fill type="solid"/>
              </v:shape>
              <v:shape style="position:absolute;left:1771;top:1911;width:8430;height:442" type="#_x0000_t75" stroked="false">
                <v:imagedata r:id="rId107" o:title=""/>
              </v:shape>
            </v:group>
            <v:group style="position:absolute;left:2686;top:2333;width:102;height:375" coordorigin="2686,2333" coordsize="102,375">
              <v:shape style="position:absolute;left:2686;top:2333;width:102;height:375" coordorigin="2686,2333" coordsize="102,375" path="m2686,2707l2788,2707,2788,2333,2686,2333,2686,2707xe" filled="true" fillcolor="#ffffff" stroked="false">
                <v:path arrowok="t"/>
                <v:fill type="solid"/>
              </v:shape>
            </v:group>
            <v:group style="position:absolute;left:1800;top:2333;width:108;height:375" coordorigin="1800,2333" coordsize="108,375">
              <v:shape style="position:absolute;left:1800;top:2333;width:108;height:375" coordorigin="1800,2333" coordsize="108,375" path="m1800,2707l1908,2707,1908,2333,1800,2333,1800,2707xe" filled="true" fillcolor="#ffffff" stroked="false">
                <v:path arrowok="t"/>
                <v:fill type="solid"/>
              </v:shape>
            </v:group>
            <v:group style="position:absolute;left:1908;top:2333;width:778;height:375" coordorigin="1908,2333" coordsize="778,375">
              <v:shape style="position:absolute;left:1908;top:2333;width:778;height:375" coordorigin="1908,2333" coordsize="778,375" path="m1908,2707l2686,2707,2686,2333,1908,2333,1908,2707xe" filled="true" fillcolor="#ffffff" stroked="false">
                <v:path arrowok="t"/>
                <v:fill type="solid"/>
              </v:shape>
            </v:group>
            <v:group style="position:absolute;left:2798;top:2333;width:1408;height:375" coordorigin="2798,2333" coordsize="1408,375">
              <v:shape style="position:absolute;left:2798;top:2333;width:1408;height:375" coordorigin="2798,2333" coordsize="1408,375" path="m2798,2707l4206,2707,4206,2333,2798,2333,2798,2707xe" filled="true" fillcolor="#ffffff" stroked="false">
                <v:path arrowok="t"/>
                <v:fill type="solid"/>
              </v:shape>
            </v:group>
            <v:group style="position:absolute;left:2900;top:2364;width:1203;height:312" coordorigin="2900,2364" coordsize="1203,312">
              <v:shape style="position:absolute;left:2900;top:2364;width:1203;height:312" coordorigin="2900,2364" coordsize="1203,312" path="m2900,2676l4103,2676,4103,2364,2900,2364,2900,2676xe" filled="true" fillcolor="#ffffff" stroked="false">
                <v:path arrowok="t"/>
                <v:fill type="solid"/>
              </v:shape>
            </v:group>
            <v:group style="position:absolute;left:4216;top:2333;width:840;height:375" coordorigin="4216,2333" coordsize="840,375">
              <v:shape style="position:absolute;left:4216;top:2333;width:840;height:375" coordorigin="4216,2333" coordsize="840,375" path="m4216,2707l5056,2707,5056,2333,4216,2333,4216,2707xe" filled="true" fillcolor="#ffffff" stroked="false">
                <v:path arrowok="t"/>
                <v:fill type="solid"/>
              </v:shape>
            </v:group>
            <v:group style="position:absolute;left:4319;top:2364;width:634;height:312" coordorigin="4319,2364" coordsize="634,312">
              <v:shape style="position:absolute;left:4319;top:2364;width:634;height:312" coordorigin="4319,2364" coordsize="634,312" path="m4319,2676l4952,2676,4952,2364,4319,2364,4319,2676xe" filled="true" fillcolor="#ffffff" stroked="false">
                <v:path arrowok="t"/>
                <v:fill type="solid"/>
              </v:shape>
            </v:group>
            <v:group style="position:absolute;left:5066;top:2333;width:1308;height:375" coordorigin="5066,2333" coordsize="1308,375">
              <v:shape style="position:absolute;left:5066;top:2333;width:1308;height:375" coordorigin="5066,2333" coordsize="1308,375" path="m5066,2707l6374,2707,6374,2333,5066,2333,5066,2707xe" filled="true" fillcolor="#ffffff" stroked="false">
                <v:path arrowok="t"/>
                <v:fill type="solid"/>
              </v:shape>
            </v:group>
            <v:group style="position:absolute;left:5168;top:2364;width:1103;height:312" coordorigin="5168,2364" coordsize="1103,312">
              <v:shape style="position:absolute;left:5168;top:2364;width:1103;height:312" coordorigin="5168,2364" coordsize="1103,312" path="m5168,2676l6271,2676,6271,2364,5168,2364,5168,2676xe" filled="true" fillcolor="#ffffff" stroked="false">
                <v:path arrowok="t"/>
                <v:fill type="solid"/>
              </v:shape>
            </v:group>
            <v:group style="position:absolute;left:6384;top:2333;width:1526;height:375" coordorigin="6384,2333" coordsize="1526,375">
              <v:shape style="position:absolute;left:6384;top:2333;width:1526;height:375" coordorigin="6384,2333" coordsize="1526,375" path="m6384,2707l7909,2707,7909,2333,6384,2333,6384,2707xe" filled="true" fillcolor="#ffffff" stroked="false">
                <v:path arrowok="t"/>
                <v:fill type="solid"/>
              </v:shape>
            </v:group>
            <v:group style="position:absolute;left:6487;top:2364;width:1319;height:312" coordorigin="6487,2364" coordsize="1319,312">
              <v:shape style="position:absolute;left:6487;top:2364;width:1319;height:312" coordorigin="6487,2364" coordsize="1319,312" path="m6487,2676l7806,2676,7806,2364,6487,2364,6487,2676xe" filled="true" fillcolor="#ffffff" stroked="false">
                <v:path arrowok="t"/>
                <v:fill type="solid"/>
              </v:shape>
            </v:group>
            <v:group style="position:absolute;left:7919;top:2333;width:824;height:375" coordorigin="7919,2333" coordsize="824,375">
              <v:shape style="position:absolute;left:7919;top:2333;width:824;height:375" coordorigin="7919,2333" coordsize="824,375" path="m7919,2707l8742,2707,8742,2333,7919,2333,7919,2707xe" filled="true" fillcolor="#ffffff" stroked="false">
                <v:path arrowok="t"/>
                <v:fill type="solid"/>
              </v:shape>
            </v:group>
            <v:group style="position:absolute;left:8022;top:2364;width:617;height:312" coordorigin="8022,2364" coordsize="617,312">
              <v:shape style="position:absolute;left:8022;top:2364;width:617;height:312" coordorigin="8022,2364" coordsize="617,312" path="m8022,2676l8639,2676,8639,2364,8022,2364,8022,2676xe" filled="true" fillcolor="#ffffff" stroked="false">
                <v:path arrowok="t"/>
                <v:fill type="solid"/>
              </v:shape>
            </v:group>
            <v:group style="position:absolute;left:8752;top:2333;width:1414;height:375" coordorigin="8752,2333" coordsize="1414,375">
              <v:shape style="position:absolute;left:8752;top:2333;width:1414;height:375" coordorigin="8752,2333" coordsize="1414,375" path="m8752,2707l10165,2707,10165,2333,8752,2333,8752,2707xe" filled="true" fillcolor="#ffffff" stroked="false">
                <v:path arrowok="t"/>
                <v:fill type="solid"/>
              </v:shape>
            </v:group>
            <v:group style="position:absolute;left:8855;top:2364;width:1203;height:312" coordorigin="8855,2364" coordsize="1203,312">
              <v:shape style="position:absolute;left:8855;top:2364;width:1203;height:312" coordorigin="8855,2364" coordsize="1203,312" path="m8855,2676l10057,2676,10057,2364,8855,2364,8855,2676xe" filled="true" fillcolor="#ffffff" stroked="false">
                <v:path arrowok="t"/>
                <v:fill type="solid"/>
              </v:shape>
              <v:shape style="position:absolute;left:1771;top:2295;width:8430;height:1211" type="#_x0000_t75" stroked="false">
                <v:imagedata r:id="rId108" o:title=""/>
              </v:shape>
            </v:group>
            <v:group style="position:absolute;left:2686;top:3486;width:102;height:375" coordorigin="2686,3486" coordsize="102,375">
              <v:shape style="position:absolute;left:2686;top:3486;width:102;height:375" coordorigin="2686,3486" coordsize="102,375" path="m2686,3861l2788,3861,2788,3486,2686,3486,2686,3861xe" filled="true" fillcolor="#ffffff" stroked="false">
                <v:path arrowok="t"/>
                <v:fill type="solid"/>
              </v:shape>
            </v:group>
            <v:group style="position:absolute;left:1800;top:3486;width:108;height:375" coordorigin="1800,3486" coordsize="108,375">
              <v:shape style="position:absolute;left:1800;top:3486;width:108;height:375" coordorigin="1800,3486" coordsize="108,375" path="m1800,3861l1908,3861,1908,3486,1800,3486,1800,3861xe" filled="true" fillcolor="#ffffff" stroked="false">
                <v:path arrowok="t"/>
                <v:fill type="solid"/>
              </v:shape>
            </v:group>
            <v:group style="position:absolute;left:1908;top:3486;width:778;height:375" coordorigin="1908,3486" coordsize="778,375">
              <v:shape style="position:absolute;left:1908;top:3486;width:778;height:375" coordorigin="1908,3486" coordsize="778,375" path="m1908,3861l2686,3861,2686,3486,1908,3486,1908,3861xe" filled="true" fillcolor="#ffffff" stroked="false">
                <v:path arrowok="t"/>
                <v:fill type="solid"/>
              </v:shape>
            </v:group>
            <v:group style="position:absolute;left:2798;top:3486;width:1408;height:375" coordorigin="2798,3486" coordsize="1408,375">
              <v:shape style="position:absolute;left:2798;top:3486;width:1408;height:375" coordorigin="2798,3486" coordsize="1408,375" path="m2798,3861l4206,3861,4206,3486,2798,3486,2798,3861xe" filled="true" fillcolor="#ffffff" stroked="false">
                <v:path arrowok="t"/>
                <v:fill type="solid"/>
              </v:shape>
            </v:group>
            <v:group style="position:absolute;left:2900;top:3517;width:1203;height:312" coordorigin="2900,3517" coordsize="1203,312">
              <v:shape style="position:absolute;left:2900;top:3517;width:1203;height:312" coordorigin="2900,3517" coordsize="1203,312" path="m2900,3829l4103,3829,4103,3517,2900,3517,2900,3829xe" filled="true" fillcolor="#ffffff" stroked="false">
                <v:path arrowok="t"/>
                <v:fill type="solid"/>
              </v:shape>
            </v:group>
            <v:group style="position:absolute;left:4216;top:3486;width:840;height:375" coordorigin="4216,3486" coordsize="840,375">
              <v:shape style="position:absolute;left:4216;top:3486;width:840;height:375" coordorigin="4216,3486" coordsize="840,375" path="m4216,3861l5056,3861,5056,3486,4216,3486,4216,3861xe" filled="true" fillcolor="#ffffff" stroked="false">
                <v:path arrowok="t"/>
                <v:fill type="solid"/>
              </v:shape>
            </v:group>
            <v:group style="position:absolute;left:4319;top:3517;width:634;height:312" coordorigin="4319,3517" coordsize="634,312">
              <v:shape style="position:absolute;left:4319;top:3517;width:634;height:312" coordorigin="4319,3517" coordsize="634,312" path="m4319,3829l4952,3829,4952,3517,4319,3517,4319,3829xe" filled="true" fillcolor="#ffffff" stroked="false">
                <v:path arrowok="t"/>
                <v:fill type="solid"/>
              </v:shape>
            </v:group>
            <v:group style="position:absolute;left:5066;top:3486;width:1308;height:375" coordorigin="5066,3486" coordsize="1308,375">
              <v:shape style="position:absolute;left:5066;top:3486;width:1308;height:375" coordorigin="5066,3486" coordsize="1308,375" path="m5066,3861l6374,3861,6374,3486,5066,3486,5066,3861xe" filled="true" fillcolor="#ffffff" stroked="false">
                <v:path arrowok="t"/>
                <v:fill type="solid"/>
              </v:shape>
            </v:group>
            <v:group style="position:absolute;left:5168;top:3517;width:1103;height:312" coordorigin="5168,3517" coordsize="1103,312">
              <v:shape style="position:absolute;left:5168;top:3517;width:1103;height:312" coordorigin="5168,3517" coordsize="1103,312" path="m5168,3829l6271,3829,6271,3517,5168,3517,5168,3829xe" filled="true" fillcolor="#ffffff" stroked="false">
                <v:path arrowok="t"/>
                <v:fill type="solid"/>
              </v:shape>
            </v:group>
            <v:group style="position:absolute;left:6384;top:3486;width:1526;height:375" coordorigin="6384,3486" coordsize="1526,375">
              <v:shape style="position:absolute;left:6384;top:3486;width:1526;height:375" coordorigin="6384,3486" coordsize="1526,375" path="m6384,3861l7909,3861,7909,3486,6384,3486,6384,3861xe" filled="true" fillcolor="#ffffff" stroked="false">
                <v:path arrowok="t"/>
                <v:fill type="solid"/>
              </v:shape>
            </v:group>
            <v:group style="position:absolute;left:6487;top:3517;width:1319;height:312" coordorigin="6487,3517" coordsize="1319,312">
              <v:shape style="position:absolute;left:6487;top:3517;width:1319;height:312" coordorigin="6487,3517" coordsize="1319,312" path="m6487,3829l7806,3829,7806,3517,6487,3517,6487,3829xe" filled="true" fillcolor="#ffffff" stroked="false">
                <v:path arrowok="t"/>
                <v:fill type="solid"/>
              </v:shape>
            </v:group>
            <v:group style="position:absolute;left:7919;top:3486;width:824;height:375" coordorigin="7919,3486" coordsize="824,375">
              <v:shape style="position:absolute;left:7919;top:3486;width:824;height:375" coordorigin="7919,3486" coordsize="824,375" path="m7919,3861l8742,3861,8742,3486,7919,3486,7919,3861xe" filled="true" fillcolor="#ffffff" stroked="false">
                <v:path arrowok="t"/>
                <v:fill type="solid"/>
              </v:shape>
            </v:group>
            <v:group style="position:absolute;left:8022;top:3517;width:617;height:312" coordorigin="8022,3517" coordsize="617,312">
              <v:shape style="position:absolute;left:8022;top:3517;width:617;height:312" coordorigin="8022,3517" coordsize="617,312" path="m8022,3829l8639,3829,8639,3517,8022,3517,8022,3829xe" filled="true" fillcolor="#ffffff" stroked="false">
                <v:path arrowok="t"/>
                <v:fill type="solid"/>
              </v:shape>
            </v:group>
            <v:group style="position:absolute;left:8752;top:3486;width:1414;height:375" coordorigin="8752,3486" coordsize="1414,375">
              <v:shape style="position:absolute;left:8752;top:3486;width:1414;height:375" coordorigin="8752,3486" coordsize="1414,375" path="m8752,3861l10165,3861,10165,3486,8752,3486,8752,3861xe" filled="true" fillcolor="#ffffff" stroked="false">
                <v:path arrowok="t"/>
                <v:fill type="solid"/>
              </v:shape>
            </v:group>
            <v:group style="position:absolute;left:8855;top:3517;width:1203;height:312" coordorigin="8855,3517" coordsize="1203,312">
              <v:shape style="position:absolute;left:8855;top:3517;width:1203;height:312" coordorigin="8855,3517" coordsize="1203,312" path="m8855,3829l10057,3829,10057,3517,8855,3517,8855,3829xe" filled="true" fillcolor="#ffffff" stroked="false">
                <v:path arrowok="t"/>
                <v:fill type="solid"/>
              </v:shape>
              <v:shape style="position:absolute;left:1771;top:3448;width:8411;height:413" type="#_x0000_t75" stroked="false">
                <v:imagedata r:id="rId109" o:title=""/>
              </v:shape>
              <v:shape style="position:absolute;left:4225;top:5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7912;top:5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566;top:90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202;top:90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2117;top:109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5359;top:128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8150;top:128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9096;top:128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6966;top:147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8075;top:1662;width:51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908;top:2046;width:675;height:96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spacing w:before="135"/>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line="245" w:lineRule="exact" w:before="136"/>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3293;top:282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219,028.77</w:t>
                      </w:r>
                    </w:p>
                  </w:txbxContent>
                </v:textbox>
                <w10:wrap type="none"/>
              </v:shape>
              <v:shape style="position:absolute;left:4638;top:2823;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5460;top:282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109,514.39</w:t>
                      </w:r>
                    </w:p>
                  </w:txbxContent>
                </v:textbox>
                <w10:wrap type="none"/>
              </v:shape>
              <v:shape style="position:absolute;left:6996;top:282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359,418.87</w:t>
                      </w:r>
                    </w:p>
                  </w:txbxContent>
                </v:textbox>
                <w10:wrap type="none"/>
              </v:shape>
              <v:shape style="position:absolute;left:8324;top:2823;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0.72</w:t>
                      </w:r>
                    </w:p>
                  </w:txbxContent>
                </v:textbox>
                <w10:wrap type="none"/>
              </v:shape>
              <v:shape style="position:absolute;left:9247;top:282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179,709.44</w:t>
                      </w:r>
                    </w:p>
                  </w:txbxContent>
                </v:textbox>
                <w10:wrap type="none"/>
              </v:shape>
            </v:group>
            <w10:wrap type="none"/>
          </v:group>
        </w:pict>
      </w:r>
      <w:r>
        <w:rPr>
          <w:rFonts w:ascii="宋体" w:hAnsi="宋体" w:cs="宋体" w:eastAsia="宋体" w:hint="default"/>
          <w:sz w:val="21"/>
          <w:szCs w:val="21"/>
        </w:rPr>
        <w:t>组合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中，采用账龄分析法计提坏账准备的其他应收款：</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2"/>
          <w:szCs w:val="12"/>
        </w:rPr>
      </w:pPr>
    </w:p>
    <w:tbl>
      <w:tblPr>
        <w:tblW w:w="0" w:type="auto"/>
        <w:jc w:val="left"/>
        <w:tblInd w:w="2127" w:type="dxa"/>
        <w:tblLayout w:type="fixed"/>
        <w:tblCellMar>
          <w:top w:w="0" w:type="dxa"/>
          <w:left w:w="0" w:type="dxa"/>
          <w:bottom w:w="0" w:type="dxa"/>
          <w:right w:w="0" w:type="dxa"/>
        </w:tblCellMar>
        <w:tblLook w:val="01E0"/>
      </w:tblPr>
      <w:tblGrid>
        <w:gridCol w:w="1418"/>
        <w:gridCol w:w="850"/>
        <w:gridCol w:w="1318"/>
        <w:gridCol w:w="1535"/>
        <w:gridCol w:w="833"/>
        <w:gridCol w:w="1418"/>
      </w:tblGrid>
      <w:tr>
        <w:trPr>
          <w:trHeight w:val="759" w:hRule="exact"/>
        </w:trPr>
        <w:tc>
          <w:tcPr>
            <w:tcW w:w="1418" w:type="dxa"/>
            <w:tcBorders>
              <w:top w:val="nil" w:sz="4" w:space="0" w:color="auto"/>
              <w:left w:val="nil" w:sz="6" w:space="0" w:color="auto"/>
              <w:bottom w:val="nil" w:sz="4" w:space="0" w:color="auto"/>
              <w:right w:val="nil" w:sz="4"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50" w:type="dxa"/>
            <w:tcBorders>
              <w:top w:val="nil" w:sz="4" w:space="0" w:color="auto"/>
              <w:left w:val="nil" w:sz="4" w:space="0" w:color="auto"/>
              <w:bottom w:val="nil" w:sz="4" w:space="0" w:color="auto"/>
              <w:right w:val="nil" w:sz="4" w:space="0" w:color="auto"/>
            </w:tcBorders>
          </w:tcPr>
          <w:p>
            <w:pPr>
              <w:pStyle w:val="TableParagraph"/>
              <w:spacing w:line="240" w:lineRule="auto" w:before="41"/>
              <w:ind w:left="240"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16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18" w:type="dxa"/>
            <w:tcBorders>
              <w:top w:val="single" w:sz="6" w:space="0" w:color="auto"/>
              <w:left w:val="single" w:sz="6" w:space="0" w:color="auto"/>
              <w:bottom w:val="single" w:sz="6" w:space="0" w:color="auto"/>
              <w:right w:val="single" w:sz="6" w:space="0" w:color="auto"/>
            </w:tcBorders>
          </w:tcPr>
          <w:p>
            <w:pPr/>
          </w:p>
        </w:tc>
        <w:tc>
          <w:tcPr>
            <w:tcW w:w="1535" w:type="dxa"/>
            <w:tcBorders>
              <w:top w:val="single" w:sz="6" w:space="0" w:color="auto"/>
              <w:left w:val="single" w:sz="6" w:space="0" w:color="auto"/>
              <w:bottom w:val="single" w:sz="6" w:space="0" w:color="auto"/>
              <w:right w:val="single" w:sz="6" w:space="0" w:color="auto"/>
            </w:tcBorders>
          </w:tcPr>
          <w:p>
            <w:pPr/>
          </w:p>
        </w:tc>
        <w:tc>
          <w:tcPr>
            <w:tcW w:w="833" w:type="dxa"/>
            <w:tcBorders>
              <w:top w:val="single" w:sz="6" w:space="0" w:color="auto"/>
              <w:left w:val="single" w:sz="6" w:space="0" w:color="auto"/>
              <w:bottom w:val="single" w:sz="6" w:space="0" w:color="auto"/>
              <w:right w:val="single" w:sz="6" w:space="0" w:color="auto"/>
            </w:tcBorders>
          </w:tcPr>
          <w:p>
            <w:pPr/>
          </w:p>
        </w:tc>
        <w:tc>
          <w:tcPr>
            <w:tcW w:w="1418" w:type="dxa"/>
            <w:tcBorders>
              <w:top w:val="single" w:sz="6" w:space="0" w:color="auto"/>
              <w:left w:val="single" w:sz="6" w:space="0" w:color="auto"/>
              <w:bottom w:val="single" w:sz="6" w:space="0" w:color="auto"/>
              <w:right w:val="single" w:sz="6" w:space="0" w:color="auto"/>
            </w:tcBorders>
          </w:tcPr>
          <w:p>
            <w:pPr/>
          </w:p>
        </w:tc>
      </w:tr>
      <w:tr>
        <w:trPr>
          <w:trHeight w:val="384" w:hRule="exact"/>
        </w:trPr>
        <w:tc>
          <w:tcPr>
            <w:tcW w:w="1418" w:type="dxa"/>
            <w:tcBorders>
              <w:top w:val="nil" w:sz="4" w:space="0" w:color="auto"/>
              <w:left w:val="single" w:sz="4" w:space="0" w:color="auto"/>
              <w:bottom w:val="nil" w:sz="4" w:space="0" w:color="auto"/>
              <w:right w:val="nil" w:sz="4" w:space="0" w:color="auto"/>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20,110,207.09</w:t>
            </w:r>
          </w:p>
        </w:tc>
        <w:tc>
          <w:tcPr>
            <w:tcW w:w="850" w:type="dxa"/>
            <w:tcBorders>
              <w:top w:val="nil" w:sz="4" w:space="0" w:color="auto"/>
              <w:left w:val="nil" w:sz="4" w:space="0" w:color="auto"/>
              <w:bottom w:val="nil" w:sz="4" w:space="0" w:color="auto"/>
              <w:right w:val="nil" w:sz="4" w:space="0" w:color="auto"/>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sz w:val="18"/>
              </w:rPr>
              <w:t>91.55</w:t>
            </w:r>
          </w:p>
        </w:tc>
        <w:tc>
          <w:tcPr>
            <w:tcW w:w="1318" w:type="dxa"/>
            <w:tcBorders>
              <w:top w:val="nil" w:sz="4" w:space="0" w:color="auto"/>
              <w:left w:val="nil" w:sz="4" w:space="0" w:color="auto"/>
              <w:bottom w:val="nil" w:sz="4" w:space="0" w:color="auto"/>
              <w:right w:val="nil" w:sz="4" w:space="0" w:color="auto"/>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spacing w:val="-1"/>
                <w:sz w:val="18"/>
              </w:rPr>
              <w:t>1,005,540.14</w:t>
            </w:r>
          </w:p>
        </w:tc>
        <w:tc>
          <w:tcPr>
            <w:tcW w:w="1535" w:type="dxa"/>
            <w:tcBorders>
              <w:top w:val="nil" w:sz="4" w:space="0" w:color="auto"/>
              <w:left w:val="nil" w:sz="4" w:space="0" w:color="auto"/>
              <w:bottom w:val="nil" w:sz="4" w:space="0" w:color="auto"/>
              <w:right w:val="nil" w:sz="4" w:space="0" w:color="auto"/>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46,917,255.41</w:t>
            </w:r>
          </w:p>
        </w:tc>
        <w:tc>
          <w:tcPr>
            <w:tcW w:w="833" w:type="dxa"/>
            <w:tcBorders>
              <w:top w:val="nil" w:sz="4" w:space="0" w:color="auto"/>
              <w:left w:val="nil" w:sz="4" w:space="0" w:color="auto"/>
              <w:bottom w:val="nil" w:sz="4" w:space="0" w:color="auto"/>
              <w:right w:val="nil" w:sz="4" w:space="0" w:color="auto"/>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sz w:val="18"/>
              </w:rPr>
              <w:t>94.12</w:t>
            </w:r>
          </w:p>
        </w:tc>
        <w:tc>
          <w:tcPr>
            <w:tcW w:w="1418" w:type="dxa"/>
            <w:tcBorders>
              <w:top w:val="nil" w:sz="6" w:space="0" w:color="auto"/>
              <w:left w:val="single" w:sz="4" w:space="0" w:color="FFFFFF"/>
              <w:bottom w:val="single" w:sz="4" w:space="0" w:color="FFFFFF"/>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pacing w:val="-1"/>
                <w:sz w:val="18"/>
              </w:rPr>
              <w:t>2,309,795.23</w:t>
            </w:r>
          </w:p>
        </w:tc>
      </w:tr>
      <w:tr>
        <w:trPr>
          <w:trHeight w:val="379" w:hRule="exact"/>
        </w:trPr>
        <w:tc>
          <w:tcPr>
            <w:tcW w:w="1418" w:type="dxa"/>
            <w:tcBorders>
              <w:top w:val="single" w:sz="4" w:space="0" w:color="FFFFFF"/>
              <w:left w:val="single" w:sz="4" w:space="0" w:color="FFFFFF"/>
              <w:bottom w:val="nil" w:sz="6" w:space="0" w:color="auto"/>
              <w:right w:val="single" w:sz="4" w:space="0" w:color="FFFFFF"/>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sz w:val="18"/>
              </w:rPr>
              <w:t>978,984.21</w:t>
            </w:r>
          </w:p>
        </w:tc>
        <w:tc>
          <w:tcPr>
            <w:tcW w:w="850" w:type="dxa"/>
            <w:tcBorders>
              <w:top w:val="single" w:sz="4" w:space="0" w:color="FFFFFF"/>
              <w:left w:val="single" w:sz="4" w:space="0" w:color="FFFFFF"/>
              <w:bottom w:val="nil" w:sz="6" w:space="0" w:color="auto"/>
              <w:right w:val="single" w:sz="4" w:space="0" w:color="FFFFFF"/>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4.45</w:t>
            </w:r>
          </w:p>
        </w:tc>
        <w:tc>
          <w:tcPr>
            <w:tcW w:w="1318" w:type="dxa"/>
            <w:tcBorders>
              <w:top w:val="single" w:sz="4" w:space="0" w:color="FFFFFF"/>
              <w:left w:val="single" w:sz="4" w:space="0" w:color="FFFFFF"/>
              <w:bottom w:val="nil" w:sz="6" w:space="0" w:color="auto"/>
              <w:right w:val="single" w:sz="4" w:space="0" w:color="FFFFFF"/>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sz w:val="18"/>
              </w:rPr>
              <w:t>97,898.42</w:t>
            </w:r>
          </w:p>
        </w:tc>
        <w:tc>
          <w:tcPr>
            <w:tcW w:w="1535" w:type="dxa"/>
            <w:tcBorders>
              <w:top w:val="single" w:sz="4" w:space="0" w:color="FFFFFF"/>
              <w:left w:val="single" w:sz="4" w:space="0" w:color="FFFFFF"/>
              <w:bottom w:val="nil" w:sz="6" w:space="0" w:color="auto"/>
              <w:right w:val="single" w:sz="4" w:space="0" w:color="FFFFFF"/>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2,273,684.79</w:t>
            </w:r>
          </w:p>
        </w:tc>
        <w:tc>
          <w:tcPr>
            <w:tcW w:w="833" w:type="dxa"/>
            <w:tcBorders>
              <w:top w:val="single" w:sz="4" w:space="0" w:color="FFFFFF"/>
              <w:left w:val="single" w:sz="4" w:space="0" w:color="FFFFFF"/>
              <w:bottom w:val="nil" w:sz="6" w:space="0" w:color="auto"/>
              <w:right w:val="single" w:sz="4" w:space="0" w:color="FFFFFF"/>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4.56</w:t>
            </w:r>
          </w:p>
        </w:tc>
        <w:tc>
          <w:tcPr>
            <w:tcW w:w="1418" w:type="dxa"/>
            <w:tcBorders>
              <w:top w:val="single" w:sz="4" w:space="0" w:color="FFFFFF"/>
              <w:left w:val="single" w:sz="4" w:space="0" w:color="FFFFFF"/>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z w:val="18"/>
              </w:rPr>
              <w:t>227,368.48</w:t>
            </w:r>
          </w:p>
        </w:tc>
      </w:tr>
    </w:tbl>
    <w:p>
      <w:pPr>
        <w:spacing w:line="240" w:lineRule="auto" w:before="13"/>
        <w:rPr>
          <w:rFonts w:ascii="宋体" w:hAnsi="宋体" w:cs="宋体" w:eastAsia="宋体" w:hint="default"/>
          <w:sz w:val="29"/>
          <w:szCs w:val="29"/>
        </w:rPr>
      </w:pPr>
    </w:p>
    <w:tbl>
      <w:tblPr>
        <w:tblW w:w="0" w:type="auto"/>
        <w:jc w:val="left"/>
        <w:tblInd w:w="1125" w:type="dxa"/>
        <w:tblLayout w:type="fixed"/>
        <w:tblCellMar>
          <w:top w:w="0" w:type="dxa"/>
          <w:left w:w="0" w:type="dxa"/>
          <w:bottom w:w="0" w:type="dxa"/>
          <w:right w:w="0" w:type="dxa"/>
        </w:tblCellMar>
        <w:tblLook w:val="01E0"/>
      </w:tblPr>
      <w:tblGrid>
        <w:gridCol w:w="1040"/>
        <w:gridCol w:w="1456"/>
        <w:gridCol w:w="859"/>
        <w:gridCol w:w="1382"/>
        <w:gridCol w:w="1544"/>
        <w:gridCol w:w="811"/>
        <w:gridCol w:w="1289"/>
      </w:tblGrid>
      <w:tr>
        <w:trPr>
          <w:trHeight w:val="387" w:hRule="exact"/>
        </w:trPr>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8"/>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74"/>
              <w:jc w:val="right"/>
              <w:rPr>
                <w:rFonts w:ascii="Times New Roman" w:hAnsi="Times New Roman" w:cs="Times New Roman" w:eastAsia="Times New Roman" w:hint="default"/>
                <w:sz w:val="18"/>
                <w:szCs w:val="18"/>
              </w:rPr>
            </w:pPr>
            <w:r>
              <w:rPr>
                <w:rFonts w:ascii="Times New Roman"/>
                <w:sz w:val="18"/>
              </w:rPr>
              <w:t>658,137.58</w:t>
            </w:r>
          </w:p>
        </w:tc>
        <w:tc>
          <w:tcPr>
            <w:tcW w:w="85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84"/>
              <w:jc w:val="right"/>
              <w:rPr>
                <w:rFonts w:ascii="Times New Roman" w:hAnsi="Times New Roman" w:cs="Times New Roman" w:eastAsia="Times New Roman" w:hint="default"/>
                <w:sz w:val="18"/>
                <w:szCs w:val="18"/>
              </w:rPr>
            </w:pPr>
            <w:r>
              <w:rPr>
                <w:rFonts w:ascii="Times New Roman"/>
                <w:sz w:val="18"/>
              </w:rPr>
              <w:t>3.00</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48"/>
              <w:jc w:val="right"/>
              <w:rPr>
                <w:rFonts w:ascii="Times New Roman" w:hAnsi="Times New Roman" w:cs="Times New Roman" w:eastAsia="Times New Roman" w:hint="default"/>
                <w:sz w:val="18"/>
                <w:szCs w:val="18"/>
              </w:rPr>
            </w:pPr>
            <w:r>
              <w:rPr>
                <w:rFonts w:ascii="Times New Roman"/>
                <w:sz w:val="18"/>
              </w:rPr>
              <w:t>592,323.82</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56"/>
              <w:jc w:val="right"/>
              <w:rPr>
                <w:rFonts w:ascii="Times New Roman" w:hAnsi="Times New Roman" w:cs="Times New Roman" w:eastAsia="Times New Roman" w:hint="default"/>
                <w:sz w:val="18"/>
                <w:szCs w:val="18"/>
              </w:rPr>
            </w:pPr>
            <w:r>
              <w:rPr>
                <w:rFonts w:ascii="Times New Roman"/>
                <w:sz w:val="18"/>
              </w:rPr>
              <w:t>298,718.71</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84"/>
              <w:ind w:left="22" w:right="0"/>
              <w:jc w:val="center"/>
              <w:rPr>
                <w:rFonts w:ascii="Times New Roman" w:hAnsi="Times New Roman" w:cs="Times New Roman" w:eastAsia="Times New Roman" w:hint="default"/>
                <w:sz w:val="18"/>
                <w:szCs w:val="18"/>
              </w:rPr>
            </w:pPr>
            <w:r>
              <w:rPr>
                <w:rFonts w:ascii="Times New Roman"/>
                <w:sz w:val="18"/>
              </w:rPr>
              <w:t>0.60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268,846.84</w:t>
            </w:r>
          </w:p>
        </w:tc>
      </w:tr>
      <w:tr>
        <w:trPr>
          <w:trHeight w:val="389" w:hRule="exact"/>
        </w:trPr>
        <w:tc>
          <w:tcPr>
            <w:tcW w:w="1040"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15"/>
              <w:jc w:val="center"/>
              <w:rPr>
                <w:rFonts w:ascii="宋体" w:hAnsi="宋体" w:cs="宋体" w:eastAsia="宋体" w:hint="default"/>
                <w:sz w:val="18"/>
                <w:szCs w:val="18"/>
              </w:rPr>
            </w:pPr>
            <w:r>
              <w:rPr>
                <w:rFonts w:ascii="宋体" w:hAnsi="宋体" w:cs="宋体" w:eastAsia="宋体" w:hint="default"/>
                <w:sz w:val="18"/>
                <w:szCs w:val="18"/>
              </w:rPr>
              <w:t>合计</w:t>
            </w:r>
          </w:p>
        </w:tc>
        <w:tc>
          <w:tcPr>
            <w:tcW w:w="1456"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75"/>
              <w:jc w:val="right"/>
              <w:rPr>
                <w:rFonts w:ascii="Times New Roman" w:hAnsi="Times New Roman" w:cs="Times New Roman" w:eastAsia="Times New Roman" w:hint="default"/>
                <w:sz w:val="18"/>
                <w:szCs w:val="18"/>
              </w:rPr>
            </w:pPr>
            <w:r>
              <w:rPr>
                <w:rFonts w:ascii="Times New Roman"/>
                <w:spacing w:val="-1"/>
                <w:sz w:val="18"/>
              </w:rPr>
              <w:t>21,966,357.65</w:t>
            </w:r>
          </w:p>
        </w:tc>
        <w:tc>
          <w:tcPr>
            <w:tcW w:w="859"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83"/>
              <w:jc w:val="right"/>
              <w:rPr>
                <w:rFonts w:ascii="Times New Roman" w:hAnsi="Times New Roman" w:cs="Times New Roman" w:eastAsia="Times New Roman" w:hint="default"/>
                <w:sz w:val="18"/>
                <w:szCs w:val="18"/>
              </w:rPr>
            </w:pPr>
            <w:r>
              <w:rPr>
                <w:rFonts w:ascii="Times New Roman"/>
                <w:sz w:val="18"/>
              </w:rPr>
              <w:t>100.00</w:t>
            </w:r>
          </w:p>
        </w:tc>
        <w:tc>
          <w:tcPr>
            <w:tcW w:w="1382"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48"/>
              <w:jc w:val="right"/>
              <w:rPr>
                <w:rFonts w:ascii="Times New Roman" w:hAnsi="Times New Roman" w:cs="Times New Roman" w:eastAsia="Times New Roman" w:hint="default"/>
                <w:sz w:val="18"/>
                <w:szCs w:val="18"/>
              </w:rPr>
            </w:pPr>
            <w:r>
              <w:rPr>
                <w:rFonts w:ascii="Times New Roman"/>
                <w:spacing w:val="-1"/>
                <w:sz w:val="18"/>
              </w:rPr>
              <w:t>1,805,276.77</w:t>
            </w:r>
          </w:p>
        </w:tc>
        <w:tc>
          <w:tcPr>
            <w:tcW w:w="1544"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56"/>
              <w:jc w:val="right"/>
              <w:rPr>
                <w:rFonts w:ascii="Times New Roman" w:hAnsi="Times New Roman" w:cs="Times New Roman" w:eastAsia="Times New Roman" w:hint="default"/>
                <w:sz w:val="18"/>
                <w:szCs w:val="18"/>
              </w:rPr>
            </w:pPr>
            <w:r>
              <w:rPr>
                <w:rFonts w:ascii="Times New Roman"/>
                <w:spacing w:val="-1"/>
                <w:sz w:val="18"/>
              </w:rPr>
              <w:t>49,849,077.78</w:t>
            </w:r>
          </w:p>
        </w:tc>
        <w:tc>
          <w:tcPr>
            <w:tcW w:w="811"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left="65" w:right="0"/>
              <w:jc w:val="center"/>
              <w:rPr>
                <w:rFonts w:ascii="Times New Roman" w:hAnsi="Times New Roman" w:cs="Times New Roman" w:eastAsia="Times New Roman" w:hint="default"/>
                <w:sz w:val="18"/>
                <w:szCs w:val="18"/>
              </w:rPr>
            </w:pPr>
            <w:r>
              <w:rPr>
                <w:rFonts w:ascii="Times New Roman"/>
                <w:sz w:val="18"/>
              </w:rPr>
              <w:t>100</w:t>
            </w:r>
          </w:p>
        </w:tc>
        <w:tc>
          <w:tcPr>
            <w:tcW w:w="1289"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pacing w:val="-1"/>
                <w:sz w:val="18"/>
              </w:rPr>
              <w:t>2,985,719.99</w:t>
            </w:r>
          </w:p>
        </w:tc>
      </w:tr>
    </w:tbl>
    <w:p>
      <w:pPr>
        <w:spacing w:line="240" w:lineRule="auto" w:before="10"/>
        <w:rPr>
          <w:rFonts w:ascii="宋体" w:hAnsi="宋体" w:cs="宋体" w:eastAsia="宋体" w:hint="default"/>
          <w:sz w:val="27"/>
          <w:szCs w:val="27"/>
        </w:rPr>
      </w:pPr>
    </w:p>
    <w:p>
      <w:pPr>
        <w:spacing w:before="35"/>
        <w:ind w:left="1857" w:right="0" w:firstLine="0"/>
        <w:jc w:val="left"/>
        <w:rPr>
          <w:rFonts w:ascii="宋体" w:hAnsi="宋体" w:cs="宋体" w:eastAsia="宋体" w:hint="default"/>
          <w:sz w:val="21"/>
          <w:szCs w:val="21"/>
        </w:rPr>
      </w:pPr>
      <w:r>
        <w:rPr>
          <w:rFonts w:ascii="宋体" w:hAnsi="宋体" w:cs="宋体" w:eastAsia="宋体" w:hint="default"/>
          <w:sz w:val="21"/>
          <w:szCs w:val="21"/>
        </w:rPr>
        <w:t>组合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中，采用余额百分比法计提坏账准备的其他应收款：</w:t>
      </w:r>
    </w:p>
    <w:p>
      <w:pPr>
        <w:spacing w:line="1578" w:lineRule="exact"/>
        <w:ind w:left="1720"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390.65pt;height:78.9pt;mso-position-horizontal-relative:char;mso-position-vertical-relative:line" coordorigin="0,0" coordsize="7813,1578">
            <v:group style="position:absolute;left:29;top:15;width:7755;height:2" coordorigin="29,15" coordsize="7755,2">
              <v:shape style="position:absolute;left:29;top:15;width:7755;height:2" coordorigin="29,15" coordsize="7755,0" path="m29,15l7784,15e" filled="false" stroked="true" strokeweight="1.5pt" strokecolor="#000000">
                <v:path arrowok="t"/>
              </v:shape>
              <v:shape style="position:absolute;left:2362;top:1;width:3751;height:432" type="#_x0000_t75" stroked="false">
                <v:imagedata r:id="rId110" o:title=""/>
              </v:shape>
            </v:group>
            <v:group style="position:absolute;left:15;top:1563;width:2376;height:2" coordorigin="15,1563" coordsize="2376,2">
              <v:shape style="position:absolute;left:15;top:1563;width:2376;height:2" coordorigin="15,1563" coordsize="2376,0" path="m15,1563l2391,1563e" filled="false" stroked="true" strokeweight="1.5pt" strokecolor="#000000">
                <v:path arrowok="t"/>
              </v:shape>
            </v:group>
            <v:group style="position:absolute;left:2391;top:1563;width:2074;height:2" coordorigin="2391,1563" coordsize="2074,2">
              <v:shape style="position:absolute;left:2391;top:1563;width:2074;height:2" coordorigin="2391,1563" coordsize="2074,0" path="m2391,1563l4465,1563e" filled="false" stroked="true" strokeweight="1.5pt" strokecolor="#000000">
                <v:path arrowok="t"/>
              </v:shape>
            </v:group>
            <v:group style="position:absolute;left:4465;top:1563;width:1611;height:2" coordorigin="4465,1563" coordsize="1611,2">
              <v:shape style="position:absolute;left:4465;top:1563;width:1611;height:2" coordorigin="4465,1563" coordsize="1611,0" path="m4465,1563l6075,1563e" filled="false" stroked="true" strokeweight="1.5pt" strokecolor="#000000">
                <v:path arrowok="t"/>
              </v:shape>
              <v:shape style="position:absolute;left:1;top:376;width:7812;height:1172" type="#_x0000_t75" stroked="false">
                <v:imagedata r:id="rId111" o:title=""/>
              </v:shape>
            </v:group>
            <v:group style="position:absolute;left:6075;top:1563;width:1709;height:2" coordorigin="6075,1563" coordsize="1709,2">
              <v:shape style="position:absolute;left:6075;top:1563;width:1709;height:2" coordorigin="6075,1563" coordsize="1709,0" path="m6075,1563l7784,1563e" filled="false" stroked="true" strokeweight="1.5pt" strokecolor="#000000">
                <v:path arrowok="t"/>
              </v:shape>
              <v:shape style="position:absolute;left:137;top:111;width:2174;height:1354" type="#_x0000_t202" filled="false" stroked="false">
                <v:textbox inset="0,0,0,0">
                  <w:txbxContent>
                    <w:p>
                      <w:pPr>
                        <w:spacing w:line="210" w:lineRule="exact" w:before="0"/>
                        <w:ind w:left="0" w:right="20" w:firstLine="0"/>
                        <w:jc w:val="center"/>
                        <w:rPr>
                          <w:rFonts w:ascii="宋体" w:hAnsi="宋体" w:cs="宋体" w:eastAsia="宋体" w:hint="default"/>
                          <w:sz w:val="21"/>
                          <w:szCs w:val="21"/>
                        </w:rPr>
                      </w:pPr>
                      <w:r>
                        <w:rPr>
                          <w:rFonts w:ascii="宋体" w:hAnsi="宋体" w:cs="宋体" w:eastAsia="宋体" w:hint="default"/>
                          <w:sz w:val="21"/>
                          <w:szCs w:val="21"/>
                        </w:rPr>
                        <w:t>组合名称</w:t>
                      </w:r>
                    </w:p>
                    <w:p>
                      <w:pPr>
                        <w:spacing w:line="309" w:lineRule="auto" w:before="110"/>
                        <w:ind w:left="0" w:right="0" w:firstLine="0"/>
                        <w:jc w:val="left"/>
                        <w:rPr>
                          <w:rFonts w:ascii="宋体" w:hAnsi="宋体" w:cs="宋体" w:eastAsia="宋体" w:hint="default"/>
                          <w:sz w:val="21"/>
                          <w:szCs w:val="21"/>
                        </w:rPr>
                      </w:pPr>
                      <w:r>
                        <w:rPr>
                          <w:rFonts w:ascii="宋体" w:hAnsi="宋体" w:cs="宋体" w:eastAsia="宋体" w:hint="default"/>
                          <w:spacing w:val="17"/>
                          <w:sz w:val="21"/>
                          <w:szCs w:val="21"/>
                        </w:rPr>
                        <w:t>应收政府补助</w:t>
                      </w:r>
                      <w:r>
                        <w:rPr>
                          <w:rFonts w:ascii="Times New Roman" w:hAnsi="Times New Roman" w:cs="Times New Roman" w:eastAsia="Times New Roman" w:hint="default"/>
                          <w:spacing w:val="17"/>
                          <w:sz w:val="21"/>
                          <w:szCs w:val="21"/>
                        </w:rPr>
                        <w:t>-</w:t>
                      </w:r>
                      <w:r>
                        <w:rPr>
                          <w:rFonts w:ascii="Times New Roman" w:hAnsi="Times New Roman" w:cs="Times New Roman" w:eastAsia="Times New Roman" w:hint="default"/>
                          <w:spacing w:val="-31"/>
                          <w:sz w:val="21"/>
                          <w:szCs w:val="21"/>
                        </w:rPr>
                        <w:t> </w:t>
                      </w:r>
                      <w:r>
                        <w:rPr>
                          <w:rFonts w:ascii="宋体" w:hAnsi="宋体" w:cs="宋体" w:eastAsia="宋体" w:hint="default"/>
                          <w:spacing w:val="14"/>
                          <w:sz w:val="21"/>
                          <w:szCs w:val="21"/>
                        </w:rPr>
                        <w:t>增值税</w:t>
                      </w:r>
                      <w:r>
                        <w:rPr>
                          <w:rFonts w:ascii="宋体" w:hAnsi="宋体" w:cs="宋体" w:eastAsia="宋体" w:hint="default"/>
                          <w:spacing w:val="-103"/>
                          <w:sz w:val="21"/>
                          <w:szCs w:val="21"/>
                        </w:rPr>
                        <w:t> </w:t>
                      </w:r>
                      <w:r>
                        <w:rPr>
                          <w:rFonts w:ascii="宋体" w:hAnsi="宋体" w:cs="宋体" w:eastAsia="宋体" w:hint="default"/>
                          <w:sz w:val="21"/>
                          <w:szCs w:val="21"/>
                        </w:rPr>
                        <w:t>退税</w:t>
                      </w:r>
                    </w:p>
                    <w:p>
                      <w:pPr>
                        <w:spacing w:before="48"/>
                        <w:ind w:left="0" w:right="20" w:firstLine="0"/>
                        <w:jc w:val="center"/>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3013;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账面余额</w:t>
                      </w:r>
                    </w:p>
                  </w:txbxContent>
                </v:textbox>
                <w10:wrap type="none"/>
              </v:shape>
              <v:shape style="position:absolute;left:4853;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计提比例</w:t>
                      </w:r>
                    </w:p>
                  </w:txbxContent>
                </v:textbox>
                <w10:wrap type="none"/>
              </v:shape>
              <v:shape style="position:absolute;left:6512;top:11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shape style="position:absolute;left:3259;top:695;width:110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4,812,871.88</w:t>
                      </w:r>
                    </w:p>
                  </w:txbxContent>
                </v:textbox>
                <w10:wrap type="none"/>
              </v:shape>
              <v:shape style="position:absolute;left:5604;top:695;width:36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0.00</w:t>
                      </w:r>
                    </w:p>
                  </w:txbxContent>
                </v:textbox>
                <w10:wrap type="none"/>
              </v:shape>
              <v:shape style="position:absolute;left:7309;top:695;width:36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0.00</w:t>
                      </w:r>
                    </w:p>
                  </w:txbxContent>
                </v:textbox>
                <w10:wrap type="none"/>
              </v:shape>
              <v:shape style="position:absolute;left:3259;top:1266;width:110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4,812,871.88</w:t>
                      </w:r>
                    </w:p>
                  </w:txbxContent>
                </v:textbox>
                <w10:wrap type="none"/>
              </v:shape>
              <v:shape style="position:absolute;left:5604;top:1266;width:36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0.00</w:t>
                      </w:r>
                    </w:p>
                  </w:txbxContent>
                </v:textbox>
                <w10:wrap type="none"/>
              </v:shape>
              <v:shape style="position:absolute;left:7309;top:1266;width:36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0.00</w:t>
                      </w:r>
                    </w:p>
                  </w:txbxContent>
                </v:textbox>
                <w10:wrap type="none"/>
              </v:shape>
            </v:group>
          </v:group>
        </w:pict>
      </w:r>
      <w:r>
        <w:rPr>
          <w:rFonts w:ascii="宋体" w:hAnsi="宋体" w:cs="宋体" w:eastAsia="宋体" w:hint="default"/>
          <w:position w:val="-31"/>
          <w:sz w:val="20"/>
          <w:szCs w:val="20"/>
        </w:rPr>
      </w:r>
    </w:p>
    <w:p>
      <w:pPr>
        <w:spacing w:line="240" w:lineRule="auto" w:before="0"/>
        <w:rPr>
          <w:rFonts w:ascii="宋体" w:hAnsi="宋体" w:cs="宋体" w:eastAsia="宋体" w:hint="default"/>
          <w:sz w:val="20"/>
          <w:szCs w:val="20"/>
        </w:rPr>
      </w:pPr>
    </w:p>
    <w:p>
      <w:pPr>
        <w:spacing w:before="167"/>
        <w:ind w:left="1857" w:right="0" w:firstLine="0"/>
        <w:jc w:val="left"/>
        <w:rPr>
          <w:rFonts w:ascii="宋体" w:hAnsi="宋体" w:cs="宋体" w:eastAsia="宋体" w:hint="default"/>
          <w:sz w:val="21"/>
          <w:szCs w:val="21"/>
        </w:rPr>
      </w:pPr>
      <w:r>
        <w:rPr>
          <w:rFonts w:ascii="宋体" w:hAnsi="宋体" w:cs="宋体" w:eastAsia="宋体" w:hint="default"/>
          <w:sz w:val="21"/>
          <w:szCs w:val="21"/>
        </w:rPr>
        <w:t>软件增值税退税详见附注五</w:t>
      </w:r>
      <w:r>
        <w:rPr>
          <w:rFonts w:ascii="宋体" w:hAnsi="宋体" w:cs="宋体" w:eastAsia="宋体" w:hint="default"/>
          <w:spacing w:val="-105"/>
          <w:sz w:val="21"/>
          <w:szCs w:val="21"/>
        </w:rPr>
        <w:t>、</w:t>
      </w:r>
      <w:r>
        <w:rPr>
          <w:rFonts w:ascii="宋体" w:hAnsi="宋体" w:cs="宋体" w:eastAsia="宋体" w:hint="default"/>
          <w:sz w:val="21"/>
          <w:szCs w:val="21"/>
        </w:rPr>
        <w:t>（三</w:t>
      </w:r>
      <w:r>
        <w:rPr>
          <w:rFonts w:ascii="宋体" w:hAnsi="宋体" w:cs="宋体" w:eastAsia="宋体" w:hint="default"/>
          <w:spacing w:val="-2"/>
          <w:sz w:val="21"/>
          <w:szCs w:val="21"/>
        </w:rPr>
        <w:t>十</w:t>
      </w:r>
      <w:r>
        <w:rPr>
          <w:rFonts w:ascii="宋体" w:hAnsi="宋体" w:cs="宋体" w:eastAsia="宋体" w:hint="default"/>
          <w:sz w:val="21"/>
          <w:szCs w:val="21"/>
        </w:rPr>
        <w:t>六）营业外收入。</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2396" w:val="left" w:leader="none"/>
        </w:tabs>
        <w:spacing w:before="0"/>
        <w:ind w:left="185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本报告期不存在转回或收回其他应收款情况。</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2396" w:val="left" w:leader="none"/>
        </w:tabs>
        <w:spacing w:before="0"/>
        <w:ind w:left="185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本报告期实际核销的其他应收款情况</w:t>
      </w:r>
      <w:r>
        <w:rPr>
          <w:rFonts w:ascii="宋体" w:hAnsi="宋体" w:cs="宋体" w:eastAsia="宋体" w:hint="default"/>
          <w:sz w:val="21"/>
          <w:szCs w:val="21"/>
        </w:rPr>
      </w:r>
    </w:p>
    <w:p>
      <w:pPr>
        <w:spacing w:line="2336" w:lineRule="exact"/>
        <w:ind w:left="1720"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01.75pt;height:116.85pt;mso-position-horizontal-relative:char;mso-position-vertical-relative:line" coordorigin="0,0" coordsize="8035,2337">
            <v:group style="position:absolute;left:29;top:15;width:7985;height:2" coordorigin="29,15" coordsize="7985,2">
              <v:shape style="position:absolute;left:29;top:15;width:7985;height:2" coordorigin="29,15" coordsize="7985,0" path="m29,15l8014,15e" filled="false" stroked="true" strokeweight="1.5pt" strokecolor="#000000">
                <v:path arrowok="t"/>
              </v:shape>
              <v:shape style="position:absolute;left:1514;top:1;width:5311;height:806" type="#_x0000_t75" stroked="false">
                <v:imagedata r:id="rId112" o:title=""/>
              </v:shape>
            </v:group>
            <v:group style="position:absolute;left:15;top:2321;width:1528;height:2" coordorigin="15,2321" coordsize="1528,2">
              <v:shape style="position:absolute;left:15;top:2321;width:1528;height:2" coordorigin="15,2321" coordsize="1528,0" path="m15,2321l1543,2321e" filled="false" stroked="true" strokeweight="1.5pt" strokecolor="#000000">
                <v:path arrowok="t"/>
              </v:shape>
            </v:group>
            <v:group style="position:absolute;left:1543;top:2321;width:1684;height:2" coordorigin="1543,2321" coordsize="1684,2">
              <v:shape style="position:absolute;left:1543;top:2321;width:1684;height:2" coordorigin="1543,2321" coordsize="1684,0" path="m1543,2321l3226,2321e" filled="false" stroked="true" strokeweight="1.5pt" strokecolor="#000000">
                <v:path arrowok="t"/>
              </v:shape>
            </v:group>
            <v:group style="position:absolute;left:3226;top:2321;width:1739;height:2" coordorigin="3226,2321" coordsize="1739,2">
              <v:shape style="position:absolute;left:3226;top:2321;width:1739;height:2" coordorigin="3226,2321" coordsize="1739,0" path="m3226,2321l4965,2321e" filled="false" stroked="true" strokeweight="1.5pt" strokecolor="#000000">
                <v:path arrowok="t"/>
              </v:shape>
            </v:group>
            <v:group style="position:absolute;left:4965;top:2321;width:1822;height:2" coordorigin="4965,2321" coordsize="1822,2">
              <v:shape style="position:absolute;left:4965;top:2321;width:1822;height:2" coordorigin="4965,2321" coordsize="1822,0" path="m4965,2321l6787,2321e" filled="false" stroked="true" strokeweight="1.5pt" strokecolor="#000000">
                <v:path arrowok="t"/>
              </v:shape>
              <v:shape style="position:absolute;left:10;top:760;width:8024;height:1547" type="#_x0000_t75" stroked="false">
                <v:imagedata r:id="rId113" o:title=""/>
              </v:shape>
            </v:group>
            <v:group style="position:absolute;left:6787;top:2321;width:1228;height:2" coordorigin="6787,2321" coordsize="1228,2">
              <v:shape style="position:absolute;left:6787;top:2321;width:1228;height:2" coordorigin="6787,2321" coordsize="1228,0" path="m6787,2321l8014,2321e" filled="false" stroked="true" strokeweight="1.5pt" strokecolor="#000000">
                <v:path arrowok="t"/>
              </v:shape>
              <v:shape style="position:absolute;left:6951;top:12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是否因关联</w:t>
                      </w:r>
                    </w:p>
                  </w:txbxContent>
                </v:textbox>
                <w10:wrap type="none"/>
              </v:shape>
              <v:shape style="position:absolute;left:428;top:3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1759;top:315;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其他应收款性质</w:t>
                      </w:r>
                    </w:p>
                  </w:txbxContent>
                </v:textbox>
                <w10:wrap type="none"/>
              </v:shape>
              <v:shape style="position:absolute;left:3740;top:3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核销金额</w:t>
                      </w:r>
                    </w:p>
                  </w:txbxContent>
                </v:textbox>
                <w10:wrap type="none"/>
              </v:shape>
              <v:shape style="position:absolute;left:5521;top:3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核销原因</w:t>
                      </w:r>
                    </w:p>
                  </w:txbxContent>
                </v:textbox>
                <w10:wrap type="none"/>
              </v:shape>
              <v:shape style="position:absolute;left:7041;top:50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交易产生</w:t>
                      </w:r>
                    </w:p>
                  </w:txbxContent>
                </v:textbox>
                <w10:wrap type="none"/>
              </v:shape>
              <v:shape style="position:absolute;left:137;top:88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沈间崧</w:t>
                      </w:r>
                    </w:p>
                  </w:txbxContent>
                </v:textbox>
                <w10:wrap type="none"/>
              </v:shape>
              <v:shape style="position:absolute;left:2209;top:88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押金</w:t>
                      </w:r>
                    </w:p>
                  </w:txbxContent>
                </v:textbox>
                <w10:wrap type="none"/>
              </v:shape>
              <v:shape style="position:absolute;left:4232;top:894;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2,900.00</w:t>
                      </w:r>
                    </w:p>
                  </w:txbxContent>
                </v:textbox>
                <w10:wrap type="none"/>
              </v:shape>
              <v:shape style="position:absolute;left:5341;top:88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押金无法收回</w:t>
                      </w:r>
                    </w:p>
                  </w:txbxContent>
                </v:textbox>
                <w10:wrap type="none"/>
              </v:shape>
              <v:shape style="position:absolute;left:7311;top:88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否</w:t>
                      </w:r>
                    </w:p>
                  </w:txbxContent>
                </v:textbox>
                <w10:wrap type="none"/>
              </v:shape>
              <v:shape style="position:absolute;left:137;top:1271;width:7354;height:555" type="#_x0000_t202" filled="false" stroked="false">
                <v:textbox inset="0,0,0,0">
                  <w:txbxContent>
                    <w:p>
                      <w:pPr>
                        <w:tabs>
                          <w:tab w:pos="4940" w:val="left" w:leader="none"/>
                        </w:tabs>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pacing w:val="5"/>
                          <w:sz w:val="18"/>
                          <w:szCs w:val="18"/>
                        </w:rPr>
                        <w:t>增城市励骏服装</w:t>
                        <w:tab/>
                      </w:r>
                      <w:r>
                        <w:rPr>
                          <w:rFonts w:ascii="宋体" w:hAnsi="宋体" w:cs="宋体" w:eastAsia="宋体" w:hint="default"/>
                          <w:sz w:val="18"/>
                          <w:szCs w:val="18"/>
                        </w:rPr>
                        <w:t>合同未到期退租，保</w:t>
                      </w:r>
                    </w:p>
                    <w:p>
                      <w:pPr>
                        <w:tabs>
                          <w:tab w:pos="4004" w:val="left" w:leader="none"/>
                          <w:tab w:pos="5203" w:val="left" w:leader="none"/>
                          <w:tab w:pos="7173" w:val="left" w:leader="none"/>
                        </w:tabs>
                        <w:spacing w:line="180" w:lineRule="auto" w:before="28"/>
                        <w:ind w:left="0" w:right="0" w:firstLine="1531"/>
                        <w:jc w:val="left"/>
                        <w:rPr>
                          <w:rFonts w:ascii="宋体" w:hAnsi="宋体" w:cs="宋体" w:eastAsia="宋体" w:hint="default"/>
                          <w:sz w:val="18"/>
                          <w:szCs w:val="18"/>
                        </w:rPr>
                      </w:pPr>
                      <w:r>
                        <w:rPr>
                          <w:rFonts w:ascii="宋体" w:hAnsi="宋体" w:cs="宋体" w:eastAsia="宋体" w:hint="default"/>
                          <w:sz w:val="18"/>
                          <w:szCs w:val="18"/>
                        </w:rPr>
                        <w:t>宿舍楼租赁保证金</w:t>
                        <w:tab/>
                      </w:r>
                      <w:r>
                        <w:rPr>
                          <w:rFonts w:ascii="Times New Roman" w:hAnsi="Times New Roman" w:cs="Times New Roman" w:eastAsia="Times New Roman" w:hint="default"/>
                          <w:sz w:val="18"/>
                          <w:szCs w:val="18"/>
                        </w:rPr>
                        <w:t>39,570.00</w:t>
                        <w:tab/>
                        <w:tab/>
                      </w:r>
                      <w:r>
                        <w:rPr>
                          <w:rFonts w:ascii="宋体" w:hAnsi="宋体" w:cs="宋体" w:eastAsia="宋体" w:hint="default"/>
                          <w:sz w:val="18"/>
                          <w:szCs w:val="18"/>
                        </w:rPr>
                        <w:t>否 有限公司</w:t>
                        <w:tab/>
                        <w:tab/>
                        <w:t>证金无法收回</w:t>
                      </w:r>
                    </w:p>
                  </w:txbxContent>
                </v:textbox>
                <w10:wrap type="none"/>
              </v:shape>
              <v:shape style="position:absolute;left:518;top:202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4143;top:2037;width:7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42,470.00</w:t>
                      </w:r>
                    </w:p>
                  </w:txbxContent>
                </v:textbox>
                <w10:wrap type="none"/>
              </v:shape>
            </v:group>
          </v:group>
        </w:pict>
      </w:r>
      <w:r>
        <w:rPr>
          <w:rFonts w:ascii="宋体" w:hAnsi="宋体" w:cs="宋体" w:eastAsia="宋体" w:hint="default"/>
          <w:position w:val="-46"/>
          <w:sz w:val="20"/>
          <w:szCs w:val="20"/>
        </w:rPr>
      </w:r>
    </w:p>
    <w:p>
      <w:pPr>
        <w:spacing w:after="0" w:line="2336" w:lineRule="exact"/>
        <w:rPr>
          <w:rFonts w:ascii="宋体" w:hAnsi="宋体" w:cs="宋体" w:eastAsia="宋体" w:hint="default"/>
          <w:sz w:val="20"/>
          <w:szCs w:val="20"/>
        </w:rPr>
        <w:sectPr>
          <w:pgSz w:w="11910" w:h="16840"/>
          <w:pgMar w:header="877" w:footer="1256" w:top="1100" w:bottom="1440" w:left="660" w:right="620"/>
        </w:sectPr>
      </w:pPr>
    </w:p>
    <w:p>
      <w:pPr>
        <w:spacing w:line="240" w:lineRule="auto" w:before="12"/>
        <w:rPr>
          <w:rFonts w:ascii="宋体" w:hAnsi="宋体" w:cs="宋体" w:eastAsia="宋体" w:hint="default"/>
          <w:b/>
          <w:bCs/>
          <w:sz w:val="28"/>
          <w:szCs w:val="28"/>
        </w:rPr>
      </w:pPr>
    </w:p>
    <w:p>
      <w:pPr>
        <w:tabs>
          <w:tab w:pos="1396" w:val="left" w:leader="none"/>
        </w:tabs>
        <w:spacing w:before="35"/>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期末其他应收款中无持本公司</w:t>
      </w:r>
      <w:r>
        <w:rPr>
          <w:rFonts w:ascii="宋体" w:hAnsi="宋体" w:cs="宋体" w:eastAsia="宋体" w:hint="default"/>
          <w:b/>
          <w:bCs/>
          <w:spacing w:val="-54"/>
          <w:sz w:val="21"/>
          <w:szCs w:val="21"/>
        </w:rPr>
        <w:t> </w:t>
      </w:r>
      <w:r>
        <w:rPr>
          <w:rFonts w:ascii="Times New Roman" w:hAnsi="Times New Roman" w:cs="Times New Roman" w:eastAsia="Times New Roman" w:hint="default"/>
          <w:b/>
          <w:bCs/>
          <w:spacing w:val="-10"/>
          <w:sz w:val="21"/>
          <w:szCs w:val="21"/>
        </w:rPr>
        <w:t>5</w:t>
      </w:r>
      <w:r>
        <w:rPr>
          <w:rFonts w:ascii="宋体" w:hAnsi="宋体" w:cs="宋体" w:eastAsia="宋体" w:hint="default"/>
          <w:b/>
          <w:bCs/>
          <w:spacing w:val="-10"/>
          <w:sz w:val="21"/>
          <w:szCs w:val="21"/>
        </w:rPr>
        <w:t>％以上（含</w:t>
      </w:r>
      <w:r>
        <w:rPr>
          <w:rFonts w:ascii="宋体" w:hAnsi="宋体" w:cs="宋体" w:eastAsia="宋体" w:hint="default"/>
          <w:b/>
          <w:bCs/>
          <w:spacing w:val="-53"/>
          <w:sz w:val="21"/>
          <w:szCs w:val="21"/>
        </w:rPr>
        <w:t> </w:t>
      </w:r>
      <w:r>
        <w:rPr>
          <w:rFonts w:ascii="Times New Roman" w:hAnsi="Times New Roman" w:cs="Times New Roman" w:eastAsia="Times New Roman" w:hint="default"/>
          <w:b/>
          <w:bCs/>
          <w:spacing w:val="-4"/>
          <w:sz w:val="21"/>
          <w:szCs w:val="21"/>
        </w:rPr>
        <w:t>5</w:t>
      </w:r>
      <w:r>
        <w:rPr>
          <w:rFonts w:ascii="宋体" w:hAnsi="宋体" w:cs="宋体" w:eastAsia="宋体" w:hint="default"/>
          <w:b/>
          <w:bCs/>
          <w:spacing w:val="-4"/>
          <w:sz w:val="21"/>
          <w:szCs w:val="21"/>
        </w:rPr>
        <w:t>％）表决权股份的股东单位欠款。</w:t>
      </w:r>
      <w:r>
        <w:rPr>
          <w:rFonts w:ascii="宋体" w:hAnsi="宋体" w:cs="宋体" w:eastAsia="宋体" w:hint="default"/>
          <w:spacing w:val="-4"/>
          <w:sz w:val="21"/>
          <w:szCs w:val="21"/>
        </w:rPr>
      </w:r>
    </w:p>
    <w:p>
      <w:pPr>
        <w:tabs>
          <w:tab w:pos="1396" w:val="left" w:leader="none"/>
        </w:tabs>
        <w:spacing w:before="109"/>
        <w:ind w:left="857" w:right="2389" w:firstLine="0"/>
        <w:jc w:val="left"/>
        <w:rPr>
          <w:rFonts w:ascii="宋体" w:hAnsi="宋体" w:cs="宋体" w:eastAsia="宋体" w:hint="default"/>
          <w:sz w:val="21"/>
          <w:szCs w:val="21"/>
        </w:rPr>
      </w:pPr>
      <w:r>
        <w:rPr/>
        <w:pict>
          <v:group style="position:absolute;margin-left:119.010002pt;margin-top:20.833952pt;width:391.45pt;height:214.5pt;mso-position-horizontal-relative:page;mso-position-vertical-relative:paragraph;z-index:-817360" coordorigin="2380,417" coordsize="7829,4290">
            <v:group style="position:absolute;left:2410;top:432;width:7767;height:2" coordorigin="2410,432" coordsize="7767,2">
              <v:shape style="position:absolute;left:2410;top:432;width:7767;height:2" coordorigin="2410,432" coordsize="7767,0" path="m2410,432l10176,432e" filled="false" stroked="true" strokeweight="1.5pt" strokecolor="#000000">
                <v:path arrowok="t"/>
              </v:shape>
              <v:shape style="position:absolute;left:4176;top:418;width:4746;height:806" type="#_x0000_t75" stroked="false">
                <v:imagedata r:id="rId114" o:title=""/>
              </v:shape>
            </v:group>
            <v:group style="position:absolute;left:2395;top:4692;width:1810;height:2" coordorigin="2395,4692" coordsize="1810,2">
              <v:shape style="position:absolute;left:2395;top:4692;width:1810;height:2" coordorigin="2395,4692" coordsize="1810,0" path="m2395,4692l4205,4692e" filled="false" stroked="true" strokeweight="1.5pt" strokecolor="#000000">
                <v:path arrowok="t"/>
              </v:shape>
              <v:shape style="position:absolute;left:2381;top:1167;width:7828;height:3532" type="#_x0000_t75" stroked="false">
                <v:imagedata r:id="rId115" o:title=""/>
              </v:shape>
            </v:group>
            <v:group style="position:absolute;left:4205;top:4692;width:993;height:2" coordorigin="4205,4692" coordsize="993,2">
              <v:shape style="position:absolute;left:4205;top:4692;width:993;height:2" coordorigin="4205,4692" coordsize="993,0" path="m4205,4692l5197,4692e" filled="false" stroked="true" strokeweight="1.5pt" strokecolor="#000000">
                <v:path arrowok="t"/>
              </v:shape>
              <v:shape style="position:absolute;left:5176;top:3719;width:53;height:979" type="#_x0000_t75" stroked="false">
                <v:imagedata r:id="rId116" o:title=""/>
              </v:shape>
            </v:group>
            <v:group style="position:absolute;left:5197;top:4692;width:1440;height:2" coordorigin="5197,4692" coordsize="1440,2">
              <v:shape style="position:absolute;left:5197;top:4692;width:1440;height:2" coordorigin="5197,4692" coordsize="1440,0" path="m5197,4692l6637,4692e" filled="false" stroked="true" strokeweight="1.5pt" strokecolor="#000000">
                <v:path arrowok="t"/>
              </v:shape>
              <v:shape style="position:absolute;left:6616;top:3719;width:53;height:979" type="#_x0000_t75" stroked="false">
                <v:imagedata r:id="rId116" o:title=""/>
              </v:shape>
            </v:group>
            <v:group style="position:absolute;left:6637;top:4692;width:900;height:2" coordorigin="6637,4692" coordsize="900,2">
              <v:shape style="position:absolute;left:6637;top:4692;width:900;height:2" coordorigin="6637,4692" coordsize="900,0" path="m6637,4692l7537,4692e" filled="false" stroked="true" strokeweight="1.5pt" strokecolor="#000000">
                <v:path arrowok="t"/>
              </v:shape>
              <v:shape style="position:absolute;left:7516;top:3719;width:53;height:979" type="#_x0000_t75" stroked="false">
                <v:imagedata r:id="rId116" o:title=""/>
              </v:shape>
            </v:group>
            <v:group style="position:absolute;left:7537;top:4692;width:1347;height:2" coordorigin="7537,4692" coordsize="1347,2">
              <v:shape style="position:absolute;left:7537;top:4692;width:1347;height:2" coordorigin="7537,4692" coordsize="1347,0" path="m7537,4692l8884,4692e" filled="false" stroked="true" strokeweight="1.5pt" strokecolor="#000000">
                <v:path arrowok="t"/>
              </v:shape>
              <v:shape style="position:absolute;left:8862;top:3719;width:53;height:979" type="#_x0000_t75" stroked="false">
                <v:imagedata r:id="rId116" o:title=""/>
              </v:shape>
            </v:group>
            <v:group style="position:absolute;left:8884;top:4692;width:1293;height:2" coordorigin="8884,4692" coordsize="1293,2">
              <v:shape style="position:absolute;left:8884;top:4692;width:1293;height:2" coordorigin="8884,4692" coordsize="1293,0" path="m8884,4692l10176,4692e" filled="false" stroked="true" strokeweight="1.5pt" strokecolor="#000000">
                <v:path arrowok="t"/>
              </v:shape>
              <v:shape style="position:absolute;left:4345;top:54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w:t>
                      </w:r>
                    </w:p>
                  </w:txbxContent>
                </v:textbox>
                <w10:wrap type="none"/>
              </v:shape>
              <v:shape style="position:absolute;left:7709;top:54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占其他应收款</w:t>
                      </w:r>
                    </w:p>
                  </w:txbxContent>
                </v:textbox>
                <w10:wrap type="none"/>
              </v:shape>
              <v:shape style="position:absolute;left:2518;top:731;width:7595;height:1989" type="#_x0000_t202" filled="false" stroked="false">
                <v:textbox inset="0,0,0,0">
                  <w:txbxContent>
                    <w:p>
                      <w:pPr>
                        <w:tabs>
                          <w:tab w:pos="3044" w:val="left" w:leader="none"/>
                          <w:tab w:pos="4394" w:val="left" w:leader="none"/>
                          <w:tab w:pos="6563" w:val="left" w:leader="none"/>
                        </w:tabs>
                        <w:spacing w:line="156" w:lineRule="exact" w:before="0"/>
                        <w:ind w:left="431" w:right="0" w:firstLine="0"/>
                        <w:jc w:val="left"/>
                        <w:rPr>
                          <w:rFonts w:ascii="宋体" w:hAnsi="宋体" w:cs="宋体" w:eastAsia="宋体" w:hint="default"/>
                          <w:sz w:val="18"/>
                          <w:szCs w:val="18"/>
                        </w:rPr>
                      </w:pPr>
                      <w:r>
                        <w:rPr>
                          <w:rFonts w:ascii="宋体" w:hAnsi="宋体" w:cs="宋体" w:eastAsia="宋体" w:hint="default"/>
                          <w:sz w:val="18"/>
                          <w:szCs w:val="18"/>
                        </w:rPr>
                        <w:t>单位名称</w:t>
                        <w:tab/>
                        <w:t>账面余额</w:t>
                        <w:tab/>
                        <w:t>账龄</w:t>
                        <w:tab/>
                        <w:t>性质或内容</w:t>
                      </w:r>
                    </w:p>
                    <w:p>
                      <w:pPr>
                        <w:tabs>
                          <w:tab w:pos="5146" w:val="left" w:leader="none"/>
                        </w:tabs>
                        <w:spacing w:line="225" w:lineRule="exact" w:before="0"/>
                        <w:ind w:left="2007"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关系</w:t>
                        <w:tab/>
                        <w:t>总额的比例</w:t>
                      </w:r>
                      <w:r>
                        <w:rPr>
                          <w:rFonts w:ascii="Times New Roman" w:hAnsi="Times New Roman" w:cs="Times New Roman" w:eastAsia="Times New Roman" w:hint="default"/>
                          <w:sz w:val="18"/>
                          <w:szCs w:val="18"/>
                        </w:rPr>
                        <w:t>(%)</w:t>
                      </w:r>
                    </w:p>
                    <w:p>
                      <w:pPr>
                        <w:tabs>
                          <w:tab w:pos="6478" w:val="left" w:leader="none"/>
                        </w:tabs>
                        <w:spacing w:line="196" w:lineRule="exact" w:before="103"/>
                        <w:ind w:left="1827" w:right="0" w:firstLine="0"/>
                        <w:jc w:val="left"/>
                        <w:rPr>
                          <w:rFonts w:ascii="宋体" w:hAnsi="宋体" w:cs="宋体" w:eastAsia="宋体" w:hint="default"/>
                          <w:sz w:val="18"/>
                          <w:szCs w:val="18"/>
                        </w:rPr>
                      </w:pPr>
                      <w:r>
                        <w:rPr>
                          <w:rFonts w:ascii="宋体" w:hAnsi="宋体" w:cs="宋体" w:eastAsia="宋体" w:hint="default"/>
                          <w:sz w:val="18"/>
                          <w:szCs w:val="18"/>
                        </w:rPr>
                        <w:t>税收主管</w:t>
                        <w:tab/>
                      </w:r>
                      <w:r>
                        <w:rPr>
                          <w:rFonts w:ascii="宋体" w:hAnsi="宋体" w:cs="宋体" w:eastAsia="宋体" w:hint="default"/>
                          <w:spacing w:val="34"/>
                          <w:sz w:val="18"/>
                          <w:szCs w:val="18"/>
                        </w:rPr>
                        <w:t>软件增值税</w:t>
                      </w:r>
                      <w:r>
                        <w:rPr>
                          <w:rFonts w:ascii="宋体" w:hAnsi="宋体" w:cs="宋体" w:eastAsia="宋体" w:hint="default"/>
                          <w:spacing w:val="-47"/>
                          <w:sz w:val="18"/>
                          <w:szCs w:val="18"/>
                        </w:rPr>
                        <w:t> </w:t>
                      </w:r>
                      <w:r>
                        <w:rPr>
                          <w:rFonts w:ascii="宋体" w:hAnsi="宋体" w:cs="宋体" w:eastAsia="宋体" w:hint="default"/>
                          <w:sz w:val="18"/>
                          <w:szCs w:val="18"/>
                        </w:rPr>
                      </w:r>
                    </w:p>
                    <w:p>
                      <w:pPr>
                        <w:tabs>
                          <w:tab w:pos="3071" w:val="left" w:leader="none"/>
                          <w:tab w:pos="4237" w:val="left" w:leader="none"/>
                          <w:tab w:pos="6263" w:val="right" w:leader="none"/>
                        </w:tabs>
                        <w:spacing w:line="209"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广州市国家税务局</w:t>
                        <w:tab/>
                      </w:r>
                      <w:r>
                        <w:rPr>
                          <w:rFonts w:ascii="Times New Roman" w:hAnsi="Times New Roman" w:cs="Times New Roman" w:eastAsia="Times New Roman" w:hint="default"/>
                          <w:spacing w:val="-1"/>
                          <w:sz w:val="18"/>
                          <w:szCs w:val="18"/>
                        </w:rPr>
                        <w:t>4,812,871.88</w:t>
                        <w:tab/>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ab/>
                        <w:t>17.97</w:t>
                      </w:r>
                    </w:p>
                    <w:p>
                      <w:pPr>
                        <w:spacing w:line="240" w:lineRule="auto" w:before="6"/>
                        <w:rPr>
                          <w:rFonts w:ascii="宋体" w:hAnsi="宋体" w:cs="宋体" w:eastAsia="宋体" w:hint="default"/>
                          <w:b/>
                          <w:bCs/>
                          <w:sz w:val="17"/>
                          <w:szCs w:val="17"/>
                        </w:rPr>
                      </w:pPr>
                    </w:p>
                    <w:p>
                      <w:pPr>
                        <w:spacing w:line="316" w:lineRule="auto" w:before="0"/>
                        <w:ind w:left="0" w:right="5988" w:firstLine="0"/>
                        <w:jc w:val="left"/>
                        <w:rPr>
                          <w:rFonts w:ascii="宋体" w:hAnsi="宋体" w:cs="宋体" w:eastAsia="宋体" w:hint="default"/>
                          <w:sz w:val="18"/>
                          <w:szCs w:val="18"/>
                        </w:rPr>
                      </w:pPr>
                      <w:r>
                        <w:rPr>
                          <w:rFonts w:ascii="宋体" w:hAnsi="宋体" w:cs="宋体" w:eastAsia="宋体" w:hint="default"/>
                          <w:spacing w:val="17"/>
                          <w:sz w:val="18"/>
                          <w:szCs w:val="18"/>
                        </w:rPr>
                        <w:t>广州银华纺织有限</w:t>
                      </w:r>
                      <w:r>
                        <w:rPr>
                          <w:rFonts w:ascii="宋体" w:hAnsi="宋体" w:cs="宋体" w:eastAsia="宋体" w:hint="default"/>
                          <w:spacing w:val="-85"/>
                          <w:sz w:val="18"/>
                          <w:szCs w:val="18"/>
                        </w:rPr>
                        <w:t> </w:t>
                      </w:r>
                      <w:r>
                        <w:rPr>
                          <w:rFonts w:ascii="宋体" w:hAnsi="宋体" w:cs="宋体" w:eastAsia="宋体" w:hint="default"/>
                          <w:sz w:val="18"/>
                          <w:szCs w:val="18"/>
                        </w:rPr>
                        <w:t>公司</w:t>
                      </w:r>
                    </w:p>
                    <w:p>
                      <w:pPr>
                        <w:spacing w:before="29"/>
                        <w:ind w:left="0" w:right="0" w:firstLine="0"/>
                        <w:jc w:val="left"/>
                        <w:rPr>
                          <w:rFonts w:ascii="宋体" w:hAnsi="宋体" w:cs="宋体" w:eastAsia="宋体" w:hint="default"/>
                          <w:sz w:val="18"/>
                          <w:szCs w:val="18"/>
                        </w:rPr>
                      </w:pPr>
                      <w:r>
                        <w:rPr>
                          <w:rFonts w:ascii="宋体" w:hAnsi="宋体" w:cs="宋体" w:eastAsia="宋体" w:hint="default"/>
                          <w:sz w:val="18"/>
                          <w:szCs w:val="18"/>
                        </w:rPr>
                        <w:t>周平世</w:t>
                      </w:r>
                    </w:p>
                  </w:txbxContent>
                </v:textbox>
                <w10:wrap type="none"/>
              </v:shape>
              <v:shape style="position:absolute;left:2518;top:317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郭秦</w:t>
                      </w:r>
                    </w:p>
                  </w:txbxContent>
                </v:textbox>
                <w10:wrap type="none"/>
              </v:shape>
              <v:shape style="position:absolute;left:2518;top:3963;width:1605;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广东恒润华创实业</w:t>
                      </w:r>
                      <w:r>
                        <w:rPr>
                          <w:rFonts w:ascii="宋体" w:hAnsi="宋体" w:cs="宋体" w:eastAsia="宋体" w:hint="default"/>
                          <w:spacing w:val="-70"/>
                          <w:sz w:val="18"/>
                          <w:szCs w:val="18"/>
                        </w:rPr>
                        <w:t> </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发展有限公司</w:t>
                      </w:r>
                    </w:p>
                  </w:txbxContent>
                </v:textbox>
                <w10:wrap type="none"/>
              </v:shape>
            </v:group>
            <w10:wrap type="none"/>
          </v:group>
        </w:pict>
      </w: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其他应收款金额前五名单位情况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0"/>
          <w:szCs w:val="10"/>
        </w:rPr>
      </w:pPr>
    </w:p>
    <w:tbl>
      <w:tblPr>
        <w:tblW w:w="0" w:type="auto"/>
        <w:jc w:val="left"/>
        <w:tblInd w:w="2830" w:type="dxa"/>
        <w:tblLayout w:type="fixed"/>
        <w:tblCellMar>
          <w:top w:w="0" w:type="dxa"/>
          <w:left w:w="0" w:type="dxa"/>
          <w:bottom w:w="0" w:type="dxa"/>
          <w:right w:w="0" w:type="dxa"/>
        </w:tblCellMar>
        <w:tblLook w:val="01E0"/>
      </w:tblPr>
      <w:tblGrid>
        <w:gridCol w:w="814"/>
        <w:gridCol w:w="1340"/>
        <w:gridCol w:w="1303"/>
        <w:gridCol w:w="941"/>
        <w:gridCol w:w="1042"/>
      </w:tblGrid>
      <w:tr>
        <w:trPr>
          <w:trHeight w:val="812" w:hRule="exact"/>
        </w:trPr>
        <w:tc>
          <w:tcPr>
            <w:tcW w:w="814" w:type="dxa"/>
            <w:tcBorders>
              <w:top w:val="nil" w:sz="6" w:space="0" w:color="auto"/>
              <w:left w:val="nil" w:sz="6" w:space="0" w:color="auto"/>
              <w:bottom w:val="nil" w:sz="6" w:space="0" w:color="auto"/>
              <w:right w:val="nil" w:sz="6" w:space="0" w:color="auto"/>
            </w:tcBorders>
          </w:tcPr>
          <w:p>
            <w:pPr>
              <w:pStyle w:val="TableParagraph"/>
              <w:spacing w:line="180" w:lineRule="exact"/>
              <w:ind w:left="125" w:right="0" w:hanging="90"/>
              <w:jc w:val="left"/>
              <w:rPr>
                <w:rFonts w:ascii="宋体" w:hAnsi="宋体" w:cs="宋体" w:eastAsia="宋体" w:hint="default"/>
                <w:sz w:val="18"/>
                <w:szCs w:val="18"/>
              </w:rPr>
            </w:pPr>
            <w:r>
              <w:rPr>
                <w:rFonts w:ascii="宋体" w:hAnsi="宋体" w:cs="宋体" w:eastAsia="宋体" w:hint="default"/>
                <w:sz w:val="18"/>
                <w:szCs w:val="18"/>
              </w:rPr>
              <w:t>部门</w:t>
            </w: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125"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450,000.00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406"/>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1.68</w:t>
            </w:r>
          </w:p>
        </w:tc>
        <w:tc>
          <w:tcPr>
            <w:tcW w:w="1042" w:type="dxa"/>
            <w:tcBorders>
              <w:top w:val="nil" w:sz="6" w:space="0" w:color="auto"/>
              <w:left w:val="nil" w:sz="6" w:space="0" w:color="auto"/>
              <w:bottom w:val="nil" w:sz="6" w:space="0" w:color="auto"/>
              <w:right w:val="nil" w:sz="6" w:space="0" w:color="auto"/>
            </w:tcBorders>
          </w:tcPr>
          <w:p>
            <w:pPr>
              <w:pStyle w:val="TableParagraph"/>
              <w:spacing w:line="180" w:lineRule="exact"/>
              <w:ind w:left="107" w:right="0"/>
              <w:jc w:val="left"/>
              <w:rPr>
                <w:rFonts w:ascii="宋体" w:hAnsi="宋体" w:cs="宋体" w:eastAsia="宋体" w:hint="default"/>
                <w:sz w:val="18"/>
                <w:szCs w:val="18"/>
              </w:rPr>
            </w:pPr>
            <w:r>
              <w:rPr>
                <w:rFonts w:ascii="宋体" w:hAnsi="宋体" w:cs="宋体" w:eastAsia="宋体" w:hint="default"/>
                <w:sz w:val="18"/>
                <w:szCs w:val="18"/>
              </w:rPr>
              <w:t>退税</w:t>
            </w: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厂房租金</w:t>
            </w:r>
          </w:p>
        </w:tc>
      </w:tr>
      <w:tr>
        <w:trPr>
          <w:trHeight w:val="400" w:hRule="exact"/>
        </w:trPr>
        <w:tc>
          <w:tcPr>
            <w:tcW w:w="81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宋体" w:hAnsi="宋体" w:cs="宋体" w:eastAsia="宋体" w:hint="default"/>
                <w:sz w:val="18"/>
                <w:szCs w:val="18"/>
              </w:rPr>
            </w:pPr>
            <w:r>
              <w:rPr>
                <w:rFonts w:ascii="宋体" w:hAnsi="宋体" w:cs="宋体" w:eastAsia="宋体" w:hint="default"/>
                <w:sz w:val="18"/>
                <w:szCs w:val="18"/>
              </w:rPr>
              <w:t>职员</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7"/>
              <w:jc w:val="right"/>
              <w:rPr>
                <w:rFonts w:ascii="Times New Roman" w:hAnsi="Times New Roman" w:cs="Times New Roman" w:eastAsia="Times New Roman" w:hint="default"/>
                <w:sz w:val="18"/>
                <w:szCs w:val="18"/>
              </w:rPr>
            </w:pPr>
            <w:r>
              <w:rPr>
                <w:rFonts w:ascii="Times New Roman"/>
                <w:sz w:val="18"/>
              </w:rPr>
              <w:t>426,500.00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06"/>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8"/>
                <w:szCs w:val="18"/>
              </w:rPr>
            </w:pPr>
            <w:r>
              <w:rPr>
                <w:rFonts w:ascii="Times New Roman"/>
                <w:sz w:val="18"/>
              </w:rPr>
              <w:t>1.59</w:t>
            </w: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3"/>
              <w:jc w:val="right"/>
              <w:rPr>
                <w:rFonts w:ascii="宋体" w:hAnsi="宋体" w:cs="宋体" w:eastAsia="宋体" w:hint="default"/>
                <w:sz w:val="18"/>
                <w:szCs w:val="18"/>
              </w:rPr>
            </w:pPr>
            <w:r>
              <w:rPr>
                <w:rFonts w:ascii="宋体" w:hAnsi="宋体" w:cs="宋体" w:eastAsia="宋体" w:hint="default"/>
                <w:sz w:val="18"/>
                <w:szCs w:val="18"/>
              </w:rPr>
              <w:t>借支备用金</w:t>
            </w:r>
          </w:p>
        </w:tc>
      </w:tr>
      <w:tr>
        <w:trPr>
          <w:trHeight w:val="629" w:hRule="exact"/>
        </w:trPr>
        <w:tc>
          <w:tcPr>
            <w:tcW w:w="8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职员</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107"/>
              <w:jc w:val="right"/>
              <w:rPr>
                <w:rFonts w:ascii="Times New Roman" w:hAnsi="Times New Roman" w:cs="Times New Roman" w:eastAsia="Times New Roman" w:hint="default"/>
                <w:sz w:val="18"/>
                <w:szCs w:val="18"/>
              </w:rPr>
            </w:pPr>
            <w:r>
              <w:rPr>
                <w:rFonts w:ascii="Times New Roman"/>
                <w:sz w:val="18"/>
              </w:rPr>
              <w:t>314,505.20</w:t>
            </w:r>
          </w:p>
        </w:tc>
        <w:tc>
          <w:tcPr>
            <w:tcW w:w="1303" w:type="dxa"/>
            <w:tcBorders>
              <w:top w:val="nil" w:sz="6" w:space="0" w:color="auto"/>
              <w:left w:val="nil" w:sz="6" w:space="0" w:color="auto"/>
              <w:bottom w:val="nil" w:sz="6" w:space="0" w:color="auto"/>
              <w:right w:val="nil" w:sz="6" w:space="0" w:color="auto"/>
            </w:tcBorders>
          </w:tcPr>
          <w:p>
            <w:pPr>
              <w:pStyle w:val="TableParagraph"/>
              <w:spacing w:line="300" w:lineRule="auto" w:before="10"/>
              <w:ind w:left="146" w:right="553" w:firstLine="52"/>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 内、</w:t>
            </w:r>
            <w:r>
              <w:rPr>
                <w:rFonts w:ascii="Times New Roman" w:hAnsi="Times New Roman" w:cs="Times New Roman" w:eastAsia="Times New Roman" w:hint="default"/>
                <w:sz w:val="18"/>
                <w:szCs w:val="18"/>
              </w:rPr>
              <w:t>1-2</w:t>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105"/>
              <w:jc w:val="right"/>
              <w:rPr>
                <w:rFonts w:ascii="Times New Roman" w:hAnsi="Times New Roman" w:cs="Times New Roman" w:eastAsia="Times New Roman" w:hint="default"/>
                <w:sz w:val="18"/>
                <w:szCs w:val="18"/>
              </w:rPr>
            </w:pPr>
            <w:r>
              <w:rPr>
                <w:rFonts w:ascii="Times New Roman"/>
                <w:sz w:val="18"/>
              </w:rPr>
              <w:t>1.17</w:t>
            </w: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sz w:val="18"/>
                <w:szCs w:val="18"/>
              </w:rPr>
              <w:t>借支备用金</w:t>
            </w:r>
          </w:p>
        </w:tc>
      </w:tr>
      <w:tr>
        <w:trPr>
          <w:trHeight w:val="312" w:hRule="exact"/>
        </w:trPr>
        <w:tc>
          <w:tcPr>
            <w:tcW w:w="814"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06"/>
              <w:jc w:val="center"/>
              <w:rPr>
                <w:rFonts w:ascii="宋体" w:hAnsi="宋体" w:cs="宋体" w:eastAsia="宋体" w:hint="default"/>
                <w:sz w:val="18"/>
                <w:szCs w:val="18"/>
              </w:rPr>
            </w:pPr>
            <w:r>
              <w:rPr>
                <w:rFonts w:ascii="宋体" w:hAnsi="宋体" w:cs="宋体" w:eastAsia="宋体" w:hint="default"/>
                <w:sz w:val="18"/>
                <w:szCs w:val="18"/>
              </w:rPr>
              <w:t>年</w:t>
            </w:r>
          </w:p>
        </w:tc>
        <w:tc>
          <w:tcPr>
            <w:tcW w:w="941"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r>
      <w:tr>
        <w:trPr>
          <w:trHeight w:val="634" w:hRule="exact"/>
        </w:trPr>
        <w:tc>
          <w:tcPr>
            <w:tcW w:w="81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5"/>
                <w:szCs w:val="25"/>
              </w:rPr>
            </w:pPr>
          </w:p>
          <w:p>
            <w:pPr>
              <w:pStyle w:val="TableParagraph"/>
              <w:spacing w:line="240" w:lineRule="auto"/>
              <w:ind w:left="125"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7"/>
              <w:jc w:val="right"/>
              <w:rPr>
                <w:rFonts w:ascii="Times New Roman" w:hAnsi="Times New Roman" w:cs="Times New Roman" w:eastAsia="Times New Roman" w:hint="default"/>
                <w:sz w:val="18"/>
                <w:szCs w:val="18"/>
              </w:rPr>
            </w:pPr>
            <w:r>
              <w:rPr>
                <w:rFonts w:ascii="Times New Roman"/>
                <w:sz w:val="18"/>
              </w:rPr>
              <w:t>238,088.07</w:t>
            </w:r>
          </w:p>
        </w:tc>
        <w:tc>
          <w:tcPr>
            <w:tcW w:w="1303" w:type="dxa"/>
            <w:tcBorders>
              <w:top w:val="nil" w:sz="6" w:space="0" w:color="auto"/>
              <w:left w:val="nil" w:sz="6" w:space="0" w:color="auto"/>
              <w:bottom w:val="nil" w:sz="6" w:space="0" w:color="auto"/>
              <w:right w:val="nil" w:sz="6" w:space="0" w:color="auto"/>
            </w:tcBorders>
          </w:tcPr>
          <w:p>
            <w:pPr>
              <w:pStyle w:val="TableParagraph"/>
              <w:spacing w:line="300" w:lineRule="auto" w:before="15"/>
              <w:ind w:left="146" w:right="553" w:firstLine="52"/>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 内、</w:t>
            </w:r>
            <w:r>
              <w:rPr>
                <w:rFonts w:ascii="Times New Roman" w:hAnsi="Times New Roman" w:cs="Times New Roman" w:eastAsia="Times New Roman" w:hint="default"/>
                <w:sz w:val="18"/>
                <w:szCs w:val="18"/>
              </w:rPr>
              <w:t>1-2</w:t>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1"/>
              <w:ind w:right="105"/>
              <w:jc w:val="right"/>
              <w:rPr>
                <w:rFonts w:ascii="Times New Roman" w:hAnsi="Times New Roman" w:cs="Times New Roman" w:eastAsia="Times New Roman" w:hint="default"/>
                <w:sz w:val="18"/>
                <w:szCs w:val="18"/>
              </w:rPr>
            </w:pPr>
            <w:r>
              <w:rPr>
                <w:rFonts w:ascii="Times New Roman"/>
                <w:sz w:val="18"/>
              </w:rPr>
              <w:t>0.89</w:t>
            </w: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5"/>
                <w:szCs w:val="25"/>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sz w:val="18"/>
                <w:szCs w:val="18"/>
              </w:rPr>
              <w:t>场租保证金</w:t>
            </w:r>
          </w:p>
        </w:tc>
      </w:tr>
      <w:tr>
        <w:trPr>
          <w:trHeight w:val="322" w:hRule="exact"/>
        </w:trPr>
        <w:tc>
          <w:tcPr>
            <w:tcW w:w="814"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06"/>
              <w:jc w:val="center"/>
              <w:rPr>
                <w:rFonts w:ascii="宋体" w:hAnsi="宋体" w:cs="宋体" w:eastAsia="宋体" w:hint="default"/>
                <w:sz w:val="18"/>
                <w:szCs w:val="18"/>
              </w:rPr>
            </w:pPr>
            <w:r>
              <w:rPr>
                <w:rFonts w:ascii="宋体" w:hAnsi="宋体" w:cs="宋体" w:eastAsia="宋体" w:hint="default"/>
                <w:sz w:val="18"/>
                <w:szCs w:val="18"/>
              </w:rPr>
              <w:t>年</w:t>
            </w:r>
          </w:p>
        </w:tc>
        <w:tc>
          <w:tcPr>
            <w:tcW w:w="941"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5"/>
          <w:szCs w:val="15"/>
        </w:rPr>
      </w:pPr>
    </w:p>
    <w:p>
      <w:pPr>
        <w:tabs>
          <w:tab w:pos="1396" w:val="left" w:leader="none"/>
        </w:tabs>
        <w:spacing w:before="0"/>
        <w:ind w:left="857" w:right="2389" w:firstLine="0"/>
        <w:jc w:val="left"/>
        <w:rPr>
          <w:rFonts w:ascii="宋体" w:hAnsi="宋体" w:cs="宋体" w:eastAsia="宋体" w:hint="default"/>
          <w:sz w:val="21"/>
          <w:szCs w:val="21"/>
        </w:rPr>
      </w:pPr>
      <w:r>
        <w:rPr/>
        <w:pict>
          <v:group style="position:absolute;margin-left:119.040001pt;margin-top:15.443822pt;width:390.9pt;height:116.8pt;mso-position-horizontal-relative:page;mso-position-vertical-relative:paragraph;z-index:-817336" coordorigin="2381,309" coordsize="7818,2336">
            <v:shape style="position:absolute;left:4176;top:309;width:3469;height:432" type="#_x0000_t75" stroked="false">
              <v:imagedata r:id="rId117" o:title=""/>
            </v:shape>
            <v:shape style="position:absolute;left:2381;top:683;width:7818;height:1961" type="#_x0000_t75" stroked="false">
              <v:imagedata r:id="rId118" o:title=""/>
            </v:shape>
            <w10:wrap type="none"/>
          </v:group>
        </w:pict>
      </w:r>
      <w:r>
        <w:rPr>
          <w:rFonts w:ascii="Times New Roman" w:hAnsi="Times New Roman" w:cs="Times New Roman" w:eastAsia="Times New Roman" w:hint="default"/>
          <w:b/>
          <w:bCs/>
          <w:w w:val="95"/>
          <w:sz w:val="21"/>
          <w:szCs w:val="21"/>
        </w:rPr>
        <w:t>7</w:t>
      </w:r>
      <w:r>
        <w:rPr>
          <w:rFonts w:ascii="宋体" w:hAnsi="宋体" w:cs="宋体" w:eastAsia="宋体" w:hint="default"/>
          <w:b/>
          <w:bCs/>
          <w:w w:val="95"/>
          <w:sz w:val="21"/>
          <w:szCs w:val="21"/>
        </w:rPr>
        <w:t>、</w:t>
        <w:tab/>
      </w:r>
      <w:r>
        <w:rPr>
          <w:rFonts w:ascii="宋体" w:hAnsi="宋体" w:cs="宋体" w:eastAsia="宋体" w:hint="default"/>
          <w:b/>
          <w:bCs/>
          <w:sz w:val="21"/>
          <w:szCs w:val="21"/>
        </w:rPr>
        <w:t>应收关联方账款情况</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tbl>
      <w:tblPr>
        <w:tblW w:w="0" w:type="auto"/>
        <w:jc w:val="left"/>
        <w:tblInd w:w="749" w:type="dxa"/>
        <w:tblLayout w:type="fixed"/>
        <w:tblCellMar>
          <w:top w:w="0" w:type="dxa"/>
          <w:left w:w="0" w:type="dxa"/>
          <w:bottom w:w="0" w:type="dxa"/>
          <w:right w:w="0" w:type="dxa"/>
        </w:tblCellMar>
        <w:tblLook w:val="01E0"/>
      </w:tblPr>
      <w:tblGrid>
        <w:gridCol w:w="1665"/>
        <w:gridCol w:w="1885"/>
        <w:gridCol w:w="1674"/>
        <w:gridCol w:w="2530"/>
      </w:tblGrid>
      <w:tr>
        <w:trPr>
          <w:trHeight w:val="720" w:hRule="exact"/>
        </w:trPr>
        <w:tc>
          <w:tcPr>
            <w:tcW w:w="1665" w:type="dxa"/>
            <w:tcBorders>
              <w:top w:val="single" w:sz="12" w:space="0" w:color="000000"/>
              <w:left w:val="nil" w:sz="6" w:space="0" w:color="auto"/>
              <w:bottom w:val="nil" w:sz="6" w:space="0" w:color="auto"/>
              <w:right w:val="nil" w:sz="6" w:space="0" w:color="auto"/>
            </w:tcBorders>
          </w:tcPr>
          <w:p>
            <w:pPr>
              <w:pStyle w:val="TableParagraph"/>
              <w:spacing w:line="360" w:lineRule="auto" w:before="41"/>
              <w:ind w:left="107" w:right="404" w:firstLine="432"/>
              <w:jc w:val="left"/>
              <w:rPr>
                <w:rFonts w:ascii="宋体" w:hAnsi="宋体" w:cs="宋体" w:eastAsia="宋体" w:hint="default"/>
                <w:sz w:val="18"/>
                <w:szCs w:val="18"/>
              </w:rPr>
            </w:pPr>
            <w:r>
              <w:rPr>
                <w:rFonts w:ascii="宋体" w:hAnsi="宋体" w:cs="宋体" w:eastAsia="宋体" w:hint="default"/>
                <w:sz w:val="18"/>
                <w:szCs w:val="18"/>
              </w:rPr>
              <w:t>单位名称 张成虎</w:t>
            </w:r>
          </w:p>
        </w:tc>
        <w:tc>
          <w:tcPr>
            <w:tcW w:w="1885" w:type="dxa"/>
            <w:tcBorders>
              <w:top w:val="single" w:sz="12" w:space="0" w:color="000000"/>
              <w:left w:val="nil" w:sz="6" w:space="0" w:color="auto"/>
              <w:bottom w:val="nil" w:sz="6" w:space="0" w:color="auto"/>
              <w:right w:val="nil" w:sz="6" w:space="0" w:color="auto"/>
            </w:tcBorders>
          </w:tcPr>
          <w:p>
            <w:pPr>
              <w:pStyle w:val="TableParagraph"/>
              <w:spacing w:line="360" w:lineRule="auto" w:before="41"/>
              <w:ind w:left="405" w:right="398"/>
              <w:jc w:val="left"/>
              <w:rPr>
                <w:rFonts w:ascii="宋体" w:hAnsi="宋体" w:cs="宋体" w:eastAsia="宋体" w:hint="default"/>
                <w:sz w:val="18"/>
                <w:szCs w:val="18"/>
              </w:rPr>
            </w:pPr>
            <w:r>
              <w:rPr>
                <w:rFonts w:ascii="宋体" w:hAnsi="宋体" w:cs="宋体" w:eastAsia="宋体" w:hint="default"/>
                <w:sz w:val="18"/>
                <w:szCs w:val="18"/>
              </w:rPr>
              <w:t>与本公司关系 关键管理人员</w:t>
            </w:r>
          </w:p>
        </w:tc>
        <w:tc>
          <w:tcPr>
            <w:tcW w:w="167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00" w:right="0"/>
              <w:jc w:val="left"/>
              <w:rPr>
                <w:rFonts w:ascii="宋体" w:hAnsi="宋体" w:cs="宋体" w:eastAsia="宋体" w:hint="default"/>
                <w:sz w:val="18"/>
                <w:szCs w:val="18"/>
              </w:rPr>
            </w:pPr>
            <w:r>
              <w:rPr>
                <w:rFonts w:ascii="宋体" w:hAnsi="宋体" w:cs="宋体" w:eastAsia="宋体" w:hint="default"/>
                <w:sz w:val="18"/>
                <w:szCs w:val="18"/>
              </w:rPr>
              <w:t>账面余额</w:t>
            </w:r>
          </w:p>
          <w:p>
            <w:pPr>
              <w:pStyle w:val="TableParagraph"/>
              <w:spacing w:line="240" w:lineRule="auto" w:before="157"/>
              <w:ind w:left="823" w:right="0"/>
              <w:jc w:val="left"/>
              <w:rPr>
                <w:rFonts w:ascii="Times New Roman" w:hAnsi="Times New Roman" w:cs="Times New Roman" w:eastAsia="Times New Roman" w:hint="default"/>
                <w:sz w:val="18"/>
                <w:szCs w:val="18"/>
              </w:rPr>
            </w:pPr>
            <w:r>
              <w:rPr>
                <w:rFonts w:ascii="Times New Roman"/>
                <w:sz w:val="18"/>
              </w:rPr>
              <w:t>65,196.15</w:t>
            </w:r>
          </w:p>
        </w:tc>
        <w:tc>
          <w:tcPr>
            <w:tcW w:w="253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49"/>
              <w:jc w:val="righ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占其他应收款总额的比例</w:t>
            </w:r>
            <w:r>
              <w:rPr>
                <w:rFonts w:ascii="Times New Roman" w:hAnsi="Times New Roman" w:cs="Times New Roman" w:eastAsia="Times New Roman" w:hint="default"/>
                <w:sz w:val="18"/>
                <w:szCs w:val="18"/>
              </w:rPr>
              <w:t>(%)</w:t>
            </w:r>
          </w:p>
          <w:p>
            <w:pPr>
              <w:pStyle w:val="TableParagraph"/>
              <w:spacing w:line="240" w:lineRule="auto" w:before="143"/>
              <w:ind w:right="104"/>
              <w:jc w:val="right"/>
              <w:rPr>
                <w:rFonts w:ascii="Times New Roman" w:hAnsi="Times New Roman" w:cs="Times New Roman" w:eastAsia="Times New Roman" w:hint="default"/>
                <w:sz w:val="18"/>
                <w:szCs w:val="18"/>
              </w:rPr>
            </w:pPr>
            <w:r>
              <w:rPr>
                <w:rFonts w:ascii="Times New Roman"/>
                <w:sz w:val="18"/>
              </w:rPr>
              <w:t>0.24</w:t>
            </w:r>
          </w:p>
        </w:tc>
      </w:tr>
      <w:tr>
        <w:trPr>
          <w:trHeight w:val="322"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梁晓芹</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关键管理人员</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7"/>
              <w:jc w:val="right"/>
              <w:rPr>
                <w:rFonts w:ascii="Times New Roman" w:hAnsi="Times New Roman" w:cs="Times New Roman" w:eastAsia="Times New Roman" w:hint="default"/>
                <w:sz w:val="18"/>
                <w:szCs w:val="18"/>
              </w:rPr>
            </w:pPr>
            <w:r>
              <w:rPr>
                <w:rFonts w:ascii="Times New Roman"/>
                <w:sz w:val="18"/>
              </w:rPr>
              <w:t>6,000.00</w:t>
            </w:r>
          </w:p>
        </w:tc>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0.02</w:t>
            </w:r>
          </w:p>
        </w:tc>
      </w:tr>
      <w:tr>
        <w:trPr>
          <w:trHeight w:val="322"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宋体" w:hAnsi="宋体" w:cs="宋体" w:eastAsia="宋体" w:hint="default"/>
                <w:sz w:val="18"/>
                <w:szCs w:val="18"/>
              </w:rPr>
              <w:t>高永坚</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 w:right="0"/>
              <w:jc w:val="center"/>
              <w:rPr>
                <w:rFonts w:ascii="宋体" w:hAnsi="宋体" w:cs="宋体" w:eastAsia="宋体" w:hint="default"/>
                <w:sz w:val="18"/>
                <w:szCs w:val="18"/>
              </w:rPr>
            </w:pPr>
            <w:r>
              <w:rPr>
                <w:rFonts w:ascii="宋体" w:hAnsi="宋体" w:cs="宋体" w:eastAsia="宋体" w:hint="default"/>
                <w:sz w:val="18"/>
                <w:szCs w:val="18"/>
              </w:rPr>
              <w:t>关键管理人员</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26"/>
              <w:jc w:val="right"/>
              <w:rPr>
                <w:rFonts w:ascii="Times New Roman" w:hAnsi="Times New Roman" w:cs="Times New Roman" w:eastAsia="Times New Roman" w:hint="default"/>
                <w:sz w:val="18"/>
                <w:szCs w:val="18"/>
              </w:rPr>
            </w:pPr>
            <w:r>
              <w:rPr>
                <w:rFonts w:ascii="Times New Roman"/>
                <w:sz w:val="18"/>
              </w:rPr>
              <w:t>231,288.28</w:t>
            </w:r>
          </w:p>
        </w:tc>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z w:val="18"/>
              </w:rPr>
              <w:t>0.86</w:t>
            </w:r>
          </w:p>
        </w:tc>
      </w:tr>
      <w:tr>
        <w:trPr>
          <w:trHeight w:val="322"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庞泰松</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关键管理人员</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6"/>
              <w:jc w:val="right"/>
              <w:rPr>
                <w:rFonts w:ascii="Times New Roman" w:hAnsi="Times New Roman" w:cs="Times New Roman" w:eastAsia="Times New Roman" w:hint="default"/>
                <w:sz w:val="18"/>
                <w:szCs w:val="18"/>
              </w:rPr>
            </w:pPr>
            <w:r>
              <w:rPr>
                <w:rFonts w:ascii="Times New Roman"/>
                <w:sz w:val="18"/>
              </w:rPr>
              <w:t>224,490.24</w:t>
            </w:r>
          </w:p>
        </w:tc>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0.84</w:t>
            </w:r>
          </w:p>
        </w:tc>
      </w:tr>
      <w:tr>
        <w:trPr>
          <w:trHeight w:val="322"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徐德银</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关键管理人员</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6"/>
              <w:jc w:val="right"/>
              <w:rPr>
                <w:rFonts w:ascii="Times New Roman" w:hAnsi="Times New Roman" w:cs="Times New Roman" w:eastAsia="Times New Roman" w:hint="default"/>
                <w:sz w:val="18"/>
                <w:szCs w:val="18"/>
              </w:rPr>
            </w:pPr>
            <w:r>
              <w:rPr>
                <w:rFonts w:ascii="Times New Roman"/>
                <w:sz w:val="18"/>
              </w:rPr>
              <w:t>139,663.99</w:t>
            </w:r>
          </w:p>
        </w:tc>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0.52</w:t>
            </w:r>
          </w:p>
        </w:tc>
      </w:tr>
      <w:tr>
        <w:trPr>
          <w:trHeight w:val="329" w:hRule="exact"/>
        </w:trPr>
        <w:tc>
          <w:tcPr>
            <w:tcW w:w="1665"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left="13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885" w:type="dxa"/>
            <w:tcBorders>
              <w:top w:val="nil" w:sz="6" w:space="0" w:color="auto"/>
              <w:left w:val="nil" w:sz="6" w:space="0" w:color="auto"/>
              <w:bottom w:val="single" w:sz="12" w:space="0" w:color="000000"/>
              <w:right w:val="nil" w:sz="6" w:space="0" w:color="auto"/>
            </w:tcBorders>
          </w:tcPr>
          <w:p>
            <w:pPr/>
          </w:p>
        </w:tc>
        <w:tc>
          <w:tcPr>
            <w:tcW w:w="1674"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26"/>
              <w:jc w:val="right"/>
              <w:rPr>
                <w:rFonts w:ascii="Times New Roman" w:hAnsi="Times New Roman" w:cs="Times New Roman" w:eastAsia="Times New Roman" w:hint="default"/>
                <w:sz w:val="18"/>
                <w:szCs w:val="18"/>
              </w:rPr>
            </w:pPr>
            <w:r>
              <w:rPr>
                <w:rFonts w:ascii="Times New Roman"/>
                <w:sz w:val="18"/>
              </w:rPr>
              <w:t>666,638.66</w:t>
            </w:r>
          </w:p>
        </w:tc>
        <w:tc>
          <w:tcPr>
            <w:tcW w:w="2530"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z w:val="18"/>
              </w:rPr>
              <w:t>2.48</w:t>
            </w:r>
          </w:p>
        </w:tc>
      </w:tr>
    </w:tbl>
    <w:p>
      <w:pPr>
        <w:tabs>
          <w:tab w:pos="1396" w:val="left" w:leader="none"/>
        </w:tabs>
        <w:spacing w:before="78"/>
        <w:ind w:left="857" w:right="213"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8</w:t>
      </w:r>
      <w:r>
        <w:rPr>
          <w:rFonts w:ascii="宋体" w:hAnsi="宋体" w:cs="宋体" w:eastAsia="宋体" w:hint="default"/>
          <w:b/>
          <w:bCs/>
          <w:w w:val="95"/>
          <w:sz w:val="21"/>
          <w:szCs w:val="21"/>
        </w:rPr>
        <w:t>、</w:t>
        <w:tab/>
      </w:r>
      <w:r>
        <w:rPr>
          <w:rFonts w:ascii="宋体" w:hAnsi="宋体" w:cs="宋体" w:eastAsia="宋体" w:hint="default"/>
          <w:b/>
          <w:bCs/>
          <w:sz w:val="21"/>
          <w:szCs w:val="21"/>
        </w:rPr>
        <w:t>本报告期无因金融资产转移而终止确认的其他应收款情况。</w:t>
      </w:r>
      <w:r>
        <w:rPr>
          <w:rFonts w:ascii="宋体" w:hAnsi="宋体" w:cs="宋体" w:eastAsia="宋体" w:hint="default"/>
          <w:sz w:val="21"/>
          <w:szCs w:val="21"/>
        </w:rPr>
      </w:r>
    </w:p>
    <w:p>
      <w:pPr>
        <w:tabs>
          <w:tab w:pos="1385" w:val="left" w:leader="none"/>
        </w:tabs>
        <w:spacing w:before="109"/>
        <w:ind w:left="857" w:right="213"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9</w:t>
      </w:r>
      <w:r>
        <w:rPr>
          <w:rFonts w:ascii="宋体" w:hAnsi="宋体" w:cs="宋体" w:eastAsia="宋体" w:hint="default"/>
          <w:b/>
          <w:bCs/>
          <w:w w:val="95"/>
          <w:sz w:val="21"/>
          <w:szCs w:val="21"/>
        </w:rPr>
        <w:t>、</w:t>
        <w:tab/>
      </w:r>
      <w:r>
        <w:rPr>
          <w:rFonts w:ascii="宋体" w:hAnsi="宋体" w:cs="宋体" w:eastAsia="宋体" w:hint="default"/>
          <w:b/>
          <w:bCs/>
          <w:sz w:val="21"/>
          <w:szCs w:val="21"/>
        </w:rPr>
        <w:t>本报告期无未全部终止确认的被转移的其他应收款情况。</w:t>
      </w:r>
      <w:r>
        <w:rPr>
          <w:rFonts w:ascii="宋体" w:hAnsi="宋体" w:cs="宋体" w:eastAsia="宋体" w:hint="default"/>
          <w:sz w:val="21"/>
          <w:szCs w:val="21"/>
        </w:rPr>
      </w:r>
    </w:p>
    <w:p>
      <w:pPr>
        <w:spacing w:before="109"/>
        <w:ind w:left="857" w:right="21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w:t>
      </w:r>
      <w:r>
        <w:rPr>
          <w:rFonts w:ascii="宋体" w:hAnsi="宋体" w:cs="宋体" w:eastAsia="宋体" w:hint="default"/>
          <w:b/>
          <w:bCs/>
          <w:spacing w:val="6"/>
          <w:sz w:val="21"/>
          <w:szCs w:val="21"/>
        </w:rPr>
        <w:t> </w:t>
      </w:r>
      <w:r>
        <w:rPr>
          <w:rFonts w:ascii="宋体" w:hAnsi="宋体" w:cs="宋体" w:eastAsia="宋体" w:hint="default"/>
          <w:b/>
          <w:bCs/>
          <w:sz w:val="21"/>
          <w:szCs w:val="21"/>
        </w:rPr>
        <w:t>本报告期无以其他应收款为标的进行证券化的情况。</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853" w:val="left" w:leader="none"/>
        </w:tabs>
        <w:spacing w:before="0"/>
        <w:ind w:left="125" w:right="238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五</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预付款项</w:t>
      </w:r>
      <w:r>
        <w:rPr>
          <w:rFonts w:ascii="宋体" w:hAnsi="宋体" w:cs="宋体" w:eastAsia="宋体" w:hint="default"/>
          <w:sz w:val="21"/>
          <w:szCs w:val="21"/>
        </w:rPr>
      </w:r>
    </w:p>
    <w:p>
      <w:pPr>
        <w:tabs>
          <w:tab w:pos="1396" w:val="left" w:leader="none"/>
        </w:tabs>
        <w:spacing w:before="109"/>
        <w:ind w:left="857" w:right="238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预付款项按账龄列示</w:t>
      </w:r>
      <w:r>
        <w:rPr>
          <w:rFonts w:ascii="宋体" w:hAnsi="宋体" w:cs="宋体" w:eastAsia="宋体" w:hint="default"/>
          <w:sz w:val="21"/>
          <w:szCs w:val="21"/>
        </w:rPr>
      </w:r>
    </w:p>
    <w:p>
      <w:pPr>
        <w:spacing w:line="2740" w:lineRule="exact"/>
        <w:ind w:left="720" w:right="0" w:firstLine="0"/>
        <w:rPr>
          <w:rFonts w:ascii="宋体" w:hAnsi="宋体" w:cs="宋体" w:eastAsia="宋体" w:hint="default"/>
          <w:sz w:val="20"/>
          <w:szCs w:val="20"/>
        </w:rPr>
      </w:pPr>
      <w:r>
        <w:rPr>
          <w:rFonts w:ascii="宋体" w:hAnsi="宋体" w:cs="宋体" w:eastAsia="宋体" w:hint="default"/>
          <w:position w:val="-54"/>
          <w:sz w:val="20"/>
          <w:szCs w:val="20"/>
        </w:rPr>
        <w:pict>
          <v:group style="width:390.85pt;height:137.050pt;mso-position-horizontal-relative:char;mso-position-vertical-relative:line" coordorigin="0,0" coordsize="7817,2741">
            <v:group style="position:absolute;left:29;top:15;width:7755;height:2" coordorigin="29,15" coordsize="7755,2">
              <v:shape style="position:absolute;left:29;top:15;width:7755;height:2" coordorigin="29,15" coordsize="7755,0" path="m29,15l7784,15e" filled="false" stroked="true" strokeweight="1.5pt" strokecolor="#000000">
                <v:path arrowok="t"/>
              </v:shape>
              <v:shape style="position:absolute;left:1726;top:1;width:2977;height:432" type="#_x0000_t75" stroked="false">
                <v:imagedata r:id="rId119" o:title=""/>
              </v:shape>
              <v:shape style="position:absolute;left:1726;top:376;width:6090;height:442" type="#_x0000_t75" stroked="false">
                <v:imagedata r:id="rId120" o:title=""/>
              </v:shape>
              <v:shape style="position:absolute;left:1;top:760;width:7816;height:442" type="#_x0000_t75" stroked="false">
                <v:imagedata r:id="rId121" o:title=""/>
              </v:shape>
            </v:group>
            <v:group style="position:absolute;left:1652;top:1183;width:104;height:375" coordorigin="1652,1183" coordsize="104,375">
              <v:shape style="position:absolute;left:1652;top:1183;width:104;height:375" coordorigin="1652,1183" coordsize="104,375" path="m1652,1558l1755,1558,1755,1183,1652,1183,1652,1558xe" filled="true" fillcolor="#ffffff" stroked="false">
                <v:path arrowok="t"/>
                <v:fill type="solid"/>
              </v:shape>
            </v:group>
            <v:group style="position:absolute;left:29;top:1183;width:108;height:375" coordorigin="29,1183" coordsize="108,375">
              <v:shape style="position:absolute;left:29;top:1183;width:108;height:375" coordorigin="29,1183" coordsize="108,375" path="m29,1558l137,1558,137,1183,29,1183,29,1558xe" filled="true" fillcolor="#ffffff" stroked="false">
                <v:path arrowok="t"/>
                <v:fill type="solid"/>
              </v:shape>
            </v:group>
            <v:group style="position:absolute;left:137;top:1183;width:1515;height:375" coordorigin="137,1183" coordsize="1515,375">
              <v:shape style="position:absolute;left:137;top:1183;width:1515;height:375" coordorigin="137,1183" coordsize="1515,375" path="m137,1558l1652,1558,1652,1183,137,1183,137,1558xe" filled="true" fillcolor="#ffffff" stroked="false">
                <v:path arrowok="t"/>
                <v:fill type="solid"/>
              </v:shape>
            </v:group>
            <v:group style="position:absolute;left:3423;top:1183;width:104;height:375" coordorigin="3423,1183" coordsize="104,375">
              <v:shape style="position:absolute;left:3423;top:1183;width:104;height:375" coordorigin="3423,1183" coordsize="104,375" path="m3423,1558l3526,1558,3526,1183,3423,1183,3423,1558xe" filled="true" fillcolor="#ffffff" stroked="false">
                <v:path arrowok="t"/>
                <v:fill type="solid"/>
              </v:shape>
            </v:group>
            <v:group style="position:absolute;left:1765;top:1183;width:104;height:375" coordorigin="1765,1183" coordsize="104,375">
              <v:shape style="position:absolute;left:1765;top:1183;width:104;height:375" coordorigin="1765,1183" coordsize="104,375" path="m1765,1558l1868,1558,1868,1183,1765,1183,1765,1558xe" filled="true" fillcolor="#ffffff" stroked="false">
                <v:path arrowok="t"/>
                <v:fill type="solid"/>
              </v:shape>
            </v:group>
            <v:group style="position:absolute;left:1868;top:1183;width:1556;height:375" coordorigin="1868,1183" coordsize="1556,375">
              <v:shape style="position:absolute;left:1868;top:1183;width:1556;height:375" coordorigin="1868,1183" coordsize="1556,375" path="m1868,1558l3423,1558,3423,1183,1868,1183,1868,1558xe" filled="true" fillcolor="#ffffff" stroked="false">
                <v:path arrowok="t"/>
                <v:fill type="solid"/>
              </v:shape>
            </v:group>
            <v:group style="position:absolute;left:4562;top:1183;width:104;height:375" coordorigin="4562,1183" coordsize="104,375">
              <v:shape style="position:absolute;left:4562;top:1183;width:104;height:375" coordorigin="4562,1183" coordsize="104,375" path="m4562,1558l4665,1558,4665,1183,4562,1183,4562,1558xe" filled="true" fillcolor="#ffffff" stroked="false">
                <v:path arrowok="t"/>
                <v:fill type="solid"/>
              </v:shape>
            </v:group>
            <v:group style="position:absolute;left:3536;top:1183;width:104;height:375" coordorigin="3536,1183" coordsize="104,375">
              <v:shape style="position:absolute;left:3536;top:1183;width:104;height:375" coordorigin="3536,1183" coordsize="104,375" path="m3536,1558l3639,1558,3639,1183,3536,1183,3536,1558xe" filled="true" fillcolor="#ffffff" stroked="false">
                <v:path arrowok="t"/>
                <v:fill type="solid"/>
              </v:shape>
            </v:group>
            <v:group style="position:absolute;left:3639;top:1183;width:923;height:375" coordorigin="3639,1183" coordsize="923,375">
              <v:shape style="position:absolute;left:3639;top:1183;width:923;height:375" coordorigin="3639,1183" coordsize="923,375" path="m3639,1558l4562,1558,4562,1183,3639,1183,3639,1558xe" filled="true" fillcolor="#ffffff" stroked="false">
                <v:path arrowok="t"/>
                <v:fill type="solid"/>
              </v:shape>
            </v:group>
            <v:group style="position:absolute;left:6542;top:1183;width:104;height:375" coordorigin="6542,1183" coordsize="104,375">
              <v:shape style="position:absolute;left:6542;top:1183;width:104;height:375" coordorigin="6542,1183" coordsize="104,375" path="m6542,1558l6645,1558,6645,1183,6542,1183,6542,1558xe" filled="true" fillcolor="#ffffff" stroked="false">
                <v:path arrowok="t"/>
                <v:fill type="solid"/>
              </v:shape>
            </v:group>
            <v:group style="position:absolute;left:4675;top:1183;width:104;height:375" coordorigin="4675,1183" coordsize="104,375">
              <v:shape style="position:absolute;left:4675;top:1183;width:104;height:375" coordorigin="4675,1183" coordsize="104,375" path="m4675,1558l4778,1558,4778,1183,4675,1183,4675,1558xe" filled="true" fillcolor="#ffffff" stroked="false">
                <v:path arrowok="t"/>
                <v:fill type="solid"/>
              </v:shape>
            </v:group>
            <v:group style="position:absolute;left:4778;top:1183;width:1764;height:375" coordorigin="4778,1183" coordsize="1764,375">
              <v:shape style="position:absolute;left:4778;top:1183;width:1764;height:375" coordorigin="4778,1183" coordsize="1764,375" path="m4778,1183l6542,1183,6542,1558,4778,1558,4778,1183xe" filled="true" fillcolor="#ffffff" stroked="false">
                <v:path arrowok="t"/>
                <v:fill type="solid"/>
              </v:shape>
            </v:group>
            <v:group style="position:absolute;left:7676;top:1183;width:108;height:375" coordorigin="7676,1183" coordsize="108,375">
              <v:shape style="position:absolute;left:7676;top:1183;width:108;height:375" coordorigin="7676,1183" coordsize="108,375" path="m7676,1558l7784,1558,7784,1183,7676,1183,7676,1558xe" filled="true" fillcolor="#ffffff" stroked="false">
                <v:path arrowok="t"/>
                <v:fill type="solid"/>
              </v:shape>
            </v:group>
            <v:group style="position:absolute;left:6655;top:1183;width:104;height:375" coordorigin="6655,1183" coordsize="104,375">
              <v:shape style="position:absolute;left:6655;top:1183;width:104;height:375" coordorigin="6655,1183" coordsize="104,375" path="m6655,1558l6758,1558,6758,1183,6655,1183,6655,1558xe" filled="true" fillcolor="#ffffff" stroked="false">
                <v:path arrowok="t"/>
                <v:fill type="solid"/>
              </v:shape>
            </v:group>
            <v:group style="position:absolute;left:6758;top:1183;width:918;height:375" coordorigin="6758,1183" coordsize="918,375">
              <v:shape style="position:absolute;left:6758;top:1183;width:918;height:375" coordorigin="6758,1183" coordsize="918,375" path="m6758,1558l7676,1558,7676,1183,6758,1183,6758,1558xe" filled="true" fillcolor="#ffffff" stroked="false">
                <v:path arrowok="t"/>
                <v:fill type="solid"/>
              </v:shape>
              <v:shape style="position:absolute;left:1;top:1153;width:7816;height:817" type="#_x0000_t75" stroked="false">
                <v:imagedata r:id="rId122" o:title=""/>
              </v:shape>
            </v:group>
            <v:group style="position:absolute;left:1652;top:1951;width:104;height:375" coordorigin="1652,1951" coordsize="104,375">
              <v:shape style="position:absolute;left:1652;top:1951;width:104;height:375" coordorigin="1652,1951" coordsize="104,375" path="m1652,2326l1755,2326,1755,1951,1652,1951,1652,2326xe" filled="true" fillcolor="#ffffff" stroked="false">
                <v:path arrowok="t"/>
                <v:fill type="solid"/>
              </v:shape>
            </v:group>
            <v:group style="position:absolute;left:29;top:1951;width:108;height:375" coordorigin="29,1951" coordsize="108,375">
              <v:shape style="position:absolute;left:29;top:1951;width:108;height:375" coordorigin="29,1951" coordsize="108,375" path="m29,2326l137,2326,137,1951,29,1951,29,2326xe" filled="true" fillcolor="#ffffff" stroked="false">
                <v:path arrowok="t"/>
                <v:fill type="solid"/>
              </v:shape>
            </v:group>
            <v:group style="position:absolute;left:137;top:1951;width:1515;height:375" coordorigin="137,1951" coordsize="1515,375">
              <v:shape style="position:absolute;left:137;top:1951;width:1515;height:375" coordorigin="137,1951" coordsize="1515,375" path="m137,2326l1652,2326,1652,1951,137,1951,137,2326xe" filled="true" fillcolor="#ffffff" stroked="false">
                <v:path arrowok="t"/>
                <v:fill type="solid"/>
              </v:shape>
            </v:group>
            <v:group style="position:absolute;left:3423;top:1951;width:104;height:375" coordorigin="3423,1951" coordsize="104,375">
              <v:shape style="position:absolute;left:3423;top:1951;width:104;height:375" coordorigin="3423,1951" coordsize="104,375" path="m3423,2326l3526,2326,3526,1951,3423,1951,3423,2326xe" filled="true" fillcolor="#ffffff" stroked="false">
                <v:path arrowok="t"/>
                <v:fill type="solid"/>
              </v:shape>
            </v:group>
            <v:group style="position:absolute;left:1765;top:1951;width:104;height:375" coordorigin="1765,1951" coordsize="104,375">
              <v:shape style="position:absolute;left:1765;top:1951;width:104;height:375" coordorigin="1765,1951" coordsize="104,375" path="m1765,2326l1868,2326,1868,1951,1765,1951,1765,2326xe" filled="true" fillcolor="#ffffff" stroked="false">
                <v:path arrowok="t"/>
                <v:fill type="solid"/>
              </v:shape>
            </v:group>
            <v:group style="position:absolute;left:1868;top:1951;width:1556;height:375" coordorigin="1868,1951" coordsize="1556,375">
              <v:shape style="position:absolute;left:1868;top:1951;width:1556;height:375" coordorigin="1868,1951" coordsize="1556,375" path="m1868,2326l3423,2326,3423,1951,1868,1951,1868,2326xe" filled="true" fillcolor="#ffffff" stroked="false">
                <v:path arrowok="t"/>
                <v:fill type="solid"/>
              </v:shape>
            </v:group>
            <v:group style="position:absolute;left:4562;top:1951;width:104;height:375" coordorigin="4562,1951" coordsize="104,375">
              <v:shape style="position:absolute;left:4562;top:1951;width:104;height:375" coordorigin="4562,1951" coordsize="104,375" path="m4562,2326l4665,2326,4665,1951,4562,1951,4562,2326xe" filled="true" fillcolor="#ffffff" stroked="false">
                <v:path arrowok="t"/>
                <v:fill type="solid"/>
              </v:shape>
            </v:group>
            <v:group style="position:absolute;left:3536;top:1951;width:104;height:375" coordorigin="3536,1951" coordsize="104,375">
              <v:shape style="position:absolute;left:3536;top:1951;width:104;height:375" coordorigin="3536,1951" coordsize="104,375" path="m3536,2326l3639,2326,3639,1951,3536,1951,3536,2326xe" filled="true" fillcolor="#ffffff" stroked="false">
                <v:path arrowok="t"/>
                <v:fill type="solid"/>
              </v:shape>
            </v:group>
            <v:group style="position:absolute;left:3639;top:1951;width:923;height:375" coordorigin="3639,1951" coordsize="923,375">
              <v:shape style="position:absolute;left:3639;top:1951;width:923;height:375" coordorigin="3639,1951" coordsize="923,375" path="m3639,2326l4562,2326,4562,1951,3639,1951,3639,2326xe" filled="true" fillcolor="#ffffff" stroked="false">
                <v:path arrowok="t"/>
                <v:fill type="solid"/>
              </v:shape>
            </v:group>
            <v:group style="position:absolute;left:6542;top:1951;width:104;height:375" coordorigin="6542,1951" coordsize="104,375">
              <v:shape style="position:absolute;left:6542;top:1951;width:104;height:375" coordorigin="6542,1951" coordsize="104,375" path="m6542,2326l6645,2326,6645,1951,6542,1951,6542,2326xe" filled="true" fillcolor="#ffffff" stroked="false">
                <v:path arrowok="t"/>
                <v:fill type="solid"/>
              </v:shape>
            </v:group>
            <v:group style="position:absolute;left:4675;top:1951;width:104;height:375" coordorigin="4675,1951" coordsize="104,375">
              <v:shape style="position:absolute;left:4675;top:1951;width:104;height:375" coordorigin="4675,1951" coordsize="104,375" path="m4675,2326l4778,2326,4778,1951,4675,1951,4675,2326xe" filled="true" fillcolor="#ffffff" stroked="false">
                <v:path arrowok="t"/>
                <v:fill type="solid"/>
              </v:shape>
            </v:group>
            <v:group style="position:absolute;left:4778;top:1951;width:1764;height:375" coordorigin="4778,1951" coordsize="1764,375">
              <v:shape style="position:absolute;left:4778;top:1951;width:1764;height:375" coordorigin="4778,1951" coordsize="1764,375" path="m4778,1951l6542,1951,6542,2326,4778,2326,4778,1951xe" filled="true" fillcolor="#ffffff" stroked="false">
                <v:path arrowok="t"/>
                <v:fill type="solid"/>
              </v:shape>
            </v:group>
            <v:group style="position:absolute;left:7676;top:1951;width:108;height:375" coordorigin="7676,1951" coordsize="108,375">
              <v:shape style="position:absolute;left:7676;top:1951;width:108;height:375" coordorigin="7676,1951" coordsize="108,375" path="m7676,2326l7784,2326,7784,1951,7676,1951,7676,2326xe" filled="true" fillcolor="#ffffff" stroked="false">
                <v:path arrowok="t"/>
                <v:fill type="solid"/>
              </v:shape>
            </v:group>
            <v:group style="position:absolute;left:6655;top:1951;width:104;height:375" coordorigin="6655,1951" coordsize="104,375">
              <v:shape style="position:absolute;left:6655;top:1951;width:104;height:375" coordorigin="6655,1951" coordsize="104,375" path="m6655,2326l6758,2326,6758,1951,6655,1951,6655,2326xe" filled="true" fillcolor="#ffffff" stroked="false">
                <v:path arrowok="t"/>
                <v:fill type="solid"/>
              </v:shape>
            </v:group>
            <v:group style="position:absolute;left:6758;top:1951;width:918;height:375" coordorigin="6758,1951" coordsize="918,375">
              <v:shape style="position:absolute;left:6758;top:1951;width:918;height:375" coordorigin="6758,1951" coordsize="918,375" path="m6758,2326l7676,2326,7676,1951,6758,1951,6758,2326xe" filled="true" fillcolor="#ffffff" stroked="false">
                <v:path arrowok="t"/>
                <v:fill type="solid"/>
              </v:shape>
            </v:group>
            <v:group style="position:absolute;left:15;top:2726;width:1740;height:2" coordorigin="15,2726" coordsize="1740,2">
              <v:shape style="position:absolute;left:15;top:2726;width:1740;height:2" coordorigin="15,2726" coordsize="1740,0" path="m15,2726l1755,2726e" filled="false" stroked="true" strokeweight="1.5pt" strokecolor="#000000">
                <v:path arrowok="t"/>
              </v:shape>
            </v:group>
            <v:group style="position:absolute;left:1755;top:2726;width:1772;height:2" coordorigin="1755,2726" coordsize="1772,2">
              <v:shape style="position:absolute;left:1755;top:2726;width:1772;height:2" coordorigin="1755,2726" coordsize="1772,0" path="m1755,2726l3526,2726e" filled="false" stroked="true" strokeweight="1.5pt" strokecolor="#000000">
                <v:path arrowok="t"/>
              </v:shape>
            </v:group>
            <v:group style="position:absolute;left:3526;top:2726;width:1139;height:2" coordorigin="3526,2726" coordsize="1139,2">
              <v:shape style="position:absolute;left:3526;top:2726;width:1139;height:2" coordorigin="3526,2726" coordsize="1139,0" path="m3526,2726l4665,2726e" filled="false" stroked="true" strokeweight="1.5pt" strokecolor="#000000">
                <v:path arrowok="t"/>
              </v:shape>
            </v:group>
            <v:group style="position:absolute;left:4665;top:2726;width:1980;height:2" coordorigin="4665,2726" coordsize="1980,2">
              <v:shape style="position:absolute;left:4665;top:2726;width:1980;height:2" coordorigin="4665,2726" coordsize="1980,0" path="m4665,2726l6645,2726e" filled="false" stroked="true" strokeweight="1.5pt" strokecolor="#000000">
                <v:path arrowok="t"/>
              </v:shape>
              <v:shape style="position:absolute;left:1;top:1913;width:7816;height:798" type="#_x0000_t75" stroked="false">
                <v:imagedata r:id="rId123" o:title=""/>
              </v:shape>
            </v:group>
            <v:group style="position:absolute;left:6645;top:2726;width:1139;height:2" coordorigin="6645,2726" coordsize="1139,2">
              <v:shape style="position:absolute;left:6645;top:2726;width:1139;height:2" coordorigin="6645,2726" coordsize="1139,0" path="m6645,2726l7784,2726e" filled="false" stroked="true" strokeweight="1.5pt" strokecolor="#000000">
                <v:path arrowok="t"/>
              </v:shape>
              <v:shape style="position:absolute;left:2854;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5866;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715;top:3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2285;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3785;top:511;width:63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xbxContent>
                </v:textbox>
                <w10:wrap type="none"/>
              </v:shape>
              <v:shape style="position:absolute;left:5300;top:5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6902;top:511;width:63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xbxContent>
                </v:textbox>
                <w10:wrap type="none"/>
              </v:shape>
              <v:shape style="position:absolute;left:137;top:895;width:675;height:1344"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spacing w:before="136"/>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before="135"/>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line="245" w:lineRule="exact" w:before="135"/>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xbxContent>
                </v:textbox>
                <w10:wrap type="none"/>
              </v:shape>
              <v:shape style="position:absolute;left:2389;top:90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59,348,739.58</w:t>
                      </w:r>
                    </w:p>
                  </w:txbxContent>
                </v:textbox>
                <w10:wrap type="none"/>
              </v:shape>
              <v:shape style="position:absolute;left:4066;top:903;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5507;top:90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56,682,470.53</w:t>
                      </w:r>
                    </w:p>
                  </w:txbxContent>
                </v:textbox>
                <w10:wrap type="none"/>
              </v:shape>
              <v:shape style="position:absolute;left:7180;top:903;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715;top:243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389;top:244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59,348,739.58</w:t>
                      </w:r>
                    </w:p>
                  </w:txbxContent>
                </v:textbox>
                <w10:wrap type="none"/>
              </v:shape>
              <v:shape style="position:absolute;left:4066;top:2441;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5507;top:244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56,682,470.53</w:t>
                      </w:r>
                    </w:p>
                  </w:txbxContent>
                </v:textbox>
                <w10:wrap type="none"/>
              </v:shape>
              <v:shape style="position:absolute;left:7180;top:2441;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group>
          </v:group>
        </w:pict>
      </w:r>
      <w:r>
        <w:rPr>
          <w:rFonts w:ascii="宋体" w:hAnsi="宋体" w:cs="宋体" w:eastAsia="宋体" w:hint="default"/>
          <w:position w:val="-54"/>
          <w:sz w:val="20"/>
          <w:szCs w:val="20"/>
        </w:rPr>
      </w:r>
    </w:p>
    <w:p>
      <w:pPr>
        <w:spacing w:line="240" w:lineRule="auto" w:before="10"/>
        <w:rPr>
          <w:rFonts w:ascii="宋体" w:hAnsi="宋体" w:cs="宋体" w:eastAsia="宋体" w:hint="default"/>
          <w:b/>
          <w:bCs/>
          <w:sz w:val="5"/>
          <w:szCs w:val="5"/>
        </w:rPr>
      </w:pPr>
    </w:p>
    <w:p>
      <w:pPr>
        <w:tabs>
          <w:tab w:pos="1396" w:val="left" w:leader="none"/>
        </w:tabs>
        <w:spacing w:before="35"/>
        <w:ind w:left="857" w:right="238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预付款项金额前五名单位情况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7" w:footer="1256" w:top="1100" w:bottom="1440" w:left="1660" w:right="158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3"/>
          <w:szCs w:val="13"/>
        </w:rPr>
      </w:pPr>
    </w:p>
    <w:tbl>
      <w:tblPr>
        <w:tblW w:w="0" w:type="auto"/>
        <w:jc w:val="left"/>
        <w:tblInd w:w="1155" w:type="dxa"/>
        <w:tblLayout w:type="fixed"/>
        <w:tblCellMar>
          <w:top w:w="0" w:type="dxa"/>
          <w:left w:w="0" w:type="dxa"/>
          <w:bottom w:w="0" w:type="dxa"/>
          <w:right w:w="0" w:type="dxa"/>
        </w:tblCellMar>
        <w:tblLook w:val="01E0"/>
      </w:tblPr>
      <w:tblGrid>
        <w:gridCol w:w="3315"/>
        <w:gridCol w:w="1660"/>
        <w:gridCol w:w="1165"/>
        <w:gridCol w:w="1629"/>
      </w:tblGrid>
      <w:tr>
        <w:trPr>
          <w:trHeight w:val="889" w:hRule="exact"/>
        </w:trPr>
        <w:tc>
          <w:tcPr>
            <w:tcW w:w="331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20"/>
                <w:szCs w:val="20"/>
              </w:rPr>
            </w:pPr>
          </w:p>
          <w:p>
            <w:pPr>
              <w:pStyle w:val="TableParagraph"/>
              <w:spacing w:line="196" w:lineRule="exact"/>
              <w:ind w:left="122" w:right="0"/>
              <w:jc w:val="left"/>
              <w:rPr>
                <w:rFonts w:ascii="宋体" w:hAnsi="宋体" w:cs="宋体" w:eastAsia="宋体" w:hint="default"/>
                <w:sz w:val="18"/>
                <w:szCs w:val="18"/>
              </w:rPr>
            </w:pPr>
            <w:r>
              <w:rPr>
                <w:rFonts w:ascii="宋体" w:hAnsi="宋体" w:cs="宋体" w:eastAsia="宋体" w:hint="default"/>
                <w:spacing w:val="13"/>
                <w:sz w:val="18"/>
                <w:szCs w:val="18"/>
              </w:rPr>
              <w:t>广州基准机械电子科</w:t>
            </w:r>
            <w:r>
              <w:rPr>
                <w:rFonts w:ascii="宋体" w:hAnsi="宋体" w:cs="宋体" w:eastAsia="宋体" w:hint="default"/>
                <w:sz w:val="18"/>
                <w:szCs w:val="18"/>
              </w:rPr>
            </w:r>
          </w:p>
          <w:p>
            <w:pPr>
              <w:pStyle w:val="TableParagraph"/>
              <w:spacing w:line="156" w:lineRule="exact"/>
              <w:ind w:right="376"/>
              <w:jc w:val="right"/>
              <w:rPr>
                <w:rFonts w:ascii="宋体" w:hAnsi="宋体" w:cs="宋体" w:eastAsia="宋体" w:hint="default"/>
                <w:sz w:val="18"/>
                <w:szCs w:val="18"/>
              </w:rPr>
            </w:pPr>
            <w:r>
              <w:rPr>
                <w:rFonts w:ascii="宋体" w:hAnsi="宋体" w:cs="宋体" w:eastAsia="宋体" w:hint="default"/>
                <w:sz w:val="18"/>
                <w:szCs w:val="18"/>
              </w:rPr>
              <w:t>供应商</w:t>
            </w:r>
          </w:p>
          <w:p>
            <w:pPr>
              <w:pStyle w:val="TableParagraph"/>
              <w:spacing w:line="196" w:lineRule="exact"/>
              <w:ind w:left="122" w:right="0"/>
              <w:jc w:val="left"/>
              <w:rPr>
                <w:rFonts w:ascii="宋体" w:hAnsi="宋体" w:cs="宋体" w:eastAsia="宋体" w:hint="default"/>
                <w:sz w:val="18"/>
                <w:szCs w:val="18"/>
              </w:rPr>
            </w:pPr>
            <w:r>
              <w:rPr>
                <w:rFonts w:ascii="宋体" w:hAnsi="宋体" w:cs="宋体" w:eastAsia="宋体" w:hint="default"/>
                <w:sz w:val="18"/>
                <w:szCs w:val="18"/>
              </w:rPr>
              <w:t>技有限公司</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244"/>
              <w:jc w:val="right"/>
              <w:rPr>
                <w:rFonts w:ascii="Times New Roman" w:hAnsi="Times New Roman" w:cs="Times New Roman" w:eastAsia="Times New Roman" w:hint="default"/>
                <w:sz w:val="18"/>
                <w:szCs w:val="18"/>
              </w:rPr>
            </w:pPr>
            <w:r>
              <w:rPr>
                <w:rFonts w:ascii="Times New Roman"/>
                <w:spacing w:val="-1"/>
                <w:sz w:val="18"/>
              </w:rPr>
              <w:t>9,273,662.14</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29" w:type="dxa"/>
            <w:tcBorders>
              <w:top w:val="nil" w:sz="6" w:space="0" w:color="auto"/>
              <w:left w:val="nil" w:sz="6" w:space="0" w:color="auto"/>
              <w:bottom w:val="nil" w:sz="6" w:space="0" w:color="auto"/>
              <w:right w:val="nil" w:sz="6" w:space="0" w:color="auto"/>
            </w:tcBorders>
          </w:tcPr>
          <w:p>
            <w:pPr>
              <w:pStyle w:val="TableParagraph"/>
              <w:spacing w:line="180" w:lineRule="exact"/>
              <w:ind w:left="245" w:right="0"/>
              <w:jc w:val="left"/>
              <w:rPr>
                <w:rFonts w:ascii="宋体" w:hAnsi="宋体" w:cs="宋体" w:eastAsia="宋体" w:hint="default"/>
                <w:sz w:val="18"/>
                <w:szCs w:val="18"/>
              </w:rPr>
            </w:pPr>
            <w:r>
              <w:rPr>
                <w:rFonts w:ascii="宋体" w:hAnsi="宋体" w:cs="宋体" w:eastAsia="宋体" w:hint="default"/>
                <w:sz w:val="18"/>
                <w:szCs w:val="18"/>
              </w:rPr>
              <w:t>税、关税</w:t>
            </w: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245" w:right="0"/>
              <w:jc w:val="left"/>
              <w:rPr>
                <w:rFonts w:ascii="宋体" w:hAnsi="宋体" w:cs="宋体" w:eastAsia="宋体" w:hint="default"/>
                <w:sz w:val="18"/>
                <w:szCs w:val="18"/>
              </w:rPr>
            </w:pPr>
            <w:r>
              <w:rPr>
                <w:rFonts w:ascii="宋体" w:hAnsi="宋体" w:cs="宋体" w:eastAsia="宋体" w:hint="default"/>
                <w:sz w:val="18"/>
                <w:szCs w:val="18"/>
              </w:rPr>
              <w:t>预付货款</w:t>
            </w:r>
          </w:p>
        </w:tc>
      </w:tr>
      <w:tr>
        <w:trPr>
          <w:trHeight w:val="634" w:hRule="exact"/>
        </w:trPr>
        <w:tc>
          <w:tcPr>
            <w:tcW w:w="3315" w:type="dxa"/>
            <w:tcBorders>
              <w:top w:val="nil" w:sz="6" w:space="0" w:color="auto"/>
              <w:left w:val="nil" w:sz="6" w:space="0" w:color="auto"/>
              <w:bottom w:val="nil" w:sz="6" w:space="0" w:color="auto"/>
              <w:right w:val="nil" w:sz="6" w:space="0" w:color="auto"/>
            </w:tcBorders>
          </w:tcPr>
          <w:p>
            <w:pPr>
              <w:pStyle w:val="TableParagraph"/>
              <w:spacing w:line="203" w:lineRule="exact" w:before="10"/>
              <w:ind w:left="122" w:right="0"/>
              <w:jc w:val="left"/>
              <w:rPr>
                <w:rFonts w:ascii="宋体" w:hAnsi="宋体" w:cs="宋体" w:eastAsia="宋体" w:hint="default"/>
                <w:sz w:val="18"/>
                <w:szCs w:val="18"/>
              </w:rPr>
            </w:pPr>
            <w:r>
              <w:rPr>
                <w:rFonts w:ascii="宋体" w:hAnsi="宋体" w:cs="宋体" w:eastAsia="宋体" w:hint="default"/>
                <w:spacing w:val="18"/>
                <w:sz w:val="18"/>
                <w:szCs w:val="18"/>
              </w:rPr>
              <w:t>富士通</w:t>
            </w:r>
            <w:r>
              <w:rPr>
                <w:rFonts w:ascii="宋体" w:hAnsi="宋体" w:cs="宋体" w:eastAsia="宋体" w:hint="default"/>
                <w:spacing w:val="-63"/>
                <w:sz w:val="18"/>
                <w:szCs w:val="18"/>
              </w:rPr>
              <w:t> </w:t>
            </w:r>
            <w:r>
              <w:rPr>
                <w:rFonts w:ascii="宋体" w:hAnsi="宋体" w:cs="宋体" w:eastAsia="宋体" w:hint="default"/>
                <w:spacing w:val="14"/>
                <w:sz w:val="18"/>
                <w:szCs w:val="18"/>
              </w:rPr>
              <w:t>先端</w:t>
            </w:r>
            <w:r>
              <w:rPr>
                <w:rFonts w:ascii="宋体" w:hAnsi="宋体" w:cs="宋体" w:eastAsia="宋体" w:hint="default"/>
                <w:spacing w:val="-63"/>
                <w:sz w:val="18"/>
                <w:szCs w:val="18"/>
              </w:rPr>
              <w:t> </w:t>
            </w:r>
            <w:r>
              <w:rPr>
                <w:rFonts w:ascii="宋体" w:hAnsi="宋体" w:cs="宋体" w:eastAsia="宋体" w:hint="default"/>
                <w:spacing w:val="14"/>
                <w:sz w:val="18"/>
                <w:szCs w:val="18"/>
              </w:rPr>
              <w:t>科技</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上</w:t>
            </w:r>
          </w:p>
          <w:p>
            <w:pPr>
              <w:pStyle w:val="TableParagraph"/>
              <w:spacing w:line="149" w:lineRule="exact"/>
              <w:ind w:right="376"/>
              <w:jc w:val="right"/>
              <w:rPr>
                <w:rFonts w:ascii="宋体" w:hAnsi="宋体" w:cs="宋体" w:eastAsia="宋体" w:hint="default"/>
                <w:sz w:val="18"/>
                <w:szCs w:val="18"/>
              </w:rPr>
            </w:pPr>
            <w:r>
              <w:rPr>
                <w:rFonts w:ascii="宋体" w:hAnsi="宋体" w:cs="宋体" w:eastAsia="宋体" w:hint="default"/>
                <w:sz w:val="18"/>
                <w:szCs w:val="18"/>
              </w:rPr>
              <w:t>供应商</w:t>
            </w:r>
          </w:p>
          <w:p>
            <w:pPr>
              <w:pStyle w:val="TableParagraph"/>
              <w:spacing w:line="209" w:lineRule="exact"/>
              <w:ind w:left="122" w:right="0"/>
              <w:jc w:val="left"/>
              <w:rPr>
                <w:rFonts w:ascii="宋体" w:hAnsi="宋体" w:cs="宋体" w:eastAsia="宋体" w:hint="default"/>
                <w:sz w:val="18"/>
                <w:szCs w:val="18"/>
              </w:rPr>
            </w:pPr>
            <w:r>
              <w:rPr>
                <w:rFonts w:ascii="宋体" w:hAnsi="宋体" w:cs="宋体" w:eastAsia="宋体" w:hint="default"/>
                <w:sz w:val="18"/>
                <w:szCs w:val="18"/>
              </w:rPr>
              <w:t>海</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43"/>
              <w:jc w:val="right"/>
              <w:rPr>
                <w:rFonts w:ascii="Times New Roman" w:hAnsi="Times New Roman" w:cs="Times New Roman" w:eastAsia="Times New Roman" w:hint="default"/>
                <w:sz w:val="18"/>
                <w:szCs w:val="18"/>
              </w:rPr>
            </w:pPr>
            <w:r>
              <w:rPr>
                <w:rFonts w:ascii="Times New Roman"/>
                <w:spacing w:val="-1"/>
                <w:sz w:val="18"/>
              </w:rPr>
              <w:t>6,136,984.15</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245" w:right="0"/>
              <w:jc w:val="left"/>
              <w:rPr>
                <w:rFonts w:ascii="宋体" w:hAnsi="宋体" w:cs="宋体" w:eastAsia="宋体" w:hint="default"/>
                <w:sz w:val="18"/>
                <w:szCs w:val="18"/>
              </w:rPr>
            </w:pPr>
            <w:r>
              <w:rPr>
                <w:rFonts w:ascii="宋体" w:hAnsi="宋体" w:cs="宋体" w:eastAsia="宋体" w:hint="default"/>
                <w:sz w:val="18"/>
                <w:szCs w:val="18"/>
              </w:rPr>
              <w:t>预付货款</w:t>
            </w:r>
          </w:p>
        </w:tc>
      </w:tr>
      <w:tr>
        <w:trPr>
          <w:trHeight w:val="560" w:hRule="exact"/>
        </w:trPr>
        <w:tc>
          <w:tcPr>
            <w:tcW w:w="3315" w:type="dxa"/>
            <w:tcBorders>
              <w:top w:val="nil" w:sz="6" w:space="0" w:color="auto"/>
              <w:left w:val="nil" w:sz="6" w:space="0" w:color="auto"/>
              <w:bottom w:val="nil" w:sz="6" w:space="0" w:color="auto"/>
              <w:right w:val="nil" w:sz="6" w:space="0" w:color="auto"/>
            </w:tcBorders>
          </w:tcPr>
          <w:p>
            <w:pPr>
              <w:pStyle w:val="TableParagraph"/>
              <w:spacing w:line="162" w:lineRule="exact" w:before="50"/>
              <w:ind w:left="122" w:right="0"/>
              <w:jc w:val="left"/>
              <w:rPr>
                <w:rFonts w:ascii="Times New Roman" w:hAnsi="Times New Roman" w:cs="Times New Roman" w:eastAsia="Times New Roman" w:hint="default"/>
                <w:sz w:val="18"/>
                <w:szCs w:val="18"/>
              </w:rPr>
            </w:pPr>
            <w:r>
              <w:rPr>
                <w:rFonts w:ascii="Times New Roman"/>
                <w:sz w:val="18"/>
              </w:rPr>
              <w:t>TalarisCach</w:t>
            </w:r>
            <w:r>
              <w:rPr>
                <w:rFonts w:ascii="Times New Roman"/>
                <w:spacing w:val="-13"/>
                <w:sz w:val="18"/>
              </w:rPr>
              <w:t> </w:t>
            </w:r>
            <w:r>
              <w:rPr>
                <w:rFonts w:ascii="Times New Roman"/>
                <w:sz w:val="18"/>
              </w:rPr>
              <w:t>Dispensing</w:t>
            </w:r>
          </w:p>
          <w:p>
            <w:pPr>
              <w:pStyle w:val="TableParagraph"/>
              <w:spacing w:line="170" w:lineRule="exact"/>
              <w:ind w:right="376"/>
              <w:jc w:val="right"/>
              <w:rPr>
                <w:rFonts w:ascii="宋体" w:hAnsi="宋体" w:cs="宋体" w:eastAsia="宋体" w:hint="default"/>
                <w:sz w:val="18"/>
                <w:szCs w:val="18"/>
              </w:rPr>
            </w:pPr>
            <w:r>
              <w:rPr>
                <w:rFonts w:ascii="宋体" w:hAnsi="宋体" w:cs="宋体" w:eastAsia="宋体" w:hint="default"/>
                <w:sz w:val="18"/>
                <w:szCs w:val="18"/>
              </w:rPr>
              <w:t>供应商</w:t>
            </w:r>
          </w:p>
          <w:p>
            <w:pPr>
              <w:pStyle w:val="TableParagraph"/>
              <w:spacing w:line="187" w:lineRule="exact"/>
              <w:ind w:left="122" w:right="0"/>
              <w:jc w:val="left"/>
              <w:rPr>
                <w:rFonts w:ascii="Times New Roman" w:hAnsi="Times New Roman" w:cs="Times New Roman" w:eastAsia="Times New Roman" w:hint="default"/>
                <w:sz w:val="18"/>
                <w:szCs w:val="18"/>
              </w:rPr>
            </w:pPr>
            <w:r>
              <w:rPr>
                <w:rFonts w:ascii="Times New Roman"/>
                <w:sz w:val="18"/>
              </w:rPr>
              <w:t>Systems</w:t>
            </w:r>
            <w:r>
              <w:rPr>
                <w:rFonts w:ascii="Times New Roman"/>
                <w:spacing w:val="-16"/>
                <w:sz w:val="18"/>
              </w:rPr>
              <w:t> </w:t>
            </w:r>
            <w:r>
              <w:rPr>
                <w:rFonts w:ascii="Times New Roman"/>
                <w:sz w:val="18"/>
              </w:rPr>
              <w:t>AB</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43"/>
              <w:jc w:val="right"/>
              <w:rPr>
                <w:rFonts w:ascii="Times New Roman" w:hAnsi="Times New Roman" w:cs="Times New Roman" w:eastAsia="Times New Roman" w:hint="default"/>
                <w:sz w:val="18"/>
                <w:szCs w:val="18"/>
              </w:rPr>
            </w:pPr>
            <w:r>
              <w:rPr>
                <w:rFonts w:ascii="Times New Roman"/>
                <w:spacing w:val="-1"/>
                <w:sz w:val="18"/>
              </w:rPr>
              <w:t>3,876,210.95</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245" w:right="0"/>
              <w:jc w:val="left"/>
              <w:rPr>
                <w:rFonts w:ascii="宋体" w:hAnsi="宋体" w:cs="宋体" w:eastAsia="宋体" w:hint="default"/>
                <w:sz w:val="18"/>
                <w:szCs w:val="18"/>
              </w:rPr>
            </w:pPr>
            <w:r>
              <w:rPr>
                <w:rFonts w:ascii="宋体" w:hAnsi="宋体" w:cs="宋体" w:eastAsia="宋体" w:hint="default"/>
                <w:sz w:val="18"/>
                <w:szCs w:val="18"/>
              </w:rPr>
              <w:t>预付货款</w:t>
            </w:r>
          </w:p>
        </w:tc>
      </w:tr>
      <w:tr>
        <w:trPr>
          <w:trHeight w:val="401" w:hRule="exact"/>
        </w:trPr>
        <w:tc>
          <w:tcPr>
            <w:tcW w:w="3315"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left="8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60" w:type="dxa"/>
            <w:tcBorders>
              <w:top w:val="nil" w:sz="6" w:space="0" w:color="auto"/>
              <w:left w:val="nil" w:sz="6" w:space="0" w:color="auto"/>
              <w:bottom w:val="single" w:sz="12" w:space="0" w:color="000000"/>
              <w:right w:val="nil" w:sz="6" w:space="0" w:color="auto"/>
            </w:tcBorders>
          </w:tcPr>
          <w:p>
            <w:pPr>
              <w:pStyle w:val="TableParagraph"/>
              <w:spacing w:line="240" w:lineRule="auto" w:before="124"/>
              <w:ind w:right="243"/>
              <w:jc w:val="right"/>
              <w:rPr>
                <w:rFonts w:ascii="Times New Roman" w:hAnsi="Times New Roman" w:cs="Times New Roman" w:eastAsia="Times New Roman" w:hint="default"/>
                <w:sz w:val="18"/>
                <w:szCs w:val="18"/>
              </w:rPr>
            </w:pPr>
            <w:r>
              <w:rPr>
                <w:rFonts w:ascii="Times New Roman"/>
                <w:spacing w:val="-1"/>
                <w:sz w:val="18"/>
              </w:rPr>
              <w:t>50,100,924.05</w:t>
            </w:r>
          </w:p>
        </w:tc>
        <w:tc>
          <w:tcPr>
            <w:tcW w:w="1165" w:type="dxa"/>
            <w:tcBorders>
              <w:top w:val="nil" w:sz="6" w:space="0" w:color="auto"/>
              <w:left w:val="nil" w:sz="6" w:space="0" w:color="auto"/>
              <w:bottom w:val="single" w:sz="12" w:space="0" w:color="000000"/>
              <w:right w:val="nil" w:sz="6" w:space="0" w:color="auto"/>
            </w:tcBorders>
          </w:tcPr>
          <w:p>
            <w:pPr/>
          </w:p>
        </w:tc>
        <w:tc>
          <w:tcPr>
            <w:tcW w:w="1629"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273" w:val="left" w:leader="none"/>
          <w:tab w:pos="1816" w:val="left" w:leader="none"/>
        </w:tabs>
        <w:spacing w:line="660" w:lineRule="auto" w:before="35"/>
        <w:ind w:left="545" w:right="606" w:firstLine="732"/>
        <w:jc w:val="left"/>
        <w:rPr>
          <w:rFonts w:ascii="宋体" w:hAnsi="宋体" w:cs="宋体" w:eastAsia="宋体" w:hint="default"/>
          <w:sz w:val="21"/>
          <w:szCs w:val="21"/>
        </w:rPr>
      </w:pPr>
      <w:r>
        <w:rPr/>
        <w:pict>
          <v:group style="position:absolute;margin-left:119.040001pt;margin-top:-219.206299pt;width:390.7pt;height:194.85pt;mso-position-horizontal-relative:page;mso-position-vertical-relative:paragraph;z-index:-816976" coordorigin="2381,-4384" coordsize="7814,3897">
            <v:group style="position:absolute;left:2410;top:-4369;width:4848;height:2" coordorigin="2410,-4369" coordsize="4848,2">
              <v:shape style="position:absolute;left:2410;top:-4369;width:4848;height:2" coordorigin="2410,-4369" coordsize="4848,0" path="m2410,-4369l7258,-4369e" filled="false" stroked="true" strokeweight="1.5pt" strokecolor="#000000">
                <v:path arrowok="t"/>
              </v:shape>
            </v:group>
            <v:group style="position:absolute;left:7258;top:-4369;width:1410;height:2" coordorigin="7258,-4369" coordsize="1410,2">
              <v:shape style="position:absolute;left:7258;top:-4369;width:1410;height:2" coordorigin="7258,-4369" coordsize="1410,0" path="m7258,-4369l8668,-4369e" filled="false" stroked="true" strokeweight="1.5pt" strokecolor="#000000">
                <v:path arrowok="t"/>
              </v:shape>
            </v:group>
            <v:group style="position:absolute;left:8668;top:-4369;width:1497;height:2" coordorigin="8668,-4369" coordsize="1497,2">
              <v:shape style="position:absolute;left:8668;top:-4369;width:1497;height:2" coordorigin="8668,-4369" coordsize="1497,0" path="m8668,-4369l10164,-4369e" filled="false" stroked="true" strokeweight="1.5pt" strokecolor="#000000">
                <v:path arrowok="t"/>
              </v:shape>
              <v:shape style="position:absolute;left:4319;top:-4383;width:4387;height:432" type="#_x0000_t75" stroked="false">
                <v:imagedata r:id="rId124" o:title=""/>
              </v:shape>
              <v:shape style="position:absolute;left:2381;top:-4009;width:7813;height:3521" type="#_x0000_t75" stroked="false">
                <v:imagedata r:id="rId125" o:title=""/>
              </v:shape>
              <v:shape style="position:absolute;left:2518;top:-4257;width:1726;height:853" type="#_x0000_t202" filled="false" stroked="false">
                <v:textbox inset="0,0,0,0">
                  <w:txbxContent>
                    <w:p>
                      <w:pPr>
                        <w:spacing w:line="180" w:lineRule="exact" w:before="0"/>
                        <w:ind w:left="502"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p>
                      <w:pPr>
                        <w:spacing w:line="310" w:lineRule="atLeast" w:before="54"/>
                        <w:ind w:left="0" w:right="0" w:firstLine="0"/>
                        <w:jc w:val="left"/>
                        <w:rPr>
                          <w:rFonts w:ascii="Times New Roman" w:hAnsi="Times New Roman" w:cs="Times New Roman" w:eastAsia="Times New Roman" w:hint="default"/>
                          <w:sz w:val="18"/>
                          <w:szCs w:val="18"/>
                        </w:rPr>
                      </w:pPr>
                      <w:r>
                        <w:rPr>
                          <w:rFonts w:ascii="Times New Roman"/>
                          <w:sz w:val="18"/>
                        </w:rPr>
                        <w:t>FUJITSU</w:t>
                      </w:r>
                      <w:r>
                        <w:rPr>
                          <w:rFonts w:ascii="Times New Roman"/>
                          <w:spacing w:val="27"/>
                          <w:sz w:val="18"/>
                        </w:rPr>
                        <w:t> </w:t>
                      </w:r>
                      <w:r>
                        <w:rPr>
                          <w:rFonts w:ascii="Times New Roman"/>
                          <w:sz w:val="18"/>
                        </w:rPr>
                        <w:t>FRVNTECH</w:t>
                      </w:r>
                      <w:r>
                        <w:rPr>
                          <w:rFonts w:ascii="Times New Roman"/>
                          <w:w w:val="99"/>
                          <w:sz w:val="18"/>
                        </w:rPr>
                        <w:t> </w:t>
                      </w:r>
                      <w:r>
                        <w:rPr>
                          <w:rFonts w:ascii="Times New Roman"/>
                          <w:sz w:val="18"/>
                        </w:rPr>
                        <w:t>LIMITED</w:t>
                      </w:r>
                    </w:p>
                  </w:txbxContent>
                </v:textbox>
                <w10:wrap type="none"/>
              </v:shape>
              <v:shape style="position:absolute;left:4522;top:-425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与本公司关系</w:t>
                      </w:r>
                    </w:p>
                  </w:txbxContent>
                </v:textbox>
                <w10:wrap type="none"/>
              </v:shape>
              <v:shape style="position:absolute;left:6140;top:-425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772;top:-425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时间</w:t>
                      </w:r>
                    </w:p>
                  </w:txbxContent>
                </v:textbox>
                <w10:wrap type="none"/>
              </v:shape>
              <v:shape style="position:absolute;left:8968;top:-425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未结算原因</w:t>
                      </w:r>
                    </w:p>
                  </w:txbxContent>
                </v:textbox>
                <w10:wrap type="none"/>
              </v:shape>
              <v:shape style="position:absolute;left:4792;top:-374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供应商</w:t>
                      </w:r>
                    </w:p>
                  </w:txbxContent>
                </v:textbox>
                <w10:wrap type="none"/>
              </v:shape>
              <v:shape style="position:absolute;left:6089;top:-374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15,457,274.63</w:t>
                      </w:r>
                    </w:p>
                  </w:txbxContent>
                </v:textbox>
                <w10:wrap type="none"/>
              </v:shape>
              <v:shape style="position:absolute;left:7615;top:-3748;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8780;top:-374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预付货款</w:t>
                      </w:r>
                    </w:p>
                  </w:txbxContent>
                </v:textbox>
                <w10:wrap type="none"/>
              </v:shape>
              <v:shape style="position:absolute;left:8780;top:-3269;width:127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9"/>
                          <w:sz w:val="18"/>
                          <w:szCs w:val="18"/>
                        </w:rPr>
                        <w:t>预付海关</w:t>
                      </w:r>
                      <w:r>
                        <w:rPr>
                          <w:rFonts w:ascii="宋体" w:hAnsi="宋体" w:cs="宋体" w:eastAsia="宋体" w:hint="default"/>
                          <w:spacing w:val="-52"/>
                          <w:sz w:val="18"/>
                          <w:szCs w:val="18"/>
                        </w:rPr>
                        <w:t> </w:t>
                      </w:r>
                      <w:r>
                        <w:rPr>
                          <w:rFonts w:ascii="宋体" w:hAnsi="宋体" w:cs="宋体" w:eastAsia="宋体" w:hint="default"/>
                          <w:sz w:val="18"/>
                          <w:szCs w:val="18"/>
                        </w:rPr>
                        <w:t>增</w:t>
                      </w:r>
                      <w:r>
                        <w:rPr>
                          <w:rFonts w:ascii="宋体" w:hAnsi="宋体" w:cs="宋体" w:eastAsia="宋体" w:hint="default"/>
                          <w:spacing w:val="-52"/>
                          <w:sz w:val="18"/>
                          <w:szCs w:val="18"/>
                        </w:rPr>
                        <w:t> </w:t>
                      </w:r>
                      <w:r>
                        <w:rPr>
                          <w:rFonts w:ascii="宋体" w:hAnsi="宋体" w:cs="宋体" w:eastAsia="宋体" w:hint="default"/>
                          <w:sz w:val="18"/>
                          <w:szCs w:val="18"/>
                        </w:rPr>
                        <w:t>值</w:t>
                      </w:r>
                    </w:p>
                  </w:txbxContent>
                </v:textbox>
                <w10:wrap type="none"/>
              </v:shape>
              <v:shape style="position:absolute;left:2518;top:-31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黄埔海关</w:t>
                      </w:r>
                    </w:p>
                  </w:txbxContent>
                </v:textbox>
                <w10:wrap type="none"/>
              </v:shape>
              <v:shape style="position:absolute;left:6089;top:-3106;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15,356,792.18</w:t>
                      </w:r>
                    </w:p>
                  </w:txbxContent>
                </v:textbox>
                <w10:wrap type="none"/>
              </v:shape>
              <v:shape style="position:absolute;left:7615;top:-3113;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group>
            <w10:wrap type="none"/>
          </v:group>
        </w:pict>
      </w:r>
      <w:r>
        <w:rPr/>
        <w:pict>
          <v:shape style="position:absolute;margin-left:68.699997pt;margin-top:59.990715pt;width:460.75pt;height:187.65pt;mso-position-horizontal-relative:page;mso-position-vertical-relative:paragraph;z-index:117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76"/>
                    <w:gridCol w:w="1567"/>
                    <w:gridCol w:w="1083"/>
                    <w:gridCol w:w="1417"/>
                    <w:gridCol w:w="1429"/>
                    <w:gridCol w:w="1197"/>
                    <w:gridCol w:w="1446"/>
                  </w:tblGrid>
                  <w:tr>
                    <w:trPr>
                      <w:trHeight w:val="358" w:hRule="exact"/>
                    </w:trPr>
                    <w:tc>
                      <w:tcPr>
                        <w:tcW w:w="1076" w:type="dxa"/>
                        <w:tcBorders>
                          <w:top w:val="nil" w:sz="6" w:space="0" w:color="auto"/>
                          <w:left w:val="nil" w:sz="6" w:space="0" w:color="auto"/>
                          <w:bottom w:val="single" w:sz="12" w:space="0" w:color="000000"/>
                          <w:right w:val="nil" w:sz="6" w:space="0" w:color="auto"/>
                        </w:tcBorders>
                      </w:tcPr>
                      <w:p>
                        <w:pPr/>
                      </w:p>
                    </w:tc>
                    <w:tc>
                      <w:tcPr>
                        <w:tcW w:w="1567" w:type="dxa"/>
                        <w:tcBorders>
                          <w:top w:val="nil" w:sz="6" w:space="0" w:color="auto"/>
                          <w:left w:val="nil" w:sz="6" w:space="0" w:color="auto"/>
                          <w:bottom w:val="single" w:sz="12" w:space="0" w:color="000000"/>
                          <w:right w:val="nil" w:sz="6" w:space="0" w:color="auto"/>
                        </w:tcBorders>
                      </w:tcPr>
                      <w:p>
                        <w:pPr>
                          <w:pStyle w:val="TableParagraph"/>
                          <w:tabs>
                            <w:tab w:pos="538" w:val="left" w:leader="none"/>
                          </w:tabs>
                          <w:spacing w:line="240" w:lineRule="auto" w:before="35"/>
                          <w:ind w:right="113"/>
                          <w:jc w:val="righ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w w:val="95"/>
                            <w:sz w:val="21"/>
                            <w:szCs w:val="21"/>
                          </w:rPr>
                          <w:t>存货分类</w:t>
                        </w:r>
                        <w:r>
                          <w:rPr>
                            <w:rFonts w:ascii="宋体" w:hAnsi="宋体" w:cs="宋体" w:eastAsia="宋体" w:hint="default"/>
                            <w:sz w:val="21"/>
                            <w:szCs w:val="21"/>
                          </w:rPr>
                        </w:r>
                      </w:p>
                    </w:tc>
                    <w:tc>
                      <w:tcPr>
                        <w:tcW w:w="6572" w:type="dxa"/>
                        <w:gridSpan w:val="5"/>
                        <w:tcBorders>
                          <w:top w:val="nil" w:sz="6" w:space="0" w:color="auto"/>
                          <w:left w:val="nil" w:sz="6" w:space="0" w:color="auto"/>
                          <w:bottom w:val="single" w:sz="12" w:space="0" w:color="000000"/>
                          <w:right w:val="nil" w:sz="6" w:space="0" w:color="auto"/>
                        </w:tcBorders>
                      </w:tcPr>
                      <w:p>
                        <w:pPr/>
                      </w:p>
                    </w:tc>
                  </w:tr>
                  <w:tr>
                    <w:trPr>
                      <w:trHeight w:val="763" w:hRule="exact"/>
                    </w:trPr>
                    <w:tc>
                      <w:tcPr>
                        <w:tcW w:w="1076" w:type="dxa"/>
                        <w:tcBorders>
                          <w:top w:val="single" w:sz="12"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386"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56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83" w:type="dxa"/>
                        <w:tcBorders>
                          <w:top w:val="single" w:sz="12" w:space="0" w:color="000000"/>
                          <w:left w:val="nil" w:sz="6" w:space="0" w:color="auto"/>
                          <w:bottom w:val="nil" w:sz="6" w:space="0" w:color="auto"/>
                          <w:right w:val="nil" w:sz="6" w:space="0" w:color="auto"/>
                        </w:tcBorders>
                      </w:tcPr>
                      <w:p>
                        <w:pPr>
                          <w:pStyle w:val="TableParagraph"/>
                          <w:spacing w:line="391" w:lineRule="auto" w:before="41"/>
                          <w:ind w:left="117" w:right="244" w:hanging="2"/>
                          <w:jc w:val="left"/>
                          <w:rPr>
                            <w:rFonts w:ascii="宋体" w:hAnsi="宋体" w:cs="宋体" w:eastAsia="宋体" w:hint="default"/>
                            <w:sz w:val="18"/>
                            <w:szCs w:val="18"/>
                          </w:rPr>
                        </w:pPr>
                        <w:r>
                          <w:rPr>
                            <w:rFonts w:ascii="宋体" w:hAnsi="宋体" w:cs="宋体" w:eastAsia="宋体" w:hint="default"/>
                            <w:sz w:val="18"/>
                            <w:szCs w:val="18"/>
                          </w:rPr>
                          <w:t>期末余额 跌价准备</w:t>
                        </w:r>
                      </w:p>
                    </w:tc>
                    <w:tc>
                      <w:tcPr>
                        <w:tcW w:w="141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left="30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2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left="3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7" w:type="dxa"/>
                        <w:tcBorders>
                          <w:top w:val="single" w:sz="12" w:space="0" w:color="000000"/>
                          <w:left w:val="nil" w:sz="6" w:space="0" w:color="auto"/>
                          <w:bottom w:val="nil" w:sz="6" w:space="0" w:color="auto"/>
                          <w:right w:val="nil" w:sz="6" w:space="0" w:color="auto"/>
                        </w:tcBorders>
                      </w:tcPr>
                      <w:p>
                        <w:pPr>
                          <w:pStyle w:val="TableParagraph"/>
                          <w:spacing w:line="391" w:lineRule="auto" w:before="41"/>
                          <w:ind w:left="156" w:right="247" w:firstLine="70"/>
                          <w:jc w:val="left"/>
                          <w:rPr>
                            <w:rFonts w:ascii="宋体" w:hAnsi="宋体" w:cs="宋体" w:eastAsia="宋体" w:hint="default"/>
                            <w:sz w:val="18"/>
                            <w:szCs w:val="18"/>
                          </w:rPr>
                        </w:pPr>
                        <w:r>
                          <w:rPr>
                            <w:rFonts w:ascii="宋体" w:hAnsi="宋体" w:cs="宋体" w:eastAsia="宋体" w:hint="default"/>
                            <w:sz w:val="18"/>
                            <w:szCs w:val="18"/>
                          </w:rPr>
                          <w:t>年初余额 跌价准备</w:t>
                        </w:r>
                      </w:p>
                    </w:tc>
                    <w:tc>
                      <w:tcPr>
                        <w:tcW w:w="144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left="305"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42" w:hRule="exact"/>
                    </w:trPr>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7"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34" w:right="0"/>
                          <w:jc w:val="left"/>
                          <w:rPr>
                            <w:rFonts w:ascii="Times New Roman" w:hAnsi="Times New Roman" w:cs="Times New Roman" w:eastAsia="Times New Roman" w:hint="default"/>
                            <w:sz w:val="18"/>
                            <w:szCs w:val="18"/>
                          </w:rPr>
                        </w:pPr>
                        <w:r>
                          <w:rPr>
                            <w:rFonts w:ascii="Times New Roman"/>
                            <w:sz w:val="18"/>
                          </w:rPr>
                          <w:t>79,478,184.19</w:t>
                        </w: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6"/>
                          <w:jc w:val="center"/>
                          <w:rPr>
                            <w:rFonts w:ascii="Times New Roman" w:hAnsi="Times New Roman" w:cs="Times New Roman" w:eastAsia="Times New Roman" w:hint="default"/>
                            <w:sz w:val="18"/>
                            <w:szCs w:val="18"/>
                          </w:rPr>
                        </w:pPr>
                        <w:r>
                          <w:rPr>
                            <w:rFonts w:ascii="Times New Roman"/>
                            <w:sz w:val="18"/>
                          </w:rPr>
                          <w:t>535,138.05</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44"/>
                          <w:jc w:val="right"/>
                          <w:rPr>
                            <w:rFonts w:ascii="Times New Roman" w:hAnsi="Times New Roman" w:cs="Times New Roman" w:eastAsia="Times New Roman" w:hint="default"/>
                            <w:sz w:val="18"/>
                            <w:szCs w:val="18"/>
                          </w:rPr>
                        </w:pPr>
                        <w:r>
                          <w:rPr>
                            <w:rFonts w:ascii="Times New Roman"/>
                            <w:spacing w:val="-1"/>
                            <w:sz w:val="18"/>
                          </w:rPr>
                          <w:t>78,943,046.14</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54"/>
                          <w:jc w:val="right"/>
                          <w:rPr>
                            <w:rFonts w:ascii="Times New Roman" w:hAnsi="Times New Roman" w:cs="Times New Roman" w:eastAsia="Times New Roman" w:hint="default"/>
                            <w:sz w:val="18"/>
                            <w:szCs w:val="18"/>
                          </w:rPr>
                        </w:pPr>
                        <w:r>
                          <w:rPr>
                            <w:rFonts w:ascii="Times New Roman"/>
                            <w:spacing w:val="-1"/>
                            <w:sz w:val="18"/>
                          </w:rPr>
                          <w:t>42,034,630.23</w:t>
                        </w:r>
                      </w:p>
                    </w:tc>
                    <w:tc>
                      <w:tcPr>
                        <w:tcW w:w="119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51"/>
                          <w:jc w:val="center"/>
                          <w:rPr>
                            <w:rFonts w:ascii="Times New Roman" w:hAnsi="Times New Roman" w:cs="Times New Roman" w:eastAsia="Times New Roman" w:hint="default"/>
                            <w:sz w:val="18"/>
                            <w:szCs w:val="18"/>
                          </w:rPr>
                        </w:pPr>
                        <w:r>
                          <w:rPr>
                            <w:rFonts w:ascii="Times New Roman"/>
                            <w:sz w:val="18"/>
                          </w:rPr>
                          <w:t>601,684.08</w:t>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4"/>
                          <w:jc w:val="right"/>
                          <w:rPr>
                            <w:rFonts w:ascii="Times New Roman" w:hAnsi="Times New Roman" w:cs="Times New Roman" w:eastAsia="Times New Roman" w:hint="default"/>
                            <w:sz w:val="18"/>
                            <w:szCs w:val="18"/>
                          </w:rPr>
                        </w:pPr>
                        <w:r>
                          <w:rPr>
                            <w:rFonts w:ascii="Times New Roman"/>
                            <w:spacing w:val="-1"/>
                            <w:sz w:val="18"/>
                          </w:rPr>
                          <w:t>41,432,946.15</w:t>
                        </w:r>
                      </w:p>
                    </w:tc>
                  </w:tr>
                  <w:tr>
                    <w:trPr>
                      <w:trHeight w:val="322" w:hRule="exact"/>
                    </w:trPr>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宋体" w:hAnsi="宋体" w:cs="宋体" w:eastAsia="宋体" w:hint="default"/>
                            <w:sz w:val="18"/>
                            <w:szCs w:val="18"/>
                          </w:rPr>
                          <w:t>辅助材料</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95"/>
                          <w:jc w:val="right"/>
                          <w:rPr>
                            <w:rFonts w:ascii="Times New Roman" w:hAnsi="Times New Roman" w:cs="Times New Roman" w:eastAsia="Times New Roman" w:hint="default"/>
                            <w:sz w:val="18"/>
                            <w:szCs w:val="18"/>
                          </w:rPr>
                        </w:pPr>
                        <w:r>
                          <w:rPr>
                            <w:rFonts w:ascii="Times New Roman"/>
                            <w:sz w:val="18"/>
                          </w:rPr>
                          <w:t>87,505.83</w:t>
                        </w:r>
                      </w:p>
                    </w:tc>
                    <w:tc>
                      <w:tcPr>
                        <w:tcW w:w="1083"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44"/>
                          <w:jc w:val="right"/>
                          <w:rPr>
                            <w:rFonts w:ascii="Times New Roman" w:hAnsi="Times New Roman" w:cs="Times New Roman" w:eastAsia="Times New Roman" w:hint="default"/>
                            <w:sz w:val="18"/>
                            <w:szCs w:val="18"/>
                          </w:rPr>
                        </w:pPr>
                        <w:r>
                          <w:rPr>
                            <w:rFonts w:ascii="Times New Roman"/>
                            <w:sz w:val="18"/>
                          </w:rPr>
                          <w:t>87,505.83</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54"/>
                          <w:jc w:val="right"/>
                          <w:rPr>
                            <w:rFonts w:ascii="Times New Roman" w:hAnsi="Times New Roman" w:cs="Times New Roman" w:eastAsia="Times New Roman" w:hint="default"/>
                            <w:sz w:val="18"/>
                            <w:szCs w:val="18"/>
                          </w:rPr>
                        </w:pPr>
                        <w:r>
                          <w:rPr>
                            <w:rFonts w:ascii="Times New Roman"/>
                            <w:sz w:val="18"/>
                          </w:rPr>
                          <w:t>67,457.72</w:t>
                        </w:r>
                      </w:p>
                    </w:tc>
                    <w:tc>
                      <w:tcPr>
                        <w:tcW w:w="1197" w:type="dxa"/>
                        <w:tcBorders>
                          <w:top w:val="nil" w:sz="6" w:space="0" w:color="auto"/>
                          <w:left w:val="nil" w:sz="6" w:space="0" w:color="auto"/>
                          <w:bottom w:val="nil" w:sz="6" w:space="0" w:color="auto"/>
                          <w:right w:val="nil" w:sz="6" w:space="0" w:color="auto"/>
                        </w:tcBorders>
                      </w:tcPr>
                      <w:p>
                        <w:pP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z w:val="18"/>
                          </w:rPr>
                          <w:t>67,457.72</w:t>
                        </w:r>
                      </w:p>
                    </w:tc>
                  </w:tr>
                  <w:tr>
                    <w:trPr>
                      <w:trHeight w:val="322" w:hRule="exact"/>
                    </w:trPr>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1567"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4"/>
                          <w:jc w:val="right"/>
                          <w:rPr>
                            <w:rFonts w:ascii="Times New Roman" w:hAnsi="Times New Roman" w:cs="Times New Roman" w:eastAsia="Times New Roman" w:hint="default"/>
                            <w:sz w:val="18"/>
                            <w:szCs w:val="18"/>
                          </w:rPr>
                        </w:pPr>
                        <w:r>
                          <w:rPr>
                            <w:rFonts w:ascii="Times New Roman"/>
                            <w:sz w:val="18"/>
                          </w:rPr>
                          <w:t>2,060.00</w:t>
                        </w:r>
                      </w:p>
                    </w:tc>
                    <w:tc>
                      <w:tcPr>
                        <w:tcW w:w="1197" w:type="dxa"/>
                        <w:tcBorders>
                          <w:top w:val="nil" w:sz="6" w:space="0" w:color="auto"/>
                          <w:left w:val="nil" w:sz="6" w:space="0" w:color="auto"/>
                          <w:bottom w:val="nil" w:sz="6" w:space="0" w:color="auto"/>
                          <w:right w:val="nil" w:sz="6" w:space="0" w:color="auto"/>
                        </w:tcBorders>
                      </w:tcPr>
                      <w:p>
                        <w:pP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2,060.00</w:t>
                        </w:r>
                      </w:p>
                    </w:tc>
                  </w:tr>
                  <w:tr>
                    <w:trPr>
                      <w:trHeight w:val="322" w:hRule="exact"/>
                    </w:trPr>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半成品</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51"/>
                          <w:ind w:left="424" w:right="0"/>
                          <w:jc w:val="left"/>
                          <w:rPr>
                            <w:rFonts w:ascii="Times New Roman" w:hAnsi="Times New Roman" w:cs="Times New Roman" w:eastAsia="Times New Roman" w:hint="default"/>
                            <w:sz w:val="18"/>
                            <w:szCs w:val="18"/>
                          </w:rPr>
                        </w:pPr>
                        <w:r>
                          <w:rPr>
                            <w:rFonts w:ascii="Times New Roman"/>
                            <w:sz w:val="18"/>
                          </w:rPr>
                          <w:t>3,927,334.60</w:t>
                        </w:r>
                      </w:p>
                    </w:tc>
                    <w:tc>
                      <w:tcPr>
                        <w:tcW w:w="1083"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4"/>
                          <w:jc w:val="right"/>
                          <w:rPr>
                            <w:rFonts w:ascii="Times New Roman" w:hAnsi="Times New Roman" w:cs="Times New Roman" w:eastAsia="Times New Roman" w:hint="default"/>
                            <w:sz w:val="18"/>
                            <w:szCs w:val="18"/>
                          </w:rPr>
                        </w:pPr>
                        <w:r>
                          <w:rPr>
                            <w:rFonts w:ascii="Times New Roman"/>
                            <w:spacing w:val="-1"/>
                            <w:sz w:val="18"/>
                          </w:rPr>
                          <w:t>3,927,334.60</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4"/>
                          <w:jc w:val="right"/>
                          <w:rPr>
                            <w:rFonts w:ascii="Times New Roman" w:hAnsi="Times New Roman" w:cs="Times New Roman" w:eastAsia="Times New Roman" w:hint="default"/>
                            <w:sz w:val="18"/>
                            <w:szCs w:val="18"/>
                          </w:rPr>
                        </w:pPr>
                        <w:r>
                          <w:rPr>
                            <w:rFonts w:ascii="Times New Roman"/>
                            <w:spacing w:val="-1"/>
                            <w:sz w:val="18"/>
                          </w:rPr>
                          <w:t>1,523,618.66</w:t>
                        </w:r>
                      </w:p>
                    </w:tc>
                    <w:tc>
                      <w:tcPr>
                        <w:tcW w:w="1197" w:type="dxa"/>
                        <w:tcBorders>
                          <w:top w:val="nil" w:sz="6" w:space="0" w:color="auto"/>
                          <w:left w:val="nil" w:sz="6" w:space="0" w:color="auto"/>
                          <w:bottom w:val="nil" w:sz="6" w:space="0" w:color="auto"/>
                          <w:right w:val="nil" w:sz="6" w:space="0" w:color="auto"/>
                        </w:tcBorders>
                      </w:tcPr>
                      <w:p>
                        <w:pP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1,523,618.66</w:t>
                        </w:r>
                      </w:p>
                    </w:tc>
                  </w:tr>
                  <w:tr>
                    <w:trPr>
                      <w:trHeight w:val="322" w:hRule="exact"/>
                    </w:trPr>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34" w:right="0"/>
                          <w:jc w:val="left"/>
                          <w:rPr>
                            <w:rFonts w:ascii="Times New Roman" w:hAnsi="Times New Roman" w:cs="Times New Roman" w:eastAsia="Times New Roman" w:hint="default"/>
                            <w:sz w:val="18"/>
                            <w:szCs w:val="18"/>
                          </w:rPr>
                        </w:pPr>
                        <w:r>
                          <w:rPr>
                            <w:rFonts w:ascii="Times New Roman"/>
                            <w:sz w:val="18"/>
                          </w:rPr>
                          <w:t>16,704,413.17</w:t>
                        </w:r>
                      </w:p>
                    </w:tc>
                    <w:tc>
                      <w:tcPr>
                        <w:tcW w:w="1083"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44"/>
                          <w:jc w:val="right"/>
                          <w:rPr>
                            <w:rFonts w:ascii="Times New Roman" w:hAnsi="Times New Roman" w:cs="Times New Roman" w:eastAsia="Times New Roman" w:hint="default"/>
                            <w:sz w:val="18"/>
                            <w:szCs w:val="18"/>
                          </w:rPr>
                        </w:pPr>
                        <w:r>
                          <w:rPr>
                            <w:rFonts w:ascii="Times New Roman"/>
                            <w:spacing w:val="-1"/>
                            <w:sz w:val="18"/>
                          </w:rPr>
                          <w:t>16,704,413.17</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54"/>
                          <w:jc w:val="right"/>
                          <w:rPr>
                            <w:rFonts w:ascii="Times New Roman" w:hAnsi="Times New Roman" w:cs="Times New Roman" w:eastAsia="Times New Roman" w:hint="default"/>
                            <w:sz w:val="18"/>
                            <w:szCs w:val="18"/>
                          </w:rPr>
                        </w:pPr>
                        <w:r>
                          <w:rPr>
                            <w:rFonts w:ascii="Times New Roman"/>
                            <w:spacing w:val="-1"/>
                            <w:sz w:val="18"/>
                          </w:rPr>
                          <w:t>5,331,655.84</w:t>
                        </w:r>
                      </w:p>
                    </w:tc>
                    <w:tc>
                      <w:tcPr>
                        <w:tcW w:w="1197" w:type="dxa"/>
                        <w:tcBorders>
                          <w:top w:val="nil" w:sz="6" w:space="0" w:color="auto"/>
                          <w:left w:val="nil" w:sz="6" w:space="0" w:color="auto"/>
                          <w:bottom w:val="nil" w:sz="6" w:space="0" w:color="auto"/>
                          <w:right w:val="nil" w:sz="6" w:space="0" w:color="auto"/>
                        </w:tcBorders>
                      </w:tcPr>
                      <w:p>
                        <w:pP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5,331,655.84</w:t>
                        </w:r>
                      </w:p>
                    </w:tc>
                  </w:tr>
                  <w:tr>
                    <w:trPr>
                      <w:trHeight w:val="322" w:hRule="exact"/>
                    </w:trPr>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34" w:right="0"/>
                          <w:jc w:val="left"/>
                          <w:rPr>
                            <w:rFonts w:ascii="Times New Roman" w:hAnsi="Times New Roman" w:cs="Times New Roman" w:eastAsia="Times New Roman" w:hint="default"/>
                            <w:sz w:val="18"/>
                            <w:szCs w:val="18"/>
                          </w:rPr>
                        </w:pPr>
                        <w:r>
                          <w:rPr>
                            <w:rFonts w:ascii="Times New Roman"/>
                            <w:sz w:val="18"/>
                          </w:rPr>
                          <w:t>20,906,202.05</w:t>
                        </w:r>
                      </w:p>
                    </w:tc>
                    <w:tc>
                      <w:tcPr>
                        <w:tcW w:w="1083"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4"/>
                          <w:jc w:val="right"/>
                          <w:rPr>
                            <w:rFonts w:ascii="Times New Roman" w:hAnsi="Times New Roman" w:cs="Times New Roman" w:eastAsia="Times New Roman" w:hint="default"/>
                            <w:sz w:val="18"/>
                            <w:szCs w:val="18"/>
                          </w:rPr>
                        </w:pPr>
                        <w:r>
                          <w:rPr>
                            <w:rFonts w:ascii="Times New Roman"/>
                            <w:spacing w:val="-1"/>
                            <w:sz w:val="18"/>
                          </w:rPr>
                          <w:t>20,906,202.05</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4"/>
                          <w:jc w:val="right"/>
                          <w:rPr>
                            <w:rFonts w:ascii="Times New Roman" w:hAnsi="Times New Roman" w:cs="Times New Roman" w:eastAsia="Times New Roman" w:hint="default"/>
                            <w:sz w:val="18"/>
                            <w:szCs w:val="18"/>
                          </w:rPr>
                        </w:pPr>
                        <w:r>
                          <w:rPr>
                            <w:rFonts w:ascii="Times New Roman"/>
                            <w:spacing w:val="-1"/>
                            <w:sz w:val="18"/>
                          </w:rPr>
                          <w:t>13,588,012.28</w:t>
                        </w:r>
                      </w:p>
                    </w:tc>
                    <w:tc>
                      <w:tcPr>
                        <w:tcW w:w="1197" w:type="dxa"/>
                        <w:tcBorders>
                          <w:top w:val="nil" w:sz="6" w:space="0" w:color="auto"/>
                          <w:left w:val="nil" w:sz="6" w:space="0" w:color="auto"/>
                          <w:bottom w:val="nil" w:sz="6" w:space="0" w:color="auto"/>
                          <w:right w:val="nil" w:sz="6" w:space="0" w:color="auto"/>
                        </w:tcBorders>
                      </w:tcPr>
                      <w:p>
                        <w:pP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13,588,012.28</w:t>
                        </w:r>
                      </w:p>
                    </w:tc>
                  </w:tr>
                  <w:tr>
                    <w:trPr>
                      <w:trHeight w:val="322" w:hRule="exact"/>
                    </w:trPr>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50" w:right="0"/>
                          <w:jc w:val="left"/>
                          <w:rPr>
                            <w:rFonts w:ascii="Times New Roman" w:hAnsi="Times New Roman" w:cs="Times New Roman" w:eastAsia="Times New Roman" w:hint="default"/>
                            <w:sz w:val="18"/>
                            <w:szCs w:val="18"/>
                          </w:rPr>
                        </w:pPr>
                        <w:r>
                          <w:rPr>
                            <w:rFonts w:ascii="Times New Roman"/>
                            <w:sz w:val="18"/>
                          </w:rPr>
                          <w:t>119,752,759.21</w:t>
                        </w:r>
                      </w:p>
                    </w:tc>
                    <w:tc>
                      <w:tcPr>
                        <w:tcW w:w="1083"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4"/>
                          <w:jc w:val="right"/>
                          <w:rPr>
                            <w:rFonts w:ascii="Times New Roman" w:hAnsi="Times New Roman" w:cs="Times New Roman" w:eastAsia="Times New Roman" w:hint="default"/>
                            <w:sz w:val="18"/>
                            <w:szCs w:val="18"/>
                          </w:rPr>
                        </w:pPr>
                        <w:r>
                          <w:rPr>
                            <w:rFonts w:ascii="Times New Roman"/>
                            <w:spacing w:val="-1"/>
                            <w:sz w:val="18"/>
                          </w:rPr>
                          <w:t>119,752,759.21</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4"/>
                          <w:jc w:val="right"/>
                          <w:rPr>
                            <w:rFonts w:ascii="Times New Roman" w:hAnsi="Times New Roman" w:cs="Times New Roman" w:eastAsia="Times New Roman" w:hint="default"/>
                            <w:sz w:val="18"/>
                            <w:szCs w:val="18"/>
                          </w:rPr>
                        </w:pPr>
                        <w:r>
                          <w:rPr>
                            <w:rFonts w:ascii="Times New Roman"/>
                            <w:spacing w:val="-1"/>
                            <w:sz w:val="18"/>
                          </w:rPr>
                          <w:t>67,756,556.46</w:t>
                        </w:r>
                      </w:p>
                    </w:tc>
                    <w:tc>
                      <w:tcPr>
                        <w:tcW w:w="1197" w:type="dxa"/>
                        <w:tcBorders>
                          <w:top w:val="nil" w:sz="6" w:space="0" w:color="auto"/>
                          <w:left w:val="nil" w:sz="6" w:space="0" w:color="auto"/>
                          <w:bottom w:val="nil" w:sz="6" w:space="0" w:color="auto"/>
                          <w:right w:val="nil" w:sz="6" w:space="0" w:color="auto"/>
                        </w:tcBorders>
                      </w:tcPr>
                      <w:p>
                        <w:pP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67,756,556.46</w:t>
                        </w:r>
                      </w:p>
                    </w:tc>
                  </w:tr>
                  <w:tr>
                    <w:trPr>
                      <w:trHeight w:val="329" w:hRule="exact"/>
                    </w:trPr>
                    <w:tc>
                      <w:tcPr>
                        <w:tcW w:w="1076"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left="38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67"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left="244" w:right="0"/>
                          <w:jc w:val="left"/>
                          <w:rPr>
                            <w:rFonts w:ascii="Times New Roman" w:hAnsi="Times New Roman" w:cs="Times New Roman" w:eastAsia="Times New Roman" w:hint="default"/>
                            <w:sz w:val="18"/>
                            <w:szCs w:val="18"/>
                          </w:rPr>
                        </w:pPr>
                        <w:r>
                          <w:rPr>
                            <w:rFonts w:ascii="Times New Roman"/>
                            <w:sz w:val="18"/>
                          </w:rPr>
                          <w:t>240,856,399.05</w:t>
                        </w:r>
                      </w:p>
                    </w:tc>
                    <w:tc>
                      <w:tcPr>
                        <w:tcW w:w="1083"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6"/>
                          <w:jc w:val="center"/>
                          <w:rPr>
                            <w:rFonts w:ascii="Times New Roman" w:hAnsi="Times New Roman" w:cs="Times New Roman" w:eastAsia="Times New Roman" w:hint="default"/>
                            <w:sz w:val="18"/>
                            <w:szCs w:val="18"/>
                          </w:rPr>
                        </w:pPr>
                        <w:r>
                          <w:rPr>
                            <w:rFonts w:ascii="Times New Roman"/>
                            <w:sz w:val="18"/>
                          </w:rPr>
                          <w:t>535,138.05</w:t>
                        </w:r>
                      </w:p>
                    </w:tc>
                    <w:tc>
                      <w:tcPr>
                        <w:tcW w:w="1417"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44"/>
                          <w:jc w:val="right"/>
                          <w:rPr>
                            <w:rFonts w:ascii="Times New Roman" w:hAnsi="Times New Roman" w:cs="Times New Roman" w:eastAsia="Times New Roman" w:hint="default"/>
                            <w:sz w:val="18"/>
                            <w:szCs w:val="18"/>
                          </w:rPr>
                        </w:pPr>
                        <w:r>
                          <w:rPr>
                            <w:rFonts w:ascii="Times New Roman"/>
                            <w:spacing w:val="-1"/>
                            <w:sz w:val="18"/>
                          </w:rPr>
                          <w:t>240,321,261.00</w:t>
                        </w:r>
                      </w:p>
                    </w:tc>
                    <w:tc>
                      <w:tcPr>
                        <w:tcW w:w="1429"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54"/>
                          <w:jc w:val="right"/>
                          <w:rPr>
                            <w:rFonts w:ascii="Times New Roman" w:hAnsi="Times New Roman" w:cs="Times New Roman" w:eastAsia="Times New Roman" w:hint="default"/>
                            <w:sz w:val="18"/>
                            <w:szCs w:val="18"/>
                          </w:rPr>
                        </w:pPr>
                        <w:r>
                          <w:rPr>
                            <w:rFonts w:ascii="Times New Roman"/>
                            <w:spacing w:val="-1"/>
                            <w:sz w:val="18"/>
                          </w:rPr>
                          <w:t>130,303,991.19</w:t>
                        </w:r>
                      </w:p>
                    </w:tc>
                    <w:tc>
                      <w:tcPr>
                        <w:tcW w:w="1197"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51"/>
                          <w:jc w:val="center"/>
                          <w:rPr>
                            <w:rFonts w:ascii="Times New Roman" w:hAnsi="Times New Roman" w:cs="Times New Roman" w:eastAsia="Times New Roman" w:hint="default"/>
                            <w:sz w:val="18"/>
                            <w:szCs w:val="18"/>
                          </w:rPr>
                        </w:pPr>
                        <w:r>
                          <w:rPr>
                            <w:rFonts w:ascii="Times New Roman"/>
                            <w:sz w:val="18"/>
                          </w:rPr>
                          <w:t>601,684.08</w:t>
                        </w:r>
                      </w:p>
                    </w:tc>
                    <w:tc>
                      <w:tcPr>
                        <w:tcW w:w="1446"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129,702,307.11</w:t>
                        </w:r>
                      </w:p>
                    </w:tc>
                  </w:tr>
                </w:tbl>
                <w:p>
                  <w:pPr/>
                </w:p>
              </w:txbxContent>
            </v:textbox>
            <w10:wrap type="none"/>
          </v:shape>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期末预付款项中无持本公司</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b/>
          <w:bCs/>
          <w:w w:val="99"/>
          <w:sz w:val="21"/>
          <w:szCs w:val="21"/>
        </w:rPr>
        <w:t> </w: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六</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存货</w:t>
      </w:r>
      <w:r>
        <w:rPr>
          <w:rFonts w:ascii="宋体" w:hAnsi="宋体" w:cs="宋体" w:eastAsia="宋体" w:hint="default"/>
          <w:sz w:val="21"/>
          <w:szCs w:val="21"/>
        </w:rPr>
      </w:r>
    </w:p>
    <w:p>
      <w:pPr>
        <w:spacing w:line="3363" w:lineRule="exact"/>
        <w:ind w:left="105" w:right="0" w:firstLine="0"/>
        <w:rPr>
          <w:rFonts w:ascii="宋体" w:hAnsi="宋体" w:cs="宋体" w:eastAsia="宋体" w:hint="default"/>
          <w:sz w:val="20"/>
          <w:szCs w:val="20"/>
        </w:rPr>
      </w:pPr>
      <w:r>
        <w:rPr>
          <w:rFonts w:ascii="宋体" w:hAnsi="宋体" w:cs="宋体" w:eastAsia="宋体" w:hint="default"/>
          <w:position w:val="-66"/>
          <w:sz w:val="20"/>
          <w:szCs w:val="20"/>
        </w:rPr>
        <w:pict>
          <v:group style="width:463.7pt;height:168.2pt;mso-position-horizontal-relative:char;mso-position-vertical-relative:line" coordorigin="0,0" coordsize="9274,3364">
            <v:shape style="position:absolute;left:1129;top:0;width:4037;height:432" type="#_x0000_t75" stroked="false">
              <v:imagedata r:id="rId126" o:title=""/>
            </v:shape>
            <v:shape style="position:absolute;left:1129;top:374;width:8144;height:442" type="#_x0000_t75" stroked="false">
              <v:imagedata r:id="rId127" o:title=""/>
            </v:shape>
            <v:group style="position:absolute;left:1055;top:797;width:104;height:312" coordorigin="1055,797" coordsize="104,312">
              <v:shape style="position:absolute;left:1055;top:797;width:104;height:312" coordorigin="1055,797" coordsize="104,312" path="m1055,1109l1158,1109,1158,797,1055,797,1055,1109xe" filled="true" fillcolor="#ffffff" stroked="false">
                <v:path arrowok="t"/>
                <v:fill type="solid"/>
              </v:shape>
            </v:group>
            <v:group style="position:absolute;left:2473;top:797;width:104;height:312" coordorigin="2473,797" coordsize="104,312">
              <v:shape style="position:absolute;left:2473;top:797;width:104;height:312" coordorigin="2473,797" coordsize="104,312" path="m2473,1109l2576,1109,2576,797,2473,797,2473,1109xe" filled="true" fillcolor="#ffffff" stroked="false">
                <v:path arrowok="t"/>
                <v:fill type="solid"/>
              </v:shape>
            </v:group>
            <v:group style="position:absolute;left:1168;top:797;width:104;height:312" coordorigin="1168,797" coordsize="104,312">
              <v:shape style="position:absolute;left:1168;top:797;width:104;height:312" coordorigin="1168,797" coordsize="104,312" path="m1168,1109l1271,1109,1271,797,1168,797,1168,1109xe" filled="true" fillcolor="#ffffff" stroked="false">
                <v:path arrowok="t"/>
                <v:fill type="solid"/>
              </v:shape>
            </v:group>
            <v:group style="position:absolute;left:1271;top:797;width:1203;height:312" coordorigin="1271,797" coordsize="1203,312">
              <v:shape style="position:absolute;left:1271;top:797;width:1203;height:312" coordorigin="1271,797" coordsize="1203,312" path="m1271,1109l2473,1109,2473,797,1271,797,1271,1109xe" filled="true" fillcolor="#ffffff" stroked="false">
                <v:path arrowok="t"/>
                <v:fill type="solid"/>
              </v:shape>
            </v:group>
            <v:group style="position:absolute;left:3607;top:797;width:104;height:312" coordorigin="3607,797" coordsize="104,312">
              <v:shape style="position:absolute;left:3607;top:797;width:104;height:312" coordorigin="3607,797" coordsize="104,312" path="m3607,1109l3710,1109,3710,797,3607,797,3607,1109xe" filled="true" fillcolor="#ffffff" stroked="false">
                <v:path arrowok="t"/>
                <v:fill type="solid"/>
              </v:shape>
            </v:group>
            <v:group style="position:absolute;left:2587;top:797;width:104;height:312" coordorigin="2587,797" coordsize="104,312">
              <v:shape style="position:absolute;left:2587;top:797;width:104;height:312" coordorigin="2587,797" coordsize="104,312" path="m2587,1109l2690,1109,2690,797,2587,797,2587,1109xe" filled="true" fillcolor="#ffffff" stroked="false">
                <v:path arrowok="t"/>
                <v:fill type="solid"/>
              </v:shape>
            </v:group>
            <v:group style="position:absolute;left:2690;top:797;width:917;height:312" coordorigin="2690,797" coordsize="917,312">
              <v:shape style="position:absolute;left:2690;top:797;width:917;height:312" coordorigin="2690,797" coordsize="917,312" path="m2690,1109l3607,1109,3607,797,2690,797,2690,1109xe" filled="true" fillcolor="#ffffff" stroked="false">
                <v:path arrowok="t"/>
                <v:fill type="solid"/>
              </v:shape>
            </v:group>
            <v:group style="position:absolute;left:5024;top:797;width:104;height:312" coordorigin="5024,797" coordsize="104,312">
              <v:shape style="position:absolute;left:5024;top:797;width:104;height:312" coordorigin="5024,797" coordsize="104,312" path="m5024,1109l5128,1109,5128,797,5024,797,5024,1109xe" filled="true" fillcolor="#ffffff" stroked="false">
                <v:path arrowok="t"/>
                <v:fill type="solid"/>
              </v:shape>
            </v:group>
            <v:group style="position:absolute;left:3721;top:797;width:102;height:312" coordorigin="3721,797" coordsize="102,312">
              <v:shape style="position:absolute;left:3721;top:797;width:102;height:312" coordorigin="3721,797" coordsize="102,312" path="m3721,1109l3823,1109,3823,797,3721,797,3721,1109xe" filled="true" fillcolor="#ffffff" stroked="false">
                <v:path arrowok="t"/>
                <v:fill type="solid"/>
              </v:shape>
            </v:group>
            <v:group style="position:absolute;left:3823;top:797;width:1202;height:312" coordorigin="3823,797" coordsize="1202,312">
              <v:shape style="position:absolute;left:3823;top:797;width:1202;height:312" coordorigin="3823,797" coordsize="1202,312" path="m3823,1109l5024,1109,5024,797,3823,797,3823,1109xe" filled="true" fillcolor="#ffffff" stroked="false">
                <v:path arrowok="t"/>
                <v:fill type="solid"/>
              </v:shape>
            </v:group>
            <v:group style="position:absolute;left:6443;top:797;width:104;height:312" coordorigin="6443,797" coordsize="104,312">
              <v:shape style="position:absolute;left:6443;top:797;width:104;height:312" coordorigin="6443,797" coordsize="104,312" path="m6443,1109l6546,1109,6546,797,6443,797,6443,1109xe" filled="true" fillcolor="#ffffff" stroked="false">
                <v:path arrowok="t"/>
                <v:fill type="solid"/>
              </v:shape>
            </v:group>
            <v:group style="position:absolute;left:5137;top:797;width:104;height:312" coordorigin="5137,797" coordsize="104,312">
              <v:shape style="position:absolute;left:5137;top:797;width:104;height:312" coordorigin="5137,797" coordsize="104,312" path="m5137,1109l5240,1109,5240,797,5137,797,5137,1109xe" filled="true" fillcolor="#ffffff" stroked="false">
                <v:path arrowok="t"/>
                <v:fill type="solid"/>
              </v:shape>
            </v:group>
            <v:group style="position:absolute;left:5240;top:797;width:1203;height:312" coordorigin="5240,797" coordsize="1203,312">
              <v:shape style="position:absolute;left:5240;top:797;width:1203;height:312" coordorigin="5240,797" coordsize="1203,312" path="m5240,1109l6443,1109,6443,797,5240,797,5240,1109xe" filled="true" fillcolor="#ffffff" stroked="false">
                <v:path arrowok="t"/>
                <v:fill type="solid"/>
              </v:shape>
            </v:group>
            <v:group style="position:absolute;left:7577;top:797;width:104;height:312" coordorigin="7577,797" coordsize="104,312">
              <v:shape style="position:absolute;left:7577;top:797;width:104;height:312" coordorigin="7577,797" coordsize="104,312" path="m7577,1109l7680,1109,7680,797,7577,797,7577,1109xe" filled="true" fillcolor="#ffffff" stroked="false">
                <v:path arrowok="t"/>
                <v:fill type="solid"/>
              </v:shape>
            </v:group>
            <v:group style="position:absolute;left:6556;top:797;width:104;height:312" coordorigin="6556,797" coordsize="104,312">
              <v:shape style="position:absolute;left:6556;top:797;width:104;height:312" coordorigin="6556,797" coordsize="104,312" path="m6556,1109l6659,1109,6659,797,6556,797,6556,1109xe" filled="true" fillcolor="#ffffff" stroked="false">
                <v:path arrowok="t"/>
                <v:fill type="solid"/>
              </v:shape>
            </v:group>
            <v:group style="position:absolute;left:6659;top:797;width:918;height:312" coordorigin="6659,797" coordsize="918,312">
              <v:shape style="position:absolute;left:6659;top:797;width:918;height:312" coordorigin="6659,797" coordsize="918,312" path="m6659,1109l7577,1109,7577,797,6659,797,6659,1109xe" filled="true" fillcolor="#ffffff" stroked="false">
                <v:path arrowok="t"/>
                <v:fill type="solid"/>
              </v:shape>
            </v:group>
            <v:group style="position:absolute;left:9136;top:797;width:108;height:312" coordorigin="9136,797" coordsize="108,312">
              <v:shape style="position:absolute;left:9136;top:797;width:108;height:312" coordorigin="9136,797" coordsize="108,312" path="m9136,1109l9244,1109,9244,797,9136,797,9136,1109xe" filled="true" fillcolor="#ffffff" stroked="false">
                <v:path arrowok="t"/>
                <v:fill type="solid"/>
              </v:shape>
            </v:group>
            <v:group style="position:absolute;left:7690;top:797;width:104;height:312" coordorigin="7690,797" coordsize="104,312">
              <v:shape style="position:absolute;left:7690;top:797;width:104;height:312" coordorigin="7690,797" coordsize="104,312" path="m7690,1109l7793,1109,7793,797,7690,797,7690,1109xe" filled="true" fillcolor="#ffffff" stroked="false">
                <v:path arrowok="t"/>
                <v:fill type="solid"/>
              </v:shape>
            </v:group>
            <v:group style="position:absolute;left:7793;top:797;width:1343;height:312" coordorigin="7793,797" coordsize="1343,312">
              <v:shape style="position:absolute;left:7793;top:797;width:1343;height:312" coordorigin="7793,797" coordsize="1343,312" path="m7793,1109l9136,1109,9136,797,7793,797,7793,1109xe" filled="true" fillcolor="#ffffff" stroked="false">
                <v:path arrowok="t"/>
                <v:fill type="solid"/>
              </v:shape>
            </v:group>
            <v:group style="position:absolute;left:29;top:797;width:108;height:312" coordorigin="29,797" coordsize="108,312">
              <v:shape style="position:absolute;left:29;top:797;width:108;height:312" coordorigin="29,797" coordsize="108,312" path="m29,1109l137,1109,137,797,29,797,29,1109xe" filled="true" fillcolor="#ffffff" stroked="false">
                <v:path arrowok="t"/>
                <v:fill type="solid"/>
              </v:shape>
              <v:shape style="position:absolute;left:0;top:758;width:9274;height:702" type="#_x0000_t75" stroked="false">
                <v:imagedata r:id="rId128" o:title=""/>
              </v:shape>
              <v:shape style="position:absolute;left:0;top:1403;width:9274;height:379" type="#_x0000_t75" stroked="false">
                <v:imagedata r:id="rId129" o:title=""/>
              </v:shape>
              <v:shape style="position:absolute;left:0;top:1724;width:9274;height:379" type="#_x0000_t75" stroked="false">
                <v:imagedata r:id="rId130" o:title=""/>
              </v:shape>
              <v:shape style="position:absolute;left:0;top:2046;width:9274;height:380" type="#_x0000_t75" stroked="false">
                <v:imagedata r:id="rId131" o:title=""/>
              </v:shape>
              <v:shape style="position:absolute;left:0;top:2369;width:9274;height:379" type="#_x0000_t75" stroked="false">
                <v:imagedata r:id="rId132" o:title=""/>
              </v:shape>
              <v:shape style="position:absolute;left:0;top:2690;width:9274;height:379" type="#_x0000_t75" stroked="false">
                <v:imagedata r:id="rId133" o:title=""/>
              </v:shape>
            </v:group>
            <v:group style="position:absolute;left:1055;top:3052;width:104;height:312" coordorigin="1055,3052" coordsize="104,312">
              <v:shape style="position:absolute;left:1055;top:3052;width:104;height:312" coordorigin="1055,3052" coordsize="104,312" path="m1055,3364l1158,3364,1158,3052,1055,3052,1055,3364xe" filled="true" fillcolor="#ffffff" stroked="false">
                <v:path arrowok="t"/>
                <v:fill type="solid"/>
              </v:shape>
            </v:group>
            <v:group style="position:absolute;left:29;top:3052;width:108;height:312" coordorigin="29,3052" coordsize="108,312">
              <v:shape style="position:absolute;left:29;top:3052;width:108;height:312" coordorigin="29,3052" coordsize="108,312" path="m29,3364l137,3364,137,3052,29,3052,29,3364xe" filled="true" fillcolor="#ffffff" stroked="false">
                <v:path arrowok="t"/>
                <v:fill type="solid"/>
              </v:shape>
            </v:group>
            <v:group style="position:absolute;left:137;top:3052;width:918;height:312" coordorigin="137,3052" coordsize="918,312">
              <v:shape style="position:absolute;left:137;top:3052;width:918;height:312" coordorigin="137,3052" coordsize="918,312" path="m137,3364l1055,3364,1055,3052,137,3052,137,3364xe" filled="true" fillcolor="#ffffff" stroked="false">
                <v:path arrowok="t"/>
                <v:fill type="solid"/>
              </v:shape>
            </v:group>
            <v:group style="position:absolute;left:2473;top:3052;width:104;height:312" coordorigin="2473,3052" coordsize="104,312">
              <v:shape style="position:absolute;left:2473;top:3052;width:104;height:312" coordorigin="2473,3052" coordsize="104,312" path="m2473,3364l2576,3364,2576,3052,2473,3052,2473,3364xe" filled="true" fillcolor="#ffffff" stroked="false">
                <v:path arrowok="t"/>
                <v:fill type="solid"/>
              </v:shape>
            </v:group>
            <v:group style="position:absolute;left:1168;top:3052;width:104;height:312" coordorigin="1168,3052" coordsize="104,312">
              <v:shape style="position:absolute;left:1168;top:3052;width:104;height:312" coordorigin="1168,3052" coordsize="104,312" path="m1168,3364l1271,3364,1271,3052,1168,3052,1168,3364xe" filled="true" fillcolor="#ffffff" stroked="false">
                <v:path arrowok="t"/>
                <v:fill type="solid"/>
              </v:shape>
            </v:group>
            <v:group style="position:absolute;left:1271;top:3052;width:1203;height:312" coordorigin="1271,3052" coordsize="1203,312">
              <v:shape style="position:absolute;left:1271;top:3052;width:1203;height:312" coordorigin="1271,3052" coordsize="1203,312" path="m1271,3364l2473,3364,2473,3052,1271,3052,1271,3364xe" filled="true" fillcolor="#ffffff" stroked="false">
                <v:path arrowok="t"/>
                <v:fill type="solid"/>
              </v:shape>
            </v:group>
            <v:group style="position:absolute;left:3607;top:3052;width:104;height:312" coordorigin="3607,3052" coordsize="104,312">
              <v:shape style="position:absolute;left:3607;top:3052;width:104;height:312" coordorigin="3607,3052" coordsize="104,312" path="m3607,3364l3710,3364,3710,3052,3607,3052,3607,3364xe" filled="true" fillcolor="#ffffff" stroked="false">
                <v:path arrowok="t"/>
                <v:fill type="solid"/>
              </v:shape>
            </v:group>
            <v:group style="position:absolute;left:2587;top:3052;width:104;height:312" coordorigin="2587,3052" coordsize="104,312">
              <v:shape style="position:absolute;left:2587;top:3052;width:104;height:312" coordorigin="2587,3052" coordsize="104,312" path="m2587,3364l2690,3364,2690,3052,2587,3052,2587,3364xe" filled="true" fillcolor="#ffffff" stroked="false">
                <v:path arrowok="t"/>
                <v:fill type="solid"/>
              </v:shape>
            </v:group>
            <v:group style="position:absolute;left:2690;top:3052;width:917;height:312" coordorigin="2690,3052" coordsize="917,312">
              <v:shape style="position:absolute;left:2690;top:3052;width:917;height:312" coordorigin="2690,3052" coordsize="917,312" path="m2690,3364l3607,3364,3607,3052,2690,3052,2690,3364xe" filled="true" fillcolor="#ffffff" stroked="false">
                <v:path arrowok="t"/>
                <v:fill type="solid"/>
              </v:shape>
            </v:group>
            <v:group style="position:absolute;left:5024;top:3052;width:104;height:312" coordorigin="5024,3052" coordsize="104,312">
              <v:shape style="position:absolute;left:5024;top:3052;width:104;height:312" coordorigin="5024,3052" coordsize="104,312" path="m5024,3364l5128,3364,5128,3052,5024,3052,5024,3364xe" filled="true" fillcolor="#ffffff" stroked="false">
                <v:path arrowok="t"/>
                <v:fill type="solid"/>
              </v:shape>
            </v:group>
            <v:group style="position:absolute;left:3721;top:3052;width:102;height:312" coordorigin="3721,3052" coordsize="102,312">
              <v:shape style="position:absolute;left:3721;top:3052;width:102;height:312" coordorigin="3721,3052" coordsize="102,312" path="m3721,3364l3823,3364,3823,3052,3721,3052,3721,3364xe" filled="true" fillcolor="#ffffff" stroked="false">
                <v:path arrowok="t"/>
                <v:fill type="solid"/>
              </v:shape>
            </v:group>
            <v:group style="position:absolute;left:3823;top:3052;width:1202;height:312" coordorigin="3823,3052" coordsize="1202,312">
              <v:shape style="position:absolute;left:3823;top:3052;width:1202;height:312" coordorigin="3823,3052" coordsize="1202,312" path="m3823,3364l5024,3364,5024,3052,3823,3052,3823,3364xe" filled="true" fillcolor="#ffffff" stroked="false">
                <v:path arrowok="t"/>
                <v:fill type="solid"/>
              </v:shape>
            </v:group>
            <v:group style="position:absolute;left:6443;top:3052;width:104;height:312" coordorigin="6443,3052" coordsize="104,312">
              <v:shape style="position:absolute;left:6443;top:3052;width:104;height:312" coordorigin="6443,3052" coordsize="104,312" path="m6443,3364l6546,3364,6546,3052,6443,3052,6443,3364xe" filled="true" fillcolor="#ffffff" stroked="false">
                <v:path arrowok="t"/>
                <v:fill type="solid"/>
              </v:shape>
            </v:group>
            <v:group style="position:absolute;left:5137;top:3052;width:104;height:312" coordorigin="5137,3052" coordsize="104,312">
              <v:shape style="position:absolute;left:5137;top:3052;width:104;height:312" coordorigin="5137,3052" coordsize="104,312" path="m5137,3364l5240,3364,5240,3052,5137,3052,5137,3364xe" filled="true" fillcolor="#ffffff" stroked="false">
                <v:path arrowok="t"/>
                <v:fill type="solid"/>
              </v:shape>
            </v:group>
            <v:group style="position:absolute;left:5240;top:3052;width:1203;height:312" coordorigin="5240,3052" coordsize="1203,312">
              <v:shape style="position:absolute;left:5240;top:3052;width:1203;height:312" coordorigin="5240,3052" coordsize="1203,312" path="m5240,3364l6443,3364,6443,3052,5240,3052,5240,3364xe" filled="true" fillcolor="#ffffff" stroked="false">
                <v:path arrowok="t"/>
                <v:fill type="solid"/>
              </v:shape>
            </v:group>
            <v:group style="position:absolute;left:7577;top:3052;width:104;height:312" coordorigin="7577,3052" coordsize="104,312">
              <v:shape style="position:absolute;left:7577;top:3052;width:104;height:312" coordorigin="7577,3052" coordsize="104,312" path="m7577,3364l7680,3364,7680,3052,7577,3052,7577,3364xe" filled="true" fillcolor="#ffffff" stroked="false">
                <v:path arrowok="t"/>
                <v:fill type="solid"/>
              </v:shape>
            </v:group>
            <v:group style="position:absolute;left:6556;top:3052;width:104;height:312" coordorigin="6556,3052" coordsize="104,312">
              <v:shape style="position:absolute;left:6556;top:3052;width:104;height:312" coordorigin="6556,3052" coordsize="104,312" path="m6556,3364l6659,3364,6659,3052,6556,3052,6556,3364xe" filled="true" fillcolor="#ffffff" stroked="false">
                <v:path arrowok="t"/>
                <v:fill type="solid"/>
              </v:shape>
            </v:group>
            <v:group style="position:absolute;left:6659;top:3052;width:918;height:312" coordorigin="6659,3052" coordsize="918,312">
              <v:shape style="position:absolute;left:6659;top:3052;width:918;height:312" coordorigin="6659,3052" coordsize="918,312" path="m6659,3364l7577,3364,7577,3052,6659,3052,6659,3364xe" filled="true" fillcolor="#ffffff" stroked="false">
                <v:path arrowok="t"/>
                <v:fill type="solid"/>
              </v:shape>
            </v:group>
            <v:group style="position:absolute;left:9136;top:3052;width:108;height:312" coordorigin="9136,3052" coordsize="108,312">
              <v:shape style="position:absolute;left:9136;top:3052;width:108;height:312" coordorigin="9136,3052" coordsize="108,312" path="m9136,3364l9244,3364,9244,3052,9136,3052,9136,3364xe" filled="true" fillcolor="#ffffff" stroked="false">
                <v:path arrowok="t"/>
                <v:fill type="solid"/>
              </v:shape>
            </v:group>
            <v:group style="position:absolute;left:7690;top:3052;width:104;height:312" coordorigin="7690,3052" coordsize="104,312">
              <v:shape style="position:absolute;left:7690;top:3052;width:104;height:312" coordorigin="7690,3052" coordsize="104,312" path="m7690,3364l7793,3364,7793,3052,7690,3052,7690,3364xe" filled="true" fillcolor="#ffffff" stroked="false">
                <v:path arrowok="t"/>
                <v:fill type="solid"/>
              </v:shape>
            </v:group>
            <v:group style="position:absolute;left:7793;top:3052;width:1343;height:312" coordorigin="7793,3052" coordsize="1343,312">
              <v:shape style="position:absolute;left:7793;top:3052;width:1343;height:312" coordorigin="7793,3052" coordsize="1343,312" path="m7793,3364l9136,3364,9136,3052,7793,3052,7793,3364xe" filled="true" fillcolor="#ffffff" stroked="false">
                <v:path arrowok="t"/>
                <v:fill type="solid"/>
              </v:shape>
              <v:shape style="position:absolute;left:0;top:3012;width:9254;height:352" type="#_x0000_t75" stroked="false">
                <v:imagedata r:id="rId134" o:title=""/>
              </v:shape>
            </v:group>
          </v:group>
        </w:pict>
      </w:r>
      <w:r>
        <w:rPr>
          <w:rFonts w:ascii="宋体" w:hAnsi="宋体" w:cs="宋体" w:eastAsia="宋体" w:hint="default"/>
          <w:position w:val="-66"/>
          <w:sz w:val="20"/>
          <w:szCs w:val="2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spacing w:before="0"/>
        <w:ind w:left="1277" w:right="0" w:firstLine="0"/>
        <w:jc w:val="left"/>
        <w:rPr>
          <w:rFonts w:ascii="宋体" w:hAnsi="宋体" w:cs="宋体" w:eastAsia="宋体" w:hint="default"/>
          <w:sz w:val="21"/>
          <w:szCs w:val="21"/>
        </w:rPr>
      </w:pPr>
      <w:r>
        <w:rPr>
          <w:rFonts w:ascii="宋体" w:hAnsi="宋体" w:cs="宋体" w:eastAsia="宋体" w:hint="default"/>
          <w:sz w:val="21"/>
          <w:szCs w:val="21"/>
        </w:rPr>
        <w:t>其中：期末无存货用于担保，无存货的所有权受到限制。</w:t>
      </w:r>
    </w:p>
    <w:p>
      <w:pPr>
        <w:spacing w:line="240" w:lineRule="auto" w:before="0"/>
        <w:rPr>
          <w:rFonts w:ascii="宋体" w:hAnsi="宋体" w:cs="宋体" w:eastAsia="宋体" w:hint="default"/>
          <w:sz w:val="20"/>
          <w:szCs w:val="20"/>
        </w:rPr>
      </w:pPr>
    </w:p>
    <w:p>
      <w:pPr>
        <w:tabs>
          <w:tab w:pos="1816" w:val="left" w:leader="none"/>
        </w:tabs>
        <w:spacing w:before="144"/>
        <w:ind w:left="1277" w:right="0" w:firstLine="0"/>
        <w:jc w:val="left"/>
        <w:rPr>
          <w:rFonts w:ascii="宋体" w:hAnsi="宋体" w:cs="宋体" w:eastAsia="宋体" w:hint="default"/>
          <w:sz w:val="21"/>
          <w:szCs w:val="21"/>
        </w:rPr>
      </w:pPr>
      <w:r>
        <w:rPr/>
        <w:pict>
          <v:group style="position:absolute;margin-left:119.040001pt;margin-top:22.523825pt;width:390.9pt;height:66.8pt;mso-position-horizontal-relative:page;mso-position-vertical-relative:paragraph;z-index:-816832" coordorigin="2381,450" coordsize="7818,1336">
            <v:group style="position:absolute;left:2410;top:465;width:7755;height:2" coordorigin="2410,465" coordsize="7755,2">
              <v:shape style="position:absolute;left:2410;top:465;width:7755;height:2" coordorigin="2410,465" coordsize="7755,0" path="m2410,465l10164,465e" filled="false" stroked="true" strokeweight="1.5pt" strokecolor="#000000">
                <v:path arrowok="t"/>
              </v:shape>
              <v:shape style="position:absolute;left:4034;top:461;width:4888;height:711" type="#_x0000_t75" stroked="false">
                <v:imagedata r:id="rId135" o:title=""/>
              </v:shape>
              <v:shape style="position:absolute;left:2381;top:1114;width:7818;height:379" type="#_x0000_t75" stroked="false">
                <v:imagedata r:id="rId136" o:title=""/>
              </v:shape>
            </v:group>
            <v:group style="position:absolute;left:3960;top:1474;width:104;height:312" coordorigin="3960,1474" coordsize="104,312">
              <v:shape style="position:absolute;left:3960;top:1474;width:104;height:312" coordorigin="3960,1474" coordsize="104,312" path="m3960,1786l4063,1786,4063,1474,3960,1474,3960,1786xe" filled="true" fillcolor="#ffffff" stroked="false">
                <v:path arrowok="t"/>
                <v:fill type="solid"/>
              </v:shape>
            </v:group>
            <v:group style="position:absolute;left:2410;top:1474;width:108;height:312" coordorigin="2410,1474" coordsize="108,312">
              <v:shape style="position:absolute;left:2410;top:1474;width:108;height:312" coordorigin="2410,1474" coordsize="108,312" path="m2410,1786l2518,1786,2518,1474,2410,1474,2410,1786xe" filled="true" fillcolor="#ffffff" stroked="false">
                <v:path arrowok="t"/>
                <v:fill type="solid"/>
              </v:shape>
            </v:group>
            <v:group style="position:absolute;left:2518;top:1474;width:1443;height:312" coordorigin="2518,1474" coordsize="1443,312">
              <v:shape style="position:absolute;left:2518;top:1474;width:1443;height:312" coordorigin="2518,1474" coordsize="1443,312" path="m2518,1786l3960,1786,3960,1474,2518,1474,2518,1786xe" filled="true" fillcolor="#ffffff" stroked="false">
                <v:path arrowok="t"/>
                <v:fill type="solid"/>
              </v:shape>
            </v:group>
            <v:group style="position:absolute;left:5112;top:1474;width:104;height:312" coordorigin="5112,1474" coordsize="104,312">
              <v:shape style="position:absolute;left:5112;top:1474;width:104;height:312" coordorigin="5112,1474" coordsize="104,312" path="m5112,1786l5215,1786,5215,1474,5112,1474,5112,1786xe" filled="true" fillcolor="#ffffff" stroked="false">
                <v:path arrowok="t"/>
                <v:fill type="solid"/>
              </v:shape>
            </v:group>
            <v:group style="position:absolute;left:4073;top:1474;width:104;height:312" coordorigin="4073,1474" coordsize="104,312">
              <v:shape style="position:absolute;left:4073;top:1474;width:104;height:312" coordorigin="4073,1474" coordsize="104,312" path="m4073,1786l4176,1786,4176,1474,4073,1474,4073,1786xe" filled="true" fillcolor="#ffffff" stroked="false">
                <v:path arrowok="t"/>
                <v:fill type="solid"/>
              </v:shape>
            </v:group>
            <v:group style="position:absolute;left:4176;top:1474;width:936;height:312" coordorigin="4176,1474" coordsize="936,312">
              <v:shape style="position:absolute;left:4176;top:1474;width:936;height:312" coordorigin="4176,1474" coordsize="936,312" path="m4176,1786l5112,1786,5112,1474,4176,1474,4176,1786xe" filled="true" fillcolor="#ffffff" stroked="false">
                <v:path arrowok="t"/>
                <v:fill type="solid"/>
              </v:shape>
            </v:group>
            <v:group style="position:absolute;left:6370;top:1474;width:104;height:312" coordorigin="6370,1474" coordsize="104,312">
              <v:shape style="position:absolute;left:6370;top:1474;width:104;height:312" coordorigin="6370,1474" coordsize="104,312" path="m6370,1786l6473,1786,6473,1474,6370,1474,6370,1786xe" filled="true" fillcolor="#ffffff" stroked="false">
                <v:path arrowok="t"/>
                <v:fill type="solid"/>
              </v:shape>
            </v:group>
            <v:group style="position:absolute;left:5225;top:1474;width:104;height:312" coordorigin="5225,1474" coordsize="104,312">
              <v:shape style="position:absolute;left:5225;top:1474;width:104;height:312" coordorigin="5225,1474" coordsize="104,312" path="m5225,1786l5328,1786,5328,1474,5225,1474,5225,1786xe" filled="true" fillcolor="#ffffff" stroked="false">
                <v:path arrowok="t"/>
                <v:fill type="solid"/>
              </v:shape>
            </v:group>
            <v:group style="position:absolute;left:5328;top:1474;width:1042;height:312" coordorigin="5328,1474" coordsize="1042,312">
              <v:shape style="position:absolute;left:5328;top:1474;width:1042;height:312" coordorigin="5328,1474" coordsize="1042,312" path="m5328,1786l6370,1786,6370,1474,5328,1474,5328,1786xe" filled="true" fillcolor="#ffffff" stroked="false">
                <v:path arrowok="t"/>
                <v:fill type="solid"/>
              </v:shape>
            </v:group>
            <v:group style="position:absolute;left:7504;top:1474;width:104;height:312" coordorigin="7504,1474" coordsize="104,312">
              <v:shape style="position:absolute;left:7504;top:1474;width:104;height:312" coordorigin="7504,1474" coordsize="104,312" path="m7504,1786l7607,1786,7607,1474,7504,1474,7504,1786xe" filled="true" fillcolor="#ffffff" stroked="false">
                <v:path arrowok="t"/>
                <v:fill type="solid"/>
              </v:shape>
            </v:group>
            <v:group style="position:absolute;left:6482;top:1474;width:104;height:312" coordorigin="6482,1474" coordsize="104,312">
              <v:shape style="position:absolute;left:6482;top:1474;width:104;height:312" coordorigin="6482,1474" coordsize="104,312" path="m6482,1786l6586,1786,6586,1474,6482,1474,6482,1786xe" filled="true" fillcolor="#ffffff" stroked="false">
                <v:path arrowok="t"/>
                <v:fill type="solid"/>
              </v:shape>
            </v:group>
            <v:group style="position:absolute;left:6586;top:1474;width:918;height:312" coordorigin="6586,1474" coordsize="918,312">
              <v:shape style="position:absolute;left:6586;top:1474;width:918;height:312" coordorigin="6586,1474" coordsize="918,312" path="m6586,1786l7504,1786,7504,1474,6586,1474,6586,1786xe" filled="true" fillcolor="#ffffff" stroked="false">
                <v:path arrowok="t"/>
                <v:fill type="solid"/>
              </v:shape>
            </v:group>
            <v:group style="position:absolute;left:8780;top:1474;width:104;height:312" coordorigin="8780,1474" coordsize="104,312">
              <v:shape style="position:absolute;left:8780;top:1474;width:104;height:312" coordorigin="8780,1474" coordsize="104,312" path="m8780,1786l8884,1786,8884,1474,8780,1474,8780,1786xe" filled="true" fillcolor="#ffffff" stroked="false">
                <v:path arrowok="t"/>
                <v:fill type="solid"/>
              </v:shape>
            </v:group>
            <v:group style="position:absolute;left:7618;top:1474;width:102;height:312" coordorigin="7618,1474" coordsize="102,312">
              <v:shape style="position:absolute;left:7618;top:1474;width:102;height:312" coordorigin="7618,1474" coordsize="102,312" path="m7618,1786l7720,1786,7720,1474,7618,1474,7618,1786xe" filled="true" fillcolor="#ffffff" stroked="false">
                <v:path arrowok="t"/>
                <v:fill type="solid"/>
              </v:shape>
            </v:group>
            <v:group style="position:absolute;left:7720;top:1474;width:1061;height:312" coordorigin="7720,1474" coordsize="1061,312">
              <v:shape style="position:absolute;left:7720;top:1474;width:1061;height:312" coordorigin="7720,1474" coordsize="1061,312" path="m7720,1786l8780,1786,8780,1474,7720,1474,7720,1786xe" filled="true" fillcolor="#ffffff" stroked="false">
                <v:path arrowok="t"/>
                <v:fill type="solid"/>
              </v:shape>
            </v:group>
            <v:group style="position:absolute;left:10056;top:1474;width:108;height:312" coordorigin="10056,1474" coordsize="108,312">
              <v:shape style="position:absolute;left:10056;top:1474;width:108;height:312" coordorigin="10056,1474" coordsize="108,312" path="m10056,1786l10164,1786,10164,1474,10056,1474,10056,1786xe" filled="true" fillcolor="#ffffff" stroked="false">
                <v:path arrowok="t"/>
                <v:fill type="solid"/>
              </v:shape>
            </v:group>
            <v:group style="position:absolute;left:8893;top:1474;width:104;height:312" coordorigin="8893,1474" coordsize="104,312">
              <v:shape style="position:absolute;left:8893;top:1474;width:104;height:312" coordorigin="8893,1474" coordsize="104,312" path="m8893,1786l8996,1786,8996,1474,8893,1474,8893,1786xe" filled="true" fillcolor="#ffffff" stroked="false">
                <v:path arrowok="t"/>
                <v:fill type="solid"/>
              </v:shape>
            </v:group>
            <v:group style="position:absolute;left:8996;top:1474;width:1060;height:312" coordorigin="8996,1474" coordsize="1060,312">
              <v:shape style="position:absolute;left:8996;top:1474;width:1060;height:312" coordorigin="8996,1474" coordsize="1060,312" path="m8996,1786l10056,1786,10056,1474,8996,1474,8996,1786xe" filled="true" fillcolor="#ffffff" stroked="false">
                <v:path arrowok="t"/>
                <v:fill type="solid"/>
              </v:shape>
              <v:shape style="position:absolute;left:2381;top:1436;width:7808;height:350" type="#_x0000_t75" stroked="false">
                <v:imagedata r:id="rId137" o:title=""/>
              </v:shape>
              <v:shape style="position:absolute;left:2879;top:77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存货种类</w:t>
                      </w:r>
                    </w:p>
                  </w:txbxContent>
                </v:textbox>
                <w10:wrap type="none"/>
              </v:shape>
              <v:shape style="position:absolute;left:4284;top:773;width:2015;height:180" type="#_x0000_t202" filled="false" stroked="false">
                <v:textbox inset="0,0,0,0">
                  <w:txbxContent>
                    <w:p>
                      <w:pPr>
                        <w:tabs>
                          <w:tab w:pos="111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tab/>
                        <w:t>本期计提额</w:t>
                      </w:r>
                    </w:p>
                  </w:txbxContent>
                </v:textbox>
                <w10:wrap type="none"/>
              </v:shape>
              <v:shape style="position:absolute;left:6864;top:89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转回</w:t>
                      </w:r>
                    </w:p>
                  </w:txbxContent>
                </v:textbox>
                <w10:wrap type="none"/>
              </v:shape>
              <v:shape style="position:absolute;left:7232;top:613;width:1197;height:46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本期减少额</w:t>
                      </w:r>
                    </w:p>
                    <w:p>
                      <w:pPr>
                        <w:spacing w:before="49"/>
                        <w:ind w:left="0" w:right="0" w:firstLine="0"/>
                        <w:jc w:val="right"/>
                        <w:rPr>
                          <w:rFonts w:ascii="宋体" w:hAnsi="宋体" w:cs="宋体" w:eastAsia="宋体" w:hint="default"/>
                          <w:sz w:val="18"/>
                          <w:szCs w:val="18"/>
                        </w:rPr>
                      </w:pPr>
                      <w:r>
                        <w:rPr>
                          <w:rFonts w:ascii="宋体" w:hAnsi="宋体" w:cs="宋体" w:eastAsia="宋体" w:hint="default"/>
                          <w:sz w:val="18"/>
                          <w:szCs w:val="18"/>
                        </w:rPr>
                        <w:t>转销</w:t>
                      </w:r>
                    </w:p>
                  </w:txbxContent>
                </v:textbox>
                <w10:wrap type="none"/>
              </v:shape>
              <v:shape style="position:absolute;left:9166;top:77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存货跌价准备</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2"/>
          <w:szCs w:val="12"/>
        </w:rPr>
      </w:pPr>
    </w:p>
    <w:tbl>
      <w:tblPr>
        <w:tblW w:w="0" w:type="auto"/>
        <w:jc w:val="left"/>
        <w:tblInd w:w="1155" w:type="dxa"/>
        <w:tblLayout w:type="fixed"/>
        <w:tblCellMar>
          <w:top w:w="0" w:type="dxa"/>
          <w:left w:w="0" w:type="dxa"/>
          <w:bottom w:w="0" w:type="dxa"/>
          <w:right w:w="0" w:type="dxa"/>
        </w:tblCellMar>
        <w:tblLook w:val="01E0"/>
      </w:tblPr>
      <w:tblGrid>
        <w:gridCol w:w="1510"/>
        <w:gridCol w:w="1431"/>
        <w:gridCol w:w="1834"/>
        <w:gridCol w:w="1843"/>
        <w:gridCol w:w="1151"/>
      </w:tblGrid>
      <w:tr>
        <w:trPr>
          <w:trHeight w:val="355" w:hRule="exact"/>
        </w:trPr>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21"/>
              <w:jc w:val="right"/>
              <w:rPr>
                <w:rFonts w:ascii="Times New Roman" w:hAnsi="Times New Roman" w:cs="Times New Roman" w:eastAsia="Times New Roman" w:hint="default"/>
                <w:sz w:val="18"/>
                <w:szCs w:val="18"/>
              </w:rPr>
            </w:pPr>
            <w:r>
              <w:rPr>
                <w:rFonts w:ascii="Times New Roman"/>
                <w:sz w:val="18"/>
              </w:rPr>
              <w:t>601,684.08</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84"/>
              <w:ind w:left="223" w:right="0"/>
              <w:jc w:val="left"/>
              <w:rPr>
                <w:rFonts w:ascii="Times New Roman" w:hAnsi="Times New Roman" w:cs="Times New Roman" w:eastAsia="Times New Roman" w:hint="default"/>
                <w:sz w:val="18"/>
                <w:szCs w:val="18"/>
              </w:rPr>
            </w:pPr>
            <w:r>
              <w:rPr>
                <w:rFonts w:ascii="Times New Roman"/>
                <w:sz w:val="18"/>
              </w:rPr>
              <w:t>535,138.05</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30"/>
              <w:jc w:val="right"/>
              <w:rPr>
                <w:rFonts w:ascii="Times New Roman" w:hAnsi="Times New Roman" w:cs="Times New Roman" w:eastAsia="Times New Roman" w:hint="default"/>
                <w:sz w:val="18"/>
                <w:szCs w:val="18"/>
              </w:rPr>
            </w:pPr>
            <w:r>
              <w:rPr>
                <w:rFonts w:ascii="Times New Roman"/>
                <w:sz w:val="18"/>
              </w:rPr>
              <w:t>601,684.08</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535,138.05</w:t>
            </w:r>
          </w:p>
        </w:tc>
      </w:tr>
      <w:tr>
        <w:trPr>
          <w:trHeight w:val="328" w:hRule="exact"/>
        </w:trPr>
        <w:tc>
          <w:tcPr>
            <w:tcW w:w="1510"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573"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431"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221"/>
              <w:jc w:val="right"/>
              <w:rPr>
                <w:rFonts w:ascii="Times New Roman" w:hAnsi="Times New Roman" w:cs="Times New Roman" w:eastAsia="Times New Roman" w:hint="default"/>
                <w:sz w:val="18"/>
                <w:szCs w:val="18"/>
              </w:rPr>
            </w:pPr>
            <w:r>
              <w:rPr>
                <w:rFonts w:ascii="Times New Roman"/>
                <w:sz w:val="18"/>
              </w:rPr>
              <w:t>601,684.08</w:t>
            </w:r>
          </w:p>
        </w:tc>
        <w:tc>
          <w:tcPr>
            <w:tcW w:w="1834"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left="223" w:right="0"/>
              <w:jc w:val="left"/>
              <w:rPr>
                <w:rFonts w:ascii="Times New Roman" w:hAnsi="Times New Roman" w:cs="Times New Roman" w:eastAsia="Times New Roman" w:hint="default"/>
                <w:sz w:val="18"/>
                <w:szCs w:val="18"/>
              </w:rPr>
            </w:pPr>
            <w:r>
              <w:rPr>
                <w:rFonts w:ascii="Times New Roman"/>
                <w:sz w:val="18"/>
              </w:rPr>
              <w:t>535,138.05</w:t>
            </w:r>
          </w:p>
        </w:tc>
        <w:tc>
          <w:tcPr>
            <w:tcW w:w="1843"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230"/>
              <w:jc w:val="right"/>
              <w:rPr>
                <w:rFonts w:ascii="Times New Roman" w:hAnsi="Times New Roman" w:cs="Times New Roman" w:eastAsia="Times New Roman" w:hint="default"/>
                <w:sz w:val="18"/>
                <w:szCs w:val="18"/>
              </w:rPr>
            </w:pPr>
            <w:r>
              <w:rPr>
                <w:rFonts w:ascii="Times New Roman"/>
                <w:sz w:val="18"/>
              </w:rPr>
              <w:t>601,684.08</w:t>
            </w:r>
          </w:p>
        </w:tc>
        <w:tc>
          <w:tcPr>
            <w:tcW w:w="1151"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535,138.05</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8"/>
          <w:szCs w:val="28"/>
        </w:rPr>
      </w:pPr>
    </w:p>
    <w:p>
      <w:pPr>
        <w:tabs>
          <w:tab w:pos="1816" w:val="left" w:leader="none"/>
        </w:tabs>
        <w:spacing w:before="35"/>
        <w:ind w:left="127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存货跌价准备情况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7" w:footer="1256" w:top="1100" w:bottom="1440" w:left="1240" w:right="1180"/>
        </w:sectPr>
      </w:pPr>
    </w:p>
    <w:p>
      <w:pPr>
        <w:spacing w:line="240" w:lineRule="auto" w:before="6"/>
        <w:rPr>
          <w:rFonts w:ascii="宋体" w:hAnsi="宋体" w:cs="宋体" w:eastAsia="宋体" w:hint="default"/>
          <w:b/>
          <w:bCs/>
          <w:sz w:val="24"/>
          <w:szCs w:val="24"/>
        </w:rPr>
      </w:pPr>
    </w:p>
    <w:p>
      <w:pPr>
        <w:spacing w:line="2349" w:lineRule="exact"/>
        <w:ind w:left="720"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390.55pt;height:117.5pt;mso-position-horizontal-relative:char;mso-position-vertical-relative:line" coordorigin="0,0" coordsize="7811,2350">
            <v:group style="position:absolute;left:29;top:15;width:7755;height:2" coordorigin="29,15" coordsize="7755,2">
              <v:shape style="position:absolute;left:29;top:15;width:7755;height:2" coordorigin="29,15" coordsize="7755,0" path="m29,15l7784,15e" filled="false" stroked="true" strokeweight="1.5pt" strokecolor="#000000">
                <v:path arrowok="t"/>
              </v:shape>
            </v:group>
            <v:group style="position:absolute;left:15;top:2335;width:1528;height:2" coordorigin="15,2335" coordsize="1528,2">
              <v:shape style="position:absolute;left:15;top:2335;width:1528;height:2" coordorigin="15,2335" coordsize="1528,0" path="m15,2335l1543,2335e" filled="false" stroked="true" strokeweight="1.5pt" strokecolor="#000000">
                <v:path arrowok="t"/>
              </v:shape>
              <v:shape style="position:absolute;left:1;top:11;width:7810;height:2338" type="#_x0000_t75" stroked="false">
                <v:imagedata r:id="rId138" o:title=""/>
              </v:shape>
            </v:group>
            <v:group style="position:absolute;left:1543;top:2335;width:2409;height:2" coordorigin="1543,2335" coordsize="2409,2">
              <v:shape style="position:absolute;left:1543;top:2335;width:2409;height:2" coordorigin="1543,2335" coordsize="2409,0" path="m1543,2335l3951,2335e" filled="false" stroked="true" strokeweight="1.5pt" strokecolor="#000000">
                <v:path arrowok="t"/>
              </v:shape>
              <v:shape style="position:absolute;left:3922;top:770;width:67;height:1578" type="#_x0000_t75" stroked="false">
                <v:imagedata r:id="rId139" o:title=""/>
              </v:shape>
            </v:group>
            <v:group style="position:absolute;left:3951;top:2335;width:1844;height:2" coordorigin="3951,2335" coordsize="1844,2">
              <v:shape style="position:absolute;left:3951;top:2335;width:1844;height:2" coordorigin="3951,2335" coordsize="1844,0" path="m3951,2335l5794,2335e" filled="false" stroked="true" strokeweight="1.5pt" strokecolor="#000000">
                <v:path arrowok="t"/>
              </v:shape>
              <v:shape style="position:absolute;left:5765;top:770;width:67;height:1578" type="#_x0000_t75" stroked="false">
                <v:imagedata r:id="rId139" o:title=""/>
              </v:shape>
            </v:group>
            <v:group style="position:absolute;left:5794;top:2335;width:1990;height:2" coordorigin="5794,2335" coordsize="1990,2">
              <v:shape style="position:absolute;left:5794;top:2335;width:1990;height:2" coordorigin="5794,2335" coordsize="1990,0" path="m5794,2335l7784,2335e" filled="false" stroked="true" strokeweight="1.5pt" strokecolor="#000000">
                <v:path arrowok="t"/>
              </v:shape>
              <v:shape style="position:absolute;left:4067;top:202;width:3534;height:180" type="#_x0000_t202" filled="false" stroked="false">
                <v:textbox inset="0,0,0,0">
                  <w:txbxContent>
                    <w:p>
                      <w:pPr>
                        <w:tabs>
                          <w:tab w:pos="191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本期转回存货跌价准</w:t>
                        <w:tab/>
                        <w:t>本期转回金额占该项</w:t>
                      </w:r>
                    </w:p>
                  </w:txbxContent>
                </v:textbox>
                <w10:wrap type="none"/>
              </v:shape>
              <v:shape style="position:absolute;left:608;top:39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1761;top:391;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计提存货跌价准备的依据</w:t>
                      </w:r>
                    </w:p>
                  </w:txbxContent>
                </v:textbox>
                <w10:wrap type="none"/>
              </v:shape>
              <v:shape style="position:absolute;left:4517;top:58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备的原因</w:t>
                      </w:r>
                    </w:p>
                  </w:txbxContent>
                </v:textbox>
                <w10:wrap type="none"/>
              </v:shape>
              <v:shape style="position:absolute;left:5981;top:582;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存货期末余额的比例</w:t>
                      </w:r>
                    </w:p>
                  </w:txbxContent>
                </v:textbox>
                <w10:wrap type="none"/>
              </v:shape>
              <v:shape style="position:absolute;left:1655;top:972;width:219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按超库龄原材料计提跌价准</w:t>
                      </w:r>
                      <w:r>
                        <w:rPr>
                          <w:rFonts w:ascii="宋体" w:hAnsi="宋体" w:cs="宋体" w:eastAsia="宋体" w:hint="default"/>
                          <w:sz w:val="18"/>
                          <w:szCs w:val="18"/>
                        </w:rPr>
                      </w:r>
                    </w:p>
                  </w:txbxContent>
                </v:textbox>
                <w10:wrap type="none"/>
              </v:shape>
              <v:shape style="position:absolute;left:137;top:15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原材料</w:t>
                      </w:r>
                    </w:p>
                  </w:txbxContent>
                </v:textbox>
                <w10:wrap type="none"/>
              </v:shape>
              <v:shape style="position:absolute;left:1655;top:1351;width:2194;height:561"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备，周转超过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年的原材料</w:t>
                      </w:r>
                    </w:p>
                    <w:p>
                      <w:pPr>
                        <w:spacing w:before="131"/>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按账面价值与市场公允价值</w:t>
                      </w:r>
                      <w:r>
                        <w:rPr>
                          <w:rFonts w:ascii="宋体" w:hAnsi="宋体" w:cs="宋体" w:eastAsia="宋体" w:hint="default"/>
                          <w:sz w:val="18"/>
                          <w:szCs w:val="18"/>
                        </w:rPr>
                      </w:r>
                    </w:p>
                  </w:txbxContent>
                </v:textbox>
                <w10:wrap type="none"/>
              </v:shape>
              <v:shape style="position:absolute;left:1655;top:211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孰低的原则计提跌价准备</w:t>
                      </w:r>
                    </w:p>
                  </w:txbxContent>
                </v:textbox>
                <w10:wrap type="none"/>
              </v:shape>
            </v:group>
          </v:group>
        </w:pict>
      </w:r>
      <w:r>
        <w:rPr>
          <w:rFonts w:ascii="宋体" w:hAnsi="宋体" w:cs="宋体" w:eastAsia="宋体" w:hint="default"/>
          <w:position w:val="-46"/>
          <w:sz w:val="20"/>
          <w:szCs w:val="2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tabs>
          <w:tab w:pos="1396" w:val="left" w:leader="none"/>
        </w:tabs>
        <w:spacing w:before="0"/>
        <w:ind w:left="857" w:right="9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期末存货余额无借款费用资本化金额。</w:t>
      </w:r>
      <w:r>
        <w:rPr>
          <w:rFonts w:ascii="宋体" w:hAnsi="宋体" w:cs="宋体" w:eastAsia="宋体" w:hint="default"/>
          <w:sz w:val="21"/>
          <w:szCs w:val="21"/>
        </w:rPr>
      </w:r>
    </w:p>
    <w:p>
      <w:pPr>
        <w:spacing w:line="240" w:lineRule="auto" w:before="2"/>
        <w:rPr>
          <w:rFonts w:ascii="宋体" w:hAnsi="宋体" w:cs="宋体" w:eastAsia="宋体" w:hint="default"/>
          <w:b/>
          <w:bCs/>
          <w:sz w:val="32"/>
          <w:szCs w:val="32"/>
        </w:rPr>
      </w:pPr>
    </w:p>
    <w:p>
      <w:pPr>
        <w:tabs>
          <w:tab w:pos="853" w:val="left" w:leader="none"/>
        </w:tabs>
        <w:spacing w:before="0"/>
        <w:ind w:left="125" w:right="9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七</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一年内到期的非流动资产</w:t>
      </w:r>
      <w:r>
        <w:rPr>
          <w:rFonts w:ascii="宋体" w:hAnsi="宋体" w:cs="宋体" w:eastAsia="宋体" w:hint="default"/>
          <w:sz w:val="21"/>
          <w:szCs w:val="21"/>
        </w:rPr>
      </w:r>
    </w:p>
    <w:p>
      <w:pPr>
        <w:spacing w:line="1202" w:lineRule="exact"/>
        <w:ind w:left="720"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391pt;height:60.15pt;mso-position-horizontal-relative:char;mso-position-vertical-relative:line" coordorigin="0,0" coordsize="7820,1203">
            <v:group style="position:absolute;left:29;top:15;width:7755;height:2" coordorigin="29,15" coordsize="7755,2">
              <v:shape style="position:absolute;left:29;top:15;width:7755;height:2" coordorigin="29,15" coordsize="7755,0" path="m29,15l7784,15e" filled="false" stroked="true" strokeweight="1.5pt" strokecolor="#000000">
                <v:path arrowok="t"/>
              </v:shape>
              <v:shape style="position:absolute;left:3782;top:1;width:2051;height:432" type="#_x0000_t75" stroked="false">
                <v:imagedata r:id="rId140" o:title=""/>
              </v:shape>
            </v:group>
            <v:group style="position:absolute;left:15;top:1187;width:3796;height:2" coordorigin="15,1187" coordsize="3796,2">
              <v:shape style="position:absolute;left:15;top:1187;width:3796;height:2" coordorigin="15,1187" coordsize="3796,0" path="m15,1187l3811,1187e" filled="false" stroked="true" strokeweight="1.5pt" strokecolor="#000000">
                <v:path arrowok="t"/>
              </v:shape>
            </v:group>
            <v:group style="position:absolute;left:3811;top:1187;width:1984;height:2" coordorigin="3811,1187" coordsize="1984,2">
              <v:shape style="position:absolute;left:3811;top:1187;width:1984;height:2" coordorigin="3811,1187" coordsize="1984,0" path="m3811,1187l5794,1187e" filled="false" stroked="true" strokeweight="1.5pt" strokecolor="#000000">
                <v:path arrowok="t"/>
              </v:shape>
              <v:shape style="position:absolute;left:1;top:376;width:7819;height:797" type="#_x0000_t75" stroked="false">
                <v:imagedata r:id="rId141" o:title=""/>
              </v:shape>
            </v:group>
            <v:group style="position:absolute;left:5794;top:1187;width:1990;height:2" coordorigin="5794,1187" coordsize="1990,2">
              <v:shape style="position:absolute;left:5794;top:1187;width:1990;height:2" coordorigin="5794,1187" coordsize="1990,0" path="m5794,1187l7784,1187e" filled="false" stroked="true" strokeweight="1.5pt" strokecolor="#000000">
                <v:path arrowok="t"/>
              </v:shape>
              <v:shape style="position:absolute;left:1742;top:1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445;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431;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511;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一年内到期的长期应收款</w:t>
                      </w:r>
                    </w:p>
                  </w:txbxContent>
                </v:textbox>
                <w10:wrap type="none"/>
              </v:shape>
              <v:shape style="position:absolute;left:4655;top:519;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76,064,857.02</w:t>
                      </w:r>
                    </w:p>
                  </w:txbxContent>
                </v:textbox>
                <w10:wrap type="none"/>
              </v:shape>
              <v:shape style="position:absolute;left:6641;top:519;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52,683,352.91</w:t>
                      </w:r>
                    </w:p>
                  </w:txbxContent>
                </v:textbox>
                <w10:wrap type="none"/>
              </v:shape>
              <v:shape style="position:absolute;left:1742;top:89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655;top:90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76,064,857.02</w:t>
                      </w:r>
                    </w:p>
                  </w:txbxContent>
                </v:textbox>
                <w10:wrap type="none"/>
              </v:shape>
              <v:shape style="position:absolute;left:6641;top:90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52,683,352.91</w:t>
                      </w:r>
                    </w:p>
                  </w:txbxContent>
                </v:textbox>
                <w10:wrap type="none"/>
              </v:shape>
            </v:group>
          </v:group>
        </w:pict>
      </w:r>
      <w:r>
        <w:rPr>
          <w:rFonts w:ascii="宋体" w:hAnsi="宋体" w:cs="宋体" w:eastAsia="宋体" w:hint="default"/>
          <w:position w:val="-23"/>
          <w:sz w:val="20"/>
          <w:szCs w:val="20"/>
        </w:rPr>
      </w:r>
    </w:p>
    <w:p>
      <w:pPr>
        <w:spacing w:line="240" w:lineRule="auto" w:before="8"/>
        <w:rPr>
          <w:rFonts w:ascii="宋体" w:hAnsi="宋体" w:cs="宋体" w:eastAsia="宋体" w:hint="default"/>
          <w:b/>
          <w:bCs/>
          <w:sz w:val="29"/>
          <w:szCs w:val="29"/>
        </w:rPr>
      </w:pPr>
    </w:p>
    <w:p>
      <w:pPr>
        <w:tabs>
          <w:tab w:pos="853" w:val="left" w:leader="none"/>
        </w:tabs>
        <w:spacing w:before="35"/>
        <w:ind w:left="125" w:right="9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八</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可供出售金融资产</w:t>
      </w:r>
      <w:r>
        <w:rPr>
          <w:rFonts w:ascii="宋体" w:hAnsi="宋体" w:cs="宋体" w:eastAsia="宋体" w:hint="default"/>
          <w:sz w:val="21"/>
          <w:szCs w:val="21"/>
        </w:rPr>
      </w:r>
    </w:p>
    <w:p>
      <w:pPr>
        <w:tabs>
          <w:tab w:pos="1396" w:val="left" w:leader="none"/>
        </w:tabs>
        <w:spacing w:before="110"/>
        <w:ind w:left="857" w:right="9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可供出售金融资产情况</w:t>
      </w:r>
      <w:r>
        <w:rPr>
          <w:rFonts w:ascii="宋体" w:hAnsi="宋体" w:cs="宋体" w:eastAsia="宋体" w:hint="default"/>
          <w:sz w:val="21"/>
          <w:szCs w:val="21"/>
        </w:rPr>
      </w:r>
    </w:p>
    <w:p>
      <w:pPr>
        <w:spacing w:line="1998" w:lineRule="exact"/>
        <w:ind w:left="720"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390.75pt;height:99.9pt;mso-position-horizontal-relative:char;mso-position-vertical-relative:line" coordorigin="0,0" coordsize="7815,1998">
            <v:group style="position:absolute;left:29;top:15;width:7755;height:2" coordorigin="29,15" coordsize="7755,2">
              <v:shape style="position:absolute;left:29;top:15;width:7755;height:2" coordorigin="29,15" coordsize="7755,0" path="m29,15l7784,15e" filled="false" stroked="true" strokeweight="1.5pt" strokecolor="#000000">
                <v:path arrowok="t"/>
              </v:shape>
              <v:shape style="position:absolute;left:3356;top:1;width:2194;height:432" type="#_x0000_t75" stroked="false">
                <v:imagedata r:id="rId142" o:title=""/>
              </v:shape>
            </v:group>
            <v:group style="position:absolute;left:15;top:1983;width:3370;height:2" coordorigin="15,1983" coordsize="3370,2">
              <v:shape style="position:absolute;left:15;top:1983;width:3370;height:2" coordorigin="15,1983" coordsize="3370,0" path="m15,1983l3385,1983e" filled="false" stroked="true" strokeweight="1.5pt" strokecolor="#000000">
                <v:path arrowok="t"/>
              </v:shape>
            </v:group>
            <v:group style="position:absolute;left:3385;top:1983;width:2127;height:2" coordorigin="3385,1983" coordsize="2127,2">
              <v:shape style="position:absolute;left:3385;top:1983;width:2127;height:2" coordorigin="3385,1983" coordsize="2127,0" path="m3385,1983l5511,1983e" filled="false" stroked="true" strokeweight="1.5pt" strokecolor="#000000">
                <v:path arrowok="t"/>
              </v:shape>
              <v:shape style="position:absolute;left:1;top:379;width:7814;height:1589" type="#_x0000_t75" stroked="false">
                <v:imagedata r:id="rId143" o:title=""/>
              </v:shape>
            </v:group>
            <v:group style="position:absolute;left:5511;top:1983;width:2273;height:2" coordorigin="5511,1983" coordsize="2273,2">
              <v:shape style="position:absolute;left:5511;top:1983;width:2273;height:2" coordorigin="5511,1983" coordsize="2273,0" path="m5511,1983l7784,1983e" filled="false" stroked="true" strokeweight="1.5pt" strokecolor="#000000">
                <v:path arrowok="t"/>
              </v:shape>
              <v:shape style="position:absolute;left:1438;top:12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3911;top:12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期末公允价值</w:t>
                      </w:r>
                    </w:p>
                  </w:txbxContent>
                </v:textbox>
                <w10:wrap type="none"/>
              </v:shape>
              <v:shape style="position:absolute;left:6110;top:12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期初公允价值</w:t>
                      </w:r>
                    </w:p>
                  </w:txbxContent>
                </v:textbox>
                <w10:wrap type="none"/>
              </v:shape>
              <v:shape style="position:absolute;left:137;top:525;width:3030;height:588"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）可供出售债券</w:t>
                      </w:r>
                    </w:p>
                    <w:p>
                      <w:pPr>
                        <w:spacing w:line="245" w:lineRule="exact" w:before="148"/>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）可供出售权益工具</w:t>
                      </w:r>
                      <w:r>
                        <w:rPr>
                          <w:rFonts w:ascii="Times New Roman" w:hAnsi="Times New Roman" w:cs="Times New Roman" w:eastAsia="Times New Roman" w:hint="default"/>
                          <w:sz w:val="18"/>
                          <w:szCs w:val="18"/>
                        </w:rPr>
                        <w:t>-</w:t>
                      </w:r>
                      <w:r>
                        <w:rPr>
                          <w:rFonts w:ascii="宋体" w:hAnsi="宋体" w:cs="宋体" w:eastAsia="宋体" w:hint="default"/>
                          <w:sz w:val="18"/>
                          <w:szCs w:val="18"/>
                        </w:rPr>
                        <w:t>星河生物股票</w:t>
                      </w:r>
                    </w:p>
                  </w:txbxContent>
                </v:textbox>
                <w10:wrap type="none"/>
              </v:shape>
              <v:shape style="position:absolute;left:4283;top:929;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134,577,416.07</w:t>
                      </w:r>
                    </w:p>
                  </w:txbxContent>
                </v:textbox>
                <w10:wrap type="none"/>
              </v:shape>
              <v:shape style="position:absolute;left:6551;top:929;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281,200,000.00</w:t>
                      </w:r>
                    </w:p>
                  </w:txbxContent>
                </v:textbox>
                <w10:wrap type="none"/>
              </v:shape>
              <v:shape style="position:absolute;left:137;top:1306;width:1170;height:190" type="#_x0000_t202" filled="false" stroked="false">
                <v:textbox inset="0,0,0,0">
                  <w:txbxContent>
                    <w:p>
                      <w:pPr>
                        <w:tabs>
                          <w:tab w:pos="989"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）其</w:t>
                        <w:tab/>
                        <w:t>他</w:t>
                      </w:r>
                    </w:p>
                  </w:txbxContent>
                </v:textbox>
                <w10:wrap type="none"/>
              </v:shape>
              <v:shape style="position:absolute;left:1348;top:1691;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4283;top:1698;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134,577,416.07</w:t>
                      </w:r>
                    </w:p>
                  </w:txbxContent>
                </v:textbox>
                <w10:wrap type="none"/>
              </v:shape>
              <v:shape style="position:absolute;left:6551;top:1698;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281,200,000.00</w:t>
                      </w:r>
                    </w:p>
                  </w:txbxContent>
                </v:textbox>
                <w10:wrap type="none"/>
              </v:shape>
            </v:group>
          </v:group>
        </w:pict>
      </w:r>
      <w:r>
        <w:rPr>
          <w:rFonts w:ascii="宋体" w:hAnsi="宋体" w:cs="宋体" w:eastAsia="宋体" w:hint="default"/>
          <w:position w:val="-39"/>
          <w:sz w:val="20"/>
          <w:szCs w:val="20"/>
        </w:rPr>
      </w:r>
    </w:p>
    <w:p>
      <w:pPr>
        <w:spacing w:line="240" w:lineRule="auto" w:before="8"/>
        <w:rPr>
          <w:rFonts w:ascii="宋体" w:hAnsi="宋体" w:cs="宋体" w:eastAsia="宋体" w:hint="default"/>
          <w:b/>
          <w:bCs/>
          <w:sz w:val="5"/>
          <w:szCs w:val="5"/>
        </w:rPr>
      </w:pPr>
    </w:p>
    <w:p>
      <w:pPr>
        <w:spacing w:before="35"/>
        <w:ind w:left="857" w:right="91"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公司持有广东星河生物科技股份有限公司股份 </w:t>
      </w:r>
      <w:r>
        <w:rPr>
          <w:rFonts w:ascii="Times New Roman" w:hAnsi="Times New Roman" w:cs="Times New Roman" w:eastAsia="Times New Roman" w:hint="default"/>
          <w:sz w:val="21"/>
          <w:szCs w:val="21"/>
        </w:rPr>
        <w:t>10,424,277.00 </w:t>
      </w:r>
      <w:r>
        <w:rPr>
          <w:rFonts w:ascii="宋体" w:hAnsi="宋体" w:cs="宋体" w:eastAsia="宋体" w:hint="default"/>
          <w:sz w:val="21"/>
          <w:szCs w:val="21"/>
        </w:rPr>
        <w:t>股，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72"/>
          <w:sz w:val="21"/>
          <w:szCs w:val="21"/>
        </w:rPr>
        <w:t> </w:t>
      </w:r>
      <w:r>
        <w:rPr>
          <w:rFonts w:ascii="Times New Roman" w:hAnsi="Times New Roman" w:cs="Times New Roman" w:eastAsia="Times New Roman" w:hint="default"/>
          <w:sz w:val="21"/>
          <w:szCs w:val="21"/>
        </w:rPr>
        <w:t>29</w:t>
      </w:r>
    </w:p>
    <w:p>
      <w:pPr>
        <w:spacing w:line="328" w:lineRule="auto" w:before="109"/>
        <w:ind w:left="857" w:right="2258" w:firstLine="0"/>
        <w:jc w:val="left"/>
        <w:rPr>
          <w:rFonts w:ascii="宋体" w:hAnsi="宋体" w:cs="宋体" w:eastAsia="宋体" w:hint="default"/>
          <w:sz w:val="21"/>
          <w:szCs w:val="21"/>
        </w:rPr>
      </w:pPr>
      <w:r>
        <w:rPr>
          <w:rFonts w:ascii="宋体" w:hAnsi="宋体" w:cs="宋体" w:eastAsia="宋体" w:hint="default"/>
          <w:sz w:val="21"/>
          <w:szCs w:val="21"/>
        </w:rPr>
        <w:t>日的收盘价为每股</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1"/>
          <w:sz w:val="21"/>
          <w:szCs w:val="21"/>
        </w:rPr>
        <w:t>9</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元（资料来源：深圳证券交易所</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z w:val="21"/>
          <w:szCs w:val="21"/>
        </w:rPr>
        <w:t> 星河生物股份质押情况详见附注五</w:t>
      </w:r>
      <w:r>
        <w:rPr>
          <w:rFonts w:ascii="宋体" w:hAnsi="宋体" w:cs="宋体" w:eastAsia="宋体" w:hint="default"/>
          <w:spacing w:val="-106"/>
          <w:sz w:val="21"/>
          <w:szCs w:val="21"/>
        </w:rPr>
        <w:t>、</w:t>
      </w:r>
      <w:r>
        <w:rPr>
          <w:rFonts w:ascii="宋体" w:hAnsi="宋体" w:cs="宋体" w:eastAsia="宋体" w:hint="default"/>
          <w:sz w:val="21"/>
          <w:szCs w:val="21"/>
        </w:rPr>
        <w:t>（十七）短期借款。</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1396" w:val="left" w:leader="none"/>
        </w:tabs>
        <w:spacing w:before="0"/>
        <w:ind w:left="857" w:right="9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期末不存在限售期限的可供出售金融资产。</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853" w:val="left" w:leader="none"/>
        </w:tabs>
        <w:spacing w:before="0"/>
        <w:ind w:left="125" w:right="9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九</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长期应收款</w:t>
      </w:r>
      <w:r>
        <w:rPr>
          <w:rFonts w:ascii="宋体" w:hAnsi="宋体" w:cs="宋体" w:eastAsia="宋体" w:hint="default"/>
          <w:sz w:val="21"/>
          <w:szCs w:val="21"/>
        </w:rPr>
      </w:r>
    </w:p>
    <w:p>
      <w:pPr>
        <w:spacing w:line="2044" w:lineRule="exact"/>
        <w:ind w:left="720" w:right="0" w:firstLine="0"/>
        <w:rPr>
          <w:rFonts w:ascii="宋体" w:hAnsi="宋体" w:cs="宋体" w:eastAsia="宋体" w:hint="default"/>
          <w:sz w:val="20"/>
          <w:szCs w:val="20"/>
        </w:rPr>
      </w:pPr>
      <w:r>
        <w:rPr>
          <w:rFonts w:ascii="宋体" w:hAnsi="宋体" w:cs="宋体" w:eastAsia="宋体" w:hint="default"/>
          <w:position w:val="-40"/>
          <w:sz w:val="20"/>
          <w:szCs w:val="20"/>
        </w:rPr>
        <w:pict>
          <v:group style="width:390.65pt;height:102.25pt;mso-position-horizontal-relative:char;mso-position-vertical-relative:line" coordorigin="0,0" coordsize="7813,2045">
            <v:group style="position:absolute;left:29;top:15;width:7755;height:2" coordorigin="29,15" coordsize="7755,2">
              <v:shape style="position:absolute;left:29;top:15;width:7755;height:2" coordorigin="29,15" coordsize="7755,0" path="m29,15l7784,15e" filled="false" stroked="true" strokeweight="1.5pt" strokecolor="#000000">
                <v:path arrowok="t"/>
              </v:shape>
              <v:shape style="position:absolute;left:3483;top:1;width:2208;height:432" type="#_x0000_t75" stroked="false">
                <v:imagedata r:id="rId144" o:title=""/>
              </v:shape>
            </v:group>
            <v:group style="position:absolute;left:15;top:2030;width:3497;height:2" coordorigin="15,2030" coordsize="3497,2">
              <v:shape style="position:absolute;left:15;top:2030;width:3497;height:2" coordorigin="15,2030" coordsize="3497,0" path="m15,2030l3512,2030e" filled="false" stroked="true" strokeweight="1.5pt" strokecolor="#000000">
                <v:path arrowok="t"/>
              </v:shape>
            </v:group>
            <v:group style="position:absolute;left:3512;top:2030;width:2141;height:2" coordorigin="3512,2030" coordsize="2141,2">
              <v:shape style="position:absolute;left:3512;top:2030;width:2141;height:2" coordorigin="3512,2030" coordsize="2141,0" path="m3512,2030l5653,2030e" filled="false" stroked="true" strokeweight="1.5pt" strokecolor="#000000">
                <v:path arrowok="t"/>
              </v:shape>
              <v:shape style="position:absolute;left:1;top:376;width:7812;height:1639" type="#_x0000_t75" stroked="false">
                <v:imagedata r:id="rId145" o:title=""/>
              </v:shape>
            </v:group>
            <v:group style="position:absolute;left:5653;top:2030;width:2132;height:2" coordorigin="5653,2030" coordsize="2132,2">
              <v:shape style="position:absolute;left:5653;top:2030;width:2132;height:2" coordorigin="5653,2030" coordsize="2132,0" path="m5653,2030l7784,2030e" filled="false" stroked="true" strokeweight="1.5pt" strokecolor="#000000">
                <v:path arrowok="t"/>
              </v:shape>
              <v:shape style="position:absolute;left:137;top:127;width:3060;height:1822" type="#_x0000_t202" filled="false" stroked="false">
                <v:textbox inset="0,0,0,0">
                  <w:txbxContent>
                    <w:p>
                      <w:pPr>
                        <w:spacing w:line="180" w:lineRule="exact" w:before="0"/>
                        <w:ind w:left="1545" w:right="0" w:firstLine="0"/>
                        <w:jc w:val="left"/>
                        <w:rPr>
                          <w:rFonts w:ascii="宋体" w:hAnsi="宋体" w:cs="宋体" w:eastAsia="宋体" w:hint="default"/>
                          <w:sz w:val="18"/>
                          <w:szCs w:val="18"/>
                        </w:rPr>
                      </w:pPr>
                      <w:r>
                        <w:rPr>
                          <w:rFonts w:ascii="宋体" w:hAnsi="宋体" w:cs="宋体" w:eastAsia="宋体" w:hint="default"/>
                          <w:sz w:val="18"/>
                          <w:szCs w:val="18"/>
                        </w:rPr>
                        <w:t>项目</w:t>
                      </w:r>
                    </w:p>
                    <w:p>
                      <w:pPr>
                        <w:spacing w:line="328" w:lineRule="auto" w:before="117"/>
                        <w:ind w:left="0" w:right="1438" w:firstLine="0"/>
                        <w:jc w:val="left"/>
                        <w:rPr>
                          <w:rFonts w:ascii="宋体" w:hAnsi="宋体" w:cs="宋体" w:eastAsia="宋体" w:hint="default"/>
                          <w:sz w:val="18"/>
                          <w:szCs w:val="18"/>
                        </w:rPr>
                      </w:pPr>
                      <w:r>
                        <w:rPr>
                          <w:rFonts w:ascii="宋体" w:hAnsi="宋体" w:cs="宋体" w:eastAsia="宋体" w:hint="default"/>
                          <w:sz w:val="18"/>
                          <w:szCs w:val="18"/>
                        </w:rPr>
                        <w:t>应收融资租赁款 减：未实现融资收益</w:t>
                      </w:r>
                    </w:p>
                    <w:p>
                      <w:pPr>
                        <w:spacing w:line="328" w:lineRule="auto" w:before="19"/>
                        <w:ind w:left="0" w:right="0" w:firstLine="1455"/>
                        <w:jc w:val="left"/>
                        <w:rPr>
                          <w:rFonts w:ascii="宋体" w:hAnsi="宋体" w:cs="宋体" w:eastAsia="宋体" w:hint="default"/>
                          <w:sz w:val="18"/>
                          <w:szCs w:val="18"/>
                        </w:rPr>
                      </w:pPr>
                      <w:r>
                        <w:rPr>
                          <w:rFonts w:ascii="宋体" w:hAnsi="宋体" w:cs="宋体" w:eastAsia="宋体" w:hint="default"/>
                          <w:sz w:val="18"/>
                          <w:szCs w:val="18"/>
                        </w:rPr>
                        <w:t>小计 减：重分类至一年内到期的非流动资产</w:t>
                      </w:r>
                    </w:p>
                    <w:p>
                      <w:pPr>
                        <w:spacing w:before="20"/>
                        <w:ind w:left="211"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226;top:127;width:1324;height:183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p>
                      <w:pPr>
                        <w:spacing w:before="157"/>
                        <w:ind w:left="197" w:right="0" w:firstLine="0"/>
                        <w:jc w:val="left"/>
                        <w:rPr>
                          <w:rFonts w:ascii="Times New Roman" w:hAnsi="Times New Roman" w:cs="Times New Roman" w:eastAsia="Times New Roman" w:hint="default"/>
                          <w:sz w:val="18"/>
                          <w:szCs w:val="18"/>
                        </w:rPr>
                      </w:pPr>
                      <w:r>
                        <w:rPr>
                          <w:rFonts w:ascii="Times New Roman"/>
                          <w:sz w:val="18"/>
                        </w:rPr>
                        <w:t>320,718,134.13</w:t>
                      </w:r>
                    </w:p>
                    <w:p>
                      <w:pPr>
                        <w:spacing w:before="116"/>
                        <w:ind w:left="287" w:right="0" w:firstLine="0"/>
                        <w:jc w:val="left"/>
                        <w:rPr>
                          <w:rFonts w:ascii="Times New Roman" w:hAnsi="Times New Roman" w:cs="Times New Roman" w:eastAsia="Times New Roman" w:hint="default"/>
                          <w:sz w:val="18"/>
                          <w:szCs w:val="18"/>
                        </w:rPr>
                      </w:pPr>
                      <w:r>
                        <w:rPr>
                          <w:rFonts w:ascii="Times New Roman"/>
                          <w:sz w:val="18"/>
                        </w:rPr>
                        <w:t>75,712,615.70</w:t>
                      </w:r>
                    </w:p>
                    <w:p>
                      <w:pPr>
                        <w:spacing w:before="114"/>
                        <w:ind w:left="197" w:right="0" w:firstLine="0"/>
                        <w:jc w:val="left"/>
                        <w:rPr>
                          <w:rFonts w:ascii="Times New Roman" w:hAnsi="Times New Roman" w:cs="Times New Roman" w:eastAsia="Times New Roman" w:hint="default"/>
                          <w:sz w:val="18"/>
                          <w:szCs w:val="18"/>
                        </w:rPr>
                      </w:pPr>
                      <w:r>
                        <w:rPr>
                          <w:rFonts w:ascii="Times New Roman"/>
                          <w:sz w:val="18"/>
                        </w:rPr>
                        <w:t>245,005,518.43</w:t>
                      </w:r>
                    </w:p>
                    <w:p>
                      <w:pPr>
                        <w:spacing w:before="114"/>
                        <w:ind w:left="287" w:right="0" w:firstLine="0"/>
                        <w:jc w:val="left"/>
                        <w:rPr>
                          <w:rFonts w:ascii="Times New Roman" w:hAnsi="Times New Roman" w:cs="Times New Roman" w:eastAsia="Times New Roman" w:hint="default"/>
                          <w:sz w:val="18"/>
                          <w:szCs w:val="18"/>
                        </w:rPr>
                      </w:pPr>
                      <w:r>
                        <w:rPr>
                          <w:rFonts w:ascii="Times New Roman"/>
                          <w:sz w:val="18"/>
                        </w:rPr>
                        <w:t>76,064,857.02</w:t>
                      </w:r>
                    </w:p>
                    <w:p>
                      <w:pPr>
                        <w:spacing w:line="203" w:lineRule="exact" w:before="116"/>
                        <w:ind w:left="197" w:right="0" w:firstLine="0"/>
                        <w:jc w:val="left"/>
                        <w:rPr>
                          <w:rFonts w:ascii="Times New Roman" w:hAnsi="Times New Roman" w:cs="Times New Roman" w:eastAsia="Times New Roman" w:hint="default"/>
                          <w:sz w:val="18"/>
                          <w:szCs w:val="18"/>
                        </w:rPr>
                      </w:pPr>
                      <w:r>
                        <w:rPr>
                          <w:rFonts w:ascii="Times New Roman"/>
                          <w:sz w:val="18"/>
                        </w:rPr>
                        <w:t>168,940,661.41</w:t>
                      </w:r>
                    </w:p>
                  </w:txbxContent>
                </v:textbox>
                <w10:wrap type="none"/>
              </v:shape>
              <v:shape style="position:absolute;left:6361;top:127;width:1318;height:183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p>
                      <w:pPr>
                        <w:spacing w:before="157"/>
                        <w:ind w:left="191" w:right="0" w:firstLine="0"/>
                        <w:jc w:val="left"/>
                        <w:rPr>
                          <w:rFonts w:ascii="Times New Roman" w:hAnsi="Times New Roman" w:cs="Times New Roman" w:eastAsia="Times New Roman" w:hint="default"/>
                          <w:sz w:val="18"/>
                          <w:szCs w:val="18"/>
                        </w:rPr>
                      </w:pPr>
                      <w:r>
                        <w:rPr>
                          <w:rFonts w:ascii="Times New Roman"/>
                          <w:sz w:val="18"/>
                        </w:rPr>
                        <w:t>192,409,427.77</w:t>
                      </w:r>
                    </w:p>
                    <w:p>
                      <w:pPr>
                        <w:spacing w:before="116"/>
                        <w:ind w:left="281" w:right="0" w:firstLine="0"/>
                        <w:jc w:val="left"/>
                        <w:rPr>
                          <w:rFonts w:ascii="Times New Roman" w:hAnsi="Times New Roman" w:cs="Times New Roman" w:eastAsia="Times New Roman" w:hint="default"/>
                          <w:sz w:val="18"/>
                          <w:szCs w:val="18"/>
                        </w:rPr>
                      </w:pPr>
                      <w:r>
                        <w:rPr>
                          <w:rFonts w:ascii="Times New Roman"/>
                          <w:sz w:val="18"/>
                        </w:rPr>
                        <w:t>42,617,479.08</w:t>
                      </w:r>
                    </w:p>
                    <w:p>
                      <w:pPr>
                        <w:spacing w:before="114"/>
                        <w:ind w:left="192" w:right="0" w:firstLine="0"/>
                        <w:jc w:val="left"/>
                        <w:rPr>
                          <w:rFonts w:ascii="Times New Roman" w:hAnsi="Times New Roman" w:cs="Times New Roman" w:eastAsia="Times New Roman" w:hint="default"/>
                          <w:sz w:val="18"/>
                          <w:szCs w:val="18"/>
                        </w:rPr>
                      </w:pPr>
                      <w:r>
                        <w:rPr>
                          <w:rFonts w:ascii="Times New Roman"/>
                          <w:sz w:val="18"/>
                        </w:rPr>
                        <w:t>149,791,948.69</w:t>
                      </w:r>
                    </w:p>
                    <w:p>
                      <w:pPr>
                        <w:spacing w:before="114"/>
                        <w:ind w:left="281" w:right="0" w:firstLine="0"/>
                        <w:jc w:val="left"/>
                        <w:rPr>
                          <w:rFonts w:ascii="Times New Roman" w:hAnsi="Times New Roman" w:cs="Times New Roman" w:eastAsia="Times New Roman" w:hint="default"/>
                          <w:sz w:val="18"/>
                          <w:szCs w:val="18"/>
                        </w:rPr>
                      </w:pPr>
                      <w:r>
                        <w:rPr>
                          <w:rFonts w:ascii="Times New Roman"/>
                          <w:sz w:val="18"/>
                        </w:rPr>
                        <w:t>52,683,352.91</w:t>
                      </w:r>
                    </w:p>
                    <w:p>
                      <w:pPr>
                        <w:spacing w:line="203" w:lineRule="exact" w:before="116"/>
                        <w:ind w:left="282" w:right="0" w:firstLine="0"/>
                        <w:jc w:val="left"/>
                        <w:rPr>
                          <w:rFonts w:ascii="Times New Roman" w:hAnsi="Times New Roman" w:cs="Times New Roman" w:eastAsia="Times New Roman" w:hint="default"/>
                          <w:sz w:val="18"/>
                          <w:szCs w:val="18"/>
                        </w:rPr>
                      </w:pPr>
                      <w:r>
                        <w:rPr>
                          <w:rFonts w:ascii="Times New Roman"/>
                          <w:sz w:val="18"/>
                        </w:rPr>
                        <w:t>97,108,595.78</w:t>
                      </w:r>
                    </w:p>
                  </w:txbxContent>
                </v:textbox>
                <w10:wrap type="none"/>
              </v:shape>
            </v:group>
          </v:group>
        </w:pict>
      </w:r>
      <w:r>
        <w:rPr>
          <w:rFonts w:ascii="宋体" w:hAnsi="宋体" w:cs="宋体" w:eastAsia="宋体" w:hint="default"/>
          <w:position w:val="-40"/>
          <w:sz w:val="20"/>
          <w:szCs w:val="2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tabs>
          <w:tab w:pos="853" w:val="left" w:leader="none"/>
        </w:tabs>
        <w:spacing w:before="35"/>
        <w:ind w:left="140" w:right="9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十</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7" w:footer="1256" w:top="1100" w:bottom="1440" w:left="1660" w:right="1600"/>
        </w:sectPr>
      </w:pPr>
    </w:p>
    <w:p>
      <w:pPr>
        <w:spacing w:line="240" w:lineRule="auto" w:before="12"/>
        <w:rPr>
          <w:rFonts w:ascii="宋体" w:hAnsi="宋体" w:cs="宋体" w:eastAsia="宋体" w:hint="default"/>
          <w:b/>
          <w:bCs/>
          <w:sz w:val="28"/>
          <w:szCs w:val="28"/>
        </w:rPr>
      </w:pPr>
    </w:p>
    <w:p>
      <w:pPr>
        <w:tabs>
          <w:tab w:pos="1396" w:val="left" w:leader="none"/>
        </w:tabs>
        <w:spacing w:before="35"/>
        <w:ind w:left="857" w:right="0" w:firstLine="0"/>
        <w:jc w:val="left"/>
        <w:rPr>
          <w:rFonts w:ascii="宋体" w:hAnsi="宋体" w:cs="宋体" w:eastAsia="宋体" w:hint="default"/>
          <w:sz w:val="21"/>
          <w:szCs w:val="21"/>
        </w:rPr>
      </w:pPr>
      <w:r>
        <w:rPr/>
        <w:pict>
          <v:group style="position:absolute;margin-left:119.519997pt;margin-top:17.133995pt;width:389.65pt;height:135.5pt;mso-position-horizontal-relative:page;mso-position-vertical-relative:paragraph;z-index:-815944" coordorigin="2390,343" coordsize="7793,2710">
            <v:shape style="position:absolute;left:4782;top:343;width:2857;height:432" type="#_x0000_t75" stroked="false">
              <v:imagedata r:id="rId146" o:title=""/>
            </v:shape>
            <v:shape style="position:absolute;left:2390;top:727;width:7793;height:2326" type="#_x0000_t75" stroked="false">
              <v:imagedata r:id="rId147" o:title=""/>
            </v:shape>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长期股权投资分类如下</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822" w:type="dxa"/>
        <w:tblLayout w:type="fixed"/>
        <w:tblCellMar>
          <w:top w:w="0" w:type="dxa"/>
          <w:left w:w="0" w:type="dxa"/>
          <w:bottom w:w="0" w:type="dxa"/>
          <w:right w:w="0" w:type="dxa"/>
        </w:tblCellMar>
        <w:tblLook w:val="01E0"/>
      </w:tblPr>
      <w:tblGrid>
        <w:gridCol w:w="2338"/>
        <w:gridCol w:w="3190"/>
        <w:gridCol w:w="2080"/>
      </w:tblGrid>
      <w:tr>
        <w:trPr>
          <w:trHeight w:val="780" w:hRule="exact"/>
        </w:trPr>
        <w:tc>
          <w:tcPr>
            <w:tcW w:w="233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77"/>
              <w:jc w:val="center"/>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149"/>
              <w:ind w:left="35"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19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02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08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512"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84" w:hRule="exact"/>
        </w:trPr>
        <w:tc>
          <w:tcPr>
            <w:tcW w:w="2338"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190" w:type="dxa"/>
            <w:tcBorders>
              <w:top w:val="nil" w:sz="6" w:space="0" w:color="auto"/>
              <w:left w:val="nil" w:sz="6" w:space="0" w:color="auto"/>
              <w:bottom w:val="nil" w:sz="6" w:space="0" w:color="auto"/>
              <w:right w:val="nil" w:sz="6" w:space="0" w:color="auto"/>
            </w:tcBorders>
          </w:tcPr>
          <w:p>
            <w:pPr/>
          </w:p>
        </w:tc>
        <w:tc>
          <w:tcPr>
            <w:tcW w:w="2080" w:type="dxa"/>
            <w:tcBorders>
              <w:top w:val="nil" w:sz="6" w:space="0" w:color="auto"/>
              <w:left w:val="nil" w:sz="6" w:space="0" w:color="auto"/>
              <w:bottom w:val="nil" w:sz="6" w:space="0" w:color="auto"/>
              <w:right w:val="nil" w:sz="6" w:space="0" w:color="auto"/>
            </w:tcBorders>
          </w:tcPr>
          <w:p>
            <w:pPr/>
          </w:p>
        </w:tc>
      </w:tr>
      <w:tr>
        <w:trPr>
          <w:trHeight w:val="388" w:hRule="exact"/>
        </w:trPr>
        <w:tc>
          <w:tcPr>
            <w:tcW w:w="2338"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其他股权投资</w:t>
            </w:r>
          </w:p>
        </w:tc>
        <w:tc>
          <w:tcPr>
            <w:tcW w:w="319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510"/>
              <w:jc w:val="right"/>
              <w:rPr>
                <w:rFonts w:ascii="Times New Roman" w:hAnsi="Times New Roman" w:cs="Times New Roman" w:eastAsia="Times New Roman" w:hint="default"/>
                <w:sz w:val="18"/>
                <w:szCs w:val="18"/>
              </w:rPr>
            </w:pPr>
            <w:r>
              <w:rPr>
                <w:rFonts w:ascii="Times New Roman"/>
                <w:spacing w:val="-1"/>
                <w:sz w:val="18"/>
              </w:rPr>
              <w:t>46,803,039.86</w:t>
            </w:r>
          </w:p>
        </w:tc>
        <w:tc>
          <w:tcPr>
            <w:tcW w:w="208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18"/>
                <w:szCs w:val="18"/>
              </w:rPr>
            </w:pPr>
            <w:r>
              <w:rPr>
                <w:rFonts w:ascii="Times New Roman"/>
                <w:spacing w:val="-1"/>
                <w:sz w:val="18"/>
              </w:rPr>
              <w:t>21,860,000.00</w:t>
            </w:r>
          </w:p>
        </w:tc>
      </w:tr>
      <w:tr>
        <w:trPr>
          <w:trHeight w:val="385" w:hRule="exact"/>
        </w:trPr>
        <w:tc>
          <w:tcPr>
            <w:tcW w:w="2338"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319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10"/>
              <w:jc w:val="right"/>
              <w:rPr>
                <w:rFonts w:ascii="Times New Roman" w:hAnsi="Times New Roman" w:cs="Times New Roman" w:eastAsia="Times New Roman" w:hint="default"/>
                <w:sz w:val="18"/>
                <w:szCs w:val="18"/>
              </w:rPr>
            </w:pPr>
            <w:r>
              <w:rPr>
                <w:rFonts w:ascii="Times New Roman"/>
                <w:spacing w:val="-1"/>
                <w:sz w:val="18"/>
              </w:rPr>
              <w:t>46,803,039.86</w:t>
            </w:r>
          </w:p>
        </w:tc>
        <w:tc>
          <w:tcPr>
            <w:tcW w:w="208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pacing w:val="-1"/>
                <w:sz w:val="18"/>
              </w:rPr>
              <w:t>21,860,000.00</w:t>
            </w:r>
          </w:p>
        </w:tc>
      </w:tr>
      <w:tr>
        <w:trPr>
          <w:trHeight w:val="774" w:hRule="exact"/>
        </w:trPr>
        <w:tc>
          <w:tcPr>
            <w:tcW w:w="2338"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减值准备</w:t>
            </w:r>
          </w:p>
          <w:p>
            <w:pPr>
              <w:pStyle w:val="TableParagraph"/>
              <w:spacing w:line="240" w:lineRule="auto" w:before="135"/>
              <w:ind w:right="77"/>
              <w:jc w:val="center"/>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510"/>
              <w:jc w:val="right"/>
              <w:rPr>
                <w:rFonts w:ascii="Times New Roman" w:hAnsi="Times New Roman" w:cs="Times New Roman" w:eastAsia="Times New Roman" w:hint="default"/>
                <w:sz w:val="18"/>
                <w:szCs w:val="18"/>
              </w:rPr>
            </w:pPr>
            <w:r>
              <w:rPr>
                <w:rFonts w:ascii="Times New Roman"/>
                <w:spacing w:val="-1"/>
                <w:sz w:val="18"/>
              </w:rPr>
              <w:t>46,803,039.86</w:t>
            </w:r>
          </w:p>
        </w:tc>
        <w:tc>
          <w:tcPr>
            <w:tcW w:w="2080"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21,860,000.00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1256" w:top="1100" w:bottom="1440" w:left="1660" w:right="1620"/>
        </w:sectPr>
      </w:pPr>
    </w:p>
    <w:p>
      <w:pPr>
        <w:spacing w:before="17"/>
        <w:ind w:left="0" w:right="240" w:firstLine="0"/>
        <w:jc w:val="right"/>
        <w:rPr>
          <w:rFonts w:ascii="宋体" w:hAnsi="宋体" w:cs="宋体" w:eastAsia="宋体" w:hint="default"/>
          <w:sz w:val="18"/>
          <w:szCs w:val="18"/>
        </w:rPr>
      </w:pPr>
      <w:r>
        <w:rPr>
          <w:rFonts w:ascii="宋体" w:hAnsi="宋体" w:cs="宋体" w:eastAsia="宋体" w:hint="default"/>
          <w:sz w:val="18"/>
          <w:szCs w:val="18"/>
        </w:rPr>
        <w:t>广州御银科技股份有限公司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年度报告</w:t>
      </w:r>
    </w:p>
    <w:p>
      <w:pPr>
        <w:spacing w:line="240" w:lineRule="auto" w:before="8"/>
        <w:rPr>
          <w:rFonts w:ascii="宋体" w:hAnsi="宋体" w:cs="宋体" w:eastAsia="宋体" w:hint="default"/>
          <w:sz w:val="2"/>
          <w:szCs w:val="2"/>
        </w:rPr>
      </w:pPr>
    </w:p>
    <w:p>
      <w:pPr>
        <w:spacing w:line="20" w:lineRule="exact"/>
        <w:ind w:left="202"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9;height:2" coordorigin="7,7" coordsize="14019,2">
              <v:shape style="position:absolute;left:7;top:7;width:14019;height:2" coordorigin="7,7" coordsize="14019,0" path="m7,7l14026,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tabs>
          <w:tab w:pos="1512" w:val="left" w:leader="none"/>
        </w:tabs>
        <w:spacing w:before="0"/>
        <w:ind w:left="957" w:right="0" w:firstLine="0"/>
        <w:jc w:val="left"/>
        <w:rPr>
          <w:rFonts w:ascii="宋体" w:hAnsi="宋体" w:cs="宋体" w:eastAsia="宋体" w:hint="default"/>
          <w:sz w:val="21"/>
          <w:szCs w:val="21"/>
        </w:rPr>
      </w:pPr>
      <w:r>
        <w:rPr/>
        <w:pict>
          <v:group style="position:absolute;margin-left:65.630997pt;margin-top:15.323665pt;width:710.65pt;height:334.3pt;mso-position-horizontal-relative:page;mso-position-vertical-relative:paragraph;z-index:-815008" coordorigin="1313,306" coordsize="14213,6686">
            <v:group style="position:absolute;left:1332;top:321;width:2421;height:2" coordorigin="1332,321" coordsize="2421,2">
              <v:shape style="position:absolute;left:1332;top:321;width:2421;height:2" coordorigin="1332,321" coordsize="2421,0" path="m1332,321l3752,321e" filled="false" stroked="true" strokeweight="1.5pt" strokecolor="#000000">
                <v:path arrowok="t"/>
              </v:shape>
            </v:group>
            <v:group style="position:absolute;left:3752;top:321;width:1292;height:2" coordorigin="3752,321" coordsize="1292,2">
              <v:shape style="position:absolute;left:3752;top:321;width:1292;height:2" coordorigin="3752,321" coordsize="1292,0" path="m3752,321l5043,321e" filled="false" stroked="true" strokeweight="1.5pt" strokecolor="#000000">
                <v:path arrowok="t"/>
              </v:shape>
            </v:group>
            <v:group style="position:absolute;left:5043;top:321;width:10463;height:2" coordorigin="5043,321" coordsize="10463,2">
              <v:shape style="position:absolute;left:5043;top:321;width:10463;height:2" coordorigin="5043,321" coordsize="10463,0" path="m5043,321l15506,321e" filled="false" stroked="true" strokeweight="1.5pt" strokecolor="#000000">
                <v:path arrowok="t"/>
              </v:shape>
              <v:shape style="position:absolute;left:2828;top:308;width:11784;height:2218" type="#_x0000_t75" stroked="false">
                <v:imagedata r:id="rId150" o:title=""/>
              </v:shape>
              <v:shape style="position:absolute;left:1313;top:2477;width:14213;height:4514" type="#_x0000_t75" stroked="false">
                <v:imagedata r:id="rId151" o:title=""/>
              </v:shape>
              <v:shape style="position:absolute;left:1646;top:138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txbxContent>
                </v:textbox>
                <w10:wrap type="none"/>
              </v:shape>
              <v:shape style="position:absolute;left:3114;top:1209;width:360;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核算</w:t>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方法</w:t>
                      </w:r>
                    </w:p>
                  </w:txbxContent>
                </v:textbox>
                <w10:wrap type="none"/>
              </v:shape>
              <v:shape style="position:absolute;left:4056;top:13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投资成本</w:t>
                      </w:r>
                    </w:p>
                  </w:txbxContent>
                </v:textbox>
                <w10:wrap type="none"/>
              </v:shape>
              <v:shape style="position:absolute;left:5342;top:13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6595;top:13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增减变动</w:t>
                      </w:r>
                    </w:p>
                  </w:txbxContent>
                </v:textbox>
                <w10:wrap type="none"/>
              </v:shape>
              <v:shape style="position:absolute;left:7662;top:489;width:879;height:1980" type="#_x0000_t202" filled="false" stroked="false">
                <v:textbox inset="0,0,0,0">
                  <w:txbxContent>
                    <w:p>
                      <w:pPr>
                        <w:spacing w:line="180" w:lineRule="exact" w:before="0"/>
                        <w:ind w:left="79" w:right="0" w:hanging="80"/>
                        <w:jc w:val="both"/>
                        <w:rPr>
                          <w:rFonts w:ascii="宋体" w:hAnsi="宋体" w:cs="宋体" w:eastAsia="宋体" w:hint="default"/>
                          <w:sz w:val="18"/>
                          <w:szCs w:val="18"/>
                        </w:rPr>
                      </w:pPr>
                      <w:r>
                        <w:rPr>
                          <w:rFonts w:ascii="宋体" w:hAnsi="宋体" w:cs="宋体" w:eastAsia="宋体" w:hint="default"/>
                          <w:spacing w:val="-5"/>
                          <w:sz w:val="18"/>
                          <w:szCs w:val="18"/>
                        </w:rPr>
                        <w:t>其中：联营</w:t>
                      </w:r>
                    </w:p>
                    <w:p>
                      <w:pPr>
                        <w:spacing w:line="360" w:lineRule="atLeast" w:before="0"/>
                        <w:ind w:left="79" w:right="77" w:firstLine="0"/>
                        <w:jc w:val="both"/>
                        <w:rPr>
                          <w:rFonts w:ascii="宋体" w:hAnsi="宋体" w:cs="宋体" w:eastAsia="宋体" w:hint="default"/>
                          <w:sz w:val="18"/>
                          <w:szCs w:val="18"/>
                        </w:rPr>
                      </w:pPr>
                      <w:r>
                        <w:rPr>
                          <w:rFonts w:ascii="宋体" w:hAnsi="宋体" w:cs="宋体" w:eastAsia="宋体" w:hint="default"/>
                          <w:sz w:val="18"/>
                          <w:szCs w:val="18"/>
                        </w:rPr>
                        <w:t>及合营企 业其他综 合收益变 动中享有 的份额</w:t>
                      </w:r>
                    </w:p>
                  </w:txbxContent>
                </v:textbox>
                <w10:wrap type="none"/>
              </v:shape>
              <v:shape style="position:absolute;left:8983;top:13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10277;top:849;width:540;height:127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在被投</w:t>
                      </w:r>
                    </w:p>
                    <w:p>
                      <w:pPr>
                        <w:spacing w:line="360" w:lineRule="exact" w:before="46"/>
                        <w:ind w:left="0" w:right="0" w:firstLine="0"/>
                        <w:jc w:val="both"/>
                        <w:rPr>
                          <w:rFonts w:ascii="Times New Roman" w:hAnsi="Times New Roman" w:cs="Times New Roman" w:eastAsia="Times New Roman" w:hint="default"/>
                          <w:sz w:val="18"/>
                          <w:szCs w:val="18"/>
                        </w:rPr>
                      </w:pPr>
                      <w:r>
                        <w:rPr>
                          <w:rFonts w:ascii="宋体" w:hAnsi="宋体" w:cs="宋体" w:eastAsia="宋体" w:hint="default"/>
                          <w:sz w:val="18"/>
                          <w:szCs w:val="18"/>
                        </w:rPr>
                        <w:t>资单位 持股比 例</w:t>
                      </w:r>
                      <w:r>
                        <w:rPr>
                          <w:rFonts w:ascii="Times New Roman" w:hAnsi="Times New Roman" w:cs="Times New Roman" w:eastAsia="Times New Roman" w:hint="default"/>
                          <w:sz w:val="18"/>
                          <w:szCs w:val="18"/>
                        </w:rPr>
                        <w:t>(%)</w:t>
                      </w:r>
                    </w:p>
                  </w:txbxContent>
                </v:textbox>
                <w10:wrap type="none"/>
              </v:shape>
              <v:shape style="position:absolute;left:11018;top:669;width:2750;height:900" type="#_x0000_t202" filled="false" stroked="false">
                <v:textbox inset="0,0,0,0">
                  <w:txbxContent>
                    <w:p>
                      <w:pPr>
                        <w:spacing w:line="180" w:lineRule="exact" w:before="0"/>
                        <w:ind w:left="180" w:right="0" w:firstLine="925"/>
                        <w:jc w:val="left"/>
                        <w:rPr>
                          <w:rFonts w:ascii="宋体" w:hAnsi="宋体" w:cs="宋体" w:eastAsia="宋体" w:hint="default"/>
                          <w:sz w:val="18"/>
                          <w:szCs w:val="18"/>
                        </w:rPr>
                      </w:pPr>
                      <w:r>
                        <w:rPr>
                          <w:rFonts w:ascii="宋体" w:hAnsi="宋体" w:cs="宋体" w:eastAsia="宋体" w:hint="default"/>
                          <w:sz w:val="18"/>
                          <w:szCs w:val="18"/>
                        </w:rPr>
                        <w:t>在被投资单</w:t>
                      </w:r>
                    </w:p>
                    <w:p>
                      <w:pPr>
                        <w:tabs>
                          <w:tab w:pos="1105" w:val="left" w:leader="none"/>
                        </w:tabs>
                        <w:spacing w:line="360" w:lineRule="atLeast" w:before="0"/>
                        <w:ind w:left="0" w:right="0" w:firstLine="180"/>
                        <w:jc w:val="left"/>
                        <w:rPr>
                          <w:rFonts w:ascii="宋体" w:hAnsi="宋体" w:cs="宋体" w:eastAsia="宋体" w:hint="default"/>
                          <w:sz w:val="18"/>
                          <w:szCs w:val="18"/>
                        </w:rPr>
                      </w:pPr>
                      <w:r>
                        <w:rPr>
                          <w:rFonts w:ascii="宋体" w:hAnsi="宋体" w:cs="宋体" w:eastAsia="宋体" w:hint="default"/>
                          <w:sz w:val="18"/>
                          <w:szCs w:val="18"/>
                        </w:rPr>
                        <w:t>在被投资</w:t>
                        <w:tab/>
                        <w:t>位持股比例 单位表决权比</w:t>
                      </w:r>
                      <w:r>
                        <w:rPr>
                          <w:rFonts w:ascii="宋体" w:hAnsi="宋体" w:cs="宋体" w:eastAsia="宋体" w:hint="default"/>
                          <w:spacing w:val="-65"/>
                          <w:sz w:val="18"/>
                          <w:szCs w:val="18"/>
                        </w:rPr>
                        <w:t> </w:t>
                      </w:r>
                      <w:r>
                        <w:rPr>
                          <w:rFonts w:ascii="宋体" w:hAnsi="宋体" w:cs="宋体" w:eastAsia="宋体" w:hint="default"/>
                          <w:sz w:val="18"/>
                          <w:szCs w:val="18"/>
                        </w:rPr>
                        <w:t>与表决权比</w:t>
                      </w:r>
                      <w:r>
                        <w:rPr>
                          <w:rFonts w:ascii="宋体" w:hAnsi="宋体" w:cs="宋体" w:eastAsia="宋体" w:hint="default"/>
                          <w:spacing w:val="-66"/>
                          <w:sz w:val="18"/>
                          <w:szCs w:val="18"/>
                        </w:rPr>
                        <w:t> </w:t>
                      </w:r>
                      <w:r>
                        <w:rPr>
                          <w:rFonts w:ascii="宋体" w:hAnsi="宋体" w:cs="宋体" w:eastAsia="宋体" w:hint="default"/>
                          <w:sz w:val="18"/>
                          <w:szCs w:val="18"/>
                        </w:rPr>
                        <w:t>减值准备</w:t>
                      </w:r>
                    </w:p>
                  </w:txbxContent>
                </v:textbox>
                <w10:wrap type="none"/>
              </v:shape>
              <v:shape style="position:absolute;left:11333;top:1749;width:45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txbxContent>
                </v:textbox>
                <w10:wrap type="none"/>
              </v:shape>
              <v:shape style="position:absolute;left:12123;top:1749;width:900;height:54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例不一致的</w:t>
                      </w:r>
                    </w:p>
                    <w:p>
                      <w:pPr>
                        <w:spacing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说明</w:t>
                      </w:r>
                    </w:p>
                  </w:txbxContent>
                </v:textbox>
                <w10:wrap type="none"/>
              </v:shape>
              <v:shape style="position:absolute;left:13905;top:1029;width:1407;height:900" type="#_x0000_t202" filled="false" stroked="false">
                <v:textbox inset="0,0,0,0">
                  <w:txbxContent>
                    <w:p>
                      <w:pPr>
                        <w:spacing w:line="15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本期计</w:t>
                      </w:r>
                    </w:p>
                    <w:p>
                      <w:pPr>
                        <w:spacing w:line="180" w:lineRule="exact" w:before="0"/>
                        <w:ind w:left="866" w:right="0" w:firstLine="0"/>
                        <w:jc w:val="left"/>
                        <w:rPr>
                          <w:rFonts w:ascii="宋体" w:hAnsi="宋体" w:cs="宋体" w:eastAsia="宋体" w:hint="default"/>
                          <w:sz w:val="18"/>
                          <w:szCs w:val="18"/>
                        </w:rPr>
                      </w:pPr>
                      <w:r>
                        <w:rPr>
                          <w:rFonts w:ascii="宋体" w:hAnsi="宋体" w:cs="宋体" w:eastAsia="宋体" w:hint="default"/>
                          <w:sz w:val="18"/>
                          <w:szCs w:val="18"/>
                        </w:rPr>
                        <w:t>本期现</w:t>
                      </w:r>
                    </w:p>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提减值</w:t>
                      </w:r>
                    </w:p>
                    <w:p>
                      <w:pPr>
                        <w:spacing w:line="180" w:lineRule="exact" w:before="0"/>
                        <w:ind w:left="866" w:right="0" w:firstLine="0"/>
                        <w:jc w:val="left"/>
                        <w:rPr>
                          <w:rFonts w:ascii="宋体" w:hAnsi="宋体" w:cs="宋体" w:eastAsia="宋体" w:hint="default"/>
                          <w:sz w:val="18"/>
                          <w:szCs w:val="18"/>
                        </w:rPr>
                      </w:pPr>
                      <w:r>
                        <w:rPr>
                          <w:rFonts w:ascii="宋体" w:hAnsi="宋体" w:cs="宋体" w:eastAsia="宋体" w:hint="default"/>
                          <w:sz w:val="18"/>
                          <w:szCs w:val="18"/>
                        </w:rPr>
                        <w:t>金红利</w:t>
                      </w:r>
                    </w:p>
                    <w:p>
                      <w:pPr>
                        <w:spacing w:line="208" w:lineRule="exact" w:before="0"/>
                        <w:ind w:left="90" w:right="0" w:firstLine="0"/>
                        <w:jc w:val="left"/>
                        <w:rPr>
                          <w:rFonts w:ascii="宋体" w:hAnsi="宋体" w:cs="宋体" w:eastAsia="宋体" w:hint="default"/>
                          <w:sz w:val="18"/>
                          <w:szCs w:val="18"/>
                        </w:rPr>
                      </w:pPr>
                      <w:r>
                        <w:rPr>
                          <w:rFonts w:ascii="宋体" w:hAnsi="宋体" w:cs="宋体" w:eastAsia="宋体" w:hint="default"/>
                          <w:sz w:val="18"/>
                          <w:szCs w:val="18"/>
                        </w:rPr>
                        <w:t>准备</w:t>
                      </w:r>
                    </w:p>
                  </w:txbxContent>
                </v:textbox>
                <w10:wrap type="none"/>
              </v:shape>
              <v:shape style="position:absolute;left:1440;top:2572;width:1324;height:245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北京青年御银科</w:t>
                      </w:r>
                      <w:r>
                        <w:rPr>
                          <w:rFonts w:ascii="宋体" w:hAnsi="宋体" w:cs="宋体" w:eastAsia="宋体" w:hint="default"/>
                          <w:sz w:val="18"/>
                          <w:szCs w:val="18"/>
                        </w:rPr>
                      </w:r>
                    </w:p>
                    <w:p>
                      <w:pPr>
                        <w:spacing w:line="352" w:lineRule="auto" w:before="76"/>
                        <w:ind w:left="206" w:right="215" w:hanging="207"/>
                        <w:jc w:val="left"/>
                        <w:rPr>
                          <w:rFonts w:ascii="宋体" w:hAnsi="宋体" w:cs="宋体" w:eastAsia="宋体" w:hint="default"/>
                          <w:sz w:val="18"/>
                          <w:szCs w:val="18"/>
                        </w:rPr>
                      </w:pPr>
                      <w:r>
                        <w:rPr>
                          <w:rFonts w:ascii="宋体" w:hAnsi="宋体" w:cs="宋体" w:eastAsia="宋体" w:hint="default"/>
                          <w:sz w:val="18"/>
                          <w:szCs w:val="18"/>
                        </w:rPr>
                        <w:t>技有限公司 权益法小计</w:t>
                      </w:r>
                    </w:p>
                    <w:p>
                      <w:pPr>
                        <w:spacing w:line="321" w:lineRule="auto" w:before="25"/>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广州市农村信用</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合作联社</w:t>
                      </w:r>
                      <w:r>
                        <w:rPr>
                          <w:rFonts w:ascii="宋体" w:hAnsi="宋体" w:cs="宋体" w:eastAsia="宋体" w:hint="default"/>
                          <w:sz w:val="18"/>
                          <w:szCs w:val="18"/>
                        </w:rPr>
                        <w:t> </w:t>
                      </w:r>
                      <w:r>
                        <w:rPr>
                          <w:rFonts w:ascii="宋体" w:hAnsi="宋体" w:cs="宋体" w:eastAsia="宋体" w:hint="default"/>
                          <w:spacing w:val="8"/>
                          <w:sz w:val="18"/>
                          <w:szCs w:val="18"/>
                        </w:rPr>
                        <w:t>深圳市信威电子</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有限公司</w:t>
                      </w:r>
                    </w:p>
                    <w:p>
                      <w:pPr>
                        <w:spacing w:before="25"/>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上海博科资讯股</w:t>
                      </w:r>
                      <w:r>
                        <w:rPr>
                          <w:rFonts w:ascii="宋体" w:hAnsi="宋体" w:cs="宋体" w:eastAsia="宋体" w:hint="default"/>
                          <w:sz w:val="18"/>
                          <w:szCs w:val="18"/>
                        </w:rPr>
                      </w:r>
                    </w:p>
                  </w:txbxContent>
                </v:textbox>
                <w10:wrap type="none"/>
              </v:shape>
              <v:shape style="position:absolute;left:2970;top:272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权益法</w:t>
                      </w:r>
                    </w:p>
                  </w:txbxContent>
                </v:textbox>
                <w10:wrap type="none"/>
              </v:shape>
              <v:shape style="position:absolute;left:3996;top:2736;width:2199;height:180" type="#_x0000_t202" filled="false" stroked="false">
                <v:textbox inset="0,0,0,0">
                  <w:txbxContent>
                    <w:p>
                      <w:pPr>
                        <w:tabs>
                          <w:tab w:pos="125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2,000,000.00</w:t>
                        <w:tab/>
                        <w:t>2,000,000.00</w:t>
                      </w:r>
                    </w:p>
                  </w:txbxContent>
                </v:textbox>
                <w10:wrap type="none"/>
              </v:shape>
              <v:shape style="position:absolute;left:6666;top:2736;width:78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-56,960.14</w:t>
                      </w:r>
                    </w:p>
                  </w:txbxContent>
                </v:textbox>
                <w10:wrap type="none"/>
              </v:shape>
              <v:shape style="position:absolute;left:9027;top:273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1,943,039.86</w:t>
                      </w:r>
                    </w:p>
                  </w:txbxContent>
                </v:textbox>
                <w10:wrap type="none"/>
              </v:shape>
              <v:shape style="position:absolute;left:10501;top:273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20.00</w:t>
                      </w:r>
                    </w:p>
                  </w:txbxContent>
                </v:textbox>
                <w10:wrap type="none"/>
              </v:shape>
              <v:shape style="position:absolute;left:11594;top:273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20.00</w:t>
                      </w:r>
                    </w:p>
                  </w:txbxContent>
                </v:textbox>
                <w10:wrap type="none"/>
              </v:shape>
              <v:shape style="position:absolute;left:3996;top:323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2,000,000.00</w:t>
                      </w:r>
                    </w:p>
                  </w:txbxContent>
                </v:textbox>
                <w10:wrap type="none"/>
              </v:shape>
              <v:shape style="position:absolute;left:5248;top:323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2,000,000.00</w:t>
                      </w:r>
                    </w:p>
                  </w:txbxContent>
                </v:textbox>
                <w10:wrap type="none"/>
              </v:shape>
              <v:shape style="position:absolute;left:6665;top:3237;width:78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-56,960.14</w:t>
                      </w:r>
                    </w:p>
                  </w:txbxContent>
                </v:textbox>
                <w10:wrap type="none"/>
              </v:shape>
              <v:shape style="position:absolute;left:9027;top:323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1,943,039.86</w:t>
                      </w:r>
                    </w:p>
                  </w:txbxContent>
                </v:textbox>
                <w10:wrap type="none"/>
              </v:shape>
              <v:shape style="position:absolute;left:2970;top:373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成本法</w:t>
                      </w:r>
                    </w:p>
                  </w:txbxContent>
                </v:textbox>
                <w10:wrap type="none"/>
              </v:shape>
              <v:shape style="position:absolute;left:4220;top:3739;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60,000.00</w:t>
                      </w:r>
                    </w:p>
                  </w:txbxContent>
                </v:textbox>
                <w10:wrap type="none"/>
              </v:shape>
              <v:shape style="position:absolute;left:5473;top:3739;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60,000.00</w:t>
                      </w:r>
                    </w:p>
                  </w:txbxContent>
                </v:textbox>
                <w10:wrap type="none"/>
              </v:shape>
              <v:shape style="position:absolute;left:9252;top:3739;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60,000.00</w:t>
                      </w:r>
                    </w:p>
                  </w:txbxContent>
                </v:textbox>
                <w10:wrap type="none"/>
              </v:shape>
              <v:shape style="position:absolute;left:10411;top:3739;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0.0015</w:t>
                      </w:r>
                    </w:p>
                  </w:txbxContent>
                </v:textbox>
                <w10:wrap type="none"/>
              </v:shape>
              <v:shape style="position:absolute;left:11504;top:3739;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0.0015</w:t>
                      </w:r>
                    </w:p>
                  </w:txbxContent>
                </v:textbox>
                <w10:wrap type="none"/>
              </v:shape>
              <v:shape style="position:absolute;left:14768;top:3739;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7,308.00</w:t>
                      </w:r>
                    </w:p>
                  </w:txbxContent>
                </v:textbox>
                <w10:wrap type="none"/>
              </v:shape>
              <v:shape style="position:absolute;left:2970;top:436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成本法</w:t>
                      </w:r>
                    </w:p>
                  </w:txbxContent>
                </v:textbox>
                <w10:wrap type="none"/>
              </v:shape>
              <v:shape style="position:absolute;left:3906;top:4374;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10,000,000.00</w:t>
                      </w:r>
                    </w:p>
                  </w:txbxContent>
                </v:textbox>
                <w10:wrap type="none"/>
              </v:shape>
              <v:shape style="position:absolute;left:5159;top:4374;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10,000,000.00</w:t>
                      </w:r>
                    </w:p>
                  </w:txbxContent>
                </v:textbox>
                <w10:wrap type="none"/>
              </v:shape>
              <v:shape style="position:absolute;left:8937;top:4374;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10,000,000.00</w:t>
                      </w:r>
                    </w:p>
                  </w:txbxContent>
                </v:textbox>
                <w10:wrap type="none"/>
              </v:shape>
              <v:shape style="position:absolute;left:10501;top:4374;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16.00</w:t>
                      </w:r>
                    </w:p>
                  </w:txbxContent>
                </v:textbox>
                <w10:wrap type="none"/>
              </v:shape>
              <v:shape style="position:absolute;left:11594;top:4374;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16.00</w:t>
                      </w:r>
                    </w:p>
                  </w:txbxContent>
                </v:textbox>
                <w10:wrap type="none"/>
              </v:shape>
              <v:shape style="position:absolute;left:2970;top:5000;width:9031;height:188" type="#_x0000_t202" filled="false" stroked="false">
                <v:textbox inset="0,0,0,0">
                  <w:txbxContent>
                    <w:p>
                      <w:pPr>
                        <w:tabs>
                          <w:tab w:pos="1025" w:val="left" w:leader="none"/>
                          <w:tab w:pos="2278" w:val="left" w:leader="none"/>
                          <w:tab w:pos="6057" w:val="left" w:leader="none"/>
                          <w:tab w:pos="7531" w:val="left" w:leader="none"/>
                          <w:tab w:pos="9029" w:val="right" w:leader="none"/>
                        </w:tabs>
                        <w:spacing w:line="187"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成本法</w:t>
                        <w:tab/>
                      </w:r>
                      <w:r>
                        <w:rPr>
                          <w:rFonts w:ascii="Times New Roman" w:hAnsi="Times New Roman" w:cs="Times New Roman" w:eastAsia="Times New Roman" w:hint="default"/>
                          <w:spacing w:val="-1"/>
                          <w:sz w:val="18"/>
                          <w:szCs w:val="18"/>
                        </w:rPr>
                        <w:t>9,800,000.00</w:t>
                        <w:tab/>
                        <w:t>9,800,000.00</w:t>
                        <w:tab/>
                        <w:t>9,800,000.00</w:t>
                        <w:tab/>
                      </w:r>
                      <w:r>
                        <w:rPr>
                          <w:rFonts w:ascii="Times New Roman" w:hAnsi="Times New Roman" w:cs="Times New Roman" w:eastAsia="Times New Roman" w:hint="default"/>
                          <w:sz w:val="18"/>
                          <w:szCs w:val="18"/>
                        </w:rPr>
                        <w:t>1.647</w:t>
                        <w:tab/>
                        <w:t>1.647</w:t>
                      </w:r>
                    </w:p>
                  </w:txbxContent>
                </v:textbox>
                <w10:wrap type="none"/>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长期股权投资明细情况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17" w:type="dxa"/>
        <w:tblLayout w:type="fixed"/>
        <w:tblCellMar>
          <w:top w:w="0" w:type="dxa"/>
          <w:left w:w="0" w:type="dxa"/>
          <w:bottom w:w="0" w:type="dxa"/>
          <w:right w:w="0" w:type="dxa"/>
        </w:tblCellMar>
        <w:tblLook w:val="01E0"/>
      </w:tblPr>
      <w:tblGrid>
        <w:gridCol w:w="1549"/>
        <w:gridCol w:w="841"/>
        <w:gridCol w:w="1342"/>
        <w:gridCol w:w="1253"/>
        <w:gridCol w:w="1889"/>
        <w:gridCol w:w="2045"/>
        <w:gridCol w:w="1013"/>
        <w:gridCol w:w="2134"/>
        <w:gridCol w:w="2122"/>
      </w:tblGrid>
      <w:tr>
        <w:trPr>
          <w:trHeight w:val="568" w:hRule="exact"/>
        </w:trPr>
        <w:tc>
          <w:tcPr>
            <w:tcW w:w="1549"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份有限公司</w:t>
            </w:r>
          </w:p>
          <w:p>
            <w:pPr>
              <w:pStyle w:val="TableParagraph"/>
              <w:spacing w:line="240" w:lineRule="auto" w:before="86"/>
              <w:ind w:left="122" w:right="0"/>
              <w:jc w:val="left"/>
              <w:rPr>
                <w:rFonts w:ascii="宋体" w:hAnsi="宋体" w:cs="宋体" w:eastAsia="宋体" w:hint="default"/>
                <w:sz w:val="18"/>
                <w:szCs w:val="18"/>
              </w:rPr>
            </w:pPr>
            <w:r>
              <w:rPr>
                <w:rFonts w:ascii="宋体" w:hAnsi="宋体" w:cs="宋体" w:eastAsia="宋体" w:hint="default"/>
                <w:spacing w:val="8"/>
                <w:sz w:val="18"/>
                <w:szCs w:val="18"/>
              </w:rPr>
              <w:t>广州花都稠州村</w:t>
            </w:r>
            <w:r>
              <w:rPr>
                <w:rFonts w:ascii="宋体" w:hAnsi="宋体" w:cs="宋体" w:eastAsia="宋体" w:hint="default"/>
                <w:sz w:val="18"/>
                <w:szCs w:val="18"/>
              </w:rPr>
            </w:r>
          </w:p>
        </w:tc>
        <w:tc>
          <w:tcPr>
            <w:tcW w:w="12640" w:type="dxa"/>
            <w:gridSpan w:val="8"/>
            <w:tcBorders>
              <w:top w:val="nil" w:sz="6" w:space="0" w:color="auto"/>
              <w:left w:val="nil" w:sz="6" w:space="0" w:color="auto"/>
              <w:bottom w:val="nil" w:sz="6" w:space="0" w:color="auto"/>
              <w:right w:val="nil" w:sz="6" w:space="0" w:color="auto"/>
            </w:tcBorders>
          </w:tcPr>
          <w:p>
            <w:pPr/>
          </w:p>
        </w:tc>
      </w:tr>
      <w:tr>
        <w:trPr>
          <w:trHeight w:val="629" w:hRule="exact"/>
        </w:trPr>
        <w:tc>
          <w:tcPr>
            <w:tcW w:w="1549" w:type="dxa"/>
            <w:tcBorders>
              <w:top w:val="nil" w:sz="6" w:space="0" w:color="auto"/>
              <w:left w:val="nil" w:sz="6" w:space="0" w:color="auto"/>
              <w:bottom w:val="nil" w:sz="6" w:space="0" w:color="auto"/>
              <w:right w:val="nil" w:sz="6" w:space="0" w:color="auto"/>
            </w:tcBorders>
          </w:tcPr>
          <w:p>
            <w:pPr>
              <w:pStyle w:val="TableParagraph"/>
              <w:spacing w:line="316" w:lineRule="auto" w:before="10"/>
              <w:ind w:left="122" w:right="101"/>
              <w:jc w:val="left"/>
              <w:rPr>
                <w:rFonts w:ascii="宋体" w:hAnsi="宋体" w:cs="宋体" w:eastAsia="宋体" w:hint="default"/>
                <w:sz w:val="18"/>
                <w:szCs w:val="18"/>
              </w:rPr>
            </w:pPr>
            <w:r>
              <w:rPr>
                <w:rFonts w:ascii="宋体" w:hAnsi="宋体" w:cs="宋体" w:eastAsia="宋体" w:hint="default"/>
                <w:spacing w:val="8"/>
                <w:sz w:val="18"/>
                <w:szCs w:val="18"/>
              </w:rPr>
              <w:t>镇银行股份有限</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公司</w:t>
            </w:r>
          </w:p>
        </w:tc>
        <w:tc>
          <w:tcPr>
            <w:tcW w:w="84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pacing w:val="-1"/>
                <w:sz w:val="18"/>
              </w:rPr>
              <w:t>25,000,000.00</w:t>
            </w:r>
          </w:p>
        </w:tc>
        <w:tc>
          <w:tcPr>
            <w:tcW w:w="1253" w:type="dxa"/>
            <w:tcBorders>
              <w:top w:val="nil" w:sz="6" w:space="0" w:color="auto"/>
              <w:left w:val="nil" w:sz="6" w:space="0" w:color="auto"/>
              <w:bottom w:val="nil" w:sz="6" w:space="0" w:color="auto"/>
              <w:right w:val="nil" w:sz="6" w:space="0" w:color="auto"/>
            </w:tcBorders>
          </w:tcPr>
          <w:p>
            <w:pP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Times New Roman" w:hAnsi="Times New Roman" w:cs="Times New Roman" w:eastAsia="Times New Roman" w:hint="default"/>
                <w:sz w:val="18"/>
                <w:szCs w:val="18"/>
              </w:rPr>
            </w:pPr>
            <w:r>
              <w:rPr>
                <w:rFonts w:ascii="Times New Roman"/>
                <w:sz w:val="18"/>
              </w:rPr>
              <w:t>25,000,000.00</w:t>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62"/>
              <w:jc w:val="right"/>
              <w:rPr>
                <w:rFonts w:ascii="Times New Roman" w:hAnsi="Times New Roman" w:cs="Times New Roman" w:eastAsia="Times New Roman" w:hint="default"/>
                <w:sz w:val="18"/>
                <w:szCs w:val="18"/>
              </w:rPr>
            </w:pPr>
            <w:r>
              <w:rPr>
                <w:rFonts w:ascii="Times New Roman"/>
                <w:spacing w:val="-1"/>
                <w:sz w:val="18"/>
              </w:rPr>
              <w:t>25,000,000.00</w:t>
            </w:r>
          </w:p>
        </w:tc>
        <w:tc>
          <w:tcPr>
            <w:tcW w:w="10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64" w:right="0"/>
              <w:jc w:val="left"/>
              <w:rPr>
                <w:rFonts w:ascii="Times New Roman" w:hAnsi="Times New Roman" w:cs="Times New Roman" w:eastAsia="Times New Roman" w:hint="default"/>
                <w:sz w:val="18"/>
                <w:szCs w:val="18"/>
              </w:rPr>
            </w:pPr>
            <w:r>
              <w:rPr>
                <w:rFonts w:ascii="Times New Roman"/>
                <w:sz w:val="18"/>
              </w:rPr>
              <w:t>10.00</w:t>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43" w:right="0"/>
              <w:jc w:val="left"/>
              <w:rPr>
                <w:rFonts w:ascii="Times New Roman" w:hAnsi="Times New Roman" w:cs="Times New Roman" w:eastAsia="Times New Roman" w:hint="default"/>
                <w:sz w:val="18"/>
                <w:szCs w:val="18"/>
              </w:rPr>
            </w:pPr>
            <w:r>
              <w:rPr>
                <w:rFonts w:ascii="Times New Roman"/>
                <w:sz w:val="18"/>
              </w:rPr>
              <w:t>10.00</w:t>
            </w:r>
          </w:p>
        </w:tc>
        <w:tc>
          <w:tcPr>
            <w:tcW w:w="2122" w:type="dxa"/>
            <w:tcBorders>
              <w:top w:val="nil" w:sz="6" w:space="0" w:color="auto"/>
              <w:left w:val="nil" w:sz="6" w:space="0" w:color="auto"/>
              <w:bottom w:val="nil" w:sz="6" w:space="0" w:color="auto"/>
              <w:right w:val="nil" w:sz="6" w:space="0" w:color="auto"/>
            </w:tcBorders>
          </w:tcPr>
          <w:p>
            <w:pPr/>
          </w:p>
        </w:tc>
      </w:tr>
      <w:tr>
        <w:trPr>
          <w:trHeight w:val="326" w:hRule="exact"/>
        </w:trPr>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8" w:right="0"/>
              <w:jc w:val="center"/>
              <w:rPr>
                <w:rFonts w:ascii="宋体" w:hAnsi="宋体" w:cs="宋体" w:eastAsia="宋体" w:hint="default"/>
                <w:sz w:val="18"/>
                <w:szCs w:val="18"/>
              </w:rPr>
            </w:pPr>
            <w:r>
              <w:rPr>
                <w:rFonts w:ascii="宋体" w:hAnsi="宋体" w:cs="宋体" w:eastAsia="宋体" w:hint="default"/>
                <w:sz w:val="18"/>
                <w:szCs w:val="18"/>
              </w:rPr>
              <w:t>成本法小计</w:t>
            </w:r>
          </w:p>
        </w:tc>
        <w:tc>
          <w:tcPr>
            <w:tcW w:w="841"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44,860,000.00</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08" w:right="0"/>
              <w:jc w:val="left"/>
              <w:rPr>
                <w:rFonts w:ascii="Times New Roman" w:hAnsi="Times New Roman" w:cs="Times New Roman" w:eastAsia="Times New Roman" w:hint="default"/>
                <w:sz w:val="18"/>
                <w:szCs w:val="18"/>
              </w:rPr>
            </w:pPr>
            <w:r>
              <w:rPr>
                <w:rFonts w:ascii="Times New Roman"/>
                <w:sz w:val="18"/>
              </w:rPr>
              <w:t>19,860,000.00</w:t>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08" w:right="0"/>
              <w:jc w:val="left"/>
              <w:rPr>
                <w:rFonts w:ascii="Times New Roman" w:hAnsi="Times New Roman" w:cs="Times New Roman" w:eastAsia="Times New Roman" w:hint="default"/>
                <w:sz w:val="18"/>
                <w:szCs w:val="18"/>
              </w:rPr>
            </w:pPr>
            <w:r>
              <w:rPr>
                <w:rFonts w:ascii="Times New Roman"/>
                <w:sz w:val="18"/>
              </w:rPr>
              <w:t>25,000,000.00</w:t>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62"/>
              <w:jc w:val="right"/>
              <w:rPr>
                <w:rFonts w:ascii="Times New Roman" w:hAnsi="Times New Roman" w:cs="Times New Roman" w:eastAsia="Times New Roman" w:hint="default"/>
                <w:sz w:val="18"/>
                <w:szCs w:val="18"/>
              </w:rPr>
            </w:pPr>
            <w:r>
              <w:rPr>
                <w:rFonts w:ascii="Times New Roman"/>
                <w:spacing w:val="-1"/>
                <w:sz w:val="18"/>
              </w:rPr>
              <w:t>44,860,000.00</w:t>
            </w:r>
          </w:p>
        </w:tc>
        <w:tc>
          <w:tcPr>
            <w:tcW w:w="1013" w:type="dxa"/>
            <w:tcBorders>
              <w:top w:val="nil" w:sz="6" w:space="0" w:color="auto"/>
              <w:left w:val="nil" w:sz="6" w:space="0" w:color="auto"/>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nil" w:sz="6" w:space="0" w:color="auto"/>
            </w:tcBorders>
          </w:tcPr>
          <w:p>
            <w:pP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z w:val="18"/>
              </w:rPr>
              <w:t>7,308.00</w:t>
            </w:r>
          </w:p>
        </w:tc>
      </w:tr>
      <w:tr>
        <w:trPr>
          <w:trHeight w:val="328" w:hRule="exact"/>
        </w:trPr>
        <w:tc>
          <w:tcPr>
            <w:tcW w:w="1549"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841" w:type="dxa"/>
            <w:tcBorders>
              <w:top w:val="nil" w:sz="6" w:space="0" w:color="auto"/>
              <w:left w:val="nil" w:sz="6" w:space="0" w:color="auto"/>
              <w:bottom w:val="single" w:sz="12" w:space="0" w:color="000000"/>
              <w:right w:val="nil" w:sz="6" w:space="0" w:color="auto"/>
            </w:tcBorders>
          </w:tcPr>
          <w:p>
            <w:pPr/>
          </w:p>
        </w:tc>
        <w:tc>
          <w:tcPr>
            <w:tcW w:w="1342"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46,860,000.00</w:t>
            </w:r>
          </w:p>
        </w:tc>
        <w:tc>
          <w:tcPr>
            <w:tcW w:w="1253"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left="108" w:right="0"/>
              <w:jc w:val="left"/>
              <w:rPr>
                <w:rFonts w:ascii="Times New Roman" w:hAnsi="Times New Roman" w:cs="Times New Roman" w:eastAsia="Times New Roman" w:hint="default"/>
                <w:sz w:val="18"/>
                <w:szCs w:val="18"/>
              </w:rPr>
            </w:pPr>
            <w:r>
              <w:rPr>
                <w:rFonts w:ascii="Times New Roman"/>
                <w:sz w:val="18"/>
              </w:rPr>
              <w:t>21,860,000.00</w:t>
            </w:r>
          </w:p>
        </w:tc>
        <w:tc>
          <w:tcPr>
            <w:tcW w:w="1889"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left="108" w:right="0"/>
              <w:jc w:val="left"/>
              <w:rPr>
                <w:rFonts w:ascii="Times New Roman" w:hAnsi="Times New Roman" w:cs="Times New Roman" w:eastAsia="Times New Roman" w:hint="default"/>
                <w:sz w:val="18"/>
                <w:szCs w:val="18"/>
              </w:rPr>
            </w:pPr>
            <w:r>
              <w:rPr>
                <w:rFonts w:ascii="Times New Roman"/>
                <w:sz w:val="18"/>
              </w:rPr>
              <w:t>24,943,039.86</w:t>
            </w:r>
          </w:p>
        </w:tc>
        <w:tc>
          <w:tcPr>
            <w:tcW w:w="2045"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262"/>
              <w:jc w:val="right"/>
              <w:rPr>
                <w:rFonts w:ascii="Times New Roman" w:hAnsi="Times New Roman" w:cs="Times New Roman" w:eastAsia="Times New Roman" w:hint="default"/>
                <w:sz w:val="18"/>
                <w:szCs w:val="18"/>
              </w:rPr>
            </w:pPr>
            <w:r>
              <w:rPr>
                <w:rFonts w:ascii="Times New Roman"/>
                <w:spacing w:val="-1"/>
                <w:sz w:val="18"/>
              </w:rPr>
              <w:t>46,803,039.86</w:t>
            </w:r>
          </w:p>
        </w:tc>
        <w:tc>
          <w:tcPr>
            <w:tcW w:w="1013" w:type="dxa"/>
            <w:tcBorders>
              <w:top w:val="nil" w:sz="6" w:space="0" w:color="auto"/>
              <w:left w:val="nil" w:sz="6" w:space="0" w:color="auto"/>
              <w:bottom w:val="single" w:sz="12" w:space="0" w:color="000000"/>
              <w:right w:val="nil" w:sz="6" w:space="0" w:color="auto"/>
            </w:tcBorders>
          </w:tcPr>
          <w:p>
            <w:pPr/>
          </w:p>
        </w:tc>
        <w:tc>
          <w:tcPr>
            <w:tcW w:w="2134" w:type="dxa"/>
            <w:tcBorders>
              <w:top w:val="nil" w:sz="6" w:space="0" w:color="auto"/>
              <w:left w:val="nil" w:sz="6" w:space="0" w:color="auto"/>
              <w:bottom w:val="single" w:sz="12" w:space="0" w:color="000000"/>
              <w:right w:val="nil" w:sz="6" w:space="0" w:color="auto"/>
            </w:tcBorders>
          </w:tcPr>
          <w:p>
            <w:pPr/>
          </w:p>
        </w:tc>
        <w:tc>
          <w:tcPr>
            <w:tcW w:w="2122"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7,308.00</w:t>
            </w:r>
          </w:p>
        </w:tc>
      </w:tr>
    </w:tbl>
    <w:p>
      <w:pPr>
        <w:spacing w:line="240" w:lineRule="auto" w:before="10"/>
        <w:rPr>
          <w:rFonts w:ascii="宋体" w:hAnsi="宋体" w:cs="宋体" w:eastAsia="宋体" w:hint="default"/>
          <w:b/>
          <w:bCs/>
          <w:sz w:val="27"/>
          <w:szCs w:val="27"/>
        </w:rPr>
      </w:pPr>
    </w:p>
    <w:p>
      <w:pPr>
        <w:tabs>
          <w:tab w:pos="1496" w:val="left" w:leader="none"/>
        </w:tabs>
        <w:spacing w:before="35"/>
        <w:ind w:left="957"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不存在向投资企业转移资金的能力受到限制的有关情况。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6"/>
          <w:szCs w:val="26"/>
        </w:rPr>
      </w:pPr>
    </w:p>
    <w:p>
      <w:pPr>
        <w:spacing w:line="253" w:lineRule="exact"/>
        <w:ind w:left="241" w:right="0" w:firstLine="0"/>
        <w:rPr>
          <w:rFonts w:ascii="宋体" w:hAnsi="宋体" w:cs="宋体" w:eastAsia="宋体" w:hint="default"/>
          <w:sz w:val="20"/>
          <w:szCs w:val="20"/>
        </w:rPr>
      </w:pPr>
      <w:r>
        <w:rPr>
          <w:rFonts w:ascii="宋体" w:hAnsi="宋体" w:cs="宋体" w:eastAsia="宋体" w:hint="default"/>
          <w:position w:val="-4"/>
          <w:sz w:val="20"/>
          <w:szCs w:val="20"/>
        </w:rPr>
        <w:drawing>
          <wp:inline distT="0" distB="0" distL="0" distR="0">
            <wp:extent cx="910481" cy="160972"/>
            <wp:effectExtent l="0" t="0" r="0" b="0"/>
            <wp:docPr id="7" name="image6.jpeg" descr=""/>
            <wp:cNvGraphicFramePr>
              <a:graphicFrameLocks noChangeAspect="1"/>
            </wp:cNvGraphicFramePr>
            <a:graphic>
              <a:graphicData uri="http://schemas.openxmlformats.org/drawingml/2006/picture">
                <pic:pic>
                  <pic:nvPicPr>
                    <pic:cNvPr id="8" name="image6.jpeg"/>
                    <pic:cNvPicPr/>
                  </pic:nvPicPr>
                  <pic:blipFill>
                    <a:blip r:embed="rId152" cstate="print"/>
                    <a:stretch>
                      <a:fillRect/>
                    </a:stretch>
                  </pic:blipFill>
                  <pic:spPr>
                    <a:xfrm>
                      <a:off x="0" y="0"/>
                      <a:ext cx="910481" cy="160972"/>
                    </a:xfrm>
                    <a:prstGeom prst="rect">
                      <a:avLst/>
                    </a:prstGeom>
                  </pic:spPr>
                </pic:pic>
              </a:graphicData>
            </a:graphic>
          </wp:inline>
        </w:drawing>
      </w:r>
      <w:r>
        <w:rPr>
          <w:rFonts w:ascii="宋体" w:hAnsi="宋体" w:cs="宋体" w:eastAsia="宋体" w:hint="default"/>
          <w:position w:val="-4"/>
          <w:sz w:val="20"/>
          <w:szCs w:val="20"/>
        </w:rPr>
      </w:r>
    </w:p>
    <w:p>
      <w:pPr>
        <w:spacing w:line="205" w:lineRule="exact" w:before="0"/>
        <w:ind w:left="0" w:right="239" w:firstLine="0"/>
        <w:jc w:val="right"/>
        <w:rPr>
          <w:rFonts w:ascii="Times New Roman" w:hAnsi="Times New Roman" w:cs="Times New Roman" w:eastAsia="Times New Roman" w:hint="default"/>
          <w:sz w:val="18"/>
          <w:szCs w:val="18"/>
        </w:rPr>
      </w:pPr>
      <w:r>
        <w:rPr>
          <w:rFonts w:ascii="Times New Roman"/>
          <w:sz w:val="18"/>
        </w:rPr>
        <w:t>130</w:t>
      </w:r>
    </w:p>
    <w:p>
      <w:pPr>
        <w:spacing w:after="0" w:line="205" w:lineRule="exact"/>
        <w:jc w:val="right"/>
        <w:rPr>
          <w:rFonts w:ascii="Times New Roman" w:hAnsi="Times New Roman" w:cs="Times New Roman" w:eastAsia="Times New Roman" w:hint="default"/>
          <w:sz w:val="18"/>
          <w:szCs w:val="18"/>
        </w:rPr>
        <w:sectPr>
          <w:headerReference w:type="default" r:id="rId148"/>
          <w:footerReference w:type="default" r:id="rId149"/>
          <w:pgSz w:w="16840" w:h="11910" w:orient="landscape"/>
          <w:pgMar w:header="0" w:footer="0" w:top="800" w:bottom="280" w:left="1200" w:right="1200"/>
        </w:sectPr>
      </w:pPr>
    </w:p>
    <w:p>
      <w:pPr>
        <w:spacing w:line="240" w:lineRule="auto" w:before="4"/>
        <w:rPr>
          <w:rFonts w:ascii="Times New Roman" w:hAnsi="Times New Roman" w:cs="Times New Roman" w:eastAsia="Times New Roman" w:hint="default"/>
          <w:sz w:val="3"/>
          <w:szCs w:val="3"/>
        </w:rPr>
      </w:pPr>
      <w:r>
        <w:rPr/>
        <w:pict>
          <v:group style="position:absolute;margin-left:34.770pt;margin-top:109.080002pt;width:477.9pt;height:591.75pt;mso-position-horizontal-relative:page;mso-position-vertical-relative:page;z-index:-814960" coordorigin="695,2182" coordsize="9558,11835">
            <v:shape style="position:absolute;left:3102;top:2182;width:5356;height:370" type="#_x0000_t75" stroked="false">
              <v:imagedata r:id="rId154" o:title=""/>
            </v:shape>
            <v:group style="position:absolute;left:710;top:14001;width:2421;height:2" coordorigin="710,14001" coordsize="2421,2">
              <v:shape style="position:absolute;left:710;top:14001;width:2421;height:2" coordorigin="710,14001" coordsize="2421,0" path="m710,14001l3131,14001e" filled="false" stroked="true" strokeweight="1.5pt" strokecolor="#000000">
                <v:path arrowok="t"/>
              </v:shape>
            </v:group>
            <v:group style="position:absolute;left:3131;top:14001;width:1461;height:2" coordorigin="3131,14001" coordsize="1461,2">
              <v:shape style="position:absolute;left:3131;top:14001;width:1461;height:2" coordorigin="3131,14001" coordsize="1461,0" path="m3131,14001l4591,14001e" filled="false" stroked="true" strokeweight="1.5pt" strokecolor="#000000">
                <v:path arrowok="t"/>
              </v:shape>
            </v:group>
            <v:group style="position:absolute;left:4591;top:14001;width:2268;height:2" coordorigin="4591,14001" coordsize="2268,2">
              <v:shape style="position:absolute;left:4591;top:14001;width:2268;height:2" coordorigin="4591,14001" coordsize="2268,0" path="m4591,14001l6859,14001e" filled="false" stroked="true" strokeweight="1.5pt" strokecolor="#000000">
                <v:path arrowok="t"/>
              </v:shape>
            </v:group>
            <v:group style="position:absolute;left:6859;top:14001;width:1560;height:2" coordorigin="6859,14001" coordsize="1560,2">
              <v:shape style="position:absolute;left:6859;top:14001;width:1560;height:2" coordorigin="6859,14001" coordsize="1560,0" path="m6859,14001l8419,14001e" filled="false" stroked="true" strokeweight="1.5pt" strokecolor="#000000">
                <v:path arrowok="t"/>
              </v:shape>
              <v:shape style="position:absolute;left:696;top:2494;width:9557;height:11492" type="#_x0000_t75" stroked="false">
                <v:imagedata r:id="rId155" o:title=""/>
              </v:shape>
            </v:group>
            <v:group style="position:absolute;left:8419;top:14001;width:1805;height:2" coordorigin="8419,14001" coordsize="1805,2">
              <v:shape style="position:absolute;left:8419;top:14001;width:1805;height:2" coordorigin="8419,14001" coordsize="1805,0" path="m8419,14001l10224,14001e" filled="false" stroked="true" strokeweight="1.5pt" strokecolor="#000000">
                <v:path arrowok="t"/>
              </v:shape>
            </v:group>
            <w10:wrap type="none"/>
          </v:group>
        </w:pict>
      </w:r>
    </w:p>
    <w:p>
      <w:pPr>
        <w:spacing w:line="20" w:lineRule="exact"/>
        <w:ind w:left="675"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44.55pt;height:.75pt;mso-position-horizontal-relative:char;mso-position-vertical-relative:line" coordorigin="0,0" coordsize="8891,15">
            <v:group style="position:absolute;left:7;top:7;width:8877;height:2" coordorigin="7,7" coordsize="8877,2">
              <v:shape style="position:absolute;left:7;top:7;width:8877;height:2" coordorigin="7,7" coordsize="8877,0" path="m7,7l8884,7e" filled="false" stroked="true" strokeweight=".72003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8"/>
          <w:szCs w:val="28"/>
        </w:rPr>
      </w:pPr>
    </w:p>
    <w:p>
      <w:pPr>
        <w:spacing w:before="35"/>
        <w:ind w:left="69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固定资产</w:t>
      </w:r>
      <w:r>
        <w:rPr>
          <w:rFonts w:ascii="宋体" w:hAnsi="宋体" w:cs="宋体" w:eastAsia="宋体" w:hint="default"/>
          <w:sz w:val="21"/>
          <w:szCs w:val="21"/>
        </w:rPr>
      </w:r>
    </w:p>
    <w:p>
      <w:pPr>
        <w:tabs>
          <w:tab w:pos="1968" w:val="left" w:leader="none"/>
        </w:tabs>
        <w:spacing w:before="100"/>
        <w:ind w:left="1429"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固定资产情况</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218" w:type="dxa"/>
        <w:tblLayout w:type="fixed"/>
        <w:tblCellMar>
          <w:top w:w="0" w:type="dxa"/>
          <w:left w:w="0" w:type="dxa"/>
          <w:bottom w:w="0" w:type="dxa"/>
          <w:right w:w="0" w:type="dxa"/>
        </w:tblCellMar>
        <w:tblLook w:val="01E0"/>
      </w:tblPr>
      <w:tblGrid>
        <w:gridCol w:w="2110"/>
        <w:gridCol w:w="2022"/>
        <w:gridCol w:w="2089"/>
        <w:gridCol w:w="1621"/>
        <w:gridCol w:w="1512"/>
      </w:tblGrid>
      <w:tr>
        <w:trPr>
          <w:trHeight w:val="657" w:hRule="exact"/>
        </w:trPr>
        <w:tc>
          <w:tcPr>
            <w:tcW w:w="2110" w:type="dxa"/>
            <w:tcBorders>
              <w:top w:val="single" w:sz="12" w:space="0" w:color="000000"/>
              <w:left w:val="nil" w:sz="6" w:space="0" w:color="auto"/>
              <w:bottom w:val="nil" w:sz="6" w:space="0" w:color="auto"/>
              <w:right w:val="nil" w:sz="6" w:space="0" w:color="auto"/>
            </w:tcBorders>
          </w:tcPr>
          <w:p>
            <w:pPr>
              <w:pStyle w:val="TableParagraph"/>
              <w:spacing w:line="328" w:lineRule="auto" w:before="10"/>
              <w:ind w:left="35" w:right="453" w:firstLine="916"/>
              <w:jc w:val="left"/>
              <w:rPr>
                <w:rFonts w:ascii="宋体" w:hAnsi="宋体" w:cs="宋体" w:eastAsia="宋体" w:hint="default"/>
                <w:sz w:val="18"/>
                <w:szCs w:val="18"/>
              </w:rPr>
            </w:pPr>
            <w:r>
              <w:rPr>
                <w:rFonts w:ascii="宋体" w:hAnsi="宋体" w:cs="宋体" w:eastAsia="宋体" w:hint="default"/>
                <w:sz w:val="18"/>
                <w:szCs w:val="18"/>
              </w:rPr>
              <w:t>项目 一、账面原值合计：</w:t>
            </w:r>
          </w:p>
        </w:tc>
        <w:tc>
          <w:tcPr>
            <w:tcW w:w="2022"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105"/>
              <w:jc w:val="center"/>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126"/>
              <w:ind w:left="19" w:right="0"/>
              <w:jc w:val="center"/>
              <w:rPr>
                <w:rFonts w:ascii="Times New Roman" w:hAnsi="Times New Roman" w:cs="Times New Roman" w:eastAsia="Times New Roman" w:hint="default"/>
                <w:sz w:val="18"/>
                <w:szCs w:val="18"/>
              </w:rPr>
            </w:pPr>
            <w:r>
              <w:rPr>
                <w:rFonts w:ascii="Times New Roman"/>
                <w:sz w:val="18"/>
              </w:rPr>
              <w:t>479,917,063.11</w:t>
            </w:r>
          </w:p>
        </w:tc>
        <w:tc>
          <w:tcPr>
            <w:tcW w:w="2089"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440" w:right="0"/>
              <w:jc w:val="left"/>
              <w:rPr>
                <w:rFonts w:ascii="宋体" w:hAnsi="宋体" w:cs="宋体" w:eastAsia="宋体" w:hint="default"/>
                <w:sz w:val="18"/>
                <w:szCs w:val="18"/>
              </w:rPr>
            </w:pPr>
            <w:r>
              <w:rPr>
                <w:rFonts w:ascii="宋体" w:hAnsi="宋体" w:cs="宋体" w:eastAsia="宋体" w:hint="default"/>
                <w:sz w:val="18"/>
                <w:szCs w:val="18"/>
              </w:rPr>
              <w:t>本期增加</w:t>
            </w:r>
          </w:p>
          <w:p>
            <w:pPr>
              <w:pStyle w:val="TableParagraph"/>
              <w:spacing w:line="240" w:lineRule="auto" w:before="126"/>
              <w:ind w:left="701" w:right="0"/>
              <w:jc w:val="left"/>
              <w:rPr>
                <w:rFonts w:ascii="Times New Roman" w:hAnsi="Times New Roman" w:cs="Times New Roman" w:eastAsia="Times New Roman" w:hint="default"/>
                <w:sz w:val="18"/>
                <w:szCs w:val="18"/>
              </w:rPr>
            </w:pPr>
            <w:r>
              <w:rPr>
                <w:rFonts w:ascii="Times New Roman"/>
                <w:sz w:val="18"/>
              </w:rPr>
              <w:t>120,319,587.54</w:t>
            </w:r>
          </w:p>
        </w:tc>
        <w:tc>
          <w:tcPr>
            <w:tcW w:w="1621"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64" w:right="0"/>
              <w:jc w:val="left"/>
              <w:rPr>
                <w:rFonts w:ascii="宋体" w:hAnsi="宋体" w:cs="宋体" w:eastAsia="宋体" w:hint="default"/>
                <w:sz w:val="18"/>
                <w:szCs w:val="18"/>
              </w:rPr>
            </w:pPr>
            <w:r>
              <w:rPr>
                <w:rFonts w:ascii="宋体" w:hAnsi="宋体" w:cs="宋体" w:eastAsia="宋体" w:hint="default"/>
                <w:sz w:val="18"/>
                <w:szCs w:val="18"/>
              </w:rPr>
              <w:t>本期减少</w:t>
            </w:r>
          </w:p>
          <w:p>
            <w:pPr>
              <w:pStyle w:val="TableParagraph"/>
              <w:spacing w:line="240" w:lineRule="auto" w:before="126"/>
              <w:ind w:left="261" w:right="0"/>
              <w:jc w:val="left"/>
              <w:rPr>
                <w:rFonts w:ascii="Times New Roman" w:hAnsi="Times New Roman" w:cs="Times New Roman" w:eastAsia="Times New Roman" w:hint="default"/>
                <w:sz w:val="18"/>
                <w:szCs w:val="18"/>
              </w:rPr>
            </w:pPr>
            <w:r>
              <w:rPr>
                <w:rFonts w:ascii="Times New Roman"/>
                <w:sz w:val="18"/>
              </w:rPr>
              <w:t>55,553,342.01</w:t>
            </w:r>
          </w:p>
        </w:tc>
        <w:tc>
          <w:tcPr>
            <w:tcW w:w="1512"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323"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126"/>
              <w:ind w:left="350" w:right="0"/>
              <w:jc w:val="left"/>
              <w:rPr>
                <w:rFonts w:ascii="Times New Roman" w:hAnsi="Times New Roman" w:cs="Times New Roman" w:eastAsia="Times New Roman" w:hint="default"/>
                <w:sz w:val="18"/>
                <w:szCs w:val="18"/>
              </w:rPr>
            </w:pPr>
            <w:r>
              <w:rPr>
                <w:rFonts w:ascii="Times New Roman"/>
                <w:sz w:val="18"/>
              </w:rPr>
              <w:t>544,683,308.64</w:t>
            </w:r>
          </w:p>
        </w:tc>
      </w:tr>
      <w:tr>
        <w:trPr>
          <w:trHeight w:val="322"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38"/>
              <w:jc w:val="right"/>
              <w:rPr>
                <w:rFonts w:ascii="Times New Roman" w:hAnsi="Times New Roman" w:cs="Times New Roman" w:eastAsia="Times New Roman" w:hint="default"/>
                <w:sz w:val="18"/>
                <w:szCs w:val="18"/>
              </w:rPr>
            </w:pPr>
            <w:r>
              <w:rPr>
                <w:rFonts w:ascii="Times New Roman"/>
                <w:spacing w:val="-1"/>
                <w:sz w:val="18"/>
              </w:rPr>
              <w:t>3,974,019.85</w:t>
            </w:r>
          </w:p>
        </w:tc>
        <w:tc>
          <w:tcPr>
            <w:tcW w:w="2089" w:type="dxa"/>
            <w:tcBorders>
              <w:top w:val="nil" w:sz="6" w:space="0" w:color="auto"/>
              <w:left w:val="nil" w:sz="6" w:space="0" w:color="auto"/>
              <w:bottom w:val="nil" w:sz="6" w:space="0" w:color="auto"/>
              <w:right w:val="nil" w:sz="6" w:space="0" w:color="auto"/>
            </w:tcBorders>
          </w:tcPr>
          <w:p>
            <w:pPr/>
          </w:p>
        </w:tc>
        <w:tc>
          <w:tcPr>
            <w:tcW w:w="16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pacing w:val="-1"/>
                <w:sz w:val="18"/>
              </w:rPr>
              <w:t>3,974,019.85</w:t>
            </w:r>
          </w:p>
        </w:tc>
      </w:tr>
      <w:tr>
        <w:trPr>
          <w:trHeight w:val="326"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1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38"/>
              <w:jc w:val="right"/>
              <w:rPr>
                <w:rFonts w:ascii="Times New Roman" w:hAnsi="Times New Roman" w:cs="Times New Roman" w:eastAsia="Times New Roman" w:hint="default"/>
                <w:sz w:val="18"/>
                <w:szCs w:val="18"/>
              </w:rPr>
            </w:pPr>
            <w:r>
              <w:rPr>
                <w:rFonts w:ascii="Times New Roman"/>
                <w:spacing w:val="-1"/>
                <w:sz w:val="18"/>
              </w:rPr>
              <w:t>10,384,107.58</w:t>
            </w:r>
          </w:p>
        </w:tc>
        <w:tc>
          <w:tcPr>
            <w:tcW w:w="208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59"/>
              <w:jc w:val="right"/>
              <w:rPr>
                <w:rFonts w:ascii="Times New Roman" w:hAnsi="Times New Roman" w:cs="Times New Roman" w:eastAsia="Times New Roman" w:hint="default"/>
                <w:sz w:val="18"/>
                <w:szCs w:val="18"/>
              </w:rPr>
            </w:pPr>
            <w:r>
              <w:rPr>
                <w:rFonts w:ascii="Times New Roman"/>
                <w:sz w:val="18"/>
              </w:rPr>
              <w:t>647,695.42</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21"/>
              <w:jc w:val="right"/>
              <w:rPr>
                <w:rFonts w:ascii="Times New Roman" w:hAnsi="Times New Roman" w:cs="Times New Roman" w:eastAsia="Times New Roman" w:hint="default"/>
                <w:sz w:val="18"/>
                <w:szCs w:val="18"/>
              </w:rPr>
            </w:pPr>
            <w:r>
              <w:rPr>
                <w:rFonts w:ascii="Times New Roman"/>
                <w:sz w:val="18"/>
              </w:rPr>
              <w:t>4,650.00</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Times New Roman" w:hAnsi="Times New Roman" w:cs="Times New Roman" w:eastAsia="Times New Roman" w:hint="default"/>
                <w:sz w:val="18"/>
                <w:szCs w:val="18"/>
              </w:rPr>
            </w:pPr>
            <w:r>
              <w:rPr>
                <w:rFonts w:ascii="Times New Roman"/>
                <w:spacing w:val="-1"/>
                <w:sz w:val="18"/>
              </w:rPr>
              <w:t>11,027,153.00</w:t>
            </w:r>
          </w:p>
        </w:tc>
      </w:tr>
      <w:tr>
        <w:trPr>
          <w:trHeight w:val="318"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15" w:right="0"/>
              <w:jc w:val="left"/>
              <w:rPr>
                <w:rFonts w:ascii="Times New Roman" w:hAnsi="Times New Roman" w:cs="Times New Roman" w:eastAsia="Times New Roman" w:hint="default"/>
                <w:sz w:val="18"/>
                <w:szCs w:val="18"/>
              </w:rPr>
            </w:pPr>
            <w:r>
              <w:rPr>
                <w:rFonts w:ascii="Times New Roman"/>
                <w:spacing w:val="-7"/>
                <w:sz w:val="18"/>
              </w:rPr>
              <w:t>ATM</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438"/>
              <w:jc w:val="right"/>
              <w:rPr>
                <w:rFonts w:ascii="Times New Roman" w:hAnsi="Times New Roman" w:cs="Times New Roman" w:eastAsia="Times New Roman" w:hint="default"/>
                <w:sz w:val="18"/>
                <w:szCs w:val="18"/>
              </w:rPr>
            </w:pPr>
            <w:r>
              <w:rPr>
                <w:rFonts w:ascii="Times New Roman"/>
                <w:spacing w:val="-1"/>
                <w:sz w:val="18"/>
              </w:rPr>
              <w:t>449,431,021.67</w:t>
            </w:r>
          </w:p>
        </w:tc>
        <w:tc>
          <w:tcPr>
            <w:tcW w:w="208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59"/>
              <w:jc w:val="right"/>
              <w:rPr>
                <w:rFonts w:ascii="Times New Roman" w:hAnsi="Times New Roman" w:cs="Times New Roman" w:eastAsia="Times New Roman" w:hint="default"/>
                <w:sz w:val="18"/>
                <w:szCs w:val="18"/>
              </w:rPr>
            </w:pPr>
            <w:r>
              <w:rPr>
                <w:rFonts w:ascii="Times New Roman"/>
                <w:spacing w:val="-1"/>
                <w:sz w:val="18"/>
              </w:rPr>
              <w:t>116,250,980.71</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21"/>
              <w:jc w:val="right"/>
              <w:rPr>
                <w:rFonts w:ascii="Times New Roman" w:hAnsi="Times New Roman" w:cs="Times New Roman" w:eastAsia="Times New Roman" w:hint="default"/>
                <w:sz w:val="18"/>
                <w:szCs w:val="18"/>
              </w:rPr>
            </w:pPr>
            <w:r>
              <w:rPr>
                <w:rFonts w:ascii="Times New Roman"/>
                <w:spacing w:val="-1"/>
                <w:sz w:val="18"/>
              </w:rPr>
              <w:t>54,958,742.61</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
              <w:jc w:val="right"/>
              <w:rPr>
                <w:rFonts w:ascii="Times New Roman" w:hAnsi="Times New Roman" w:cs="Times New Roman" w:eastAsia="Times New Roman" w:hint="default"/>
                <w:sz w:val="18"/>
                <w:szCs w:val="18"/>
              </w:rPr>
            </w:pPr>
            <w:r>
              <w:rPr>
                <w:rFonts w:ascii="Times New Roman"/>
                <w:spacing w:val="-1"/>
                <w:sz w:val="18"/>
              </w:rPr>
              <w:t>510,723,259.77</w:t>
            </w:r>
          </w:p>
        </w:tc>
      </w:tr>
      <w:tr>
        <w:trPr>
          <w:trHeight w:val="322"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1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38"/>
              <w:jc w:val="right"/>
              <w:rPr>
                <w:rFonts w:ascii="Times New Roman" w:hAnsi="Times New Roman" w:cs="Times New Roman" w:eastAsia="Times New Roman" w:hint="default"/>
                <w:sz w:val="18"/>
                <w:szCs w:val="18"/>
              </w:rPr>
            </w:pPr>
            <w:r>
              <w:rPr>
                <w:rFonts w:ascii="Times New Roman"/>
                <w:spacing w:val="-1"/>
                <w:sz w:val="18"/>
              </w:rPr>
              <w:t>13,103,122.21</w:t>
            </w:r>
          </w:p>
        </w:tc>
        <w:tc>
          <w:tcPr>
            <w:tcW w:w="208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9"/>
              <w:jc w:val="right"/>
              <w:rPr>
                <w:rFonts w:ascii="Times New Roman" w:hAnsi="Times New Roman" w:cs="Times New Roman" w:eastAsia="Times New Roman" w:hint="default"/>
                <w:sz w:val="18"/>
                <w:szCs w:val="18"/>
              </w:rPr>
            </w:pPr>
            <w:r>
              <w:rPr>
                <w:rFonts w:ascii="Times New Roman"/>
                <w:spacing w:val="-1"/>
                <w:sz w:val="18"/>
              </w:rPr>
              <w:t>2,876,984.41</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21"/>
              <w:jc w:val="right"/>
              <w:rPr>
                <w:rFonts w:ascii="Times New Roman" w:hAnsi="Times New Roman" w:cs="Times New Roman" w:eastAsia="Times New Roman" w:hint="default"/>
                <w:sz w:val="18"/>
                <w:szCs w:val="18"/>
              </w:rPr>
            </w:pPr>
            <w:r>
              <w:rPr>
                <w:rFonts w:ascii="Times New Roman"/>
                <w:sz w:val="18"/>
              </w:rPr>
              <w:t>589,949.40</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pacing w:val="-1"/>
                <w:sz w:val="18"/>
              </w:rPr>
              <w:t>15,390,157.22</w:t>
            </w:r>
          </w:p>
        </w:tc>
      </w:tr>
      <w:tr>
        <w:trPr>
          <w:trHeight w:val="747"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1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4111" w:type="dxa"/>
            <w:gridSpan w:val="2"/>
            <w:tcBorders>
              <w:top w:val="nil" w:sz="6" w:space="0" w:color="auto"/>
              <w:left w:val="nil" w:sz="6" w:space="0" w:color="auto"/>
              <w:bottom w:val="nil" w:sz="6" w:space="0" w:color="auto"/>
              <w:right w:val="nil" w:sz="6" w:space="0" w:color="auto"/>
            </w:tcBorders>
          </w:tcPr>
          <w:p>
            <w:pPr>
              <w:pStyle w:val="TableParagraph"/>
              <w:tabs>
                <w:tab w:pos="3038" w:val="left" w:leader="none"/>
              </w:tabs>
              <w:spacing w:line="240" w:lineRule="auto" w:before="52"/>
              <w:ind w:left="635" w:right="0"/>
              <w:jc w:val="left"/>
              <w:rPr>
                <w:rFonts w:ascii="Times New Roman" w:hAnsi="Times New Roman" w:cs="Times New Roman" w:eastAsia="Times New Roman" w:hint="default"/>
                <w:sz w:val="18"/>
                <w:szCs w:val="18"/>
              </w:rPr>
            </w:pPr>
            <w:r>
              <w:rPr>
                <w:rFonts w:ascii="Times New Roman"/>
                <w:spacing w:val="-1"/>
                <w:sz w:val="18"/>
              </w:rPr>
              <w:t>3,024,791.80</w:t>
              <w:tab/>
            </w:r>
            <w:r>
              <w:rPr>
                <w:rFonts w:ascii="Times New Roman"/>
                <w:sz w:val="18"/>
              </w:rPr>
              <w:t>543,927.00</w:t>
            </w:r>
          </w:p>
          <w:p>
            <w:pPr>
              <w:pStyle w:val="TableParagraph"/>
              <w:tabs>
                <w:tab w:pos="1801" w:val="left" w:leader="none"/>
                <w:tab w:pos="2935" w:val="left" w:leader="none"/>
              </w:tabs>
              <w:spacing w:line="240" w:lineRule="auto" w:before="113"/>
              <w:ind w:left="514" w:right="0"/>
              <w:jc w:val="left"/>
              <w:rPr>
                <w:rFonts w:ascii="宋体" w:hAnsi="宋体" w:cs="宋体" w:eastAsia="宋体" w:hint="default"/>
                <w:sz w:val="18"/>
                <w:szCs w:val="18"/>
              </w:rPr>
            </w:pPr>
            <w:r>
              <w:rPr>
                <w:rFonts w:ascii="Times New Roman" w:hAnsi="Times New Roman" w:cs="Times New Roman" w:eastAsia="Times New Roman" w:hint="default"/>
                <w:position w:val="-8"/>
                <w:sz w:val="18"/>
                <w:szCs w:val="18"/>
              </w:rPr>
              <w:t>—</w:t>
              <w:tab/>
            </w:r>
            <w:r>
              <w:rPr>
                <w:rFonts w:ascii="宋体" w:hAnsi="宋体" w:cs="宋体" w:eastAsia="宋体" w:hint="default"/>
                <w:sz w:val="18"/>
                <w:szCs w:val="18"/>
              </w:rPr>
              <w:t>本期新增</w:t>
              <w:tab/>
              <w:t>本期计提</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left="13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30" w:right="0"/>
              <w:jc w:val="left"/>
              <w:rPr>
                <w:rFonts w:ascii="Times New Roman" w:hAnsi="Times New Roman" w:cs="Times New Roman" w:eastAsia="Times New Roman" w:hint="default"/>
                <w:sz w:val="18"/>
                <w:szCs w:val="18"/>
              </w:rPr>
            </w:pPr>
            <w:r>
              <w:rPr>
                <w:rFonts w:ascii="Times New Roman"/>
                <w:sz w:val="18"/>
              </w:rPr>
              <w:t>3,568,718.80</w:t>
            </w: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297"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22" w:lineRule="exact"/>
              <w:ind w:left="35" w:right="0"/>
              <w:jc w:val="left"/>
              <w:rPr>
                <w:rFonts w:ascii="宋体" w:hAnsi="宋体" w:cs="宋体" w:eastAsia="宋体" w:hint="default"/>
                <w:sz w:val="18"/>
                <w:szCs w:val="18"/>
              </w:rPr>
            </w:pPr>
            <w:r>
              <w:rPr>
                <w:rFonts w:ascii="宋体" w:hAnsi="宋体" w:cs="宋体" w:eastAsia="宋体" w:hint="default"/>
                <w:sz w:val="18"/>
                <w:szCs w:val="18"/>
              </w:rPr>
              <w:t>二、累计折旧合计：</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38"/>
              <w:jc w:val="right"/>
              <w:rPr>
                <w:rFonts w:ascii="Times New Roman" w:hAnsi="Times New Roman" w:cs="Times New Roman" w:eastAsia="Times New Roman" w:hint="default"/>
                <w:sz w:val="18"/>
                <w:szCs w:val="18"/>
              </w:rPr>
            </w:pPr>
            <w:r>
              <w:rPr>
                <w:rFonts w:ascii="Times New Roman"/>
                <w:spacing w:val="-1"/>
                <w:sz w:val="18"/>
              </w:rPr>
              <w:t>152,146,398.96</w:t>
            </w:r>
          </w:p>
        </w:tc>
        <w:tc>
          <w:tcPr>
            <w:tcW w:w="208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59"/>
              <w:jc w:val="right"/>
              <w:rPr>
                <w:rFonts w:ascii="Times New Roman" w:hAnsi="Times New Roman" w:cs="Times New Roman" w:eastAsia="Times New Roman" w:hint="default"/>
                <w:sz w:val="18"/>
                <w:szCs w:val="18"/>
              </w:rPr>
            </w:pPr>
            <w:r>
              <w:rPr>
                <w:rFonts w:ascii="Times New Roman"/>
                <w:spacing w:val="-1"/>
                <w:sz w:val="18"/>
              </w:rPr>
              <w:t>63,284,450.91</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21"/>
              <w:jc w:val="right"/>
              <w:rPr>
                <w:rFonts w:ascii="Times New Roman" w:hAnsi="Times New Roman" w:cs="Times New Roman" w:eastAsia="Times New Roman" w:hint="default"/>
                <w:sz w:val="18"/>
                <w:szCs w:val="18"/>
              </w:rPr>
            </w:pPr>
            <w:r>
              <w:rPr>
                <w:rFonts w:ascii="Times New Roman"/>
                <w:spacing w:val="-1"/>
                <w:sz w:val="18"/>
              </w:rPr>
              <w:t>22,979,635.50</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4"/>
              <w:jc w:val="right"/>
              <w:rPr>
                <w:rFonts w:ascii="Times New Roman" w:hAnsi="Times New Roman" w:cs="Times New Roman" w:eastAsia="Times New Roman" w:hint="default"/>
                <w:sz w:val="18"/>
                <w:szCs w:val="18"/>
              </w:rPr>
            </w:pPr>
            <w:r>
              <w:rPr>
                <w:rFonts w:ascii="Times New Roman"/>
                <w:spacing w:val="-1"/>
                <w:sz w:val="18"/>
              </w:rPr>
              <w:t>192,451,214.37</w:t>
            </w:r>
          </w:p>
        </w:tc>
      </w:tr>
      <w:tr>
        <w:trPr>
          <w:trHeight w:val="322"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38"/>
              <w:jc w:val="right"/>
              <w:rPr>
                <w:rFonts w:ascii="Times New Roman" w:hAnsi="Times New Roman" w:cs="Times New Roman" w:eastAsia="Times New Roman" w:hint="default"/>
                <w:sz w:val="18"/>
                <w:szCs w:val="18"/>
              </w:rPr>
            </w:pPr>
            <w:r>
              <w:rPr>
                <w:rFonts w:ascii="Times New Roman"/>
                <w:spacing w:val="-1"/>
                <w:sz w:val="18"/>
              </w:rPr>
              <w:t>1,621,246.99</w:t>
            </w:r>
          </w:p>
        </w:tc>
        <w:tc>
          <w:tcPr>
            <w:tcW w:w="208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59"/>
              <w:jc w:val="right"/>
              <w:rPr>
                <w:rFonts w:ascii="Times New Roman" w:hAnsi="Times New Roman" w:cs="Times New Roman" w:eastAsia="Times New Roman" w:hint="default"/>
                <w:sz w:val="18"/>
                <w:szCs w:val="18"/>
              </w:rPr>
            </w:pPr>
            <w:r>
              <w:rPr>
                <w:rFonts w:ascii="Times New Roman"/>
                <w:sz w:val="18"/>
              </w:rPr>
              <w:t>195,683.28</w:t>
            </w:r>
          </w:p>
        </w:tc>
        <w:tc>
          <w:tcPr>
            <w:tcW w:w="16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Times New Roman" w:hAnsi="Times New Roman" w:cs="Times New Roman" w:eastAsia="Times New Roman" w:hint="default"/>
                <w:sz w:val="18"/>
                <w:szCs w:val="18"/>
              </w:rPr>
            </w:pPr>
            <w:r>
              <w:rPr>
                <w:rFonts w:ascii="Times New Roman"/>
                <w:spacing w:val="-1"/>
                <w:sz w:val="18"/>
              </w:rPr>
              <w:t>1,816,930.27</w:t>
            </w:r>
          </w:p>
        </w:tc>
      </w:tr>
      <w:tr>
        <w:trPr>
          <w:trHeight w:val="325"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1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38"/>
              <w:jc w:val="right"/>
              <w:rPr>
                <w:rFonts w:ascii="Times New Roman" w:hAnsi="Times New Roman" w:cs="Times New Roman" w:eastAsia="Times New Roman" w:hint="default"/>
                <w:sz w:val="18"/>
                <w:szCs w:val="18"/>
              </w:rPr>
            </w:pPr>
            <w:r>
              <w:rPr>
                <w:rFonts w:ascii="Times New Roman"/>
                <w:spacing w:val="-1"/>
                <w:sz w:val="18"/>
              </w:rPr>
              <w:t>5,762,849.96</w:t>
            </w:r>
          </w:p>
        </w:tc>
        <w:tc>
          <w:tcPr>
            <w:tcW w:w="208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9"/>
              <w:jc w:val="right"/>
              <w:rPr>
                <w:rFonts w:ascii="Times New Roman" w:hAnsi="Times New Roman" w:cs="Times New Roman" w:eastAsia="Times New Roman" w:hint="default"/>
                <w:sz w:val="18"/>
                <w:szCs w:val="18"/>
              </w:rPr>
            </w:pPr>
            <w:r>
              <w:rPr>
                <w:rFonts w:ascii="Times New Roman"/>
                <w:spacing w:val="-1"/>
                <w:sz w:val="18"/>
              </w:rPr>
              <w:t>1,447,317.14</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21"/>
              <w:jc w:val="right"/>
              <w:rPr>
                <w:rFonts w:ascii="Times New Roman" w:hAnsi="Times New Roman" w:cs="Times New Roman" w:eastAsia="Times New Roman" w:hint="default"/>
                <w:sz w:val="18"/>
                <w:szCs w:val="18"/>
              </w:rPr>
            </w:pPr>
            <w:r>
              <w:rPr>
                <w:rFonts w:ascii="Times New Roman"/>
                <w:sz w:val="18"/>
              </w:rPr>
              <w:t>1,914.38</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pacing w:val="-1"/>
                <w:sz w:val="18"/>
              </w:rPr>
              <w:t>7,208,252.72</w:t>
            </w:r>
          </w:p>
        </w:tc>
      </w:tr>
      <w:tr>
        <w:trPr>
          <w:trHeight w:val="318"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15" w:right="0"/>
              <w:jc w:val="left"/>
              <w:rPr>
                <w:rFonts w:ascii="Times New Roman" w:hAnsi="Times New Roman" w:cs="Times New Roman" w:eastAsia="Times New Roman" w:hint="default"/>
                <w:sz w:val="18"/>
                <w:szCs w:val="18"/>
              </w:rPr>
            </w:pPr>
            <w:r>
              <w:rPr>
                <w:rFonts w:ascii="Times New Roman"/>
                <w:spacing w:val="-7"/>
                <w:sz w:val="18"/>
              </w:rPr>
              <w:t>ATM</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438"/>
              <w:jc w:val="right"/>
              <w:rPr>
                <w:rFonts w:ascii="Times New Roman" w:hAnsi="Times New Roman" w:cs="Times New Roman" w:eastAsia="Times New Roman" w:hint="default"/>
                <w:sz w:val="18"/>
                <w:szCs w:val="18"/>
              </w:rPr>
            </w:pPr>
            <w:r>
              <w:rPr>
                <w:rFonts w:ascii="Times New Roman"/>
                <w:spacing w:val="-1"/>
                <w:sz w:val="18"/>
              </w:rPr>
              <w:t>137,990,597.27</w:t>
            </w:r>
          </w:p>
        </w:tc>
        <w:tc>
          <w:tcPr>
            <w:tcW w:w="208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59"/>
              <w:jc w:val="right"/>
              <w:rPr>
                <w:rFonts w:ascii="Times New Roman" w:hAnsi="Times New Roman" w:cs="Times New Roman" w:eastAsia="Times New Roman" w:hint="default"/>
                <w:sz w:val="18"/>
                <w:szCs w:val="18"/>
              </w:rPr>
            </w:pPr>
            <w:r>
              <w:rPr>
                <w:rFonts w:ascii="Times New Roman"/>
                <w:spacing w:val="-1"/>
                <w:sz w:val="18"/>
              </w:rPr>
              <w:t>58,974,892.30</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22"/>
              <w:jc w:val="right"/>
              <w:rPr>
                <w:rFonts w:ascii="Times New Roman" w:hAnsi="Times New Roman" w:cs="Times New Roman" w:eastAsia="Times New Roman" w:hint="default"/>
                <w:sz w:val="18"/>
                <w:szCs w:val="18"/>
              </w:rPr>
            </w:pPr>
            <w:r>
              <w:rPr>
                <w:rFonts w:ascii="Times New Roman"/>
                <w:spacing w:val="-1"/>
                <w:sz w:val="18"/>
              </w:rPr>
              <w:t>22,541,506.24</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4"/>
              <w:jc w:val="right"/>
              <w:rPr>
                <w:rFonts w:ascii="Times New Roman" w:hAnsi="Times New Roman" w:cs="Times New Roman" w:eastAsia="Times New Roman" w:hint="default"/>
                <w:sz w:val="18"/>
                <w:szCs w:val="18"/>
              </w:rPr>
            </w:pPr>
            <w:r>
              <w:rPr>
                <w:rFonts w:ascii="Times New Roman"/>
                <w:spacing w:val="-1"/>
                <w:sz w:val="18"/>
              </w:rPr>
              <w:t>174,423,983.33</w:t>
            </w:r>
          </w:p>
        </w:tc>
      </w:tr>
      <w:tr>
        <w:trPr>
          <w:trHeight w:val="322"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1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38"/>
              <w:jc w:val="right"/>
              <w:rPr>
                <w:rFonts w:ascii="Times New Roman" w:hAnsi="Times New Roman" w:cs="Times New Roman" w:eastAsia="Times New Roman" w:hint="default"/>
                <w:sz w:val="18"/>
                <w:szCs w:val="18"/>
              </w:rPr>
            </w:pPr>
            <w:r>
              <w:rPr>
                <w:rFonts w:ascii="Times New Roman"/>
                <w:spacing w:val="-1"/>
                <w:sz w:val="18"/>
              </w:rPr>
              <w:t>5,716,196.39</w:t>
            </w:r>
          </w:p>
        </w:tc>
        <w:tc>
          <w:tcPr>
            <w:tcW w:w="208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59"/>
              <w:jc w:val="right"/>
              <w:rPr>
                <w:rFonts w:ascii="Times New Roman" w:hAnsi="Times New Roman" w:cs="Times New Roman" w:eastAsia="Times New Roman" w:hint="default"/>
                <w:sz w:val="18"/>
                <w:szCs w:val="18"/>
              </w:rPr>
            </w:pPr>
            <w:r>
              <w:rPr>
                <w:rFonts w:ascii="Times New Roman"/>
                <w:spacing w:val="-1"/>
                <w:sz w:val="18"/>
              </w:rPr>
              <w:t>2,129,681.82</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21"/>
              <w:jc w:val="right"/>
              <w:rPr>
                <w:rFonts w:ascii="Times New Roman" w:hAnsi="Times New Roman" w:cs="Times New Roman" w:eastAsia="Times New Roman" w:hint="default"/>
                <w:sz w:val="18"/>
                <w:szCs w:val="18"/>
              </w:rPr>
            </w:pPr>
            <w:r>
              <w:rPr>
                <w:rFonts w:ascii="Times New Roman"/>
                <w:sz w:val="18"/>
              </w:rPr>
              <w:t>436,214.88</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Times New Roman" w:hAnsi="Times New Roman" w:cs="Times New Roman" w:eastAsia="Times New Roman" w:hint="default"/>
                <w:sz w:val="18"/>
                <w:szCs w:val="18"/>
              </w:rPr>
            </w:pPr>
            <w:r>
              <w:rPr>
                <w:rFonts w:ascii="Times New Roman"/>
                <w:spacing w:val="-1"/>
                <w:sz w:val="18"/>
              </w:rPr>
              <w:t>7,409,663.33</w:t>
            </w:r>
          </w:p>
        </w:tc>
      </w:tr>
      <w:tr>
        <w:trPr>
          <w:trHeight w:val="355"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1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38"/>
              <w:jc w:val="right"/>
              <w:rPr>
                <w:rFonts w:ascii="Times New Roman" w:hAnsi="Times New Roman" w:cs="Times New Roman" w:eastAsia="Times New Roman" w:hint="default"/>
                <w:sz w:val="18"/>
                <w:szCs w:val="18"/>
              </w:rPr>
            </w:pPr>
            <w:r>
              <w:rPr>
                <w:rFonts w:ascii="Times New Roman"/>
                <w:spacing w:val="-1"/>
                <w:sz w:val="18"/>
              </w:rPr>
              <w:t>1,055,508.35</w:t>
            </w:r>
          </w:p>
        </w:tc>
        <w:tc>
          <w:tcPr>
            <w:tcW w:w="208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9"/>
              <w:jc w:val="right"/>
              <w:rPr>
                <w:rFonts w:ascii="Times New Roman" w:hAnsi="Times New Roman" w:cs="Times New Roman" w:eastAsia="Times New Roman" w:hint="default"/>
                <w:sz w:val="18"/>
                <w:szCs w:val="18"/>
              </w:rPr>
            </w:pPr>
            <w:r>
              <w:rPr>
                <w:rFonts w:ascii="Times New Roman"/>
                <w:sz w:val="18"/>
              </w:rPr>
              <w:t>536,876.37</w:t>
            </w:r>
          </w:p>
        </w:tc>
        <w:tc>
          <w:tcPr>
            <w:tcW w:w="1621"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pacing w:val="-1"/>
                <w:sz w:val="18"/>
              </w:rPr>
              <w:t>1,592,384.72</w:t>
            </w:r>
          </w:p>
        </w:tc>
      </w:tr>
    </w:tbl>
    <w:p>
      <w:pPr>
        <w:tabs>
          <w:tab w:pos="2784" w:val="left" w:leader="none"/>
          <w:tab w:pos="5061" w:val="left" w:leader="none"/>
          <w:tab w:pos="6973" w:val="left" w:leader="none"/>
          <w:tab w:pos="8411" w:val="left" w:leader="none"/>
        </w:tabs>
        <w:spacing w:before="18"/>
        <w:ind w:left="25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三、固定资产账面净值合计</w:t>
        <w:tab/>
      </w:r>
      <w:r>
        <w:rPr>
          <w:rFonts w:ascii="Times New Roman" w:hAnsi="Times New Roman" w:cs="Times New Roman" w:eastAsia="Times New Roman" w:hint="default"/>
          <w:spacing w:val="-1"/>
          <w:sz w:val="18"/>
          <w:szCs w:val="18"/>
        </w:rPr>
        <w:t>327,770,664.15</w:t>
        <w:tab/>
      </w:r>
      <w:r>
        <w:rPr>
          <w:rFonts w:ascii="Times New Roman" w:hAnsi="Times New Roman" w:cs="Times New Roman" w:eastAsia="Times New Roman" w:hint="default"/>
          <w:position w:val="-8"/>
          <w:sz w:val="18"/>
          <w:szCs w:val="18"/>
        </w:rPr>
        <w:t>—</w:t>
        <w:tab/>
        <w:t>—</w:t>
        <w:tab/>
      </w:r>
      <w:r>
        <w:rPr>
          <w:rFonts w:ascii="Times New Roman" w:hAnsi="Times New Roman" w:cs="Times New Roman" w:eastAsia="Times New Roman" w:hint="default"/>
          <w:spacing w:val="-1"/>
          <w:sz w:val="18"/>
          <w:szCs w:val="18"/>
        </w:rPr>
        <w:t>352,232,094.27</w:t>
      </w:r>
    </w:p>
    <w:p>
      <w:pPr>
        <w:tabs>
          <w:tab w:pos="2964" w:val="left" w:leader="none"/>
          <w:tab w:pos="5061" w:val="left" w:leader="none"/>
          <w:tab w:pos="6973" w:val="left" w:leader="none"/>
          <w:tab w:pos="8591" w:val="left" w:leader="none"/>
        </w:tabs>
        <w:spacing w:before="60"/>
        <w:ind w:left="254" w:right="0" w:firstLine="0"/>
        <w:jc w:val="left"/>
        <w:rPr>
          <w:rFonts w:ascii="Times New Roman" w:hAnsi="Times New Roman" w:cs="Times New Roman" w:eastAsia="Times New Roman" w:hint="default"/>
          <w:sz w:val="18"/>
          <w:szCs w:val="18"/>
        </w:rPr>
      </w:pPr>
      <w:r>
        <w:rPr/>
        <w:pict>
          <v:shape style="position:absolute;margin-left:48.950001pt;margin-top:21.649961pt;width:177.35pt;height:73.5pt;mso-position-horizontal-relative:page;mso-position-vertical-relative:paragraph;z-index:136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73"/>
                    <w:gridCol w:w="1973"/>
                  </w:tblGrid>
                  <w:tr>
                    <w:trPr>
                      <w:trHeight w:val="380" w:hRule="exact"/>
                    </w:trPr>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Times New Roman" w:hAnsi="Times New Roman" w:cs="Times New Roman" w:eastAsia="Times New Roman" w:hint="default"/>
                            <w:sz w:val="18"/>
                            <w:szCs w:val="18"/>
                          </w:rPr>
                        </w:pPr>
                        <w:r>
                          <w:rPr>
                            <w:rFonts w:ascii="Times New Roman"/>
                            <w:spacing w:val="-1"/>
                            <w:sz w:val="18"/>
                          </w:rPr>
                          <w:t>4,621,257.62</w:t>
                        </w:r>
                      </w:p>
                    </w:tc>
                  </w:tr>
                  <w:tr>
                    <w:trPr>
                      <w:trHeight w:val="396" w:hRule="exact"/>
                    </w:trPr>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87"/>
                          <w:ind w:left="35" w:right="0"/>
                          <w:jc w:val="left"/>
                          <w:rPr>
                            <w:rFonts w:ascii="Times New Roman" w:hAnsi="Times New Roman" w:cs="Times New Roman" w:eastAsia="Times New Roman" w:hint="default"/>
                            <w:sz w:val="18"/>
                            <w:szCs w:val="18"/>
                          </w:rPr>
                        </w:pPr>
                        <w:r>
                          <w:rPr>
                            <w:rFonts w:ascii="Times New Roman"/>
                            <w:spacing w:val="-7"/>
                            <w:sz w:val="18"/>
                          </w:rPr>
                          <w:t>ATM</w:t>
                        </w: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
                          <w:jc w:val="right"/>
                          <w:rPr>
                            <w:rFonts w:ascii="Times New Roman" w:hAnsi="Times New Roman" w:cs="Times New Roman" w:eastAsia="Times New Roman" w:hint="default"/>
                            <w:sz w:val="18"/>
                            <w:szCs w:val="18"/>
                          </w:rPr>
                        </w:pPr>
                        <w:r>
                          <w:rPr>
                            <w:rFonts w:ascii="Times New Roman"/>
                            <w:spacing w:val="-1"/>
                            <w:sz w:val="18"/>
                          </w:rPr>
                          <w:t>311,440,424.40</w:t>
                        </w:r>
                      </w:p>
                    </w:tc>
                  </w:tr>
                  <w:tr>
                    <w:trPr>
                      <w:trHeight w:val="400" w:hRule="exact"/>
                    </w:trPr>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3"/>
                          <w:jc w:val="right"/>
                          <w:rPr>
                            <w:rFonts w:ascii="Times New Roman" w:hAnsi="Times New Roman" w:cs="Times New Roman" w:eastAsia="Times New Roman" w:hint="default"/>
                            <w:sz w:val="18"/>
                            <w:szCs w:val="18"/>
                          </w:rPr>
                        </w:pPr>
                        <w:r>
                          <w:rPr>
                            <w:rFonts w:ascii="Times New Roman"/>
                            <w:spacing w:val="-1"/>
                            <w:sz w:val="18"/>
                          </w:rPr>
                          <w:t>7,386,925.82</w:t>
                        </w:r>
                      </w:p>
                    </w:tc>
                  </w:tr>
                  <w:tr>
                    <w:trPr>
                      <w:trHeight w:val="294" w:hRule="exact"/>
                    </w:trPr>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3"/>
                          <w:jc w:val="right"/>
                          <w:rPr>
                            <w:rFonts w:ascii="Times New Roman" w:hAnsi="Times New Roman" w:cs="Times New Roman" w:eastAsia="Times New Roman" w:hint="default"/>
                            <w:sz w:val="18"/>
                            <w:szCs w:val="18"/>
                          </w:rPr>
                        </w:pPr>
                        <w:r>
                          <w:rPr>
                            <w:rFonts w:ascii="Times New Roman"/>
                            <w:spacing w:val="-1"/>
                            <w:sz w:val="18"/>
                          </w:rPr>
                          <w:t>1,969,283.45</w:t>
                        </w:r>
                      </w:p>
                    </w:tc>
                  </w:tr>
                </w:tbl>
                <w:p>
                  <w:pPr/>
                </w:p>
              </w:txbxContent>
            </v:textbox>
            <w10:wrap type="none"/>
          </v:shape>
        </w:pict>
      </w:r>
      <w:r>
        <w:rPr>
          <w:rFonts w:ascii="宋体" w:hAnsi="宋体" w:cs="宋体" w:eastAsia="宋体" w:hint="default"/>
          <w:sz w:val="18"/>
          <w:szCs w:val="18"/>
        </w:rPr>
        <w:t>其中：房屋及建筑物</w:t>
        <w:tab/>
      </w:r>
      <w:r>
        <w:rPr>
          <w:rFonts w:ascii="Times New Roman" w:hAnsi="Times New Roman" w:cs="Times New Roman" w:eastAsia="Times New Roman" w:hint="default"/>
          <w:spacing w:val="-1"/>
          <w:sz w:val="18"/>
          <w:szCs w:val="18"/>
        </w:rPr>
        <w:t>2,352,772.86</w:t>
        <w:tab/>
      </w:r>
      <w:r>
        <w:rPr>
          <w:rFonts w:ascii="Times New Roman" w:hAnsi="Times New Roman" w:cs="Times New Roman" w:eastAsia="Times New Roman" w:hint="default"/>
          <w:position w:val="-8"/>
          <w:sz w:val="18"/>
          <w:szCs w:val="18"/>
        </w:rPr>
        <w:t>—</w:t>
        <w:tab/>
        <w:t>—</w:t>
        <w:tab/>
      </w:r>
      <w:r>
        <w:rPr>
          <w:rFonts w:ascii="Times New Roman" w:hAnsi="Times New Roman" w:cs="Times New Roman" w:eastAsia="Times New Roman" w:hint="default"/>
          <w:spacing w:val="-1"/>
          <w:sz w:val="18"/>
          <w:szCs w:val="18"/>
        </w:rPr>
        <w:t>2,157,089.58</w:t>
      </w:r>
    </w:p>
    <w:p>
      <w:pPr>
        <w:tabs>
          <w:tab w:pos="6973" w:val="left" w:leader="none"/>
          <w:tab w:pos="8591" w:val="left" w:leader="none"/>
        </w:tabs>
        <w:spacing w:before="100"/>
        <w:ind w:left="506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8"/>
          <w:sz w:val="18"/>
          <w:szCs w:val="18"/>
        </w:rPr>
        <w:t>—</w:t>
        <w:tab/>
        <w:t>—</w:t>
        <w:tab/>
      </w:r>
      <w:r>
        <w:rPr>
          <w:rFonts w:ascii="Times New Roman" w:hAnsi="Times New Roman" w:cs="Times New Roman" w:eastAsia="Times New Roman" w:hint="default"/>
          <w:sz w:val="18"/>
          <w:szCs w:val="18"/>
        </w:rPr>
        <w:t>3,818,900.28</w:t>
      </w:r>
    </w:p>
    <w:p>
      <w:pPr>
        <w:tabs>
          <w:tab w:pos="6973" w:val="left" w:leader="none"/>
          <w:tab w:pos="8411" w:val="left" w:leader="none"/>
        </w:tabs>
        <w:spacing w:before="104"/>
        <w:ind w:left="506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8"/>
          <w:sz w:val="18"/>
          <w:szCs w:val="18"/>
        </w:rPr>
        <w:t>—</w:t>
        <w:tab/>
        <w:t>—</w:t>
        <w:tab/>
      </w:r>
      <w:r>
        <w:rPr>
          <w:rFonts w:ascii="Times New Roman" w:hAnsi="Times New Roman" w:cs="Times New Roman" w:eastAsia="Times New Roman" w:hint="default"/>
          <w:sz w:val="18"/>
          <w:szCs w:val="18"/>
        </w:rPr>
        <w:t>336,299,276.44</w:t>
      </w:r>
    </w:p>
    <w:p>
      <w:pPr>
        <w:tabs>
          <w:tab w:pos="6973" w:val="left" w:leader="none"/>
          <w:tab w:pos="8591" w:val="left" w:leader="none"/>
        </w:tabs>
        <w:spacing w:before="102"/>
        <w:ind w:left="506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8"/>
          <w:sz w:val="18"/>
          <w:szCs w:val="18"/>
        </w:rPr>
        <w:t>—</w:t>
        <w:tab/>
        <w:t>—</w:t>
        <w:tab/>
      </w:r>
      <w:r>
        <w:rPr>
          <w:rFonts w:ascii="Times New Roman" w:hAnsi="Times New Roman" w:cs="Times New Roman" w:eastAsia="Times New Roman" w:hint="default"/>
          <w:sz w:val="18"/>
          <w:szCs w:val="18"/>
        </w:rPr>
        <w:t>7,980,493.89</w:t>
      </w:r>
    </w:p>
    <w:p>
      <w:pPr>
        <w:tabs>
          <w:tab w:pos="6973" w:val="left" w:leader="none"/>
          <w:tab w:pos="8591" w:val="left" w:leader="none"/>
        </w:tabs>
        <w:spacing w:before="102"/>
        <w:ind w:left="506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8"/>
          <w:sz w:val="18"/>
          <w:szCs w:val="18"/>
        </w:rPr>
        <w:t>—</w:t>
        <w:tab/>
        <w:t>—</w:t>
        <w:tab/>
      </w:r>
      <w:r>
        <w:rPr>
          <w:rFonts w:ascii="Times New Roman" w:hAnsi="Times New Roman" w:cs="Times New Roman" w:eastAsia="Times New Roman" w:hint="default"/>
          <w:sz w:val="18"/>
          <w:szCs w:val="18"/>
        </w:rPr>
        <w:t>1,976,334.08</w:t>
      </w:r>
    </w:p>
    <w:p>
      <w:pPr>
        <w:tabs>
          <w:tab w:pos="5061" w:val="left" w:leader="none"/>
          <w:tab w:pos="6973" w:val="left" w:leader="none"/>
        </w:tabs>
        <w:spacing w:before="64"/>
        <w:ind w:left="25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四、减值准备合计</w:t>
        <w:tab/>
      </w:r>
      <w:r>
        <w:rPr>
          <w:rFonts w:ascii="Times New Roman" w:hAnsi="Times New Roman" w:cs="Times New Roman" w:eastAsia="Times New Roman" w:hint="default"/>
          <w:position w:val="-8"/>
          <w:sz w:val="18"/>
          <w:szCs w:val="18"/>
        </w:rPr>
        <w:t>—</w:t>
        <w:tab/>
        <w:t>—</w:t>
      </w:r>
      <w:r>
        <w:rPr>
          <w:rFonts w:ascii="Times New Roman" w:hAnsi="Times New Roman" w:cs="Times New Roman" w:eastAsia="Times New Roman" w:hint="default"/>
          <w:sz w:val="18"/>
          <w:szCs w:val="18"/>
        </w:rPr>
      </w:r>
    </w:p>
    <w:p>
      <w:pPr>
        <w:tabs>
          <w:tab w:pos="5061" w:val="left" w:leader="none"/>
          <w:tab w:pos="6973" w:val="left" w:leader="none"/>
        </w:tabs>
        <w:spacing w:before="60"/>
        <w:ind w:left="25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其中：房屋及建筑物</w:t>
        <w:tab/>
      </w:r>
      <w:r>
        <w:rPr>
          <w:rFonts w:ascii="Times New Roman" w:hAnsi="Times New Roman" w:cs="Times New Roman" w:eastAsia="Times New Roman" w:hint="default"/>
          <w:position w:val="-8"/>
          <w:sz w:val="18"/>
          <w:szCs w:val="18"/>
        </w:rPr>
        <w:t>—</w:t>
        <w:tab/>
        <w:t>—</w:t>
      </w:r>
      <w:r>
        <w:rPr>
          <w:rFonts w:ascii="Times New Roman" w:hAnsi="Times New Roman" w:cs="Times New Roman" w:eastAsia="Times New Roman" w:hint="default"/>
          <w:sz w:val="18"/>
          <w:szCs w:val="18"/>
        </w:rPr>
      </w:r>
    </w:p>
    <w:p>
      <w:pPr>
        <w:tabs>
          <w:tab w:pos="4627" w:val="left" w:leader="none"/>
          <w:tab w:pos="6539" w:val="left" w:leader="none"/>
        </w:tabs>
        <w:spacing w:before="60"/>
        <w:ind w:left="0" w:right="2194" w:firstLine="0"/>
        <w:jc w:val="center"/>
        <w:rPr>
          <w:rFonts w:ascii="Times New Roman" w:hAnsi="Times New Roman" w:cs="Times New Roman" w:eastAsia="Times New Roman" w:hint="default"/>
          <w:sz w:val="18"/>
          <w:szCs w:val="18"/>
        </w:rPr>
      </w:pPr>
      <w:r>
        <w:rPr>
          <w:rFonts w:ascii="宋体" w:hAnsi="宋体" w:cs="宋体" w:eastAsia="宋体" w:hint="default"/>
          <w:sz w:val="18"/>
          <w:szCs w:val="18"/>
        </w:rPr>
        <w:t>机器设备</w:t>
        <w:tab/>
      </w:r>
      <w:r>
        <w:rPr>
          <w:rFonts w:ascii="Times New Roman" w:hAnsi="Times New Roman" w:cs="Times New Roman" w:eastAsia="Times New Roman" w:hint="default"/>
          <w:position w:val="-8"/>
          <w:sz w:val="18"/>
          <w:szCs w:val="18"/>
        </w:rPr>
        <w:t>—</w:t>
        <w:tab/>
        <w:t>—</w:t>
      </w:r>
      <w:r>
        <w:rPr>
          <w:rFonts w:ascii="Times New Roman" w:hAnsi="Times New Roman" w:cs="Times New Roman" w:eastAsia="Times New Roman" w:hint="default"/>
          <w:sz w:val="18"/>
          <w:szCs w:val="18"/>
        </w:rPr>
      </w:r>
    </w:p>
    <w:p>
      <w:pPr>
        <w:tabs>
          <w:tab w:pos="4627" w:val="left" w:leader="none"/>
          <w:tab w:pos="6539" w:val="left" w:leader="none"/>
        </w:tabs>
        <w:spacing w:before="101"/>
        <w:ind w:left="0" w:right="2194" w:firstLine="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pacing w:val="-7"/>
          <w:w w:val="95"/>
          <w:sz w:val="18"/>
          <w:szCs w:val="18"/>
        </w:rPr>
        <w:t>ATM</w:t>
        <w:tab/>
      </w:r>
      <w:r>
        <w:rPr>
          <w:rFonts w:ascii="Times New Roman" w:hAnsi="Times New Roman" w:cs="Times New Roman" w:eastAsia="Times New Roman" w:hint="default"/>
          <w:position w:val="-8"/>
          <w:sz w:val="18"/>
          <w:szCs w:val="18"/>
        </w:rPr>
        <w:t>—</w:t>
        <w:tab/>
        <w:t>—</w:t>
      </w:r>
      <w:r>
        <w:rPr>
          <w:rFonts w:ascii="Times New Roman" w:hAnsi="Times New Roman" w:cs="Times New Roman" w:eastAsia="Times New Roman" w:hint="default"/>
          <w:sz w:val="18"/>
          <w:szCs w:val="18"/>
        </w:rPr>
      </w:r>
    </w:p>
    <w:p>
      <w:pPr>
        <w:tabs>
          <w:tab w:pos="4627" w:val="left" w:leader="none"/>
          <w:tab w:pos="6539" w:val="left" w:leader="none"/>
        </w:tabs>
        <w:spacing w:before="63"/>
        <w:ind w:left="0" w:right="2194" w:firstLine="0"/>
        <w:jc w:val="center"/>
        <w:rPr>
          <w:rFonts w:ascii="Times New Roman" w:hAnsi="Times New Roman" w:cs="Times New Roman" w:eastAsia="Times New Roman" w:hint="default"/>
          <w:sz w:val="18"/>
          <w:szCs w:val="18"/>
        </w:rPr>
      </w:pPr>
      <w:r>
        <w:rPr>
          <w:rFonts w:ascii="宋体" w:hAnsi="宋体" w:cs="宋体" w:eastAsia="宋体" w:hint="default"/>
          <w:sz w:val="18"/>
          <w:szCs w:val="18"/>
        </w:rPr>
        <w:t>运输设备</w:t>
        <w:tab/>
      </w:r>
      <w:r>
        <w:rPr>
          <w:rFonts w:ascii="Times New Roman" w:hAnsi="Times New Roman" w:cs="Times New Roman" w:eastAsia="Times New Roman" w:hint="default"/>
          <w:position w:val="-8"/>
          <w:sz w:val="18"/>
          <w:szCs w:val="18"/>
        </w:rPr>
        <w:t>—</w:t>
        <w:tab/>
        <w:t>—</w:t>
      </w:r>
      <w:r>
        <w:rPr>
          <w:rFonts w:ascii="Times New Roman" w:hAnsi="Times New Roman" w:cs="Times New Roman" w:eastAsia="Times New Roman" w:hint="default"/>
          <w:sz w:val="18"/>
          <w:szCs w:val="18"/>
        </w:rPr>
      </w:r>
    </w:p>
    <w:p>
      <w:pPr>
        <w:tabs>
          <w:tab w:pos="4627" w:val="left" w:leader="none"/>
          <w:tab w:pos="6539" w:val="left" w:leader="none"/>
        </w:tabs>
        <w:spacing w:before="60"/>
        <w:ind w:left="0" w:right="2194" w:firstLine="0"/>
        <w:jc w:val="center"/>
        <w:rPr>
          <w:rFonts w:ascii="Times New Roman" w:hAnsi="Times New Roman" w:cs="Times New Roman" w:eastAsia="Times New Roman" w:hint="default"/>
          <w:sz w:val="18"/>
          <w:szCs w:val="18"/>
        </w:rPr>
      </w:pPr>
      <w:r>
        <w:rPr>
          <w:rFonts w:ascii="宋体" w:hAnsi="宋体" w:cs="宋体" w:eastAsia="宋体" w:hint="default"/>
          <w:sz w:val="18"/>
          <w:szCs w:val="18"/>
        </w:rPr>
        <w:t>其他设备</w:t>
        <w:tab/>
      </w:r>
      <w:r>
        <w:rPr>
          <w:rFonts w:ascii="Times New Roman" w:hAnsi="Times New Roman" w:cs="Times New Roman" w:eastAsia="Times New Roman" w:hint="default"/>
          <w:position w:val="-8"/>
          <w:sz w:val="18"/>
          <w:szCs w:val="18"/>
        </w:rPr>
        <w:t>—</w:t>
        <w:tab/>
        <w:t>—</w:t>
      </w:r>
      <w:r>
        <w:rPr>
          <w:rFonts w:ascii="Times New Roman" w:hAnsi="Times New Roman" w:cs="Times New Roman" w:eastAsia="Times New Roman" w:hint="default"/>
          <w:sz w:val="18"/>
          <w:szCs w:val="18"/>
        </w:rPr>
      </w:r>
    </w:p>
    <w:p>
      <w:pPr>
        <w:tabs>
          <w:tab w:pos="2784" w:val="left" w:leader="none"/>
          <w:tab w:pos="5061" w:val="left" w:leader="none"/>
          <w:tab w:pos="6973" w:val="left" w:leader="none"/>
          <w:tab w:pos="8411" w:val="left" w:leader="none"/>
        </w:tabs>
        <w:spacing w:before="61"/>
        <w:ind w:left="25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五、固定资产账面价值合计</w:t>
        <w:tab/>
      </w:r>
      <w:r>
        <w:rPr>
          <w:rFonts w:ascii="Times New Roman" w:hAnsi="Times New Roman" w:cs="Times New Roman" w:eastAsia="Times New Roman" w:hint="default"/>
          <w:spacing w:val="-1"/>
          <w:sz w:val="18"/>
          <w:szCs w:val="18"/>
        </w:rPr>
        <w:t>327,770,664.15</w:t>
        <w:tab/>
      </w:r>
      <w:r>
        <w:rPr>
          <w:rFonts w:ascii="Times New Roman" w:hAnsi="Times New Roman" w:cs="Times New Roman" w:eastAsia="Times New Roman" w:hint="default"/>
          <w:position w:val="-8"/>
          <w:sz w:val="18"/>
          <w:szCs w:val="18"/>
        </w:rPr>
        <w:t>—</w:t>
        <w:tab/>
        <w:t>—</w:t>
        <w:tab/>
      </w:r>
      <w:r>
        <w:rPr>
          <w:rFonts w:ascii="Times New Roman" w:hAnsi="Times New Roman" w:cs="Times New Roman" w:eastAsia="Times New Roman" w:hint="default"/>
          <w:spacing w:val="-1"/>
          <w:sz w:val="18"/>
          <w:szCs w:val="18"/>
        </w:rPr>
        <w:t>352,232,094.27</w:t>
      </w:r>
    </w:p>
    <w:p>
      <w:pPr>
        <w:tabs>
          <w:tab w:pos="2964" w:val="left" w:leader="none"/>
          <w:tab w:pos="5061" w:val="left" w:leader="none"/>
          <w:tab w:pos="6973" w:val="left" w:leader="none"/>
          <w:tab w:pos="8591" w:val="left" w:leader="none"/>
        </w:tabs>
        <w:spacing w:before="60"/>
        <w:ind w:left="254" w:right="0" w:firstLine="0"/>
        <w:jc w:val="left"/>
        <w:rPr>
          <w:rFonts w:ascii="Times New Roman" w:hAnsi="Times New Roman" w:cs="Times New Roman" w:eastAsia="Times New Roman" w:hint="default"/>
          <w:sz w:val="18"/>
          <w:szCs w:val="18"/>
        </w:rPr>
      </w:pPr>
      <w:r>
        <w:rPr/>
        <w:pict>
          <v:shape style="position:absolute;margin-left:48.950001pt;margin-top:21.649961pt;width:177.35pt;height:79.150pt;mso-position-horizontal-relative:page;mso-position-vertical-relative:paragraph;z-index:136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73"/>
                    <w:gridCol w:w="1973"/>
                  </w:tblGrid>
                  <w:tr>
                    <w:trPr>
                      <w:trHeight w:val="380" w:hRule="exact"/>
                    </w:trPr>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Times New Roman" w:hAnsi="Times New Roman" w:cs="Times New Roman" w:eastAsia="Times New Roman" w:hint="default"/>
                            <w:sz w:val="18"/>
                            <w:szCs w:val="18"/>
                          </w:rPr>
                        </w:pPr>
                        <w:r>
                          <w:rPr>
                            <w:rFonts w:ascii="Times New Roman"/>
                            <w:spacing w:val="-1"/>
                            <w:sz w:val="18"/>
                          </w:rPr>
                          <w:t>4,621,257.62</w:t>
                        </w:r>
                      </w:p>
                    </w:tc>
                  </w:tr>
                  <w:tr>
                    <w:trPr>
                      <w:trHeight w:val="396" w:hRule="exact"/>
                    </w:trPr>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87"/>
                          <w:ind w:left="35" w:right="0"/>
                          <w:jc w:val="left"/>
                          <w:rPr>
                            <w:rFonts w:ascii="Times New Roman" w:hAnsi="Times New Roman" w:cs="Times New Roman" w:eastAsia="Times New Roman" w:hint="default"/>
                            <w:sz w:val="18"/>
                            <w:szCs w:val="18"/>
                          </w:rPr>
                        </w:pPr>
                        <w:r>
                          <w:rPr>
                            <w:rFonts w:ascii="Times New Roman"/>
                            <w:spacing w:val="-7"/>
                            <w:sz w:val="18"/>
                          </w:rPr>
                          <w:t>ATM</w:t>
                        </w: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
                          <w:jc w:val="right"/>
                          <w:rPr>
                            <w:rFonts w:ascii="Times New Roman" w:hAnsi="Times New Roman" w:cs="Times New Roman" w:eastAsia="Times New Roman" w:hint="default"/>
                            <w:sz w:val="18"/>
                            <w:szCs w:val="18"/>
                          </w:rPr>
                        </w:pPr>
                        <w:r>
                          <w:rPr>
                            <w:rFonts w:ascii="Times New Roman"/>
                            <w:spacing w:val="-1"/>
                            <w:sz w:val="18"/>
                          </w:rPr>
                          <w:t>311,440,424.40</w:t>
                        </w:r>
                      </w:p>
                    </w:tc>
                  </w:tr>
                  <w:tr>
                    <w:trPr>
                      <w:trHeight w:val="400" w:hRule="exact"/>
                    </w:trPr>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3"/>
                          <w:jc w:val="right"/>
                          <w:rPr>
                            <w:rFonts w:ascii="Times New Roman" w:hAnsi="Times New Roman" w:cs="Times New Roman" w:eastAsia="Times New Roman" w:hint="default"/>
                            <w:sz w:val="18"/>
                            <w:szCs w:val="18"/>
                          </w:rPr>
                        </w:pPr>
                        <w:r>
                          <w:rPr>
                            <w:rFonts w:ascii="Times New Roman"/>
                            <w:spacing w:val="-1"/>
                            <w:sz w:val="18"/>
                          </w:rPr>
                          <w:t>7,386,925.82</w:t>
                        </w:r>
                      </w:p>
                    </w:tc>
                  </w:tr>
                  <w:tr>
                    <w:trPr>
                      <w:trHeight w:val="407" w:hRule="exact"/>
                    </w:trPr>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3"/>
                          <w:jc w:val="right"/>
                          <w:rPr>
                            <w:rFonts w:ascii="Times New Roman" w:hAnsi="Times New Roman" w:cs="Times New Roman" w:eastAsia="Times New Roman" w:hint="default"/>
                            <w:sz w:val="18"/>
                            <w:szCs w:val="18"/>
                          </w:rPr>
                        </w:pPr>
                        <w:r>
                          <w:rPr>
                            <w:rFonts w:ascii="Times New Roman"/>
                            <w:spacing w:val="-1"/>
                            <w:sz w:val="18"/>
                          </w:rPr>
                          <w:t>1,969,283.45</w:t>
                        </w:r>
                      </w:p>
                    </w:tc>
                  </w:tr>
                </w:tbl>
                <w:p>
                  <w:pPr/>
                </w:p>
              </w:txbxContent>
            </v:textbox>
            <w10:wrap type="none"/>
          </v:shape>
        </w:pict>
      </w:r>
      <w:r>
        <w:rPr>
          <w:rFonts w:ascii="宋体" w:hAnsi="宋体" w:cs="宋体" w:eastAsia="宋体" w:hint="default"/>
          <w:sz w:val="18"/>
          <w:szCs w:val="18"/>
        </w:rPr>
        <w:t>其中：房屋及建筑物</w:t>
        <w:tab/>
      </w:r>
      <w:r>
        <w:rPr>
          <w:rFonts w:ascii="Times New Roman" w:hAnsi="Times New Roman" w:cs="Times New Roman" w:eastAsia="Times New Roman" w:hint="default"/>
          <w:spacing w:val="-1"/>
          <w:sz w:val="18"/>
          <w:szCs w:val="18"/>
        </w:rPr>
        <w:t>2,352,772.86</w:t>
        <w:tab/>
      </w:r>
      <w:r>
        <w:rPr>
          <w:rFonts w:ascii="Times New Roman" w:hAnsi="Times New Roman" w:cs="Times New Roman" w:eastAsia="Times New Roman" w:hint="default"/>
          <w:position w:val="-8"/>
          <w:sz w:val="18"/>
          <w:szCs w:val="18"/>
        </w:rPr>
        <w:t>—</w:t>
        <w:tab/>
        <w:t>—</w:t>
        <w:tab/>
      </w:r>
      <w:r>
        <w:rPr>
          <w:rFonts w:ascii="Times New Roman" w:hAnsi="Times New Roman" w:cs="Times New Roman" w:eastAsia="Times New Roman" w:hint="default"/>
          <w:spacing w:val="-1"/>
          <w:sz w:val="18"/>
          <w:szCs w:val="18"/>
        </w:rPr>
        <w:t>2,157,089.58</w:t>
      </w:r>
    </w:p>
    <w:p>
      <w:pPr>
        <w:tabs>
          <w:tab w:pos="6973" w:val="left" w:leader="none"/>
          <w:tab w:pos="8591" w:val="left" w:leader="none"/>
        </w:tabs>
        <w:spacing w:before="100"/>
        <w:ind w:left="506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8"/>
          <w:sz w:val="18"/>
          <w:szCs w:val="18"/>
        </w:rPr>
        <w:t>—</w:t>
        <w:tab/>
        <w:t>—</w:t>
        <w:tab/>
      </w:r>
      <w:r>
        <w:rPr>
          <w:rFonts w:ascii="Times New Roman" w:hAnsi="Times New Roman" w:cs="Times New Roman" w:eastAsia="Times New Roman" w:hint="default"/>
          <w:sz w:val="18"/>
          <w:szCs w:val="18"/>
        </w:rPr>
        <w:t>3,818,900.28</w:t>
      </w:r>
    </w:p>
    <w:p>
      <w:pPr>
        <w:tabs>
          <w:tab w:pos="6973" w:val="left" w:leader="none"/>
          <w:tab w:pos="8411" w:val="left" w:leader="none"/>
        </w:tabs>
        <w:spacing w:before="104"/>
        <w:ind w:left="506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8"/>
          <w:sz w:val="18"/>
          <w:szCs w:val="18"/>
        </w:rPr>
        <w:t>—</w:t>
        <w:tab/>
        <w:t>—</w:t>
        <w:tab/>
      </w:r>
      <w:r>
        <w:rPr>
          <w:rFonts w:ascii="Times New Roman" w:hAnsi="Times New Roman" w:cs="Times New Roman" w:eastAsia="Times New Roman" w:hint="default"/>
          <w:sz w:val="18"/>
          <w:szCs w:val="18"/>
        </w:rPr>
        <w:t>336,299,276.44</w:t>
      </w:r>
    </w:p>
    <w:p>
      <w:pPr>
        <w:tabs>
          <w:tab w:pos="6973" w:val="left" w:leader="none"/>
          <w:tab w:pos="8591" w:val="left" w:leader="none"/>
        </w:tabs>
        <w:spacing w:before="102"/>
        <w:ind w:left="506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8"/>
          <w:sz w:val="18"/>
          <w:szCs w:val="18"/>
        </w:rPr>
        <w:t>—</w:t>
        <w:tab/>
        <w:t>—</w:t>
        <w:tab/>
      </w:r>
      <w:r>
        <w:rPr>
          <w:rFonts w:ascii="Times New Roman" w:hAnsi="Times New Roman" w:cs="Times New Roman" w:eastAsia="Times New Roman" w:hint="default"/>
          <w:sz w:val="18"/>
          <w:szCs w:val="18"/>
        </w:rPr>
        <w:t>7,980,493.89</w:t>
      </w:r>
    </w:p>
    <w:p>
      <w:pPr>
        <w:tabs>
          <w:tab w:pos="6973" w:val="left" w:leader="none"/>
          <w:tab w:pos="8591" w:val="left" w:leader="none"/>
        </w:tabs>
        <w:spacing w:before="102"/>
        <w:ind w:left="5061"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8"/>
          <w:sz w:val="18"/>
          <w:szCs w:val="18"/>
        </w:rPr>
        <w:t>—</w:t>
        <w:tab/>
        <w:t>—</w:t>
        <w:tab/>
      </w:r>
      <w:r>
        <w:rPr>
          <w:rFonts w:ascii="Times New Roman" w:hAnsi="Times New Roman" w:cs="Times New Roman" w:eastAsia="Times New Roman" w:hint="default"/>
          <w:sz w:val="18"/>
          <w:szCs w:val="18"/>
        </w:rPr>
        <w:t>1,976,334.08</w:t>
      </w:r>
    </w:p>
    <w:p>
      <w:pPr>
        <w:spacing w:before="127"/>
        <w:ind w:left="1430" w:right="0" w:firstLine="0"/>
        <w:jc w:val="left"/>
        <w:rPr>
          <w:rFonts w:ascii="宋体" w:hAnsi="宋体" w:cs="宋体" w:eastAsia="宋体" w:hint="default"/>
          <w:sz w:val="21"/>
          <w:szCs w:val="21"/>
        </w:rPr>
      </w:pPr>
      <w:r>
        <w:rPr>
          <w:rFonts w:ascii="宋体" w:hAnsi="宋体" w:cs="宋体" w:eastAsia="宋体" w:hint="default"/>
          <w:sz w:val="21"/>
          <w:szCs w:val="21"/>
        </w:rPr>
        <w:t>本期折旧额</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63,284,450.91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p>
    <w:p>
      <w:pPr>
        <w:spacing w:before="109"/>
        <w:ind w:left="1430" w:right="0" w:firstLine="0"/>
        <w:jc w:val="left"/>
        <w:rPr>
          <w:rFonts w:ascii="宋体" w:hAnsi="宋体" w:cs="宋体" w:eastAsia="宋体" w:hint="default"/>
          <w:sz w:val="21"/>
          <w:szCs w:val="21"/>
        </w:rPr>
      </w:pPr>
      <w:r>
        <w:rPr>
          <w:rFonts w:ascii="宋体" w:hAnsi="宋体" w:cs="宋体" w:eastAsia="宋体" w:hint="default"/>
          <w:sz w:val="21"/>
          <w:szCs w:val="21"/>
        </w:rPr>
        <w:t>本期由在建工程转入固定资产原价为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83,187,571.30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before="110"/>
        <w:ind w:left="1430" w:right="0" w:firstLine="0"/>
        <w:jc w:val="left"/>
        <w:rPr>
          <w:rFonts w:ascii="宋体" w:hAnsi="宋体" w:cs="宋体" w:eastAsia="宋体" w:hint="default"/>
          <w:sz w:val="21"/>
          <w:szCs w:val="21"/>
        </w:rPr>
      </w:pPr>
      <w:r>
        <w:rPr>
          <w:rFonts w:ascii="宋体" w:hAnsi="宋体" w:cs="宋体" w:eastAsia="宋体" w:hint="default"/>
          <w:spacing w:val="18"/>
          <w:sz w:val="21"/>
          <w:szCs w:val="21"/>
        </w:rPr>
        <w:t>期末用于抵押的固定资产账面价值为 </w:t>
      </w:r>
      <w:r>
        <w:rPr>
          <w:rFonts w:ascii="Times New Roman" w:hAnsi="Times New Roman" w:cs="Times New Roman" w:eastAsia="Times New Roman" w:hint="default"/>
          <w:sz w:val="21"/>
          <w:szCs w:val="21"/>
        </w:rPr>
        <w:t>34,178,207.25  </w:t>
      </w:r>
      <w:r>
        <w:rPr>
          <w:rFonts w:ascii="宋体" w:hAnsi="宋体" w:cs="宋体" w:eastAsia="宋体" w:hint="default"/>
          <w:spacing w:val="15"/>
          <w:sz w:val="21"/>
          <w:szCs w:val="21"/>
        </w:rPr>
        <w:t>元，其中： </w:t>
      </w:r>
      <w:r>
        <w:rPr>
          <w:rFonts w:ascii="Times New Roman" w:hAnsi="Times New Roman" w:cs="Times New Roman" w:eastAsia="Times New Roman" w:hint="default"/>
          <w:spacing w:val="-8"/>
          <w:sz w:val="21"/>
          <w:szCs w:val="21"/>
        </w:rPr>
        <w:t>ATM    </w:t>
      </w:r>
      <w:r>
        <w:rPr>
          <w:rFonts w:ascii="宋体" w:hAnsi="宋体" w:cs="宋体" w:eastAsia="宋体" w:hint="default"/>
          <w:spacing w:val="16"/>
          <w:sz w:val="21"/>
          <w:szCs w:val="21"/>
        </w:rPr>
        <w:t>账面价值为</w:t>
      </w:r>
      <w:r>
        <w:rPr>
          <w:rFonts w:ascii="宋体" w:hAnsi="宋体" w:cs="宋体" w:eastAsia="宋体" w:hint="default"/>
          <w:spacing w:val="-84"/>
          <w:sz w:val="21"/>
          <w:szCs w:val="21"/>
        </w:rPr>
        <w:t> </w:t>
      </w:r>
      <w:r>
        <w:rPr>
          <w:rFonts w:ascii="宋体" w:hAnsi="宋体" w:cs="宋体" w:eastAsia="宋体" w:hint="default"/>
          <w:sz w:val="21"/>
          <w:szCs w:val="21"/>
        </w:rPr>
      </w:r>
    </w:p>
    <w:p>
      <w:pPr>
        <w:spacing w:after="0"/>
        <w:jc w:val="left"/>
        <w:rPr>
          <w:rFonts w:ascii="宋体" w:hAnsi="宋体" w:cs="宋体" w:eastAsia="宋体" w:hint="default"/>
          <w:sz w:val="21"/>
          <w:szCs w:val="21"/>
        </w:rPr>
        <w:sectPr>
          <w:footerReference w:type="default" r:id="rId153"/>
          <w:pgSz w:w="11910" w:h="16840"/>
          <w:pgMar w:footer="1256" w:header="0" w:top="1060" w:bottom="1440" w:left="580" w:right="1540"/>
          <w:pgNumType w:start="131"/>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spacing w:before="0"/>
        <w:ind w:left="224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32</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8</w:t>
      </w:r>
      <w:r>
        <w:rPr>
          <w:rFonts w:ascii="Times New Roman" w:hAnsi="Times New Roman" w:cs="Times New Roman" w:eastAsia="Times New Roman" w:hint="default"/>
          <w:sz w:val="21"/>
          <w:szCs w:val="21"/>
        </w:rPr>
        <w:t>7 </w:t>
      </w:r>
      <w:r>
        <w:rPr>
          <w:rFonts w:ascii="宋体" w:hAnsi="宋体" w:cs="宋体" w:eastAsia="宋体" w:hint="default"/>
          <w:sz w:val="21"/>
          <w:szCs w:val="21"/>
        </w:rPr>
        <w:t>元</w:t>
      </w:r>
      <w:r>
        <w:rPr>
          <w:rFonts w:ascii="宋体" w:hAnsi="宋体" w:cs="宋体" w:eastAsia="宋体" w:hint="default"/>
          <w:spacing w:val="-39"/>
          <w:sz w:val="21"/>
          <w:szCs w:val="21"/>
        </w:rPr>
        <w:t>，</w:t>
      </w:r>
      <w:r>
        <w:rPr>
          <w:rFonts w:ascii="宋体" w:hAnsi="宋体" w:cs="宋体" w:eastAsia="宋体" w:hint="default"/>
          <w:sz w:val="21"/>
          <w:szCs w:val="21"/>
        </w:rPr>
        <w:t>房屋</w:t>
      </w:r>
      <w:r>
        <w:rPr>
          <w:rFonts w:ascii="宋体" w:hAnsi="宋体" w:cs="宋体" w:eastAsia="宋体" w:hint="default"/>
          <w:spacing w:val="-2"/>
          <w:sz w:val="21"/>
          <w:szCs w:val="21"/>
        </w:rPr>
        <w:t>及</w:t>
      </w:r>
      <w:r>
        <w:rPr>
          <w:rFonts w:ascii="宋体" w:hAnsi="宋体" w:cs="宋体" w:eastAsia="宋体" w:hint="default"/>
          <w:sz w:val="21"/>
          <w:szCs w:val="21"/>
        </w:rPr>
        <w:t>建筑物为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55</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8</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38 </w:t>
      </w:r>
      <w:r>
        <w:rPr>
          <w:rFonts w:ascii="宋体" w:hAnsi="宋体" w:cs="宋体" w:eastAsia="宋体" w:hint="default"/>
          <w:spacing w:val="-2"/>
          <w:sz w:val="21"/>
          <w:szCs w:val="21"/>
        </w:rPr>
        <w:t>元</w:t>
      </w:r>
      <w:r>
        <w:rPr>
          <w:rFonts w:ascii="宋体" w:hAnsi="宋体" w:cs="宋体" w:eastAsia="宋体" w:hint="default"/>
          <w:spacing w:val="-39"/>
          <w:sz w:val="21"/>
          <w:szCs w:val="21"/>
        </w:rPr>
        <w:t>，</w:t>
      </w:r>
      <w:r>
        <w:rPr>
          <w:rFonts w:ascii="宋体" w:hAnsi="宋体" w:cs="宋体" w:eastAsia="宋体" w:hint="default"/>
          <w:sz w:val="21"/>
          <w:szCs w:val="21"/>
        </w:rPr>
        <w:t>详见附注五</w:t>
      </w:r>
      <w:r>
        <w:rPr>
          <w:rFonts w:ascii="宋体" w:hAnsi="宋体" w:cs="宋体" w:eastAsia="宋体" w:hint="default"/>
          <w:spacing w:val="-143"/>
          <w:sz w:val="21"/>
          <w:szCs w:val="21"/>
        </w:rPr>
        <w:t>、</w:t>
      </w:r>
      <w:r>
        <w:rPr>
          <w:rFonts w:ascii="宋体" w:hAnsi="宋体" w:cs="宋体" w:eastAsia="宋体" w:hint="default"/>
          <w:sz w:val="21"/>
          <w:szCs w:val="21"/>
        </w:rPr>
        <w:t>（十七</w:t>
      </w:r>
      <w:r>
        <w:rPr>
          <w:rFonts w:ascii="宋体" w:hAnsi="宋体" w:cs="宋体" w:eastAsia="宋体" w:hint="default"/>
          <w:spacing w:val="-39"/>
          <w:sz w:val="21"/>
          <w:szCs w:val="21"/>
        </w:rPr>
        <w:t>）</w:t>
      </w:r>
      <w:r>
        <w:rPr>
          <w:rFonts w:ascii="宋体" w:hAnsi="宋体" w:cs="宋体" w:eastAsia="宋体" w:hint="default"/>
          <w:spacing w:val="-2"/>
          <w:sz w:val="21"/>
          <w:szCs w:val="21"/>
        </w:rPr>
        <w:t>短</w:t>
      </w:r>
      <w:r>
        <w:rPr>
          <w:rFonts w:ascii="宋体" w:hAnsi="宋体" w:cs="宋体" w:eastAsia="宋体" w:hint="default"/>
          <w:sz w:val="21"/>
          <w:szCs w:val="21"/>
        </w:rPr>
        <w:t>期借款。</w:t>
      </w:r>
    </w:p>
    <w:p>
      <w:pPr>
        <w:tabs>
          <w:tab w:pos="2248" w:val="left" w:leader="none"/>
        </w:tabs>
        <w:spacing w:before="109"/>
        <w:ind w:left="1710"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本期末无暂时闲置的固定资产。</w:t>
      </w:r>
      <w:r>
        <w:rPr>
          <w:rFonts w:ascii="宋体" w:hAnsi="宋体" w:cs="宋体" w:eastAsia="宋体" w:hint="default"/>
          <w:sz w:val="21"/>
          <w:szCs w:val="21"/>
        </w:rPr>
      </w:r>
    </w:p>
    <w:p>
      <w:pPr>
        <w:tabs>
          <w:tab w:pos="2248" w:val="left" w:leader="none"/>
        </w:tabs>
        <w:spacing w:before="110"/>
        <w:ind w:left="1710"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报告期内不存在通过融资租赁租入的固定资产。</w:t>
      </w:r>
      <w:r>
        <w:rPr>
          <w:rFonts w:ascii="宋体" w:hAnsi="宋体" w:cs="宋体" w:eastAsia="宋体" w:hint="default"/>
          <w:sz w:val="21"/>
          <w:szCs w:val="21"/>
        </w:rPr>
      </w:r>
    </w:p>
    <w:p>
      <w:pPr>
        <w:tabs>
          <w:tab w:pos="2248" w:val="left" w:leader="none"/>
        </w:tabs>
        <w:spacing w:before="109"/>
        <w:ind w:left="1710"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报告期内不存在通过经营租赁租出的固定资产。</w:t>
      </w:r>
      <w:r>
        <w:rPr>
          <w:rFonts w:ascii="宋体" w:hAnsi="宋体" w:cs="宋体" w:eastAsia="宋体" w:hint="default"/>
          <w:sz w:val="21"/>
          <w:szCs w:val="21"/>
        </w:rPr>
      </w:r>
    </w:p>
    <w:p>
      <w:pPr>
        <w:tabs>
          <w:tab w:pos="2248" w:val="left" w:leader="none"/>
        </w:tabs>
        <w:spacing w:before="109"/>
        <w:ind w:left="1710"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本期末无期末持有待售的固定资产。</w:t>
      </w:r>
      <w:r>
        <w:rPr>
          <w:rFonts w:ascii="宋体" w:hAnsi="宋体" w:cs="宋体" w:eastAsia="宋体" w:hint="default"/>
          <w:sz w:val="21"/>
          <w:szCs w:val="21"/>
        </w:rPr>
      </w:r>
    </w:p>
    <w:p>
      <w:pPr>
        <w:tabs>
          <w:tab w:pos="2248" w:val="left" w:leader="none"/>
        </w:tabs>
        <w:spacing w:before="110"/>
        <w:ind w:left="1710"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本期末无未办妥产权证书的固定资产。</w:t>
      </w:r>
      <w:r>
        <w:rPr>
          <w:rFonts w:ascii="宋体" w:hAnsi="宋体" w:cs="宋体" w:eastAsia="宋体" w:hint="default"/>
          <w:sz w:val="21"/>
          <w:szCs w:val="21"/>
        </w:rPr>
      </w:r>
    </w:p>
    <w:p>
      <w:pPr>
        <w:spacing w:line="240" w:lineRule="auto" w:before="2"/>
        <w:rPr>
          <w:rFonts w:ascii="宋体" w:hAnsi="宋体" w:cs="宋体" w:eastAsia="宋体" w:hint="default"/>
          <w:b/>
          <w:bCs/>
          <w:sz w:val="32"/>
          <w:szCs w:val="32"/>
        </w:rPr>
      </w:pPr>
    </w:p>
    <w:p>
      <w:pPr>
        <w:spacing w:before="0"/>
        <w:ind w:left="978" w:right="0" w:firstLine="0"/>
        <w:jc w:val="left"/>
        <w:rPr>
          <w:rFonts w:ascii="宋体" w:hAnsi="宋体" w:cs="宋体" w:eastAsia="宋体" w:hint="default"/>
          <w:sz w:val="21"/>
          <w:szCs w:val="21"/>
        </w:rPr>
      </w:pPr>
      <w:r>
        <w:rPr/>
        <w:pict>
          <v:group style="position:absolute;margin-left:63.18pt;margin-top:35.423958pt;width:440.55pt;height:134.950pt;mso-position-horizontal-relative:page;mso-position-vertical-relative:paragraph;z-index:-814312" coordorigin="1264,708" coordsize="8811,2699">
            <v:shape style="position:absolute;left:2350;top:708;width:3895;height:432" type="#_x0000_t75" stroked="false">
              <v:imagedata r:id="rId156" o:title=""/>
            </v:shape>
            <v:shape style="position:absolute;left:2350;top:1083;width:7724;height:442" type="#_x0000_t75" stroked="false">
              <v:imagedata r:id="rId157" o:title=""/>
            </v:shape>
            <v:group style="position:absolute;left:1292;top:1505;width:1086;height:936" coordorigin="1292,1505" coordsize="1086,936">
              <v:shape style="position:absolute;left:1292;top:1505;width:1086;height:936" coordorigin="1292,1505" coordsize="1086,936" path="m1292,2441l2378,2441,2378,1505,1292,1505,1292,2441xe" filled="true" fillcolor="#ffffff" stroked="false">
                <v:path arrowok="t"/>
                <v:fill type="solid"/>
              </v:shape>
            </v:group>
            <v:group style="position:absolute;left:1400;top:1505;width:876;height:312" coordorigin="1400,1505" coordsize="876,312">
              <v:shape style="position:absolute;left:1400;top:1505;width:876;height:312" coordorigin="1400,1505" coordsize="876,312" path="m1400,1817l2276,1817,2276,1505,1400,1505,1400,1817xe" filled="true" fillcolor="#ffffff" stroked="false">
                <v:path arrowok="t"/>
                <v:fill type="solid"/>
              </v:shape>
            </v:group>
            <v:group style="position:absolute;left:1400;top:1817;width:876;height:312" coordorigin="1400,1817" coordsize="876,312">
              <v:shape style="position:absolute;left:1400;top:1817;width:876;height:312" coordorigin="1400,1817" coordsize="876,312" path="m1400,2129l2276,2129,2276,1817,1400,1817,1400,2129xe" filled="true" fillcolor="#ffffff" stroked="false">
                <v:path arrowok="t"/>
                <v:fill type="solid"/>
              </v:shape>
            </v:group>
            <v:group style="position:absolute;left:1400;top:2129;width:876;height:312" coordorigin="1400,2129" coordsize="876,312">
              <v:shape style="position:absolute;left:1400;top:2129;width:876;height:312" coordorigin="1400,2129" coordsize="876,312" path="m1400,2441l2276,2441,2276,2129,1400,2129,1400,2441xe" filled="true" fillcolor="#ffffff" stroked="false">
                <v:path arrowok="t"/>
                <v:fill type="solid"/>
              </v:shape>
            </v:group>
            <v:group style="position:absolute;left:2389;top:1505;width:1408;height:936" coordorigin="2389,1505" coordsize="1408,936">
              <v:shape style="position:absolute;left:2389;top:1505;width:1408;height:936" coordorigin="2389,1505" coordsize="1408,936" path="m2389,2441l3797,2441,3797,1505,2389,1505,2389,2441xe" filled="true" fillcolor="#ffffff" stroked="false">
                <v:path arrowok="t"/>
                <v:fill type="solid"/>
              </v:shape>
            </v:group>
            <v:group style="position:absolute;left:2492;top:1817;width:1202;height:312" coordorigin="2492,1817" coordsize="1202,312">
              <v:shape style="position:absolute;left:2492;top:1817;width:1202;height:312" coordorigin="2492,1817" coordsize="1202,312" path="m2492,2129l3694,2129,3694,1817,2492,1817,2492,2129xe" filled="true" fillcolor="#ffffff" stroked="false">
                <v:path arrowok="t"/>
                <v:fill type="solid"/>
              </v:shape>
            </v:group>
            <v:group style="position:absolute;left:3806;top:1505;width:1038;height:936" coordorigin="3806,1505" coordsize="1038,936">
              <v:shape style="position:absolute;left:3806;top:1505;width:1038;height:936" coordorigin="3806,1505" coordsize="1038,936" path="m3806,2441l4844,2441,4844,1505,3806,1505,3806,2441xe" filled="true" fillcolor="#ffffff" stroked="false">
                <v:path arrowok="t"/>
                <v:fill type="solid"/>
              </v:shape>
            </v:group>
            <v:group style="position:absolute;left:3910;top:1817;width:832;height:312" coordorigin="3910,1817" coordsize="832,312">
              <v:shape style="position:absolute;left:3910;top:1817;width:832;height:312" coordorigin="3910,1817" coordsize="832,312" path="m3910,2129l4741,2129,4741,1817,3910,1817,3910,2129xe" filled="true" fillcolor="#ffffff" stroked="false">
                <v:path arrowok="t"/>
                <v:fill type="solid"/>
              </v:shape>
            </v:group>
            <v:group style="position:absolute;left:4854;top:1505;width:1353;height:936" coordorigin="4854,1505" coordsize="1353,936">
              <v:shape style="position:absolute;left:4854;top:1505;width:1353;height:936" coordorigin="4854,1505" coordsize="1353,936" path="m4854,2441l6206,2441,6206,1505,4854,1505,4854,2441xe" filled="true" fillcolor="#ffffff" stroked="false">
                <v:path arrowok="t"/>
                <v:fill type="solid"/>
              </v:shape>
            </v:group>
            <v:group style="position:absolute;left:4957;top:1817;width:1148;height:312" coordorigin="4957,1817" coordsize="1148,312">
              <v:shape style="position:absolute;left:4957;top:1817;width:1148;height:312" coordorigin="4957,1817" coordsize="1148,312" path="m4957,2129l6104,2129,6104,1817,4957,1817,4957,2129xe" filled="true" fillcolor="#ffffff" stroked="false">
                <v:path arrowok="t"/>
                <v:fill type="solid"/>
              </v:shape>
            </v:group>
            <v:group style="position:absolute;left:6217;top:1505;width:1407;height:936" coordorigin="6217,1505" coordsize="1407,936">
              <v:shape style="position:absolute;left:6217;top:1505;width:1407;height:936" coordorigin="6217,1505" coordsize="1407,936" path="m6217,2441l7624,2441,7624,1505,6217,1505,6217,2441xe" filled="true" fillcolor="#ffffff" stroked="false">
                <v:path arrowok="t"/>
                <v:fill type="solid"/>
              </v:shape>
            </v:group>
            <v:group style="position:absolute;left:6320;top:1817;width:1200;height:312" coordorigin="6320,1817" coordsize="1200,312">
              <v:shape style="position:absolute;left:6320;top:1817;width:1200;height:312" coordorigin="6320,1817" coordsize="1200,312" path="m6320,2129l7520,2129,7520,1817,6320,1817,6320,2129xe" filled="true" fillcolor="#ffffff" stroked="false">
                <v:path arrowok="t"/>
                <v:fill type="solid"/>
              </v:shape>
            </v:group>
            <v:group style="position:absolute;left:7634;top:1505;width:1048;height:936" coordorigin="7634,1505" coordsize="1048,936">
              <v:shape style="position:absolute;left:7634;top:1505;width:1048;height:936" coordorigin="7634,1505" coordsize="1048,936" path="m7634,2441l8682,2441,8682,1505,7634,1505,7634,2441xe" filled="true" fillcolor="#ffffff" stroked="false">
                <v:path arrowok="t"/>
                <v:fill type="solid"/>
              </v:shape>
            </v:group>
            <v:group style="position:absolute;left:7736;top:1817;width:843;height:312" coordorigin="7736,1817" coordsize="843,312">
              <v:shape style="position:absolute;left:7736;top:1817;width:843;height:312" coordorigin="7736,1817" coordsize="843,312" path="m7736,2129l8579,2129,8579,1817,7736,1817,7736,2129xe" filled="true" fillcolor="#ffffff" stroked="false">
                <v:path arrowok="t"/>
                <v:fill type="solid"/>
              </v:shape>
            </v:group>
            <v:group style="position:absolute;left:8692;top:1505;width:1348;height:936" coordorigin="8692,1505" coordsize="1348,936">
              <v:shape style="position:absolute;left:8692;top:1505;width:1348;height:936" coordorigin="8692,1505" coordsize="1348,936" path="m8692,2441l10039,2441,10039,1505,8692,1505,8692,2441xe" filled="true" fillcolor="#ffffff" stroked="false">
                <v:path arrowok="t"/>
                <v:fill type="solid"/>
              </v:shape>
            </v:group>
            <v:group style="position:absolute;left:8795;top:1817;width:1137;height:312" coordorigin="8795,1817" coordsize="1137,312">
              <v:shape style="position:absolute;left:8795;top:1817;width:1137;height:312" coordorigin="8795,1817" coordsize="1137,312" path="m8795,2129l9931,2129,9931,1817,8795,1817,8795,2129xe" filled="true" fillcolor="#ffffff" stroked="false">
                <v:path arrowok="t"/>
                <v:fill type="solid"/>
              </v:shape>
              <v:shape style="position:absolute;left:1264;top:1474;width:8810;height:1319" type="#_x0000_t75" stroked="false">
                <v:imagedata r:id="rId158" o:title=""/>
              </v:shape>
              <v:shape style="position:absolute;left:1264;top:2735;width:8810;height:379" type="#_x0000_t75" stroked="false">
                <v:imagedata r:id="rId159" o:title=""/>
              </v:shape>
            </v:group>
            <v:group style="position:absolute;left:2276;top:3095;width:102;height:312" coordorigin="2276,3095" coordsize="102,312">
              <v:shape style="position:absolute;left:2276;top:3095;width:102;height:312" coordorigin="2276,3095" coordsize="102,312" path="m2276,3407l2378,3407,2378,3095,2276,3095,2276,3407xe" filled="true" fillcolor="#ffffff" stroked="false">
                <v:path arrowok="t"/>
                <v:fill type="solid"/>
              </v:shape>
            </v:group>
            <v:group style="position:absolute;left:1292;top:3095;width:108;height:312" coordorigin="1292,3095" coordsize="108,312">
              <v:shape style="position:absolute;left:1292;top:3095;width:108;height:312" coordorigin="1292,3095" coordsize="108,312" path="m1292,3407l1400,3407,1400,3095,1292,3095,1292,3407xe" filled="true" fillcolor="#ffffff" stroked="false">
                <v:path arrowok="t"/>
                <v:fill type="solid"/>
              </v:shape>
            </v:group>
            <v:group style="position:absolute;left:1400;top:3095;width:876;height:312" coordorigin="1400,3095" coordsize="876,312">
              <v:shape style="position:absolute;left:1400;top:3095;width:876;height:312" coordorigin="1400,3095" coordsize="876,312" path="m1400,3407l2276,3407,2276,3095,1400,3095,1400,3407xe" filled="true" fillcolor="#ffffff" stroked="false">
                <v:path arrowok="t"/>
                <v:fill type="solid"/>
              </v:shape>
            </v:group>
            <v:group style="position:absolute;left:3694;top:3095;width:104;height:312" coordorigin="3694,3095" coordsize="104,312">
              <v:shape style="position:absolute;left:3694;top:3095;width:104;height:312" coordorigin="3694,3095" coordsize="104,312" path="m3694,3407l3797,3407,3797,3095,3694,3095,3694,3407xe" filled="true" fillcolor="#ffffff" stroked="false">
                <v:path arrowok="t"/>
                <v:fill type="solid"/>
              </v:shape>
            </v:group>
            <v:group style="position:absolute;left:2389;top:3095;width:104;height:312" coordorigin="2389,3095" coordsize="104,312">
              <v:shape style="position:absolute;left:2389;top:3095;width:104;height:312" coordorigin="2389,3095" coordsize="104,312" path="m2389,3407l2492,3407,2492,3095,2389,3095,2389,3407xe" filled="true" fillcolor="#ffffff" stroked="false">
                <v:path arrowok="t"/>
                <v:fill type="solid"/>
              </v:shape>
            </v:group>
            <v:group style="position:absolute;left:2492;top:3095;width:1202;height:312" coordorigin="2492,3095" coordsize="1202,312">
              <v:shape style="position:absolute;left:2492;top:3095;width:1202;height:312" coordorigin="2492,3095" coordsize="1202,312" path="m2492,3407l3694,3407,3694,3095,2492,3095,2492,3407xe" filled="true" fillcolor="#ffffff" stroked="false">
                <v:path arrowok="t"/>
                <v:fill type="solid"/>
              </v:shape>
            </v:group>
            <v:group style="position:absolute;left:4741;top:3095;width:104;height:312" coordorigin="4741,3095" coordsize="104,312">
              <v:shape style="position:absolute;left:4741;top:3095;width:104;height:312" coordorigin="4741,3095" coordsize="104,312" path="m4741,3407l4844,3407,4844,3095,4741,3095,4741,3407xe" filled="true" fillcolor="#ffffff" stroked="false">
                <v:path arrowok="t"/>
                <v:fill type="solid"/>
              </v:shape>
            </v:group>
            <v:group style="position:absolute;left:3806;top:3095;width:104;height:312" coordorigin="3806,3095" coordsize="104,312">
              <v:shape style="position:absolute;left:3806;top:3095;width:104;height:312" coordorigin="3806,3095" coordsize="104,312" path="m3806,3407l3910,3407,3910,3095,3806,3095,3806,3407xe" filled="true" fillcolor="#ffffff" stroked="false">
                <v:path arrowok="t"/>
                <v:fill type="solid"/>
              </v:shape>
            </v:group>
            <v:group style="position:absolute;left:3910;top:3095;width:832;height:312" coordorigin="3910,3095" coordsize="832,312">
              <v:shape style="position:absolute;left:3910;top:3095;width:832;height:312" coordorigin="3910,3095" coordsize="832,312" path="m3910,3407l4741,3407,4741,3095,3910,3095,3910,3407xe" filled="true" fillcolor="#ffffff" stroked="false">
                <v:path arrowok="t"/>
                <v:fill type="solid"/>
              </v:shape>
            </v:group>
            <v:group style="position:absolute;left:6104;top:3095;width:102;height:312" coordorigin="6104,3095" coordsize="102,312">
              <v:shape style="position:absolute;left:6104;top:3095;width:102;height:312" coordorigin="6104,3095" coordsize="102,312" path="m6104,3407l6206,3407,6206,3095,6104,3095,6104,3407xe" filled="true" fillcolor="#ffffff" stroked="false">
                <v:path arrowok="t"/>
                <v:fill type="solid"/>
              </v:shape>
            </v:group>
            <v:group style="position:absolute;left:4854;top:3095;width:104;height:312" coordorigin="4854,3095" coordsize="104,312">
              <v:shape style="position:absolute;left:4854;top:3095;width:104;height:312" coordorigin="4854,3095" coordsize="104,312" path="m4854,3407l4957,3407,4957,3095,4854,3095,4854,3407xe" filled="true" fillcolor="#ffffff" stroked="false">
                <v:path arrowok="t"/>
                <v:fill type="solid"/>
              </v:shape>
            </v:group>
            <v:group style="position:absolute;left:4957;top:3095;width:1148;height:312" coordorigin="4957,3095" coordsize="1148,312">
              <v:shape style="position:absolute;left:4957;top:3095;width:1148;height:312" coordorigin="4957,3095" coordsize="1148,312" path="m4957,3407l6104,3407,6104,3095,4957,3095,4957,3407xe" filled="true" fillcolor="#ffffff" stroked="false">
                <v:path arrowok="t"/>
                <v:fill type="solid"/>
              </v:shape>
            </v:group>
            <v:group style="position:absolute;left:7520;top:3095;width:104;height:312" coordorigin="7520,3095" coordsize="104,312">
              <v:shape style="position:absolute;left:7520;top:3095;width:104;height:312" coordorigin="7520,3095" coordsize="104,312" path="m7520,3407l7624,3407,7624,3095,7520,3095,7520,3407xe" filled="true" fillcolor="#ffffff" stroked="false">
                <v:path arrowok="t"/>
                <v:fill type="solid"/>
              </v:shape>
            </v:group>
            <v:group style="position:absolute;left:6217;top:3095;width:104;height:312" coordorigin="6217,3095" coordsize="104,312">
              <v:shape style="position:absolute;left:6217;top:3095;width:104;height:312" coordorigin="6217,3095" coordsize="104,312" path="m6217,3407l6320,3407,6320,3095,6217,3095,6217,3407xe" filled="true" fillcolor="#ffffff" stroked="false">
                <v:path arrowok="t"/>
                <v:fill type="solid"/>
              </v:shape>
            </v:group>
            <v:group style="position:absolute;left:6320;top:3095;width:1200;height:312" coordorigin="6320,3095" coordsize="1200,312">
              <v:shape style="position:absolute;left:6320;top:3095;width:1200;height:312" coordorigin="6320,3095" coordsize="1200,312" path="m6320,3407l7520,3407,7520,3095,6320,3095,6320,3407xe" filled="true" fillcolor="#ffffff" stroked="false">
                <v:path arrowok="t"/>
                <v:fill type="solid"/>
              </v:shape>
            </v:group>
            <v:group style="position:absolute;left:8579;top:3095;width:104;height:312" coordorigin="8579,3095" coordsize="104,312">
              <v:shape style="position:absolute;left:8579;top:3095;width:104;height:312" coordorigin="8579,3095" coordsize="104,312" path="m8579,3407l8682,3407,8682,3095,8579,3095,8579,3407xe" filled="true" fillcolor="#ffffff" stroked="false">
                <v:path arrowok="t"/>
                <v:fill type="solid"/>
              </v:shape>
            </v:group>
            <v:group style="position:absolute;left:7634;top:3095;width:102;height:312" coordorigin="7634,3095" coordsize="102,312">
              <v:shape style="position:absolute;left:7634;top:3095;width:102;height:312" coordorigin="7634,3095" coordsize="102,312" path="m7634,3407l7736,3407,7736,3095,7634,3095,7634,3407xe" filled="true" fillcolor="#ffffff" stroked="false">
                <v:path arrowok="t"/>
                <v:fill type="solid"/>
              </v:shape>
            </v:group>
            <v:group style="position:absolute;left:7736;top:3095;width:843;height:312" coordorigin="7736,3095" coordsize="843,312">
              <v:shape style="position:absolute;left:7736;top:3095;width:843;height:312" coordorigin="7736,3095" coordsize="843,312" path="m7736,3407l8579,3407,8579,3095,7736,3095,7736,3407xe" filled="true" fillcolor="#ffffff" stroked="false">
                <v:path arrowok="t"/>
                <v:fill type="solid"/>
              </v:shape>
            </v:group>
            <v:group style="position:absolute;left:9931;top:3095;width:108;height:312" coordorigin="9931,3095" coordsize="108,312">
              <v:shape style="position:absolute;left:9931;top:3095;width:108;height:312" coordorigin="9931,3095" coordsize="108,312" path="m9931,3407l10039,3407,10039,3095,9931,3095,9931,3407xe" filled="true" fillcolor="#ffffff" stroked="false">
                <v:path arrowok="t"/>
                <v:fill type="solid"/>
              </v:shape>
            </v:group>
            <v:group style="position:absolute;left:8692;top:3095;width:104;height:312" coordorigin="8692,3095" coordsize="104,312">
              <v:shape style="position:absolute;left:8692;top:3095;width:104;height:312" coordorigin="8692,3095" coordsize="104,312" path="m8692,3407l8795,3407,8795,3095,8692,3095,8692,3407xe" filled="true" fillcolor="#ffffff" stroked="false">
                <v:path arrowok="t"/>
                <v:fill type="solid"/>
              </v:shape>
            </v:group>
            <v:group style="position:absolute;left:8795;top:3095;width:1137;height:312" coordorigin="8795,3095" coordsize="1137,312">
              <v:shape style="position:absolute;left:8795;top:3095;width:1137;height:312" coordorigin="8795,3095" coordsize="1137,312" path="m8795,3407l9931,3407,9931,3095,8795,3095,8795,3407xe" filled="true" fillcolor="#ffffff" stroked="false">
                <v:path arrowok="t"/>
                <v:fill type="solid"/>
              </v:shape>
              <v:shape style="position:absolute;left:1264;top:3057;width:8801;height:350" type="#_x0000_t75" stroked="false">
                <v:imagedata r:id="rId160" o:titl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十二</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在建工程</w:t>
      </w:r>
      <w:r>
        <w:rPr>
          <w:rFonts w:ascii="宋体" w:hAnsi="宋体" w:cs="宋体" w:eastAsia="宋体" w:hint="default"/>
          <w:sz w:val="21"/>
          <w:szCs w:val="21"/>
        </w:rPr>
      </w:r>
    </w:p>
    <w:p>
      <w:pPr>
        <w:spacing w:line="240" w:lineRule="auto" w:before="8"/>
        <w:rPr>
          <w:rFonts w:ascii="宋体" w:hAnsi="宋体" w:cs="宋体" w:eastAsia="宋体" w:hint="default"/>
          <w:b/>
          <w:bCs/>
          <w:sz w:val="5"/>
          <w:szCs w:val="5"/>
        </w:rPr>
      </w:pPr>
    </w:p>
    <w:tbl>
      <w:tblPr>
        <w:tblW w:w="0" w:type="auto"/>
        <w:jc w:val="left"/>
        <w:tblInd w:w="992" w:type="dxa"/>
        <w:tblLayout w:type="fixed"/>
        <w:tblCellMar>
          <w:top w:w="0" w:type="dxa"/>
          <w:left w:w="0" w:type="dxa"/>
          <w:bottom w:w="0" w:type="dxa"/>
          <w:right w:w="0" w:type="dxa"/>
        </w:tblCellMar>
        <w:tblLook w:val="01E0"/>
      </w:tblPr>
      <w:tblGrid>
        <w:gridCol w:w="1145"/>
        <w:gridCol w:w="1438"/>
        <w:gridCol w:w="971"/>
        <w:gridCol w:w="1405"/>
        <w:gridCol w:w="1393"/>
        <w:gridCol w:w="1018"/>
        <w:gridCol w:w="1376"/>
      </w:tblGrid>
      <w:tr>
        <w:trPr>
          <w:trHeight w:val="358" w:hRule="exact"/>
        </w:trPr>
        <w:tc>
          <w:tcPr>
            <w:tcW w:w="1145"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109"/>
              <w:jc w:val="righ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r>
            <w:r>
              <w:rPr>
                <w:rFonts w:ascii="宋体" w:hAnsi="宋体" w:cs="宋体" w:eastAsia="宋体" w:hint="default"/>
                <w:sz w:val="21"/>
                <w:szCs w:val="21"/>
              </w:rPr>
            </w:r>
          </w:p>
        </w:tc>
        <w:tc>
          <w:tcPr>
            <w:tcW w:w="1438"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11" w:right="0"/>
              <w:jc w:val="left"/>
              <w:rPr>
                <w:rFonts w:ascii="宋体" w:hAnsi="宋体" w:cs="宋体" w:eastAsia="宋体" w:hint="default"/>
                <w:sz w:val="21"/>
                <w:szCs w:val="21"/>
              </w:rPr>
            </w:pPr>
            <w:r>
              <w:rPr>
                <w:rFonts w:ascii="宋体" w:hAnsi="宋体" w:cs="宋体" w:eastAsia="宋体" w:hint="default"/>
                <w:b/>
                <w:bCs/>
                <w:sz w:val="21"/>
                <w:szCs w:val="21"/>
              </w:rPr>
              <w:t>在建工程情况</w:t>
            </w:r>
            <w:r>
              <w:rPr>
                <w:rFonts w:ascii="宋体" w:hAnsi="宋体" w:cs="宋体" w:eastAsia="宋体" w:hint="default"/>
                <w:sz w:val="21"/>
                <w:szCs w:val="21"/>
              </w:rPr>
            </w:r>
          </w:p>
        </w:tc>
        <w:tc>
          <w:tcPr>
            <w:tcW w:w="6163" w:type="dxa"/>
            <w:gridSpan w:val="5"/>
            <w:tcBorders>
              <w:top w:val="nil" w:sz="6" w:space="0" w:color="auto"/>
              <w:left w:val="nil" w:sz="6" w:space="0" w:color="auto"/>
              <w:bottom w:val="single" w:sz="12" w:space="0" w:color="000000"/>
              <w:right w:val="nil" w:sz="6" w:space="0" w:color="auto"/>
            </w:tcBorders>
          </w:tcPr>
          <w:p>
            <w:pPr/>
          </w:p>
        </w:tc>
      </w:tr>
      <w:tr>
        <w:trPr>
          <w:trHeight w:val="763" w:hRule="exact"/>
        </w:trPr>
        <w:tc>
          <w:tcPr>
            <w:tcW w:w="1145" w:type="dxa"/>
            <w:tcBorders>
              <w:top w:val="single" w:sz="12"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274"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1438"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left="29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71" w:type="dxa"/>
            <w:tcBorders>
              <w:top w:val="single" w:sz="12" w:space="0" w:color="000000"/>
              <w:left w:val="nil" w:sz="6" w:space="0" w:color="auto"/>
              <w:bottom w:val="nil" w:sz="6" w:space="0" w:color="auto"/>
              <w:right w:val="nil" w:sz="6" w:space="0" w:color="auto"/>
            </w:tcBorders>
          </w:tcPr>
          <w:p>
            <w:pPr>
              <w:pStyle w:val="TableParagraph"/>
              <w:spacing w:line="391" w:lineRule="auto" w:before="41"/>
              <w:ind w:left="117" w:right="131" w:hanging="54"/>
              <w:jc w:val="left"/>
              <w:rPr>
                <w:rFonts w:ascii="宋体" w:hAnsi="宋体" w:cs="宋体" w:eastAsia="宋体" w:hint="default"/>
                <w:sz w:val="18"/>
                <w:szCs w:val="18"/>
              </w:rPr>
            </w:pPr>
            <w:r>
              <w:rPr>
                <w:rFonts w:ascii="宋体" w:hAnsi="宋体" w:cs="宋体" w:eastAsia="宋体" w:hint="default"/>
                <w:sz w:val="18"/>
                <w:szCs w:val="18"/>
              </w:rPr>
              <w:t>期末余额 减值准备</w:t>
            </w:r>
          </w:p>
        </w:tc>
        <w:tc>
          <w:tcPr>
            <w:tcW w:w="140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left="324"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9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52"/>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018" w:type="dxa"/>
            <w:tcBorders>
              <w:top w:val="single" w:sz="12" w:space="0" w:color="000000"/>
              <w:left w:val="nil" w:sz="6" w:space="0" w:color="auto"/>
              <w:bottom w:val="nil" w:sz="6" w:space="0" w:color="auto"/>
              <w:right w:val="nil" w:sz="6" w:space="0" w:color="auto"/>
            </w:tcBorders>
          </w:tcPr>
          <w:p>
            <w:pPr>
              <w:pStyle w:val="TableParagraph"/>
              <w:spacing w:line="391" w:lineRule="auto" w:before="41"/>
              <w:ind w:left="153" w:right="142" w:hanging="33"/>
              <w:jc w:val="left"/>
              <w:rPr>
                <w:rFonts w:ascii="宋体" w:hAnsi="宋体" w:cs="宋体" w:eastAsia="宋体" w:hint="default"/>
                <w:sz w:val="18"/>
                <w:szCs w:val="18"/>
              </w:rPr>
            </w:pPr>
            <w:r>
              <w:rPr>
                <w:rFonts w:ascii="宋体" w:hAnsi="宋体" w:cs="宋体" w:eastAsia="宋体" w:hint="default"/>
                <w:sz w:val="18"/>
                <w:szCs w:val="18"/>
              </w:rPr>
              <w:t>年初余额 减值准备</w:t>
            </w:r>
          </w:p>
        </w:tc>
        <w:tc>
          <w:tcPr>
            <w:tcW w:w="137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left="24" w:right="0"/>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337" w:hRule="exact"/>
        </w:trPr>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32"/>
              <w:jc w:val="right"/>
              <w:rPr>
                <w:rFonts w:ascii="宋体" w:hAnsi="宋体" w:cs="宋体" w:eastAsia="宋体" w:hint="default"/>
                <w:sz w:val="18"/>
                <w:szCs w:val="18"/>
              </w:rPr>
            </w:pPr>
            <w:r>
              <w:rPr>
                <w:rFonts w:ascii="宋体" w:hAnsi="宋体" w:cs="宋体" w:eastAsia="宋体" w:hint="default"/>
                <w:spacing w:val="13"/>
                <w:sz w:val="18"/>
                <w:szCs w:val="18"/>
              </w:rPr>
              <w:t>安装</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9"/>
                <w:sz w:val="18"/>
                <w:szCs w:val="18"/>
              </w:rPr>
              <w:t> </w:t>
            </w:r>
            <w:r>
              <w:rPr>
                <w:rFonts w:ascii="宋体" w:hAnsi="宋体" w:cs="宋体" w:eastAsia="宋体" w:hint="default"/>
                <w:spacing w:val="13"/>
                <w:sz w:val="18"/>
                <w:szCs w:val="18"/>
              </w:rPr>
              <w:t>调试</w:t>
            </w:r>
            <w:r>
              <w:rPr>
                <w:rFonts w:ascii="宋体" w:hAnsi="宋体" w:cs="宋体" w:eastAsia="宋体" w:hint="default"/>
                <w:spacing w:val="-64"/>
                <w:sz w:val="18"/>
                <w:szCs w:val="18"/>
              </w:rPr>
              <w:t> </w:t>
            </w:r>
            <w:r>
              <w:rPr>
                <w:rFonts w:ascii="宋体" w:hAnsi="宋体" w:cs="宋体" w:eastAsia="宋体" w:hint="default"/>
                <w:sz w:val="18"/>
                <w:szCs w:val="18"/>
              </w:rPr>
            </w:r>
          </w:p>
        </w:tc>
        <w:tc>
          <w:tcPr>
            <w:tcW w:w="1438" w:type="dxa"/>
            <w:tcBorders>
              <w:top w:val="nil" w:sz="6" w:space="0" w:color="auto"/>
              <w:left w:val="nil" w:sz="6" w:space="0" w:color="auto"/>
              <w:bottom w:val="nil" w:sz="6" w:space="0" w:color="auto"/>
              <w:right w:val="nil" w:sz="6" w:space="0" w:color="auto"/>
            </w:tcBorders>
          </w:tcPr>
          <w:p>
            <w:pPr/>
          </w:p>
        </w:tc>
        <w:tc>
          <w:tcPr>
            <w:tcW w:w="971"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1393" w:type="dxa"/>
            <w:tcBorders>
              <w:top w:val="nil" w:sz="6" w:space="0" w:color="auto"/>
              <w:left w:val="nil" w:sz="6" w:space="0" w:color="auto"/>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nil" w:sz="6" w:space="0" w:color="auto"/>
            </w:tcBorders>
          </w:tcPr>
          <w:p>
            <w:pPr/>
          </w:p>
        </w:tc>
        <w:tc>
          <w:tcPr>
            <w:tcW w:w="1376" w:type="dxa"/>
            <w:tcBorders>
              <w:top w:val="nil" w:sz="6" w:space="0" w:color="auto"/>
              <w:left w:val="nil" w:sz="6" w:space="0" w:color="auto"/>
              <w:bottom w:val="nil" w:sz="6" w:space="0" w:color="auto"/>
              <w:right w:val="nil" w:sz="6" w:space="0" w:color="auto"/>
            </w:tcBorders>
          </w:tcPr>
          <w:p>
            <w:pPr/>
          </w:p>
        </w:tc>
      </w:tr>
      <w:tr>
        <w:trPr>
          <w:trHeight w:val="315" w:hRule="exact"/>
        </w:trPr>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7" w:right="0"/>
              <w:jc w:val="left"/>
              <w:rPr>
                <w:rFonts w:ascii="宋体" w:hAnsi="宋体" w:cs="宋体" w:eastAsia="宋体" w:hint="default"/>
                <w:sz w:val="18"/>
                <w:szCs w:val="18"/>
              </w:rPr>
            </w:pPr>
            <w:r>
              <w:rPr>
                <w:rFonts w:ascii="宋体" w:hAnsi="宋体" w:cs="宋体" w:eastAsia="宋体" w:hint="default"/>
                <w:sz w:val="18"/>
                <w:szCs w:val="18"/>
              </w:rPr>
              <w:t>的  自</w:t>
            </w:r>
            <w:r>
              <w:rPr>
                <w:rFonts w:ascii="宋体" w:hAnsi="宋体" w:cs="宋体" w:eastAsia="宋体" w:hint="default"/>
                <w:spacing w:val="66"/>
                <w:sz w:val="18"/>
                <w:szCs w:val="18"/>
              </w:rPr>
              <w:t> </w:t>
            </w:r>
            <w:r>
              <w:rPr>
                <w:rFonts w:ascii="宋体" w:hAnsi="宋体" w:cs="宋体" w:eastAsia="宋体" w:hint="default"/>
                <w:sz w:val="18"/>
                <w:szCs w:val="18"/>
              </w:rPr>
              <w:t>产</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33" w:right="0"/>
              <w:jc w:val="left"/>
              <w:rPr>
                <w:rFonts w:ascii="Times New Roman" w:hAnsi="Times New Roman" w:cs="Times New Roman" w:eastAsia="Times New Roman" w:hint="default"/>
                <w:sz w:val="18"/>
                <w:szCs w:val="18"/>
              </w:rPr>
            </w:pPr>
            <w:r>
              <w:rPr>
                <w:rFonts w:ascii="Times New Roman"/>
                <w:sz w:val="18"/>
              </w:rPr>
              <w:t>170,419,062.78</w:t>
            </w:r>
          </w:p>
        </w:tc>
        <w:tc>
          <w:tcPr>
            <w:tcW w:w="971"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43"/>
              <w:jc w:val="right"/>
              <w:rPr>
                <w:rFonts w:ascii="Times New Roman" w:hAnsi="Times New Roman" w:cs="Times New Roman" w:eastAsia="Times New Roman" w:hint="default"/>
                <w:sz w:val="18"/>
                <w:szCs w:val="18"/>
              </w:rPr>
            </w:pPr>
            <w:r>
              <w:rPr>
                <w:rFonts w:ascii="Times New Roman"/>
                <w:spacing w:val="-1"/>
                <w:sz w:val="18"/>
              </w:rPr>
              <w:t>170,419,062.78</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4" w:right="0"/>
              <w:jc w:val="center"/>
              <w:rPr>
                <w:rFonts w:ascii="Times New Roman" w:hAnsi="Times New Roman" w:cs="Times New Roman" w:eastAsia="Times New Roman" w:hint="default"/>
                <w:sz w:val="18"/>
                <w:szCs w:val="18"/>
              </w:rPr>
            </w:pPr>
            <w:r>
              <w:rPr>
                <w:rFonts w:ascii="Times New Roman"/>
                <w:sz w:val="18"/>
              </w:rPr>
              <w:t>146,154,199.83</w:t>
            </w:r>
          </w:p>
        </w:tc>
        <w:tc>
          <w:tcPr>
            <w:tcW w:w="1018" w:type="dxa"/>
            <w:tcBorders>
              <w:top w:val="nil" w:sz="6" w:space="0" w:color="auto"/>
              <w:left w:val="nil" w:sz="6" w:space="0" w:color="auto"/>
              <w:bottom w:val="nil" w:sz="6" w:space="0" w:color="auto"/>
              <w:right w:val="nil" w:sz="6" w:space="0" w:color="auto"/>
            </w:tcBorders>
          </w:tcPr>
          <w:p>
            <w:pP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9" w:right="0"/>
              <w:jc w:val="center"/>
              <w:rPr>
                <w:rFonts w:ascii="Times New Roman" w:hAnsi="Times New Roman" w:cs="Times New Roman" w:eastAsia="Times New Roman" w:hint="default"/>
                <w:sz w:val="18"/>
                <w:szCs w:val="18"/>
              </w:rPr>
            </w:pPr>
            <w:r>
              <w:rPr>
                <w:rFonts w:ascii="Times New Roman"/>
                <w:sz w:val="18"/>
              </w:rPr>
              <w:t>146,154,199.83</w:t>
            </w:r>
          </w:p>
        </w:tc>
      </w:tr>
      <w:tr>
        <w:trPr>
          <w:trHeight w:val="314" w:hRule="exact"/>
        </w:trPr>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Times New Roman" w:hAnsi="Times New Roman" w:cs="Times New Roman" w:eastAsia="Times New Roman" w:hint="default"/>
                <w:sz w:val="18"/>
                <w:szCs w:val="18"/>
              </w:rPr>
            </w:pPr>
            <w:r>
              <w:rPr>
                <w:rFonts w:ascii="Times New Roman"/>
                <w:spacing w:val="-7"/>
                <w:sz w:val="18"/>
              </w:rPr>
              <w:t>ATM</w:t>
            </w:r>
          </w:p>
        </w:tc>
        <w:tc>
          <w:tcPr>
            <w:tcW w:w="1438" w:type="dxa"/>
            <w:tcBorders>
              <w:top w:val="nil" w:sz="6" w:space="0" w:color="auto"/>
              <w:left w:val="nil" w:sz="6" w:space="0" w:color="auto"/>
              <w:bottom w:val="nil" w:sz="6" w:space="0" w:color="auto"/>
              <w:right w:val="nil" w:sz="6" w:space="0" w:color="auto"/>
            </w:tcBorders>
          </w:tcPr>
          <w:p>
            <w:pPr/>
          </w:p>
        </w:tc>
        <w:tc>
          <w:tcPr>
            <w:tcW w:w="971"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1393" w:type="dxa"/>
            <w:tcBorders>
              <w:top w:val="nil" w:sz="6" w:space="0" w:color="auto"/>
              <w:left w:val="nil" w:sz="6" w:space="0" w:color="auto"/>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nil" w:sz="6" w:space="0" w:color="auto"/>
            </w:tcBorders>
          </w:tcPr>
          <w:p>
            <w:pPr/>
          </w:p>
        </w:tc>
        <w:tc>
          <w:tcPr>
            <w:tcW w:w="1376" w:type="dxa"/>
            <w:tcBorders>
              <w:top w:val="nil" w:sz="6" w:space="0" w:color="auto"/>
              <w:left w:val="nil" w:sz="6" w:space="0" w:color="auto"/>
              <w:bottom w:val="nil" w:sz="6" w:space="0" w:color="auto"/>
              <w:right w:val="nil" w:sz="6" w:space="0" w:color="auto"/>
            </w:tcBorders>
          </w:tcPr>
          <w:p>
            <w:pPr/>
          </w:p>
        </w:tc>
      </w:tr>
      <w:tr>
        <w:trPr>
          <w:trHeight w:val="322" w:hRule="exact"/>
        </w:trPr>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宋体" w:hAnsi="宋体" w:cs="宋体" w:eastAsia="宋体" w:hint="default"/>
                <w:sz w:val="18"/>
                <w:szCs w:val="18"/>
              </w:rPr>
              <w:t>办公楼</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447" w:right="0"/>
              <w:jc w:val="left"/>
              <w:rPr>
                <w:rFonts w:ascii="Times New Roman" w:hAnsi="Times New Roman" w:cs="Times New Roman" w:eastAsia="Times New Roman" w:hint="default"/>
                <w:sz w:val="18"/>
                <w:szCs w:val="18"/>
              </w:rPr>
            </w:pPr>
            <w:r>
              <w:rPr>
                <w:rFonts w:ascii="Times New Roman"/>
                <w:sz w:val="18"/>
              </w:rPr>
              <w:t>101,535.00</w:t>
            </w:r>
          </w:p>
        </w:tc>
        <w:tc>
          <w:tcPr>
            <w:tcW w:w="971"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43"/>
              <w:jc w:val="right"/>
              <w:rPr>
                <w:rFonts w:ascii="Times New Roman" w:hAnsi="Times New Roman" w:cs="Times New Roman" w:eastAsia="Times New Roman" w:hint="default"/>
                <w:sz w:val="18"/>
                <w:szCs w:val="18"/>
              </w:rPr>
            </w:pPr>
            <w:r>
              <w:rPr>
                <w:rFonts w:ascii="Times New Roman"/>
                <w:sz w:val="18"/>
              </w:rPr>
              <w:t>101,535.00</w:t>
            </w:r>
          </w:p>
        </w:tc>
        <w:tc>
          <w:tcPr>
            <w:tcW w:w="1393" w:type="dxa"/>
            <w:tcBorders>
              <w:top w:val="nil" w:sz="6" w:space="0" w:color="auto"/>
              <w:left w:val="nil" w:sz="6" w:space="0" w:color="auto"/>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nil" w:sz="6" w:space="0" w:color="auto"/>
            </w:tcBorders>
          </w:tcPr>
          <w:p>
            <w:pPr/>
          </w:p>
        </w:tc>
        <w:tc>
          <w:tcPr>
            <w:tcW w:w="1376" w:type="dxa"/>
            <w:tcBorders>
              <w:top w:val="nil" w:sz="6" w:space="0" w:color="auto"/>
              <w:left w:val="nil" w:sz="6" w:space="0" w:color="auto"/>
              <w:bottom w:val="nil" w:sz="6" w:space="0" w:color="auto"/>
              <w:right w:val="nil" w:sz="6" w:space="0" w:color="auto"/>
            </w:tcBorders>
          </w:tcPr>
          <w:p>
            <w:pPr/>
          </w:p>
        </w:tc>
      </w:tr>
      <w:tr>
        <w:trPr>
          <w:trHeight w:val="322" w:hRule="exact"/>
        </w:trPr>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厂房</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447" w:right="0"/>
              <w:jc w:val="left"/>
              <w:rPr>
                <w:rFonts w:ascii="Times New Roman" w:hAnsi="Times New Roman" w:cs="Times New Roman" w:eastAsia="Times New Roman" w:hint="default"/>
                <w:sz w:val="18"/>
                <w:szCs w:val="18"/>
              </w:rPr>
            </w:pPr>
            <w:r>
              <w:rPr>
                <w:rFonts w:ascii="Times New Roman"/>
                <w:sz w:val="18"/>
              </w:rPr>
              <w:t>774,435.74</w:t>
            </w:r>
          </w:p>
        </w:tc>
        <w:tc>
          <w:tcPr>
            <w:tcW w:w="971"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3"/>
              <w:jc w:val="right"/>
              <w:rPr>
                <w:rFonts w:ascii="Times New Roman" w:hAnsi="Times New Roman" w:cs="Times New Roman" w:eastAsia="Times New Roman" w:hint="default"/>
                <w:sz w:val="18"/>
                <w:szCs w:val="18"/>
              </w:rPr>
            </w:pPr>
            <w:r>
              <w:rPr>
                <w:rFonts w:ascii="Times New Roman"/>
                <w:sz w:val="18"/>
              </w:rPr>
              <w:t>774,435.74</w:t>
            </w:r>
          </w:p>
        </w:tc>
        <w:tc>
          <w:tcPr>
            <w:tcW w:w="1393" w:type="dxa"/>
            <w:tcBorders>
              <w:top w:val="nil" w:sz="6" w:space="0" w:color="auto"/>
              <w:left w:val="nil" w:sz="6" w:space="0" w:color="auto"/>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nil" w:sz="6" w:space="0" w:color="auto"/>
            </w:tcBorders>
          </w:tcPr>
          <w:p>
            <w:pPr/>
          </w:p>
        </w:tc>
        <w:tc>
          <w:tcPr>
            <w:tcW w:w="1376" w:type="dxa"/>
            <w:tcBorders>
              <w:top w:val="nil" w:sz="6" w:space="0" w:color="auto"/>
              <w:left w:val="nil" w:sz="6" w:space="0" w:color="auto"/>
              <w:bottom w:val="nil" w:sz="6" w:space="0" w:color="auto"/>
              <w:right w:val="nil" w:sz="6" w:space="0" w:color="auto"/>
            </w:tcBorders>
          </w:tcPr>
          <w:p>
            <w:pPr/>
          </w:p>
        </w:tc>
      </w:tr>
      <w:tr>
        <w:trPr>
          <w:trHeight w:val="328" w:hRule="exact"/>
        </w:trPr>
        <w:tc>
          <w:tcPr>
            <w:tcW w:w="1145"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274"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438"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left="133" w:right="0"/>
              <w:jc w:val="left"/>
              <w:rPr>
                <w:rFonts w:ascii="Times New Roman" w:hAnsi="Times New Roman" w:cs="Times New Roman" w:eastAsia="Times New Roman" w:hint="default"/>
                <w:sz w:val="18"/>
                <w:szCs w:val="18"/>
              </w:rPr>
            </w:pPr>
            <w:r>
              <w:rPr>
                <w:rFonts w:ascii="Times New Roman"/>
                <w:sz w:val="18"/>
              </w:rPr>
              <w:t>171,295,033.52</w:t>
            </w:r>
          </w:p>
        </w:tc>
        <w:tc>
          <w:tcPr>
            <w:tcW w:w="971" w:type="dxa"/>
            <w:tcBorders>
              <w:top w:val="nil" w:sz="6" w:space="0" w:color="auto"/>
              <w:left w:val="nil" w:sz="6" w:space="0" w:color="auto"/>
              <w:bottom w:val="single" w:sz="12" w:space="0" w:color="000000"/>
              <w:right w:val="nil" w:sz="6" w:space="0" w:color="auto"/>
            </w:tcBorders>
          </w:tcPr>
          <w:p>
            <w:pPr/>
          </w:p>
        </w:tc>
        <w:tc>
          <w:tcPr>
            <w:tcW w:w="1405"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43"/>
              <w:jc w:val="right"/>
              <w:rPr>
                <w:rFonts w:ascii="Times New Roman" w:hAnsi="Times New Roman" w:cs="Times New Roman" w:eastAsia="Times New Roman" w:hint="default"/>
                <w:sz w:val="18"/>
                <w:szCs w:val="18"/>
              </w:rPr>
            </w:pPr>
            <w:r>
              <w:rPr>
                <w:rFonts w:ascii="Times New Roman"/>
                <w:spacing w:val="-1"/>
                <w:sz w:val="18"/>
              </w:rPr>
              <w:t>171,295,033.52</w:t>
            </w:r>
          </w:p>
        </w:tc>
        <w:tc>
          <w:tcPr>
            <w:tcW w:w="1393"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left="24" w:right="0"/>
              <w:jc w:val="center"/>
              <w:rPr>
                <w:rFonts w:ascii="Times New Roman" w:hAnsi="Times New Roman" w:cs="Times New Roman" w:eastAsia="Times New Roman" w:hint="default"/>
                <w:sz w:val="18"/>
                <w:szCs w:val="18"/>
              </w:rPr>
            </w:pPr>
            <w:r>
              <w:rPr>
                <w:rFonts w:ascii="Times New Roman"/>
                <w:sz w:val="18"/>
              </w:rPr>
              <w:t>146,154,199.83</w:t>
            </w:r>
          </w:p>
        </w:tc>
        <w:tc>
          <w:tcPr>
            <w:tcW w:w="1018" w:type="dxa"/>
            <w:tcBorders>
              <w:top w:val="nil" w:sz="6" w:space="0" w:color="auto"/>
              <w:left w:val="nil" w:sz="6" w:space="0" w:color="auto"/>
              <w:bottom w:val="single" w:sz="12" w:space="0" w:color="000000"/>
              <w:right w:val="nil" w:sz="6" w:space="0" w:color="auto"/>
            </w:tcBorders>
          </w:tcPr>
          <w:p>
            <w:pPr/>
          </w:p>
        </w:tc>
        <w:tc>
          <w:tcPr>
            <w:tcW w:w="1376"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left="39" w:right="0"/>
              <w:jc w:val="center"/>
              <w:rPr>
                <w:rFonts w:ascii="Times New Roman" w:hAnsi="Times New Roman" w:cs="Times New Roman" w:eastAsia="Times New Roman" w:hint="default"/>
                <w:sz w:val="18"/>
                <w:szCs w:val="18"/>
              </w:rPr>
            </w:pPr>
            <w:r>
              <w:rPr>
                <w:rFonts w:ascii="Times New Roman"/>
                <w:sz w:val="18"/>
              </w:rPr>
              <w:t>146,154,199.83</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tabs>
          <w:tab w:pos="2248" w:val="left" w:leader="none"/>
        </w:tabs>
        <w:spacing w:before="35"/>
        <w:ind w:left="1710"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重大在建工程项目变动情况</w:t>
      </w:r>
      <w:r>
        <w:rPr>
          <w:rFonts w:ascii="宋体" w:hAnsi="宋体" w:cs="宋体" w:eastAsia="宋体" w:hint="default"/>
          <w:sz w:val="21"/>
          <w:szCs w:val="21"/>
        </w:rPr>
      </w:r>
    </w:p>
    <w:p>
      <w:pPr>
        <w:spacing w:line="3459" w:lineRule="exact"/>
        <w:ind w:left="112" w:right="0" w:firstLine="0"/>
        <w:rPr>
          <w:rFonts w:ascii="宋体" w:hAnsi="宋体" w:cs="宋体" w:eastAsia="宋体" w:hint="default"/>
          <w:sz w:val="20"/>
          <w:szCs w:val="20"/>
        </w:rPr>
      </w:pPr>
      <w:r>
        <w:rPr>
          <w:rFonts w:ascii="宋体" w:hAnsi="宋体" w:cs="宋体" w:eastAsia="宋体" w:hint="default"/>
          <w:position w:val="-68"/>
          <w:sz w:val="20"/>
          <w:szCs w:val="20"/>
        </w:rPr>
        <w:pict>
          <v:group style="width:548.950pt;height:173pt;mso-position-horizontal-relative:char;mso-position-vertical-relative:line" coordorigin="0,0" coordsize="10979,3460">
            <v:group style="position:absolute;left:29;top:15;width:10917;height:2" coordorigin="29,15" coordsize="10917,2">
              <v:shape style="position:absolute;left:29;top:15;width:10917;height:2" coordorigin="29,15" coordsize="10917,0" path="m29,15l10946,15e" filled="false" stroked="true" strokeweight="1.5pt" strokecolor="#000000">
                <v:path arrowok="t"/>
              </v:shape>
              <v:shape style="position:absolute;left:705;top:1;width:9112;height:1555" type="#_x0000_t75" stroked="false">
                <v:imagedata r:id="rId161" o:title=""/>
              </v:shape>
            </v:group>
            <v:group style="position:absolute;left:15;top:3445;width:719;height:2" coordorigin="15,3445" coordsize="719,2">
              <v:shape style="position:absolute;left:15;top:3445;width:719;height:2" coordorigin="15,3445" coordsize="719,0" path="m15,3445l734,3445e" filled="false" stroked="true" strokeweight="1.5pt" strokecolor="#000000">
                <v:path arrowok="t"/>
              </v:shape>
            </v:group>
            <v:group style="position:absolute;left:734;top:3445;width:1344;height:2" coordorigin="734,3445" coordsize="1344,2">
              <v:shape style="position:absolute;left:734;top:3445;width:1344;height:2" coordorigin="734,3445" coordsize="1344,0" path="m734,3445l2078,3445e" filled="false" stroked="true" strokeweight="1.5pt" strokecolor="#000000">
                <v:path arrowok="t"/>
              </v:shape>
            </v:group>
            <v:group style="position:absolute;left:2078;top:3445;width:501;height:2" coordorigin="2078,3445" coordsize="501,2">
              <v:shape style="position:absolute;left:2078;top:3445;width:501;height:2" coordorigin="2078,3445" coordsize="501,0" path="m2078,3445l2578,3445e" filled="false" stroked="true" strokeweight="1.5pt" strokecolor="#000000">
                <v:path arrowok="t"/>
              </v:shape>
            </v:group>
            <v:group style="position:absolute;left:2578;top:3445;width:1026;height:2" coordorigin="2578,3445" coordsize="1026,2">
              <v:shape style="position:absolute;left:2578;top:3445;width:1026;height:2" coordorigin="2578,3445" coordsize="1026,0" path="m2578,3445l3604,3445e" filled="false" stroked="true" strokeweight="1.5pt" strokecolor="#000000">
                <v:path arrowok="t"/>
              </v:shape>
            </v:group>
            <v:group style="position:absolute;left:3604;top:3445;width:533;height:2" coordorigin="3604,3445" coordsize="533,2">
              <v:shape style="position:absolute;left:3604;top:3445;width:533;height:2" coordorigin="3604,3445" coordsize="533,0" path="m3604,3445l4137,3445e" filled="false" stroked="true" strokeweight="1.5pt" strokecolor="#000000">
                <v:path arrowok="t"/>
              </v:shape>
            </v:group>
            <v:group style="position:absolute;left:4137;top:3445;width:708;height:2" coordorigin="4137,3445" coordsize="708,2">
              <v:shape style="position:absolute;left:4137;top:3445;width:708;height:2" coordorigin="4137,3445" coordsize="708,0" path="m4137,3445l4845,3445e" filled="false" stroked="true" strokeweight="1.5pt" strokecolor="#000000">
                <v:path arrowok="t"/>
              </v:shape>
            </v:group>
            <v:group style="position:absolute;left:4845;top:3445;width:851;height:2" coordorigin="4845,3445" coordsize="851,2">
              <v:shape style="position:absolute;left:4845;top:3445;width:851;height:2" coordorigin="4845,3445" coordsize="851,0" path="m4845,3445l5696,3445e" filled="false" stroked="true" strokeweight="1.5pt" strokecolor="#000000">
                <v:path arrowok="t"/>
              </v:shape>
            </v:group>
            <v:group style="position:absolute;left:5696;top:3445;width:770;height:2" coordorigin="5696,3445" coordsize="770,2">
              <v:shape style="position:absolute;left:5696;top:3445;width:770;height:2" coordorigin="5696,3445" coordsize="770,0" path="m5696,3445l6465,3445e" filled="false" stroked="true" strokeweight="1.5pt" strokecolor="#000000">
                <v:path arrowok="t"/>
              </v:shape>
            </v:group>
            <v:group style="position:absolute;left:6465;top:3445;width:815;height:2" coordorigin="6465,3445" coordsize="815,2">
              <v:shape style="position:absolute;left:6465;top:3445;width:815;height:2" coordorigin="6465,3445" coordsize="815,0" path="m6465,3445l7280,3445e" filled="false" stroked="true" strokeweight="1.5pt" strokecolor="#000000">
                <v:path arrowok="t"/>
              </v:shape>
            </v:group>
            <v:group style="position:absolute;left:7280;top:3445;width:710;height:2" coordorigin="7280,3445" coordsize="710,2">
              <v:shape style="position:absolute;left:7280;top:3445;width:710;height:2" coordorigin="7280,3445" coordsize="710,0" path="m7280,3445l7989,3445e" filled="false" stroked="true" strokeweight="1.5pt" strokecolor="#000000">
                <v:path arrowok="t"/>
              </v:shape>
            </v:group>
            <v:group style="position:absolute;left:7989;top:3445;width:854;height:2" coordorigin="7989,3445" coordsize="854,2">
              <v:shape style="position:absolute;left:7989;top:3445;width:854;height:2" coordorigin="7989,3445" coordsize="854,0" path="m7989,3445l8842,3445e" filled="false" stroked="true" strokeweight="1.5pt" strokecolor="#000000">
                <v:path arrowok="t"/>
              </v:shape>
            </v:group>
            <v:group style="position:absolute;left:8842;top:3445;width:936;height:2" coordorigin="8842,3445" coordsize="936,2">
              <v:shape style="position:absolute;left:8842;top:3445;width:936;height:2" coordorigin="8842,3445" coordsize="936,0" path="m8842,3445l9778,3445e" filled="false" stroked="true" strokeweight="1.5pt" strokecolor="#000000">
                <v:path arrowok="t"/>
              </v:shape>
              <v:shape style="position:absolute;left:1;top:1499;width:10978;height:1931" type="#_x0000_t75" stroked="false">
                <v:imagedata r:id="rId162" o:title=""/>
              </v:shape>
            </v:group>
            <v:group style="position:absolute;left:9778;top:3445;width:1168;height:2" coordorigin="9778,3445" coordsize="1168,2">
              <v:shape style="position:absolute;left:9778;top:3445;width:1168;height:2" coordorigin="9778,3445" coordsize="1168,0" path="m9778,3445l10946,3445e" filled="false" stroked="true" strokeweight="1.5pt" strokecolor="#000000">
                <v:path arrowok="t"/>
              </v:shape>
              <v:shape style="position:absolute;left:203;top:31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工程</w:t>
                      </w:r>
                    </w:p>
                  </w:txbxContent>
                </v:textbox>
                <w10:wrap type="none"/>
              </v:shape>
              <v:shape style="position:absolute;left:3697;top:31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转入</w:t>
                      </w:r>
                    </w:p>
                  </w:txbxContent>
                </v:textbox>
                <w10:wrap type="none"/>
              </v:shape>
              <v:shape style="position:absolute;left:5005;top:127;width:540;height:55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工程投</w:t>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入占预</w:t>
                      </w:r>
                    </w:p>
                  </w:txbxContent>
                </v:textbox>
                <w10:wrap type="none"/>
              </v:shape>
              <v:shape style="position:absolute;left:6607;top:31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利息资</w:t>
                      </w:r>
                    </w:p>
                  </w:txbxContent>
                </v:textbox>
                <w10:wrap type="none"/>
              </v:shape>
              <v:shape style="position:absolute;left:5815;top:50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工程进</w:t>
                      </w:r>
                    </w:p>
                  </w:txbxContent>
                </v:textbox>
                <w10:wrap type="none"/>
              </v:shape>
              <v:shape style="position:absolute;left:7300;top:127;width:1391;height:555" type="#_x0000_t202" filled="false" stroked="false">
                <v:textbox inset="0,0,0,0">
                  <w:txbxContent>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其中：本</w:t>
                      </w:r>
                    </w:p>
                    <w:p>
                      <w:pPr>
                        <w:spacing w:line="187" w:lineRule="exact" w:before="0"/>
                        <w:ind w:left="850" w:right="0" w:firstLine="0"/>
                        <w:jc w:val="left"/>
                        <w:rPr>
                          <w:rFonts w:ascii="宋体" w:hAnsi="宋体" w:cs="宋体" w:eastAsia="宋体" w:hint="default"/>
                          <w:sz w:val="18"/>
                          <w:szCs w:val="18"/>
                        </w:rPr>
                      </w:pPr>
                      <w:r>
                        <w:rPr>
                          <w:rFonts w:ascii="宋体" w:hAnsi="宋体" w:cs="宋体" w:eastAsia="宋体" w:hint="default"/>
                          <w:sz w:val="18"/>
                          <w:szCs w:val="18"/>
                        </w:rPr>
                        <w:t>本期利</w:t>
                      </w:r>
                    </w:p>
                    <w:p>
                      <w:pPr>
                        <w:spacing w:line="211" w:lineRule="exact" w:before="0"/>
                        <w:ind w:left="75" w:right="0" w:firstLine="0"/>
                        <w:jc w:val="left"/>
                        <w:rPr>
                          <w:rFonts w:ascii="宋体" w:hAnsi="宋体" w:cs="宋体" w:eastAsia="宋体" w:hint="default"/>
                          <w:sz w:val="18"/>
                          <w:szCs w:val="18"/>
                        </w:rPr>
                      </w:pPr>
                      <w:r>
                        <w:rPr>
                          <w:rFonts w:ascii="宋体" w:hAnsi="宋体" w:cs="宋体" w:eastAsia="宋体" w:hint="default"/>
                          <w:sz w:val="18"/>
                          <w:szCs w:val="18"/>
                        </w:rPr>
                        <w:t>期利息</w:t>
                      </w:r>
                    </w:p>
                  </w:txbxContent>
                </v:textbox>
                <w10:wrap type="none"/>
              </v:shape>
              <v:shape style="position:absolute;left:2153;top:50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w:t>
                      </w:r>
                    </w:p>
                  </w:txbxContent>
                </v:textbox>
                <w10:wrap type="none"/>
              </v:shape>
              <v:shape style="position:absolute;left:4316;top:50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203;top:689;width:6944;height:555" type="#_x0000_t202" filled="false" stroked="false">
                <v:textbox inset="0,0,0,0">
                  <w:txbxContent>
                    <w:p>
                      <w:pPr>
                        <w:tabs>
                          <w:tab w:pos="937" w:val="left" w:leader="none"/>
                          <w:tab w:pos="2533" w:val="left" w:leader="none"/>
                          <w:tab w:pos="3493" w:val="left" w:leader="none"/>
                          <w:tab w:pos="640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tab/>
                        <w:t>预算数</w:t>
                        <w:tab/>
                        <w:t>本期增加</w:t>
                        <w:tab/>
                        <w:t>固定</w:t>
                        <w:tab/>
                        <w:t>本化累</w:t>
                      </w:r>
                    </w:p>
                    <w:p>
                      <w:pPr>
                        <w:tabs>
                          <w:tab w:pos="3493" w:val="left" w:leader="none"/>
                          <w:tab w:pos="6403" w:val="left" w:leader="none"/>
                        </w:tabs>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名称</w:t>
                        <w:tab/>
                        <w:t>资产</w:t>
                        <w:tab/>
                        <w:t>计金额</w:t>
                      </w:r>
                    </w:p>
                  </w:txbxContent>
                </v:textbox>
                <w10:wrap type="none"/>
              </v:shape>
              <v:shape style="position:absolute;left:8105;top:689;width:630;height:565" type="#_x0000_t202" filled="false" stroked="false">
                <v:textbox inset="0,0,0,0">
                  <w:txbxContent>
                    <w:p>
                      <w:pPr>
                        <w:spacing w:line="180" w:lineRule="exact" w:before="0"/>
                        <w:ind w:left="0" w:right="0" w:firstLine="45"/>
                        <w:jc w:val="left"/>
                        <w:rPr>
                          <w:rFonts w:ascii="宋体" w:hAnsi="宋体" w:cs="宋体" w:eastAsia="宋体" w:hint="default"/>
                          <w:sz w:val="18"/>
                          <w:szCs w:val="18"/>
                        </w:rPr>
                      </w:pPr>
                      <w:r>
                        <w:rPr>
                          <w:rFonts w:ascii="宋体" w:hAnsi="宋体" w:cs="宋体" w:eastAsia="宋体" w:hint="default"/>
                          <w:sz w:val="18"/>
                          <w:szCs w:val="18"/>
                        </w:rPr>
                        <w:t>息资本</w:t>
                      </w:r>
                    </w:p>
                    <w:p>
                      <w:pPr>
                        <w:spacing w:line="245" w:lineRule="exact" w:before="139"/>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化率</w:t>
                      </w:r>
                      <w:r>
                        <w:rPr>
                          <w:rFonts w:ascii="Times New Roman" w:hAnsi="Times New Roman" w:cs="Times New Roman" w:eastAsia="Times New Roman" w:hint="default"/>
                          <w:sz w:val="18"/>
                          <w:szCs w:val="18"/>
                        </w:rPr>
                        <w:t>(%)</w:t>
                      </w:r>
                    </w:p>
                  </w:txbxContent>
                </v:textbox>
                <w10:wrap type="none"/>
              </v:shape>
              <v:shape style="position:absolute;left:8956;top:689;width:1769;height:180" type="#_x0000_t202" filled="false" stroked="false">
                <v:textbox inset="0,0,0,0">
                  <w:txbxContent>
                    <w:p>
                      <w:pPr>
                        <w:tabs>
                          <w:tab w:pos="1048"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资金来源</w:t>
                        <w:tab/>
                        <w:t>期末余额</w:t>
                      </w:r>
                    </w:p>
                  </w:txbxContent>
                </v:textbox>
                <w10:wrap type="none"/>
              </v:shape>
              <v:shape style="position:absolute;left:2153;top:87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余额</w:t>
                      </w:r>
                    </w:p>
                  </w:txbxContent>
                </v:textbox>
                <w10:wrap type="none"/>
              </v:shape>
              <v:shape style="position:absolute;left:4316;top:87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减少</w:t>
                      </w:r>
                    </w:p>
                  </w:txbxContent>
                </v:textbox>
                <w10:wrap type="none"/>
              </v:shape>
              <v:shape style="position:absolute;left:5005;top:87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算比例</w:t>
                      </w:r>
                    </w:p>
                  </w:txbxContent>
                </v:textbox>
                <w10:wrap type="none"/>
              </v:shape>
              <v:shape style="position:absolute;left:5995;top:87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度</w:t>
                      </w:r>
                    </w:p>
                  </w:txbxContent>
                </v:textbox>
                <w10:wrap type="none"/>
              </v:shape>
              <v:shape style="position:absolute;left:7376;top:87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资本化</w:t>
                      </w:r>
                    </w:p>
                  </w:txbxContent>
                </v:textbox>
                <w10:wrap type="none"/>
              </v:shape>
              <v:shape style="position:absolute;left:5140;top:1251;width:2686;height:188" type="#_x0000_t202" filled="false" stroked="false">
                <v:textbox inset="0,0,0,0">
                  <w:txbxContent>
                    <w:p>
                      <w:pPr>
                        <w:tabs>
                          <w:tab w:pos="2325" w:val="left" w:leader="none"/>
                        </w:tabs>
                        <w:spacing w:line="187"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tab/>
                      </w:r>
                      <w:r>
                        <w:rPr>
                          <w:rFonts w:ascii="宋体" w:hAnsi="宋体" w:cs="宋体" w:eastAsia="宋体" w:hint="default"/>
                          <w:sz w:val="18"/>
                          <w:szCs w:val="18"/>
                        </w:rPr>
                        <w:t>金额</w:t>
                      </w:r>
                    </w:p>
                  </w:txbxContent>
                </v:textbox>
                <w10:wrap type="none"/>
              </v:shape>
              <v:shape style="position:absolute;left:137;top:1635;width:49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办</w:t>
                      </w:r>
                      <w:r>
                        <w:rPr>
                          <w:rFonts w:ascii="宋体" w:hAnsi="宋体" w:cs="宋体" w:eastAsia="宋体" w:hint="default"/>
                          <w:spacing w:val="43"/>
                          <w:sz w:val="18"/>
                          <w:szCs w:val="18"/>
                        </w:rPr>
                        <w:t> </w:t>
                      </w:r>
                      <w:r>
                        <w:rPr>
                          <w:rFonts w:ascii="宋体" w:hAnsi="宋体" w:cs="宋体" w:eastAsia="宋体" w:hint="default"/>
                          <w:sz w:val="18"/>
                          <w:szCs w:val="18"/>
                        </w:rPr>
                        <w:t>公</w:t>
                      </w:r>
                    </w:p>
                  </w:txbxContent>
                </v:textbox>
                <w10:wrap type="none"/>
              </v:shape>
              <v:shape style="position:absolute;left:2692;top:1635;width:8147;height:375" type="#_x0000_t202" filled="false" stroked="false">
                <v:textbox inset="0,0,0,0">
                  <w:txbxContent>
                    <w:p>
                      <w:pPr>
                        <w:spacing w:line="156" w:lineRule="exact" w:before="0"/>
                        <w:ind w:left="0" w:right="1360" w:firstLine="0"/>
                        <w:jc w:val="center"/>
                        <w:rPr>
                          <w:rFonts w:ascii="宋体" w:hAnsi="宋体" w:cs="宋体" w:eastAsia="宋体" w:hint="default"/>
                          <w:sz w:val="18"/>
                          <w:szCs w:val="18"/>
                        </w:rPr>
                      </w:pPr>
                      <w:r>
                        <w:rPr>
                          <w:rFonts w:ascii="宋体" w:hAnsi="宋体" w:cs="宋体" w:eastAsia="宋体" w:hint="default"/>
                          <w:sz w:val="18"/>
                          <w:szCs w:val="18"/>
                        </w:rPr>
                        <w:t>筹建状</w:t>
                      </w:r>
                    </w:p>
                    <w:p>
                      <w:pPr>
                        <w:tabs>
                          <w:tab w:pos="6263" w:val="left" w:leader="none"/>
                          <w:tab w:pos="7335" w:val="left" w:leader="none"/>
                        </w:tabs>
                        <w:spacing w:line="219"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101,535.00</w:t>
                        <w:tab/>
                      </w:r>
                      <w:r>
                        <w:rPr>
                          <w:rFonts w:ascii="宋体" w:hAnsi="宋体" w:cs="宋体" w:eastAsia="宋体" w:hint="default"/>
                          <w:sz w:val="18"/>
                          <w:szCs w:val="18"/>
                        </w:rPr>
                        <w:t>自有资金</w:t>
                        <w:tab/>
                      </w:r>
                      <w:r>
                        <w:rPr>
                          <w:rFonts w:ascii="Times New Roman" w:hAnsi="Times New Roman" w:cs="Times New Roman" w:eastAsia="Times New Roman" w:hint="default"/>
                          <w:sz w:val="18"/>
                          <w:szCs w:val="18"/>
                        </w:rPr>
                        <w:t>101,535.00</w:t>
                      </w:r>
                    </w:p>
                  </w:txbxContent>
                </v:textbox>
                <w10:wrap type="none"/>
              </v:shape>
              <v:shape style="position:absolute;left:137;top:2009;width:10702;height:940" type="#_x0000_t202" filled="false" stroked="false">
                <v:textbox inset="0,0,0,0">
                  <w:txbxContent>
                    <w:p>
                      <w:pPr>
                        <w:tabs>
                          <w:tab w:pos="585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楼</w:t>
                        <w:tab/>
                        <w:t>态</w:t>
                      </w:r>
                    </w:p>
                    <w:p>
                      <w:pPr>
                        <w:spacing w:line="211" w:lineRule="exact" w:before="149"/>
                        <w:ind w:left="1192" w:right="0" w:firstLine="0"/>
                        <w:jc w:val="center"/>
                        <w:rPr>
                          <w:rFonts w:ascii="宋体" w:hAnsi="宋体" w:cs="宋体" w:eastAsia="宋体" w:hint="default"/>
                          <w:sz w:val="18"/>
                          <w:szCs w:val="18"/>
                        </w:rPr>
                      </w:pPr>
                      <w:r>
                        <w:rPr>
                          <w:rFonts w:ascii="宋体" w:hAnsi="宋体" w:cs="宋体" w:eastAsia="宋体" w:hint="default"/>
                          <w:sz w:val="18"/>
                          <w:szCs w:val="18"/>
                        </w:rPr>
                        <w:t>筹建状</w:t>
                      </w:r>
                    </w:p>
                    <w:p>
                      <w:pPr>
                        <w:tabs>
                          <w:tab w:pos="712" w:val="left" w:leader="none"/>
                          <w:tab w:pos="2554" w:val="left" w:leader="none"/>
                          <w:tab w:pos="5140" w:val="left" w:leader="none"/>
                          <w:tab w:pos="8818" w:val="left" w:leader="none"/>
                          <w:tab w:pos="9890" w:val="left" w:leader="none"/>
                        </w:tabs>
                        <w:spacing w:line="194"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厂房</w:t>
                        <w:tab/>
                      </w:r>
                      <w:r>
                        <w:rPr>
                          <w:rFonts w:ascii="Times New Roman" w:hAnsi="Times New Roman" w:cs="Times New Roman" w:eastAsia="Times New Roman" w:hint="default"/>
                          <w:spacing w:val="-1"/>
                          <w:sz w:val="18"/>
                          <w:szCs w:val="18"/>
                        </w:rPr>
                        <w:t>140,000,000.00</w:t>
                        <w:tab/>
                      </w:r>
                      <w:r>
                        <w:rPr>
                          <w:rFonts w:ascii="Times New Roman" w:hAnsi="Times New Roman" w:cs="Times New Roman" w:eastAsia="Times New Roman" w:hint="default"/>
                          <w:sz w:val="18"/>
                          <w:szCs w:val="18"/>
                        </w:rPr>
                        <w:t>774,435.74</w:t>
                        <w:tab/>
                        <w:t>0.55</w:t>
                        <w:tab/>
                      </w:r>
                      <w:r>
                        <w:rPr>
                          <w:rFonts w:ascii="宋体" w:hAnsi="宋体" w:cs="宋体" w:eastAsia="宋体" w:hint="default"/>
                          <w:sz w:val="18"/>
                          <w:szCs w:val="18"/>
                        </w:rPr>
                        <w:t>自有资金</w:t>
                        <w:tab/>
                      </w:r>
                      <w:r>
                        <w:rPr>
                          <w:rFonts w:ascii="Times New Roman" w:hAnsi="Times New Roman" w:cs="Times New Roman" w:eastAsia="Times New Roman" w:hint="default"/>
                          <w:sz w:val="18"/>
                          <w:szCs w:val="18"/>
                        </w:rPr>
                        <w:t>774,435.74</w:t>
                      </w:r>
                    </w:p>
                    <w:p>
                      <w:pPr>
                        <w:spacing w:line="205" w:lineRule="exact" w:before="0"/>
                        <w:ind w:left="1192" w:right="0" w:firstLine="0"/>
                        <w:jc w:val="center"/>
                        <w:rPr>
                          <w:rFonts w:ascii="宋体" w:hAnsi="宋体" w:cs="宋体" w:eastAsia="宋体" w:hint="default"/>
                          <w:sz w:val="18"/>
                          <w:szCs w:val="18"/>
                        </w:rPr>
                      </w:pPr>
                      <w:r>
                        <w:rPr>
                          <w:rFonts w:ascii="宋体" w:hAnsi="宋体" w:cs="宋体" w:eastAsia="宋体" w:hint="default"/>
                          <w:sz w:val="18"/>
                          <w:szCs w:val="18"/>
                        </w:rPr>
                        <w:t>态</w:t>
                      </w:r>
                    </w:p>
                  </w:txbxContent>
                </v:textbox>
                <w10:wrap type="none"/>
              </v:shape>
              <v:shape style="position:absolute;left:203;top:315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692;top:316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875,970.74</w:t>
                      </w:r>
                    </w:p>
                  </w:txbxContent>
                </v:textbox>
                <w10:wrap type="none"/>
              </v:shape>
              <v:shape style="position:absolute;left:10028;top:316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875,970.74</w:t>
                      </w:r>
                    </w:p>
                  </w:txbxContent>
                </v:textbox>
                <w10:wrap type="none"/>
              </v:shape>
            </v:group>
          </v:group>
        </w:pict>
      </w:r>
      <w:r>
        <w:rPr>
          <w:rFonts w:ascii="宋体" w:hAnsi="宋体" w:cs="宋体" w:eastAsia="宋体" w:hint="default"/>
          <w:position w:val="-68"/>
          <w:sz w:val="20"/>
          <w:szCs w:val="20"/>
        </w:rPr>
      </w:r>
    </w:p>
    <w:p>
      <w:pPr>
        <w:spacing w:line="240" w:lineRule="auto" w:before="9"/>
        <w:rPr>
          <w:rFonts w:ascii="宋体" w:hAnsi="宋体" w:cs="宋体" w:eastAsia="宋体" w:hint="default"/>
          <w:b/>
          <w:bCs/>
          <w:sz w:val="5"/>
          <w:szCs w:val="5"/>
        </w:rPr>
      </w:pPr>
    </w:p>
    <w:p>
      <w:pPr>
        <w:spacing w:before="35"/>
        <w:ind w:left="1710" w:right="0" w:firstLine="0"/>
        <w:jc w:val="left"/>
        <w:rPr>
          <w:rFonts w:ascii="宋体" w:hAnsi="宋体" w:cs="宋体" w:eastAsia="宋体" w:hint="default"/>
          <w:sz w:val="21"/>
          <w:szCs w:val="21"/>
        </w:rPr>
      </w:pPr>
      <w:r>
        <w:rPr>
          <w:rFonts w:ascii="宋体" w:hAnsi="宋体" w:cs="宋体" w:eastAsia="宋体" w:hint="default"/>
          <w:sz w:val="21"/>
          <w:szCs w:val="21"/>
        </w:rPr>
        <w:t>期末无用于抵押或担保的在建工程。</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tabs>
          <w:tab w:pos="2248" w:val="left" w:leader="none"/>
        </w:tabs>
        <w:spacing w:before="0"/>
        <w:ind w:left="1710"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期末在建工程未有减值迹象，故未对其计提减值准备。</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1256" w:top="1060" w:bottom="1440" w:left="300" w:right="40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3"/>
          <w:szCs w:val="23"/>
        </w:rPr>
      </w:pPr>
    </w:p>
    <w:p>
      <w:pPr>
        <w:spacing w:before="35"/>
        <w:ind w:left="138" w:right="98"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十三</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无形资产</w:t>
      </w:r>
      <w:r>
        <w:rPr>
          <w:rFonts w:ascii="宋体" w:hAnsi="宋体" w:cs="宋体" w:eastAsia="宋体" w:hint="default"/>
          <w:sz w:val="21"/>
          <w:szCs w:val="21"/>
        </w:rPr>
      </w:r>
    </w:p>
    <w:p>
      <w:pPr>
        <w:tabs>
          <w:tab w:pos="1408" w:val="left" w:leader="none"/>
        </w:tabs>
        <w:spacing w:before="110"/>
        <w:ind w:left="869" w:right="98"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无形资产情况</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225" w:type="dxa"/>
        <w:tblLayout w:type="fixed"/>
        <w:tblCellMar>
          <w:top w:w="0" w:type="dxa"/>
          <w:left w:w="0" w:type="dxa"/>
          <w:bottom w:w="0" w:type="dxa"/>
          <w:right w:w="0" w:type="dxa"/>
        </w:tblCellMar>
        <w:tblLook w:val="01E0"/>
      </w:tblPr>
      <w:tblGrid>
        <w:gridCol w:w="2709"/>
        <w:gridCol w:w="1417"/>
        <w:gridCol w:w="1451"/>
        <w:gridCol w:w="1438"/>
        <w:gridCol w:w="1771"/>
      </w:tblGrid>
      <w:tr>
        <w:trPr>
          <w:trHeight w:val="768" w:hRule="exact"/>
        </w:trPr>
        <w:tc>
          <w:tcPr>
            <w:tcW w:w="270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003" w:right="0"/>
              <w:jc w:val="left"/>
              <w:rPr>
                <w:rFonts w:ascii="宋体" w:hAnsi="宋体" w:cs="宋体" w:eastAsia="宋体" w:hint="default"/>
                <w:sz w:val="18"/>
                <w:szCs w:val="18"/>
              </w:rPr>
            </w:pPr>
            <w:r>
              <w:rPr>
                <w:rFonts w:ascii="宋体" w:hAnsi="宋体" w:cs="宋体" w:eastAsia="宋体" w:hint="default"/>
                <w:sz w:val="18"/>
                <w:szCs w:val="18"/>
              </w:rPr>
              <w:t>项  目</w:t>
            </w:r>
          </w:p>
          <w:p>
            <w:pPr>
              <w:pStyle w:val="TableParagraph"/>
              <w:spacing w:line="240" w:lineRule="auto" w:before="148"/>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、账面原值合计</w:t>
            </w:r>
          </w:p>
        </w:tc>
        <w:tc>
          <w:tcPr>
            <w:tcW w:w="141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59"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410" w:right="0"/>
              <w:jc w:val="left"/>
              <w:rPr>
                <w:rFonts w:ascii="Times New Roman" w:hAnsi="Times New Roman" w:cs="Times New Roman" w:eastAsia="Times New Roman" w:hint="default"/>
                <w:sz w:val="18"/>
                <w:szCs w:val="18"/>
              </w:rPr>
            </w:pPr>
            <w:r>
              <w:rPr>
                <w:rFonts w:ascii="Times New Roman"/>
                <w:sz w:val="18"/>
              </w:rPr>
              <w:t>498,824.40</w:t>
            </w:r>
          </w:p>
        </w:tc>
        <w:tc>
          <w:tcPr>
            <w:tcW w:w="145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1" w:right="0"/>
              <w:jc w:val="left"/>
              <w:rPr>
                <w:rFonts w:ascii="宋体" w:hAnsi="宋体" w:cs="宋体" w:eastAsia="宋体" w:hint="default"/>
                <w:sz w:val="18"/>
                <w:szCs w:val="18"/>
              </w:rPr>
            </w:pPr>
            <w:r>
              <w:rPr>
                <w:rFonts w:ascii="宋体" w:hAnsi="宋体" w:cs="宋体" w:eastAsia="宋体" w:hint="default"/>
                <w:sz w:val="18"/>
                <w:szCs w:val="18"/>
              </w:rPr>
              <w:t>本期增加</w:t>
            </w: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94" w:right="0"/>
              <w:jc w:val="left"/>
              <w:rPr>
                <w:rFonts w:ascii="Times New Roman" w:hAnsi="Times New Roman" w:cs="Times New Roman" w:eastAsia="Times New Roman" w:hint="default"/>
                <w:sz w:val="18"/>
                <w:szCs w:val="18"/>
              </w:rPr>
            </w:pPr>
            <w:r>
              <w:rPr>
                <w:rFonts w:ascii="Times New Roman"/>
                <w:sz w:val="18"/>
              </w:rPr>
              <w:t>48,112,820.15</w:t>
            </w:r>
          </w:p>
        </w:tc>
        <w:tc>
          <w:tcPr>
            <w:tcW w:w="143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2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77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90"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706" w:right="0"/>
              <w:jc w:val="left"/>
              <w:rPr>
                <w:rFonts w:ascii="Times New Roman" w:hAnsi="Times New Roman" w:cs="Times New Roman" w:eastAsia="Times New Roman" w:hint="default"/>
                <w:sz w:val="18"/>
                <w:szCs w:val="18"/>
              </w:rPr>
            </w:pPr>
            <w:r>
              <w:rPr>
                <w:rFonts w:ascii="Times New Roman"/>
                <w:sz w:val="18"/>
              </w:rPr>
              <w:t>48,611,644.55</w:t>
            </w:r>
          </w:p>
        </w:tc>
      </w:tr>
      <w:tr>
        <w:trPr>
          <w:trHeight w:val="338" w:hRule="exact"/>
        </w:trPr>
        <w:tc>
          <w:tcPr>
            <w:tcW w:w="270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(1).NS_5GT_108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防火墙</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92"/>
              <w:jc w:val="right"/>
              <w:rPr>
                <w:rFonts w:ascii="Times New Roman" w:hAnsi="Times New Roman" w:cs="Times New Roman" w:eastAsia="Times New Roman" w:hint="default"/>
                <w:sz w:val="18"/>
                <w:szCs w:val="18"/>
              </w:rPr>
            </w:pPr>
            <w:r>
              <w:rPr>
                <w:rFonts w:ascii="Times New Roman"/>
                <w:sz w:val="18"/>
              </w:rPr>
              <w:t>5,800.00</w:t>
            </w:r>
          </w:p>
        </w:tc>
        <w:tc>
          <w:tcPr>
            <w:tcW w:w="1451"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Times New Roman" w:hAnsi="Times New Roman" w:cs="Times New Roman" w:eastAsia="Times New Roman" w:hint="default"/>
                <w:sz w:val="18"/>
                <w:szCs w:val="18"/>
              </w:rPr>
            </w:pPr>
            <w:r>
              <w:rPr>
                <w:rFonts w:ascii="Times New Roman"/>
                <w:sz w:val="18"/>
              </w:rPr>
              <w:t>5,800.00</w:t>
            </w:r>
          </w:p>
        </w:tc>
      </w:tr>
      <w:tr>
        <w:trPr>
          <w:trHeight w:val="322" w:hRule="exact"/>
        </w:trPr>
        <w:tc>
          <w:tcPr>
            <w:tcW w:w="270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科学城土地使用权＊</w:t>
            </w:r>
            <w:r>
              <w:rPr>
                <w:rFonts w:ascii="Times New Roman" w:hAnsi="Times New Roman" w:cs="Times New Roman" w:eastAsia="Times New Roman" w:hint="default"/>
                <w:sz w:val="18"/>
                <w:szCs w:val="18"/>
              </w:rPr>
              <w:t>1</w:t>
            </w:r>
          </w:p>
        </w:tc>
        <w:tc>
          <w:tcPr>
            <w:tcW w:w="1417" w:type="dxa"/>
            <w:tcBorders>
              <w:top w:val="nil" w:sz="6" w:space="0" w:color="auto"/>
              <w:left w:val="nil" w:sz="6" w:space="0" w:color="auto"/>
              <w:bottom w:val="nil" w:sz="6" w:space="0" w:color="auto"/>
              <w:right w:val="nil" w:sz="6" w:space="0" w:color="auto"/>
            </w:tcBorders>
          </w:tcPr>
          <w:p>
            <w:pP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5"/>
              <w:jc w:val="right"/>
              <w:rPr>
                <w:rFonts w:ascii="Times New Roman" w:hAnsi="Times New Roman" w:cs="Times New Roman" w:eastAsia="Times New Roman" w:hint="default"/>
                <w:sz w:val="18"/>
                <w:szCs w:val="18"/>
              </w:rPr>
            </w:pPr>
            <w:r>
              <w:rPr>
                <w:rFonts w:ascii="Times New Roman"/>
                <w:spacing w:val="-1"/>
                <w:sz w:val="18"/>
              </w:rPr>
              <w:t>9,270,000.00</w:t>
            </w:r>
          </w:p>
        </w:tc>
        <w:tc>
          <w:tcPr>
            <w:tcW w:w="1438"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pacing w:val="-1"/>
                <w:sz w:val="18"/>
              </w:rPr>
              <w:t>9,270,000.00</w:t>
            </w:r>
          </w:p>
        </w:tc>
      </w:tr>
      <w:tr>
        <w:trPr>
          <w:trHeight w:val="322" w:hRule="exact"/>
        </w:trPr>
        <w:tc>
          <w:tcPr>
            <w:tcW w:w="270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金蝶软件</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92"/>
              <w:jc w:val="right"/>
              <w:rPr>
                <w:rFonts w:ascii="Times New Roman" w:hAnsi="Times New Roman" w:cs="Times New Roman" w:eastAsia="Times New Roman" w:hint="default"/>
                <w:sz w:val="18"/>
                <w:szCs w:val="18"/>
              </w:rPr>
            </w:pPr>
            <w:r>
              <w:rPr>
                <w:rFonts w:ascii="Times New Roman"/>
                <w:sz w:val="18"/>
              </w:rPr>
              <w:t>136,250.00</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5"/>
              <w:jc w:val="right"/>
              <w:rPr>
                <w:rFonts w:ascii="Times New Roman" w:hAnsi="Times New Roman" w:cs="Times New Roman" w:eastAsia="Times New Roman" w:hint="default"/>
                <w:sz w:val="18"/>
                <w:szCs w:val="18"/>
              </w:rPr>
            </w:pPr>
            <w:r>
              <w:rPr>
                <w:rFonts w:ascii="Times New Roman"/>
                <w:sz w:val="18"/>
              </w:rPr>
              <w:t>52,000.00</w:t>
            </w:r>
          </w:p>
        </w:tc>
        <w:tc>
          <w:tcPr>
            <w:tcW w:w="1438"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z w:val="18"/>
              </w:rPr>
              <w:t>188,250.00</w:t>
            </w:r>
          </w:p>
        </w:tc>
      </w:tr>
      <w:tr>
        <w:trPr>
          <w:trHeight w:val="322" w:hRule="exact"/>
        </w:trPr>
        <w:tc>
          <w:tcPr>
            <w:tcW w:w="270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(4).KINGTELLER&amp;</w:t>
            </w:r>
            <w:r>
              <w:rPr>
                <w:rFonts w:ascii="宋体" w:hAnsi="宋体" w:cs="宋体" w:eastAsia="宋体" w:hint="default"/>
                <w:sz w:val="18"/>
                <w:szCs w:val="18"/>
              </w:rPr>
              <w:t>御银商标</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92"/>
              <w:jc w:val="right"/>
              <w:rPr>
                <w:rFonts w:ascii="Times New Roman" w:hAnsi="Times New Roman" w:cs="Times New Roman" w:eastAsia="Times New Roman" w:hint="default"/>
                <w:sz w:val="18"/>
                <w:szCs w:val="18"/>
              </w:rPr>
            </w:pPr>
            <w:r>
              <w:rPr>
                <w:rFonts w:ascii="Times New Roman"/>
                <w:sz w:val="18"/>
              </w:rPr>
              <w:t>3,904.80</w:t>
            </w:r>
          </w:p>
        </w:tc>
        <w:tc>
          <w:tcPr>
            <w:tcW w:w="1451"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z w:val="18"/>
              </w:rPr>
              <w:t>3,904.80</w:t>
            </w:r>
          </w:p>
        </w:tc>
      </w:tr>
      <w:tr>
        <w:trPr>
          <w:trHeight w:val="322" w:hRule="exact"/>
        </w:trPr>
        <w:tc>
          <w:tcPr>
            <w:tcW w:w="270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(5).1688A</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大堂式外观专利</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92"/>
              <w:jc w:val="right"/>
              <w:rPr>
                <w:rFonts w:ascii="Times New Roman" w:hAnsi="Times New Roman" w:cs="Times New Roman" w:eastAsia="Times New Roman" w:hint="default"/>
                <w:sz w:val="18"/>
                <w:szCs w:val="18"/>
              </w:rPr>
            </w:pPr>
            <w:r>
              <w:rPr>
                <w:rFonts w:ascii="Times New Roman"/>
                <w:sz w:val="18"/>
              </w:rPr>
              <w:t>1,809.60</w:t>
            </w:r>
          </w:p>
        </w:tc>
        <w:tc>
          <w:tcPr>
            <w:tcW w:w="1451"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z w:val="18"/>
              </w:rPr>
              <w:t>1,809.60</w:t>
            </w:r>
          </w:p>
        </w:tc>
      </w:tr>
      <w:tr>
        <w:trPr>
          <w:trHeight w:val="322" w:hRule="exact"/>
        </w:trPr>
        <w:tc>
          <w:tcPr>
            <w:tcW w:w="270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自动柜员机面板</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外观专利</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92"/>
              <w:jc w:val="right"/>
              <w:rPr>
                <w:rFonts w:ascii="Times New Roman" w:hAnsi="Times New Roman" w:cs="Times New Roman" w:eastAsia="Times New Roman" w:hint="default"/>
                <w:sz w:val="18"/>
                <w:szCs w:val="18"/>
              </w:rPr>
            </w:pPr>
            <w:r>
              <w:rPr>
                <w:rFonts w:ascii="Times New Roman"/>
                <w:sz w:val="18"/>
              </w:rPr>
              <w:t>8,575.00</w:t>
            </w:r>
          </w:p>
        </w:tc>
        <w:tc>
          <w:tcPr>
            <w:tcW w:w="1451"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z w:val="18"/>
              </w:rPr>
              <w:t>8,575.00</w:t>
            </w:r>
          </w:p>
        </w:tc>
      </w:tr>
      <w:tr>
        <w:trPr>
          <w:trHeight w:val="322" w:hRule="exact"/>
        </w:trPr>
        <w:tc>
          <w:tcPr>
            <w:tcW w:w="270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人民币防伪鉴别仪外观专利</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92"/>
              <w:jc w:val="right"/>
              <w:rPr>
                <w:rFonts w:ascii="Times New Roman" w:hAnsi="Times New Roman" w:cs="Times New Roman" w:eastAsia="Times New Roman" w:hint="default"/>
                <w:sz w:val="18"/>
                <w:szCs w:val="18"/>
              </w:rPr>
            </w:pPr>
            <w:r>
              <w:rPr>
                <w:rFonts w:ascii="Times New Roman"/>
                <w:sz w:val="18"/>
              </w:rPr>
              <w:t>3,305.00</w:t>
            </w:r>
          </w:p>
        </w:tc>
        <w:tc>
          <w:tcPr>
            <w:tcW w:w="1451"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z w:val="18"/>
              </w:rPr>
              <w:t>3,305.00</w:t>
            </w:r>
          </w:p>
        </w:tc>
      </w:tr>
      <w:tr>
        <w:trPr>
          <w:trHeight w:val="322" w:hRule="exact"/>
        </w:trPr>
        <w:tc>
          <w:tcPr>
            <w:tcW w:w="270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(8).URT racker</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事务系统</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92"/>
              <w:jc w:val="right"/>
              <w:rPr>
                <w:rFonts w:ascii="Times New Roman" w:hAnsi="Times New Roman" w:cs="Times New Roman" w:eastAsia="Times New Roman" w:hint="default"/>
                <w:sz w:val="18"/>
                <w:szCs w:val="18"/>
              </w:rPr>
            </w:pPr>
            <w:r>
              <w:rPr>
                <w:rFonts w:ascii="Times New Roman"/>
                <w:sz w:val="18"/>
              </w:rPr>
              <w:t>3,630.00</w:t>
            </w:r>
          </w:p>
        </w:tc>
        <w:tc>
          <w:tcPr>
            <w:tcW w:w="1451"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z w:val="18"/>
              </w:rPr>
              <w:t>3,630.00</w:t>
            </w:r>
          </w:p>
        </w:tc>
      </w:tr>
      <w:tr>
        <w:trPr>
          <w:trHeight w:val="322" w:hRule="exact"/>
        </w:trPr>
        <w:tc>
          <w:tcPr>
            <w:tcW w:w="270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办公自动化系统</w:t>
            </w:r>
            <w:r>
              <w:rPr>
                <w:rFonts w:ascii="Times New Roman" w:hAnsi="Times New Roman" w:cs="Times New Roman" w:eastAsia="Times New Roman" w:hint="default"/>
                <w:sz w:val="18"/>
                <w:szCs w:val="18"/>
              </w:rPr>
              <w:t>—OA</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系统</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92"/>
              <w:jc w:val="right"/>
              <w:rPr>
                <w:rFonts w:ascii="Times New Roman" w:hAnsi="Times New Roman" w:cs="Times New Roman" w:eastAsia="Times New Roman" w:hint="default"/>
                <w:sz w:val="18"/>
                <w:szCs w:val="18"/>
              </w:rPr>
            </w:pPr>
            <w:r>
              <w:rPr>
                <w:rFonts w:ascii="Times New Roman"/>
                <w:sz w:val="18"/>
              </w:rPr>
              <w:t>50,000.00</w:t>
            </w:r>
          </w:p>
        </w:tc>
        <w:tc>
          <w:tcPr>
            <w:tcW w:w="1451"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z w:val="18"/>
              </w:rPr>
              <w:t>50,000.00</w:t>
            </w:r>
          </w:p>
        </w:tc>
      </w:tr>
      <w:tr>
        <w:trPr>
          <w:trHeight w:val="348" w:hRule="exact"/>
        </w:trPr>
        <w:tc>
          <w:tcPr>
            <w:tcW w:w="270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(10).VideoArts</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培训技术课程</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92"/>
              <w:jc w:val="right"/>
              <w:rPr>
                <w:rFonts w:ascii="Times New Roman" w:hAnsi="Times New Roman" w:cs="Times New Roman" w:eastAsia="Times New Roman" w:hint="default"/>
                <w:sz w:val="18"/>
                <w:szCs w:val="18"/>
              </w:rPr>
            </w:pPr>
            <w:r>
              <w:rPr>
                <w:rFonts w:ascii="Times New Roman"/>
                <w:sz w:val="18"/>
              </w:rPr>
              <w:t>26,700.00</w:t>
            </w:r>
          </w:p>
        </w:tc>
        <w:tc>
          <w:tcPr>
            <w:tcW w:w="1451"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z w:val="18"/>
              </w:rPr>
              <w:t>26,700.00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256" w:top="1060" w:bottom="1440" w:left="1140" w:right="1540"/>
        </w:sectPr>
      </w:pPr>
    </w:p>
    <w:p>
      <w:pPr>
        <w:spacing w:line="234" w:lineRule="exact" w:before="0"/>
        <w:ind w:left="260" w:right="-18" w:firstLine="0"/>
        <w:jc w:val="left"/>
        <w:rPr>
          <w:rFonts w:ascii="宋体" w:hAnsi="宋体" w:cs="宋体" w:eastAsia="宋体" w:hint="default"/>
          <w:sz w:val="18"/>
          <w:szCs w:val="18"/>
        </w:rPr>
      </w:pPr>
      <w:r>
        <w:rPr/>
        <w:pict>
          <v:group style="position:absolute;margin-left:63.150002pt;margin-top:-202.185318pt;width:449.35pt;height:621.15pt;mso-position-horizontal-relative:page;mso-position-vertical-relative:paragraph;z-index:-814288" coordorigin="1263,-4044" coordsize="8987,12423">
            <v:shape style="position:absolute;left:3953;top:-4044;width:4319;height:432" type="#_x0000_t75" stroked="false">
              <v:imagedata r:id="rId163" o:title=""/>
            </v:shape>
            <v:group style="position:absolute;left:1278;top:8364;width:2704;height:2" coordorigin="1278,8364" coordsize="2704,2">
              <v:shape style="position:absolute;left:1278;top:8364;width:2704;height:2" coordorigin="1278,8364" coordsize="2704,0" path="m1278,8364l3982,8364e" filled="false" stroked="true" strokeweight="1.5pt" strokecolor="#000000">
                <v:path arrowok="t"/>
              </v:shape>
              <v:shape style="position:absolute;left:1273;top:-3660;width:8976;height:12028" type="#_x0000_t75" stroked="false">
                <v:imagedata r:id="rId164" o:title=""/>
              </v:shape>
            </v:group>
            <v:group style="position:absolute;left:3982;top:8364;width:1418;height:2" coordorigin="3982,8364" coordsize="1418,2">
              <v:shape style="position:absolute;left:3982;top:8364;width:1418;height:2" coordorigin="3982,8364" coordsize="1418,0" path="m3982,8364l5399,8364e" filled="false" stroked="true" strokeweight="1.5pt" strokecolor="#000000">
                <v:path arrowok="t"/>
              </v:shape>
              <v:shape style="position:absolute;left:5380;top:7704;width:48;height:664" type="#_x0000_t75" stroked="false">
                <v:imagedata r:id="rId165" o:title=""/>
              </v:shape>
            </v:group>
            <v:group style="position:absolute;left:5399;top:8364;width:1419;height:2" coordorigin="5399,8364" coordsize="1419,2">
              <v:shape style="position:absolute;left:5399;top:8364;width:1419;height:2" coordorigin="5399,8364" coordsize="1419,0" path="m5399,8364l6817,8364e" filled="false" stroked="true" strokeweight="1.5pt" strokecolor="#000000">
                <v:path arrowok="t"/>
              </v:shape>
              <v:shape style="position:absolute;left:6798;top:7704;width:48;height:664" type="#_x0000_t75" stroked="false">
                <v:imagedata r:id="rId166" o:title=""/>
              </v:shape>
            </v:group>
            <v:group style="position:absolute;left:6817;top:8364;width:1416;height:2" coordorigin="6817,8364" coordsize="1416,2">
              <v:shape style="position:absolute;left:6817;top:8364;width:1416;height:2" coordorigin="6817,8364" coordsize="1416,0" path="m6817,8364l8233,8364e" filled="false" stroked="true" strokeweight="1.5pt" strokecolor="#000000">
                <v:path arrowok="t"/>
              </v:shape>
              <v:shape style="position:absolute;left:8214;top:7704;width:48;height:664" type="#_x0000_t75" stroked="false">
                <v:imagedata r:id="rId166" o:title=""/>
              </v:shape>
            </v:group>
            <v:group style="position:absolute;left:8233;top:8364;width:1991;height:2" coordorigin="8233,8364" coordsize="1991,2">
              <v:shape style="position:absolute;left:8233;top:8364;width:1991;height:2" coordorigin="8233,8364" coordsize="1991,0" path="m8233,8364l10224,8364e" filled="false" stroked="true" strokeweight="1.5pt" strokecolor="#000000">
                <v:path arrowok="t"/>
              </v:shape>
            </v:group>
            <w10:wrap type="none"/>
          </v:group>
        </w:pict>
      </w:r>
      <w:r>
        <w:rPr>
          <w:rFonts w:ascii="Times New Roman" w:hAnsi="Times New Roman" w:cs="Times New Roman" w:eastAsia="Times New Roman" w:hint="default"/>
          <w:sz w:val="18"/>
          <w:szCs w:val="18"/>
        </w:rPr>
        <w:t>(11).OA</w:t>
      </w:r>
      <w:r>
        <w:rPr>
          <w:rFonts w:ascii="Times New Roman" w:hAnsi="Times New Roman" w:cs="Times New Roman" w:eastAsia="Times New Roman" w:hint="default"/>
          <w:spacing w:val="26"/>
          <w:sz w:val="18"/>
          <w:szCs w:val="18"/>
        </w:rPr>
        <w:t> </w:t>
      </w:r>
      <w:r>
        <w:rPr>
          <w:rFonts w:ascii="宋体" w:hAnsi="宋体" w:cs="宋体" w:eastAsia="宋体" w:hint="default"/>
          <w:sz w:val="18"/>
          <w:szCs w:val="18"/>
        </w:rPr>
        <w:t>系统瑞星杀毒软件及防</w:t>
      </w:r>
    </w:p>
    <w:p>
      <w:pPr>
        <w:spacing w:before="63"/>
        <w:ind w:left="260" w:right="-18" w:firstLine="0"/>
        <w:jc w:val="left"/>
        <w:rPr>
          <w:rFonts w:ascii="宋体" w:hAnsi="宋体" w:cs="宋体" w:eastAsia="宋体" w:hint="default"/>
          <w:sz w:val="18"/>
          <w:szCs w:val="18"/>
        </w:rPr>
      </w:pPr>
      <w:r>
        <w:rPr>
          <w:rFonts w:ascii="宋体" w:hAnsi="宋体" w:cs="宋体" w:eastAsia="宋体" w:hint="default"/>
          <w:sz w:val="18"/>
          <w:szCs w:val="18"/>
        </w:rPr>
        <w:t>火墙</w:t>
      </w:r>
    </w:p>
    <w:p>
      <w:pPr>
        <w:spacing w:line="240" w:lineRule="auto" w:before="10"/>
        <w:rPr>
          <w:rFonts w:ascii="宋体" w:hAnsi="宋体" w:cs="宋体" w:eastAsia="宋体" w:hint="default"/>
          <w:sz w:val="13"/>
          <w:szCs w:val="13"/>
        </w:rPr>
      </w:pPr>
      <w:r>
        <w:rPr/>
        <w:br w:type="column"/>
      </w:r>
      <w:r>
        <w:rPr>
          <w:rFonts w:ascii="宋体"/>
          <w:sz w:val="13"/>
        </w:rPr>
      </w:r>
    </w:p>
    <w:p>
      <w:pPr>
        <w:tabs>
          <w:tab w:pos="5080" w:val="left" w:leader="none"/>
        </w:tabs>
        <w:spacing w:before="0"/>
        <w:ind w:left="260" w:right="0" w:firstLine="0"/>
        <w:jc w:val="left"/>
        <w:rPr>
          <w:rFonts w:ascii="Times New Roman" w:hAnsi="Times New Roman" w:cs="Times New Roman" w:eastAsia="Times New Roman" w:hint="default"/>
          <w:sz w:val="18"/>
          <w:szCs w:val="18"/>
        </w:rPr>
      </w:pPr>
      <w:r>
        <w:rPr>
          <w:rFonts w:ascii="Times New Roman"/>
          <w:sz w:val="18"/>
        </w:rPr>
        <w:t>48,850.00</w:t>
        <w:tab/>
        <w:t>48,850.00</w:t>
      </w:r>
    </w:p>
    <w:p>
      <w:pPr>
        <w:spacing w:after="0"/>
        <w:jc w:val="left"/>
        <w:rPr>
          <w:rFonts w:ascii="Times New Roman" w:hAnsi="Times New Roman" w:cs="Times New Roman" w:eastAsia="Times New Roman" w:hint="default"/>
          <w:sz w:val="18"/>
          <w:szCs w:val="18"/>
        </w:rPr>
        <w:sectPr>
          <w:type w:val="continuous"/>
          <w:pgSz w:w="11910" w:h="16840"/>
          <w:pgMar w:top="1100" w:bottom="1240" w:left="1140" w:right="1540"/>
          <w:cols w:num="2" w:equalWidth="0">
            <w:col w:w="2739" w:space="436"/>
            <w:col w:w="6055"/>
          </w:cols>
        </w:sectPr>
      </w:pPr>
    </w:p>
    <w:p>
      <w:pPr>
        <w:tabs>
          <w:tab w:pos="3345" w:val="left" w:leader="none"/>
          <w:tab w:pos="8165" w:val="left" w:leader="none"/>
        </w:tabs>
        <w:spacing w:line="320" w:lineRule="atLeast" w:before="15"/>
        <w:ind w:left="260" w:right="24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(12).Altium Limited</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绘图软件款</w:t>
        <w:tab/>
      </w:r>
      <w:r>
        <w:rPr>
          <w:rFonts w:ascii="Times New Roman" w:hAnsi="Times New Roman" w:cs="Times New Roman" w:eastAsia="Times New Roman" w:hint="default"/>
          <w:w w:val="95"/>
          <w:sz w:val="18"/>
          <w:szCs w:val="18"/>
        </w:rPr>
        <w:t>210,000.00</w:t>
        <w:tab/>
      </w:r>
      <w:r>
        <w:rPr>
          <w:rFonts w:ascii="Times New Roman" w:hAnsi="Times New Roman" w:cs="Times New Roman" w:eastAsia="Times New Roman" w:hint="default"/>
          <w:sz w:val="18"/>
          <w:szCs w:val="18"/>
        </w:rPr>
        <w:t>210,000.00</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(13).coreldraw  x5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简体中文版软</w:t>
      </w:r>
    </w:p>
    <w:p>
      <w:pPr>
        <w:tabs>
          <w:tab w:pos="8262" w:val="left" w:leader="none"/>
        </w:tabs>
        <w:spacing w:line="108" w:lineRule="exact" w:before="0"/>
        <w:ind w:left="4861" w:right="98" w:firstLine="0"/>
        <w:jc w:val="left"/>
        <w:rPr>
          <w:rFonts w:ascii="Times New Roman" w:hAnsi="Times New Roman" w:cs="Times New Roman" w:eastAsia="Times New Roman" w:hint="default"/>
          <w:sz w:val="18"/>
          <w:szCs w:val="18"/>
        </w:rPr>
      </w:pPr>
      <w:r>
        <w:rPr>
          <w:rFonts w:ascii="Times New Roman"/>
          <w:spacing w:val="-1"/>
          <w:sz w:val="18"/>
        </w:rPr>
        <w:t>11,600.00</w:t>
        <w:tab/>
        <w:t>11,600.00</w:t>
      </w:r>
    </w:p>
    <w:p>
      <w:pPr>
        <w:spacing w:line="190" w:lineRule="exact" w:before="0"/>
        <w:ind w:left="260" w:right="98" w:firstLine="0"/>
        <w:jc w:val="left"/>
        <w:rPr>
          <w:rFonts w:ascii="宋体" w:hAnsi="宋体" w:cs="宋体" w:eastAsia="宋体" w:hint="default"/>
          <w:sz w:val="18"/>
          <w:szCs w:val="18"/>
        </w:rPr>
      </w:pPr>
      <w:r>
        <w:rPr>
          <w:rFonts w:ascii="宋体" w:hAnsi="宋体" w:cs="宋体" w:eastAsia="宋体" w:hint="default"/>
          <w:sz w:val="18"/>
          <w:szCs w:val="18"/>
        </w:rPr>
        <w:t>件</w:t>
      </w:r>
    </w:p>
    <w:p>
      <w:pPr>
        <w:tabs>
          <w:tab w:pos="4763" w:val="left" w:leader="none"/>
          <w:tab w:pos="8165" w:val="left" w:leader="none"/>
        </w:tabs>
        <w:spacing w:before="86"/>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(14).</w:t>
      </w:r>
      <w:r>
        <w:rPr>
          <w:rFonts w:ascii="宋体" w:hAnsi="宋体" w:cs="宋体" w:eastAsia="宋体" w:hint="default"/>
          <w:sz w:val="18"/>
          <w:szCs w:val="18"/>
        </w:rPr>
        <w:t>微软软件</w:t>
        <w:tab/>
      </w:r>
      <w:r>
        <w:rPr>
          <w:rFonts w:ascii="Times New Roman" w:hAnsi="Times New Roman" w:cs="Times New Roman" w:eastAsia="Times New Roman" w:hint="default"/>
          <w:sz w:val="18"/>
          <w:szCs w:val="18"/>
        </w:rPr>
        <w:t>541,940.00</w:t>
        <w:tab/>
        <w:t>541,940.00</w:t>
      </w:r>
    </w:p>
    <w:p>
      <w:pPr>
        <w:tabs>
          <w:tab w:pos="4629" w:val="left" w:leader="none"/>
          <w:tab w:pos="8031" w:val="left" w:leader="none"/>
        </w:tabs>
        <w:spacing w:before="72"/>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(15).</w:t>
      </w:r>
      <w:r>
        <w:rPr>
          <w:rFonts w:ascii="宋体" w:hAnsi="宋体" w:cs="宋体" w:eastAsia="宋体" w:hint="default"/>
          <w:spacing w:val="-1"/>
          <w:sz w:val="18"/>
          <w:szCs w:val="18"/>
        </w:rPr>
        <w:t>高尔夫球会籍</w:t>
        <w:tab/>
      </w:r>
      <w:r>
        <w:rPr>
          <w:rFonts w:ascii="Times New Roman" w:hAnsi="Times New Roman" w:cs="Times New Roman" w:eastAsia="Times New Roman" w:hint="default"/>
          <w:spacing w:val="-1"/>
          <w:sz w:val="18"/>
          <w:szCs w:val="18"/>
        </w:rPr>
        <w:t>3,280,000.00</w:t>
        <w:tab/>
        <w:t>3,280,000.00</w:t>
      </w:r>
    </w:p>
    <w:p>
      <w:pPr>
        <w:tabs>
          <w:tab w:pos="4539" w:val="left" w:leader="none"/>
          <w:tab w:pos="7941" w:val="left" w:leader="none"/>
        </w:tabs>
        <w:spacing w:before="73"/>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(16).</w:t>
      </w:r>
      <w:r>
        <w:rPr>
          <w:rFonts w:ascii="宋体" w:hAnsi="宋体" w:cs="宋体" w:eastAsia="宋体" w:hint="default"/>
          <w:spacing w:val="-1"/>
          <w:sz w:val="18"/>
          <w:szCs w:val="18"/>
        </w:rPr>
        <w:t>高塘土地使用权＊</w:t>
      </w:r>
      <w:r>
        <w:rPr>
          <w:rFonts w:ascii="Times New Roman" w:hAnsi="Times New Roman" w:cs="Times New Roman" w:eastAsia="Times New Roman" w:hint="default"/>
          <w:spacing w:val="-1"/>
          <w:sz w:val="18"/>
          <w:szCs w:val="18"/>
        </w:rPr>
        <w:t>2</w:t>
        <w:tab/>
        <w:t>29,901,342.00</w:t>
        <w:tab/>
        <w:t>29,901,342.00</w:t>
      </w:r>
    </w:p>
    <w:p>
      <w:pPr>
        <w:spacing w:line="219" w:lineRule="exact" w:before="72"/>
        <w:ind w:left="260" w:right="98" w:firstLine="0"/>
        <w:jc w:val="left"/>
        <w:rPr>
          <w:rFonts w:ascii="宋体" w:hAnsi="宋体" w:cs="宋体" w:eastAsia="宋体" w:hint="default"/>
          <w:sz w:val="18"/>
          <w:szCs w:val="18"/>
        </w:rPr>
      </w:pPr>
      <w:r>
        <w:rPr>
          <w:rFonts w:ascii="Times New Roman" w:hAnsi="Times New Roman" w:cs="Times New Roman" w:eastAsia="Times New Roman" w:hint="default"/>
          <w:spacing w:val="9"/>
          <w:sz w:val="18"/>
          <w:szCs w:val="18"/>
        </w:rPr>
        <w:t>(17).</w:t>
      </w:r>
      <w:r>
        <w:rPr>
          <w:rFonts w:ascii="宋体" w:hAnsi="宋体" w:cs="宋体" w:eastAsia="宋体" w:hint="default"/>
          <w:spacing w:val="9"/>
          <w:sz w:val="18"/>
          <w:szCs w:val="18"/>
        </w:rPr>
        <w:t>新一代自助设备交易平台</w:t>
      </w:r>
    </w:p>
    <w:p>
      <w:pPr>
        <w:tabs>
          <w:tab w:pos="8031" w:val="left" w:leader="none"/>
        </w:tabs>
        <w:spacing w:line="138" w:lineRule="exact" w:before="0"/>
        <w:ind w:left="4629" w:right="98" w:firstLine="0"/>
        <w:jc w:val="left"/>
        <w:rPr>
          <w:rFonts w:ascii="Times New Roman" w:hAnsi="Times New Roman" w:cs="Times New Roman" w:eastAsia="Times New Roman" w:hint="default"/>
          <w:sz w:val="18"/>
          <w:szCs w:val="18"/>
        </w:rPr>
      </w:pPr>
      <w:r>
        <w:rPr>
          <w:rFonts w:ascii="Times New Roman"/>
          <w:spacing w:val="-1"/>
          <w:sz w:val="18"/>
        </w:rPr>
        <w:t>5,055,938.15</w:t>
        <w:tab/>
        <w:t>5,055,938.15</w:t>
      </w:r>
    </w:p>
    <w:p>
      <w:pPr>
        <w:spacing w:line="190" w:lineRule="exact" w:before="0"/>
        <w:ind w:left="260" w:right="98" w:firstLine="0"/>
        <w:jc w:val="left"/>
        <w:rPr>
          <w:rFonts w:ascii="宋体" w:hAnsi="宋体" w:cs="宋体" w:eastAsia="宋体" w:hint="default"/>
          <w:sz w:val="18"/>
          <w:szCs w:val="18"/>
        </w:rPr>
      </w:pPr>
      <w:r>
        <w:rPr>
          <w:rFonts w:ascii="宋体" w:hAnsi="宋体" w:cs="宋体" w:eastAsia="宋体" w:hint="default"/>
          <w:sz w:val="18"/>
          <w:szCs w:val="18"/>
        </w:rPr>
        <w:t>系统</w:t>
      </w:r>
    </w:p>
    <w:p>
      <w:pPr>
        <w:tabs>
          <w:tab w:pos="3345" w:val="left" w:leader="none"/>
          <w:tab w:pos="4763" w:val="left" w:leader="none"/>
          <w:tab w:pos="8165" w:val="left" w:leader="none"/>
        </w:tabs>
        <w:spacing w:before="117"/>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、累计摊销合计</w:t>
        <w:tab/>
      </w:r>
      <w:r>
        <w:rPr>
          <w:rFonts w:ascii="Times New Roman" w:hAnsi="Times New Roman" w:cs="Times New Roman" w:eastAsia="Times New Roman" w:hint="default"/>
          <w:sz w:val="18"/>
          <w:szCs w:val="18"/>
        </w:rPr>
        <w:t>233,299.67</w:t>
        <w:tab/>
        <w:t>666,936.32</w:t>
        <w:tab/>
        <w:t>900,235.99</w:t>
      </w:r>
    </w:p>
    <w:p>
      <w:pPr>
        <w:tabs>
          <w:tab w:pos="3525" w:val="left" w:leader="none"/>
          <w:tab w:pos="4943" w:val="left" w:leader="none"/>
          <w:tab w:pos="8345" w:val="left" w:leader="none"/>
        </w:tabs>
        <w:spacing w:before="105"/>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(1).NS_5GT_108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防火墙</w:t>
        <w:tab/>
      </w:r>
      <w:r>
        <w:rPr>
          <w:rFonts w:ascii="Times New Roman" w:hAnsi="Times New Roman" w:cs="Times New Roman" w:eastAsia="Times New Roman" w:hint="default"/>
          <w:w w:val="95"/>
          <w:sz w:val="18"/>
          <w:szCs w:val="18"/>
        </w:rPr>
        <w:t>4,446.82</w:t>
        <w:tab/>
        <w:t>1,160.04</w:t>
        <w:tab/>
      </w:r>
      <w:r>
        <w:rPr>
          <w:rFonts w:ascii="Times New Roman" w:hAnsi="Times New Roman" w:cs="Times New Roman" w:eastAsia="Times New Roman" w:hint="default"/>
          <w:sz w:val="18"/>
          <w:szCs w:val="18"/>
        </w:rPr>
        <w:t>5,606.86</w:t>
      </w:r>
    </w:p>
    <w:p>
      <w:pPr>
        <w:tabs>
          <w:tab w:pos="4763" w:val="left" w:leader="none"/>
          <w:tab w:pos="8165" w:val="left" w:leader="none"/>
        </w:tabs>
        <w:spacing w:before="72"/>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科学城土地使用权＊</w:t>
      </w:r>
      <w:r>
        <w:rPr>
          <w:rFonts w:ascii="Times New Roman" w:hAnsi="Times New Roman" w:cs="Times New Roman" w:eastAsia="Times New Roman" w:hint="default"/>
          <w:spacing w:val="-1"/>
          <w:sz w:val="18"/>
          <w:szCs w:val="18"/>
        </w:rPr>
        <w:t>1</w:t>
        <w:tab/>
      </w:r>
      <w:r>
        <w:rPr>
          <w:rFonts w:ascii="Times New Roman" w:hAnsi="Times New Roman" w:cs="Times New Roman" w:eastAsia="Times New Roman" w:hint="default"/>
          <w:sz w:val="18"/>
          <w:szCs w:val="18"/>
        </w:rPr>
        <w:t>216,300.00</w:t>
        <w:tab/>
        <w:t>216,300.00</w:t>
      </w:r>
    </w:p>
    <w:p>
      <w:pPr>
        <w:tabs>
          <w:tab w:pos="3345" w:val="left" w:leader="none"/>
          <w:tab w:pos="4853" w:val="left" w:leader="none"/>
          <w:tab w:pos="8165" w:val="left" w:leader="none"/>
        </w:tabs>
        <w:spacing w:before="72"/>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金蝶软件</w:t>
        <w:tab/>
      </w:r>
      <w:r>
        <w:rPr>
          <w:rFonts w:ascii="Times New Roman" w:hAnsi="Times New Roman" w:cs="Times New Roman" w:eastAsia="Times New Roman" w:hint="default"/>
          <w:sz w:val="18"/>
          <w:szCs w:val="18"/>
        </w:rPr>
        <w:t>126,999.80</w:t>
        <w:tab/>
        <w:t>15,149.99</w:t>
        <w:tab/>
        <w:t>142,149.79</w:t>
      </w:r>
    </w:p>
    <w:p>
      <w:pPr>
        <w:tabs>
          <w:tab w:pos="3532" w:val="left" w:leader="none"/>
          <w:tab w:pos="5079" w:val="left" w:leader="none"/>
          <w:tab w:pos="8345" w:val="left" w:leader="none"/>
        </w:tabs>
        <w:spacing w:before="73"/>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(4).KINGTELLER&amp;</w:t>
      </w:r>
      <w:r>
        <w:rPr>
          <w:rFonts w:ascii="宋体" w:hAnsi="宋体" w:cs="宋体" w:eastAsia="宋体" w:hint="default"/>
          <w:spacing w:val="-1"/>
          <w:sz w:val="18"/>
          <w:szCs w:val="18"/>
        </w:rPr>
        <w:t>御银商标</w:t>
        <w:tab/>
      </w:r>
      <w:r>
        <w:rPr>
          <w:rFonts w:ascii="Times New Roman" w:hAnsi="Times New Roman" w:cs="Times New Roman" w:eastAsia="Times New Roman" w:hint="default"/>
          <w:spacing w:val="-1"/>
          <w:w w:val="95"/>
          <w:sz w:val="18"/>
          <w:szCs w:val="18"/>
        </w:rPr>
        <w:t>3,611.74</w:t>
        <w:tab/>
      </w:r>
      <w:r>
        <w:rPr>
          <w:rFonts w:ascii="Times New Roman" w:hAnsi="Times New Roman" w:cs="Times New Roman" w:eastAsia="Times New Roman" w:hint="default"/>
          <w:w w:val="95"/>
          <w:sz w:val="18"/>
          <w:szCs w:val="18"/>
        </w:rPr>
        <w:t>293.06</w:t>
        <w:tab/>
      </w:r>
      <w:r>
        <w:rPr>
          <w:rFonts w:ascii="Times New Roman" w:hAnsi="Times New Roman" w:cs="Times New Roman" w:eastAsia="Times New Roman" w:hint="default"/>
          <w:sz w:val="18"/>
          <w:szCs w:val="18"/>
        </w:rPr>
        <w:t>3,904.80</w:t>
      </w:r>
    </w:p>
    <w:p>
      <w:pPr>
        <w:tabs>
          <w:tab w:pos="3525" w:val="left" w:leader="none"/>
          <w:tab w:pos="5079" w:val="left" w:leader="none"/>
          <w:tab w:pos="8345" w:val="left" w:leader="none"/>
        </w:tabs>
        <w:spacing w:before="72"/>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(5).1688A</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大堂式外观专利</w:t>
        <w:tab/>
      </w:r>
      <w:r>
        <w:rPr>
          <w:rFonts w:ascii="Times New Roman" w:hAnsi="Times New Roman" w:cs="Times New Roman" w:eastAsia="Times New Roman" w:hint="default"/>
          <w:w w:val="95"/>
          <w:sz w:val="18"/>
          <w:szCs w:val="18"/>
        </w:rPr>
        <w:t>1,665.94</w:t>
        <w:tab/>
        <w:t>143.66</w:t>
        <w:tab/>
      </w:r>
      <w:r>
        <w:rPr>
          <w:rFonts w:ascii="Times New Roman" w:hAnsi="Times New Roman" w:cs="Times New Roman" w:eastAsia="Times New Roman" w:hint="default"/>
          <w:sz w:val="18"/>
          <w:szCs w:val="18"/>
        </w:rPr>
        <w:t>1,809.60</w:t>
      </w:r>
    </w:p>
    <w:p>
      <w:pPr>
        <w:tabs>
          <w:tab w:pos="3525" w:val="left" w:leader="none"/>
          <w:tab w:pos="5079" w:val="left" w:leader="none"/>
          <w:tab w:pos="8345" w:val="left" w:leader="none"/>
        </w:tabs>
        <w:spacing w:before="72"/>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自动柜员机面板</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外观专利</w:t>
        <w:tab/>
      </w:r>
      <w:r>
        <w:rPr>
          <w:rFonts w:ascii="Times New Roman" w:hAnsi="Times New Roman" w:cs="Times New Roman" w:eastAsia="Times New Roman" w:hint="default"/>
          <w:sz w:val="18"/>
          <w:szCs w:val="18"/>
        </w:rPr>
        <w:t>6,834.66</w:t>
        <w:tab/>
        <w:t>857.52</w:t>
        <w:tab/>
        <w:t>7,692.18</w:t>
      </w:r>
    </w:p>
    <w:p>
      <w:pPr>
        <w:tabs>
          <w:tab w:pos="3525" w:val="left" w:leader="none"/>
          <w:tab w:pos="5079" w:val="left" w:leader="none"/>
          <w:tab w:pos="8345" w:val="left" w:leader="none"/>
        </w:tabs>
        <w:spacing w:before="73"/>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(7).</w:t>
      </w:r>
      <w:r>
        <w:rPr>
          <w:rFonts w:ascii="宋体" w:hAnsi="宋体" w:cs="宋体" w:eastAsia="宋体" w:hint="default"/>
          <w:spacing w:val="-1"/>
          <w:sz w:val="18"/>
          <w:szCs w:val="18"/>
        </w:rPr>
        <w:t>人民币防伪鉴别仪外观专利</w:t>
        <w:tab/>
      </w:r>
      <w:r>
        <w:rPr>
          <w:rFonts w:ascii="Times New Roman" w:hAnsi="Times New Roman" w:cs="Times New Roman" w:eastAsia="Times New Roman" w:hint="default"/>
          <w:sz w:val="18"/>
          <w:szCs w:val="18"/>
        </w:rPr>
        <w:t>2,559.12</w:t>
        <w:tab/>
        <w:t>330.48</w:t>
        <w:tab/>
        <w:t>2,889.60</w:t>
      </w:r>
    </w:p>
    <w:p>
      <w:pPr>
        <w:tabs>
          <w:tab w:pos="3525" w:val="left" w:leader="none"/>
          <w:tab w:pos="5079" w:val="left" w:leader="none"/>
          <w:tab w:pos="8345" w:val="left" w:leader="none"/>
        </w:tabs>
        <w:spacing w:before="72"/>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(8).URT racker</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事务系统</w:t>
        <w:tab/>
      </w:r>
      <w:r>
        <w:rPr>
          <w:rFonts w:ascii="Times New Roman" w:hAnsi="Times New Roman" w:cs="Times New Roman" w:eastAsia="Times New Roman" w:hint="default"/>
          <w:w w:val="95"/>
          <w:sz w:val="18"/>
          <w:szCs w:val="18"/>
        </w:rPr>
        <w:t>3,267.00</w:t>
        <w:tab/>
        <w:t>363.00</w:t>
        <w:tab/>
      </w:r>
      <w:r>
        <w:rPr>
          <w:rFonts w:ascii="Times New Roman" w:hAnsi="Times New Roman" w:cs="Times New Roman" w:eastAsia="Times New Roman" w:hint="default"/>
          <w:sz w:val="18"/>
          <w:szCs w:val="18"/>
        </w:rPr>
        <w:t>3,630.00</w:t>
      </w:r>
    </w:p>
    <w:p>
      <w:pPr>
        <w:tabs>
          <w:tab w:pos="3442" w:val="left" w:leader="none"/>
          <w:tab w:pos="4943" w:val="left" w:leader="none"/>
          <w:tab w:pos="8255" w:val="left" w:leader="none"/>
        </w:tabs>
        <w:spacing w:before="72"/>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(9).</w:t>
      </w:r>
      <w:r>
        <w:rPr>
          <w:rFonts w:ascii="宋体" w:hAnsi="宋体" w:cs="宋体" w:eastAsia="宋体" w:hint="default"/>
          <w:spacing w:val="-1"/>
          <w:sz w:val="18"/>
          <w:szCs w:val="18"/>
        </w:rPr>
        <w:t>办公自动化系统</w:t>
      </w:r>
      <w:r>
        <w:rPr>
          <w:rFonts w:ascii="Times New Roman" w:hAnsi="Times New Roman" w:cs="Times New Roman" w:eastAsia="Times New Roman" w:hint="default"/>
          <w:spacing w:val="-1"/>
          <w:sz w:val="18"/>
          <w:szCs w:val="18"/>
        </w:rPr>
        <w:t>—OA</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系统</w:t>
        <w:tab/>
      </w:r>
      <w:r>
        <w:rPr>
          <w:rFonts w:ascii="Times New Roman" w:hAnsi="Times New Roman" w:cs="Times New Roman" w:eastAsia="Times New Roman" w:hint="default"/>
          <w:spacing w:val="-1"/>
          <w:sz w:val="18"/>
          <w:szCs w:val="18"/>
        </w:rPr>
        <w:t>13,750.11</w:t>
        <w:tab/>
      </w:r>
      <w:r>
        <w:rPr>
          <w:rFonts w:ascii="Times New Roman" w:hAnsi="Times New Roman" w:cs="Times New Roman" w:eastAsia="Times New Roman" w:hint="default"/>
          <w:sz w:val="18"/>
          <w:szCs w:val="18"/>
        </w:rPr>
        <w:t>5,000.04</w:t>
        <w:tab/>
        <w:t>18,750.15</w:t>
      </w:r>
    </w:p>
    <w:p>
      <w:pPr>
        <w:tabs>
          <w:tab w:pos="3435" w:val="left" w:leader="none"/>
          <w:tab w:pos="4943" w:val="left" w:leader="none"/>
          <w:tab w:pos="8255" w:val="left" w:leader="none"/>
        </w:tabs>
        <w:spacing w:before="73"/>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(10).VideoArts</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培训技术课程</w:t>
        <w:tab/>
      </w:r>
      <w:r>
        <w:rPr>
          <w:rFonts w:ascii="Times New Roman" w:hAnsi="Times New Roman" w:cs="Times New Roman" w:eastAsia="Times New Roman" w:hint="default"/>
          <w:w w:val="95"/>
          <w:sz w:val="18"/>
          <w:szCs w:val="18"/>
        </w:rPr>
        <w:t>13,795.00</w:t>
        <w:tab/>
        <w:t>5,340.00</w:t>
        <w:tab/>
      </w:r>
      <w:r>
        <w:rPr>
          <w:rFonts w:ascii="Times New Roman" w:hAnsi="Times New Roman" w:cs="Times New Roman" w:eastAsia="Times New Roman" w:hint="default"/>
          <w:sz w:val="18"/>
          <w:szCs w:val="18"/>
        </w:rPr>
        <w:t>19,135.00</w:t>
      </w:r>
    </w:p>
    <w:p>
      <w:pPr>
        <w:spacing w:line="219" w:lineRule="exact" w:before="72"/>
        <w:ind w:left="260" w:right="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(11).OA</w:t>
      </w:r>
      <w:r>
        <w:rPr>
          <w:rFonts w:ascii="Times New Roman" w:hAnsi="Times New Roman" w:cs="Times New Roman" w:eastAsia="Times New Roman" w:hint="default"/>
          <w:spacing w:val="26"/>
          <w:sz w:val="18"/>
          <w:szCs w:val="18"/>
        </w:rPr>
        <w:t> </w:t>
      </w:r>
      <w:r>
        <w:rPr>
          <w:rFonts w:ascii="宋体" w:hAnsi="宋体" w:cs="宋体" w:eastAsia="宋体" w:hint="default"/>
          <w:sz w:val="18"/>
          <w:szCs w:val="18"/>
        </w:rPr>
        <w:t>系统瑞星杀毒软件及防</w:t>
      </w:r>
    </w:p>
    <w:p>
      <w:pPr>
        <w:tabs>
          <w:tab w:pos="4943" w:val="left" w:leader="none"/>
          <w:tab w:pos="8255" w:val="left" w:leader="none"/>
        </w:tabs>
        <w:spacing w:line="138" w:lineRule="exact" w:before="0"/>
        <w:ind w:left="3435" w:right="98" w:firstLine="0"/>
        <w:jc w:val="left"/>
        <w:rPr>
          <w:rFonts w:ascii="Times New Roman" w:hAnsi="Times New Roman" w:cs="Times New Roman" w:eastAsia="Times New Roman" w:hint="default"/>
          <w:sz w:val="18"/>
          <w:szCs w:val="18"/>
        </w:rPr>
      </w:pPr>
      <w:r>
        <w:rPr>
          <w:rFonts w:ascii="Times New Roman"/>
          <w:sz w:val="18"/>
        </w:rPr>
        <w:t>12,619.48</w:t>
        <w:tab/>
        <w:t>4,884.96</w:t>
        <w:tab/>
        <w:t>17,504.44</w:t>
      </w:r>
    </w:p>
    <w:p>
      <w:pPr>
        <w:spacing w:line="190" w:lineRule="exact" w:before="0"/>
        <w:ind w:left="260" w:right="98" w:firstLine="0"/>
        <w:jc w:val="left"/>
        <w:rPr>
          <w:rFonts w:ascii="宋体" w:hAnsi="宋体" w:cs="宋体" w:eastAsia="宋体" w:hint="default"/>
          <w:sz w:val="18"/>
          <w:szCs w:val="18"/>
        </w:rPr>
      </w:pPr>
      <w:r>
        <w:rPr>
          <w:rFonts w:ascii="宋体" w:hAnsi="宋体" w:cs="宋体" w:eastAsia="宋体" w:hint="default"/>
          <w:sz w:val="18"/>
          <w:szCs w:val="18"/>
        </w:rPr>
        <w:t>火墙</w:t>
      </w:r>
    </w:p>
    <w:p>
      <w:pPr>
        <w:tabs>
          <w:tab w:pos="3435" w:val="left" w:leader="none"/>
          <w:tab w:pos="4853" w:val="left" w:leader="none"/>
          <w:tab w:pos="8255" w:val="left" w:leader="none"/>
        </w:tabs>
        <w:spacing w:line="320" w:lineRule="atLeast" w:before="15"/>
        <w:ind w:left="260" w:right="24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(12).Altium Limited</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绘图软件款</w:t>
        <w:tab/>
      </w:r>
      <w:r>
        <w:rPr>
          <w:rFonts w:ascii="Times New Roman" w:hAnsi="Times New Roman" w:cs="Times New Roman" w:eastAsia="Times New Roman" w:hint="default"/>
          <w:w w:val="95"/>
          <w:sz w:val="18"/>
          <w:szCs w:val="18"/>
        </w:rPr>
        <w:t>43,750.00</w:t>
        <w:tab/>
        <w:t>21,000.00</w:t>
        <w:tab/>
      </w:r>
      <w:r>
        <w:rPr>
          <w:rFonts w:ascii="Times New Roman" w:hAnsi="Times New Roman" w:cs="Times New Roman" w:eastAsia="Times New Roman" w:hint="default"/>
          <w:sz w:val="18"/>
          <w:szCs w:val="18"/>
        </w:rPr>
        <w:t>64,750.00</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(13).coreldraw  x5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简体中文版软</w:t>
      </w:r>
    </w:p>
    <w:p>
      <w:pPr>
        <w:tabs>
          <w:tab w:pos="8481" w:val="left" w:leader="none"/>
        </w:tabs>
        <w:spacing w:line="108" w:lineRule="exact" w:before="0"/>
        <w:ind w:left="5079" w:right="98" w:firstLine="0"/>
        <w:jc w:val="left"/>
        <w:rPr>
          <w:rFonts w:ascii="Times New Roman" w:hAnsi="Times New Roman" w:cs="Times New Roman" w:eastAsia="Times New Roman" w:hint="default"/>
          <w:sz w:val="18"/>
          <w:szCs w:val="18"/>
        </w:rPr>
      </w:pPr>
      <w:r>
        <w:rPr>
          <w:rFonts w:ascii="Times New Roman"/>
          <w:sz w:val="18"/>
        </w:rPr>
        <w:t>773.36</w:t>
        <w:tab/>
        <w:t>773.36</w:t>
      </w:r>
    </w:p>
    <w:p>
      <w:pPr>
        <w:spacing w:line="190" w:lineRule="exact" w:before="0"/>
        <w:ind w:left="260" w:right="98" w:firstLine="0"/>
        <w:jc w:val="left"/>
        <w:rPr>
          <w:rFonts w:ascii="宋体" w:hAnsi="宋体" w:cs="宋体" w:eastAsia="宋体" w:hint="default"/>
          <w:sz w:val="18"/>
          <w:szCs w:val="18"/>
        </w:rPr>
      </w:pPr>
      <w:r>
        <w:rPr>
          <w:rFonts w:ascii="宋体" w:hAnsi="宋体" w:cs="宋体" w:eastAsia="宋体" w:hint="default"/>
          <w:sz w:val="18"/>
          <w:szCs w:val="18"/>
        </w:rPr>
        <w:t>件</w:t>
      </w:r>
    </w:p>
    <w:p>
      <w:pPr>
        <w:spacing w:after="0" w:line="190" w:lineRule="exact"/>
        <w:jc w:val="left"/>
        <w:rPr>
          <w:rFonts w:ascii="宋体" w:hAnsi="宋体" w:cs="宋体" w:eastAsia="宋体" w:hint="default"/>
          <w:sz w:val="18"/>
          <w:szCs w:val="18"/>
        </w:rPr>
        <w:sectPr>
          <w:type w:val="continuous"/>
          <w:pgSz w:w="11910" w:h="16840"/>
          <w:pgMar w:top="1100" w:bottom="1240" w:left="1140" w:right="154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3194" w:val="left" w:leader="none"/>
          <w:tab w:pos="4612" w:val="left" w:leader="none"/>
          <w:tab w:pos="6029" w:val="left" w:leader="none"/>
          <w:tab w:pos="7731" w:val="left" w:leader="none"/>
        </w:tabs>
        <w:spacing w:before="0"/>
        <w:ind w:left="1228" w:right="98" w:firstLine="0"/>
        <w:jc w:val="left"/>
        <w:rPr>
          <w:rFonts w:ascii="宋体" w:hAnsi="宋体" w:cs="宋体" w:eastAsia="宋体" w:hint="default"/>
          <w:sz w:val="18"/>
          <w:szCs w:val="18"/>
        </w:rPr>
      </w:pPr>
      <w:r>
        <w:rPr>
          <w:rFonts w:ascii="宋体" w:hAnsi="宋体" w:cs="宋体" w:eastAsia="宋体" w:hint="default"/>
          <w:sz w:val="18"/>
          <w:szCs w:val="18"/>
        </w:rPr>
        <w:t>项  目</w:t>
        <w:tab/>
        <w:t>年初余额</w:t>
        <w:tab/>
        <w:t>本期增加</w:t>
        <w:tab/>
        <w:t>本期减少</w:t>
        <w:tab/>
        <w:t>期末余额</w:t>
      </w:r>
    </w:p>
    <w:p>
      <w:pPr>
        <w:tabs>
          <w:tab w:pos="4853" w:val="left" w:leader="none"/>
          <w:tab w:pos="8255" w:val="left" w:leader="none"/>
        </w:tabs>
        <w:spacing w:before="117"/>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(14).</w:t>
      </w:r>
      <w:r>
        <w:rPr>
          <w:rFonts w:ascii="宋体" w:hAnsi="宋体" w:cs="宋体" w:eastAsia="宋体" w:hint="default"/>
          <w:sz w:val="18"/>
          <w:szCs w:val="18"/>
        </w:rPr>
        <w:t>微软软件</w:t>
        <w:tab/>
      </w:r>
      <w:r>
        <w:rPr>
          <w:rFonts w:ascii="Times New Roman" w:hAnsi="Times New Roman" w:cs="Times New Roman" w:eastAsia="Times New Roman" w:hint="default"/>
          <w:sz w:val="18"/>
          <w:szCs w:val="18"/>
        </w:rPr>
        <w:t>54,193.98</w:t>
        <w:tab/>
        <w:t>54,193.98</w:t>
      </w:r>
    </w:p>
    <w:p>
      <w:pPr>
        <w:spacing w:before="73"/>
        <w:ind w:left="260" w:right="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高尔夫球会籍</w:t>
      </w:r>
    </w:p>
    <w:p>
      <w:pPr>
        <w:tabs>
          <w:tab w:pos="4763" w:val="left" w:leader="none"/>
          <w:tab w:pos="8165" w:val="left" w:leader="none"/>
        </w:tabs>
        <w:spacing w:before="72"/>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(16).</w:t>
      </w:r>
      <w:r>
        <w:rPr>
          <w:rFonts w:ascii="宋体" w:hAnsi="宋体" w:cs="宋体" w:eastAsia="宋体" w:hint="default"/>
          <w:spacing w:val="-1"/>
          <w:sz w:val="18"/>
          <w:szCs w:val="18"/>
        </w:rPr>
        <w:t>高塘土地使用权＊</w:t>
      </w:r>
      <w:r>
        <w:rPr>
          <w:rFonts w:ascii="Times New Roman" w:hAnsi="Times New Roman" w:cs="Times New Roman" w:eastAsia="Times New Roman" w:hint="default"/>
          <w:spacing w:val="-1"/>
          <w:sz w:val="18"/>
          <w:szCs w:val="18"/>
        </w:rPr>
        <w:t>2</w:t>
        <w:tab/>
      </w:r>
      <w:r>
        <w:rPr>
          <w:rFonts w:ascii="Times New Roman" w:hAnsi="Times New Roman" w:cs="Times New Roman" w:eastAsia="Times New Roman" w:hint="default"/>
          <w:sz w:val="18"/>
          <w:szCs w:val="18"/>
        </w:rPr>
        <w:t>299,013.41</w:t>
        <w:tab/>
        <w:t>299,013.41</w:t>
      </w:r>
    </w:p>
    <w:p>
      <w:pPr>
        <w:spacing w:line="219" w:lineRule="exact" w:before="72"/>
        <w:ind w:left="260" w:right="98" w:firstLine="0"/>
        <w:jc w:val="left"/>
        <w:rPr>
          <w:rFonts w:ascii="宋体" w:hAnsi="宋体" w:cs="宋体" w:eastAsia="宋体" w:hint="default"/>
          <w:sz w:val="18"/>
          <w:szCs w:val="18"/>
        </w:rPr>
      </w:pPr>
      <w:r>
        <w:rPr>
          <w:rFonts w:ascii="Times New Roman" w:hAnsi="Times New Roman" w:cs="Times New Roman" w:eastAsia="Times New Roman" w:hint="default"/>
          <w:spacing w:val="9"/>
          <w:sz w:val="18"/>
          <w:szCs w:val="18"/>
        </w:rPr>
        <w:t>(17).</w:t>
      </w:r>
      <w:r>
        <w:rPr>
          <w:rFonts w:ascii="宋体" w:hAnsi="宋体" w:cs="宋体" w:eastAsia="宋体" w:hint="default"/>
          <w:spacing w:val="9"/>
          <w:sz w:val="18"/>
          <w:szCs w:val="18"/>
        </w:rPr>
        <w:t>新一代自助设备交易平台</w:t>
      </w:r>
    </w:p>
    <w:p>
      <w:pPr>
        <w:tabs>
          <w:tab w:pos="8255" w:val="left" w:leader="none"/>
        </w:tabs>
        <w:spacing w:line="138" w:lineRule="exact" w:before="0"/>
        <w:ind w:left="4854" w:right="98" w:firstLine="0"/>
        <w:jc w:val="left"/>
        <w:rPr>
          <w:rFonts w:ascii="Times New Roman" w:hAnsi="Times New Roman" w:cs="Times New Roman" w:eastAsia="Times New Roman" w:hint="default"/>
          <w:sz w:val="18"/>
          <w:szCs w:val="18"/>
        </w:rPr>
      </w:pPr>
      <w:r>
        <w:rPr>
          <w:rFonts w:ascii="Times New Roman"/>
          <w:sz w:val="18"/>
        </w:rPr>
        <w:t>42,132.82</w:t>
        <w:tab/>
        <w:t>42,132.82</w:t>
      </w:r>
    </w:p>
    <w:p>
      <w:pPr>
        <w:spacing w:line="190" w:lineRule="exact" w:before="0"/>
        <w:ind w:left="260" w:right="98" w:firstLine="0"/>
        <w:jc w:val="left"/>
        <w:rPr>
          <w:rFonts w:ascii="宋体" w:hAnsi="宋体" w:cs="宋体" w:eastAsia="宋体" w:hint="default"/>
          <w:sz w:val="18"/>
          <w:szCs w:val="18"/>
        </w:rPr>
      </w:pPr>
      <w:r>
        <w:rPr>
          <w:rFonts w:ascii="宋体" w:hAnsi="宋体" w:cs="宋体" w:eastAsia="宋体" w:hint="default"/>
          <w:sz w:val="18"/>
          <w:szCs w:val="18"/>
        </w:rPr>
        <w:t>系统</w:t>
      </w:r>
    </w:p>
    <w:p>
      <w:pPr>
        <w:tabs>
          <w:tab w:pos="3345" w:val="left" w:leader="none"/>
          <w:tab w:pos="7947" w:val="left" w:leader="none"/>
        </w:tabs>
        <w:spacing w:before="118"/>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、无形资产账面净值合计</w:t>
        <w:tab/>
      </w:r>
      <w:r>
        <w:rPr>
          <w:rFonts w:ascii="Times New Roman" w:hAnsi="Times New Roman" w:cs="Times New Roman" w:eastAsia="Times New Roman" w:hint="default"/>
          <w:sz w:val="18"/>
          <w:szCs w:val="18"/>
        </w:rPr>
        <w:t>265,524.73</w:t>
        <w:tab/>
        <w:t>47,711,408.56</w:t>
      </w:r>
    </w:p>
    <w:p>
      <w:pPr>
        <w:tabs>
          <w:tab w:pos="3525" w:val="left" w:leader="none"/>
          <w:tab w:pos="8481" w:val="left" w:leader="none"/>
        </w:tabs>
        <w:spacing w:before="103"/>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(1).NS_5GT_108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防火墙</w:t>
        <w:tab/>
      </w:r>
      <w:r>
        <w:rPr>
          <w:rFonts w:ascii="Times New Roman" w:hAnsi="Times New Roman" w:cs="Times New Roman" w:eastAsia="Times New Roman" w:hint="default"/>
          <w:w w:val="95"/>
          <w:sz w:val="18"/>
          <w:szCs w:val="18"/>
        </w:rPr>
        <w:t>1,353.18</w:t>
        <w:tab/>
      </w:r>
      <w:r>
        <w:rPr>
          <w:rFonts w:ascii="Times New Roman" w:hAnsi="Times New Roman" w:cs="Times New Roman" w:eastAsia="Times New Roman" w:hint="default"/>
          <w:sz w:val="18"/>
          <w:szCs w:val="18"/>
        </w:rPr>
        <w:t>193.14</w:t>
      </w:r>
    </w:p>
    <w:p>
      <w:pPr>
        <w:tabs>
          <w:tab w:pos="8031" w:val="left" w:leader="none"/>
        </w:tabs>
        <w:spacing w:before="72"/>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科学城土地使用权＊</w:t>
      </w:r>
      <w:r>
        <w:rPr>
          <w:rFonts w:ascii="Times New Roman" w:hAnsi="Times New Roman" w:cs="Times New Roman" w:eastAsia="Times New Roman" w:hint="default"/>
          <w:spacing w:val="-1"/>
          <w:sz w:val="18"/>
          <w:szCs w:val="18"/>
        </w:rPr>
        <w:t>1</w:t>
        <w:tab/>
        <w:t>9,053,700.00</w:t>
      </w:r>
    </w:p>
    <w:p>
      <w:pPr>
        <w:tabs>
          <w:tab w:pos="3525" w:val="left" w:leader="none"/>
          <w:tab w:pos="8255" w:val="left" w:leader="none"/>
        </w:tabs>
        <w:spacing w:before="73"/>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金蝶软件</w:t>
        <w:tab/>
      </w:r>
      <w:r>
        <w:rPr>
          <w:rFonts w:ascii="Times New Roman" w:hAnsi="Times New Roman" w:cs="Times New Roman" w:eastAsia="Times New Roman" w:hint="default"/>
          <w:sz w:val="18"/>
          <w:szCs w:val="18"/>
        </w:rPr>
        <w:t>9,250.20</w:t>
        <w:tab/>
        <w:t>46,100.21</w:t>
      </w:r>
    </w:p>
    <w:p>
      <w:pPr>
        <w:tabs>
          <w:tab w:pos="3661" w:val="left" w:leader="none"/>
        </w:tabs>
        <w:spacing w:before="72"/>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(4).KINGTELLER&amp;</w:t>
      </w:r>
      <w:r>
        <w:rPr>
          <w:rFonts w:ascii="宋体" w:hAnsi="宋体" w:cs="宋体" w:eastAsia="宋体" w:hint="default"/>
          <w:spacing w:val="-1"/>
          <w:sz w:val="18"/>
          <w:szCs w:val="18"/>
        </w:rPr>
        <w:t>御银商标</w:t>
      </w:r>
      <w:r>
        <w:rPr>
          <w:rFonts w:ascii="Times New Roman" w:hAnsi="Times New Roman" w:cs="Times New Roman" w:eastAsia="Times New Roman" w:hint="default"/>
          <w:spacing w:val="-1"/>
          <w:sz w:val="18"/>
          <w:szCs w:val="18"/>
        </w:rPr>
        <w:tab/>
      </w:r>
      <w:r>
        <w:rPr>
          <w:rFonts w:ascii="Times New Roman" w:hAnsi="Times New Roman" w:cs="Times New Roman" w:eastAsia="Times New Roman" w:hint="default"/>
          <w:sz w:val="18"/>
          <w:szCs w:val="18"/>
        </w:rPr>
        <w:t>293.06</w:t>
      </w:r>
    </w:p>
    <w:p>
      <w:pPr>
        <w:tabs>
          <w:tab w:pos="3661" w:val="left" w:leader="none"/>
        </w:tabs>
        <w:spacing w:before="72"/>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(5).1688A</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大堂式外观专利</w:t>
      </w:r>
      <w:r>
        <w:rPr>
          <w:rFonts w:ascii="Times New Roman" w:hAnsi="Times New Roman" w:cs="Times New Roman" w:eastAsia="Times New Roman" w:hint="default"/>
          <w:sz w:val="18"/>
          <w:szCs w:val="18"/>
        </w:rPr>
        <w:tab/>
        <w:t>143.66</w:t>
      </w:r>
    </w:p>
    <w:p>
      <w:pPr>
        <w:tabs>
          <w:tab w:pos="3525" w:val="left" w:leader="none"/>
          <w:tab w:pos="8481" w:val="left" w:leader="none"/>
        </w:tabs>
        <w:spacing w:before="73"/>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自动柜员机面板</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外观专利</w:t>
        <w:tab/>
      </w:r>
      <w:r>
        <w:rPr>
          <w:rFonts w:ascii="Times New Roman" w:hAnsi="Times New Roman" w:cs="Times New Roman" w:eastAsia="Times New Roman" w:hint="default"/>
          <w:sz w:val="18"/>
          <w:szCs w:val="18"/>
        </w:rPr>
        <w:t>1,740.34</w:t>
        <w:tab/>
        <w:t>882.82</w:t>
      </w:r>
    </w:p>
    <w:p>
      <w:pPr>
        <w:tabs>
          <w:tab w:pos="3661" w:val="left" w:leader="none"/>
          <w:tab w:pos="8481" w:val="left" w:leader="none"/>
        </w:tabs>
        <w:spacing w:before="72"/>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(7).</w:t>
      </w:r>
      <w:r>
        <w:rPr>
          <w:rFonts w:ascii="宋体" w:hAnsi="宋体" w:cs="宋体" w:eastAsia="宋体" w:hint="default"/>
          <w:spacing w:val="-1"/>
          <w:sz w:val="18"/>
          <w:szCs w:val="18"/>
        </w:rPr>
        <w:t>人民币防伪鉴别仪外观专利</w:t>
        <w:tab/>
      </w:r>
      <w:r>
        <w:rPr>
          <w:rFonts w:ascii="Times New Roman" w:hAnsi="Times New Roman" w:cs="Times New Roman" w:eastAsia="Times New Roman" w:hint="default"/>
          <w:sz w:val="18"/>
          <w:szCs w:val="18"/>
        </w:rPr>
        <w:t>745.88</w:t>
        <w:tab/>
        <w:t>415.40</w:t>
      </w:r>
    </w:p>
    <w:p>
      <w:pPr>
        <w:tabs>
          <w:tab w:pos="3661" w:val="left" w:leader="none"/>
        </w:tabs>
        <w:spacing w:before="72"/>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(8).URT racker</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事务系统</w:t>
      </w:r>
      <w:r>
        <w:rPr>
          <w:rFonts w:ascii="Times New Roman" w:hAnsi="Times New Roman" w:cs="Times New Roman" w:eastAsia="Times New Roman" w:hint="default"/>
          <w:sz w:val="18"/>
          <w:szCs w:val="18"/>
        </w:rPr>
        <w:tab/>
        <w:t>363.00</w:t>
      </w:r>
    </w:p>
    <w:p>
      <w:pPr>
        <w:tabs>
          <w:tab w:pos="3435" w:val="left" w:leader="none"/>
          <w:tab w:pos="8255" w:val="left" w:leader="none"/>
        </w:tabs>
        <w:spacing w:before="73"/>
        <w:ind w:left="260" w:right="98"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办公自动化系统</w:t>
      </w:r>
      <w:r>
        <w:rPr>
          <w:rFonts w:ascii="Times New Roman" w:hAnsi="Times New Roman" w:cs="Times New Roman" w:eastAsia="Times New Roman" w:hint="default"/>
          <w:sz w:val="18"/>
          <w:szCs w:val="18"/>
        </w:rPr>
        <w:t>—OA</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系统</w:t>
        <w:tab/>
      </w:r>
      <w:r>
        <w:rPr>
          <w:rFonts w:ascii="Times New Roman" w:hAnsi="Times New Roman" w:cs="Times New Roman" w:eastAsia="Times New Roman" w:hint="default"/>
          <w:sz w:val="18"/>
          <w:szCs w:val="18"/>
        </w:rPr>
        <w:t>36,249.89</w:t>
        <w:tab/>
        <w:t>31,249.85</w:t>
      </w:r>
    </w:p>
    <w:p>
      <w:pPr>
        <w:tabs>
          <w:tab w:pos="3435" w:val="left" w:leader="none"/>
          <w:tab w:pos="8345" w:val="left" w:leader="none"/>
        </w:tabs>
        <w:spacing w:line="320" w:lineRule="atLeast" w:before="1"/>
        <w:ind w:left="260" w:right="24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(10).VideoArts</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培训技术课程</w:t>
        <w:tab/>
      </w:r>
      <w:r>
        <w:rPr>
          <w:rFonts w:ascii="Times New Roman" w:hAnsi="Times New Roman" w:cs="Times New Roman" w:eastAsia="Times New Roman" w:hint="default"/>
          <w:w w:val="95"/>
          <w:sz w:val="18"/>
          <w:szCs w:val="18"/>
        </w:rPr>
        <w:t>12,905.00</w:t>
        <w:tab/>
      </w:r>
      <w:r>
        <w:rPr>
          <w:rFonts w:ascii="Times New Roman" w:hAnsi="Times New Roman" w:cs="Times New Roman" w:eastAsia="Times New Roman" w:hint="default"/>
          <w:sz w:val="18"/>
          <w:szCs w:val="18"/>
        </w:rPr>
        <w:t>7,565.00</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(11).OA</w:t>
      </w:r>
      <w:r>
        <w:rPr>
          <w:rFonts w:ascii="Times New Roman" w:hAnsi="Times New Roman" w:cs="Times New Roman" w:eastAsia="Times New Roman" w:hint="default"/>
          <w:spacing w:val="26"/>
          <w:sz w:val="18"/>
          <w:szCs w:val="18"/>
        </w:rPr>
        <w:t> </w:t>
      </w:r>
      <w:r>
        <w:rPr>
          <w:rFonts w:ascii="宋体" w:hAnsi="宋体" w:cs="宋体" w:eastAsia="宋体" w:hint="default"/>
          <w:sz w:val="18"/>
          <w:szCs w:val="18"/>
        </w:rPr>
        <w:t>系统瑞星杀毒软件及防</w:t>
      </w:r>
    </w:p>
    <w:p>
      <w:pPr>
        <w:tabs>
          <w:tab w:pos="8255" w:val="left" w:leader="none"/>
        </w:tabs>
        <w:spacing w:line="108" w:lineRule="exact" w:before="0"/>
        <w:ind w:left="3435" w:right="98" w:firstLine="0"/>
        <w:jc w:val="left"/>
        <w:rPr>
          <w:rFonts w:ascii="Times New Roman" w:hAnsi="Times New Roman" w:cs="Times New Roman" w:eastAsia="Times New Roman" w:hint="default"/>
          <w:sz w:val="18"/>
          <w:szCs w:val="18"/>
        </w:rPr>
      </w:pPr>
      <w:r>
        <w:rPr>
          <w:rFonts w:ascii="Times New Roman"/>
          <w:sz w:val="18"/>
        </w:rPr>
        <w:t>36,230.52</w:t>
        <w:tab/>
        <w:t>31,345.56</w:t>
      </w:r>
    </w:p>
    <w:p>
      <w:pPr>
        <w:spacing w:line="190" w:lineRule="exact" w:before="0"/>
        <w:ind w:left="260" w:right="98" w:firstLine="0"/>
        <w:jc w:val="left"/>
        <w:rPr>
          <w:rFonts w:ascii="宋体" w:hAnsi="宋体" w:cs="宋体" w:eastAsia="宋体" w:hint="default"/>
          <w:sz w:val="18"/>
          <w:szCs w:val="18"/>
        </w:rPr>
      </w:pPr>
      <w:r>
        <w:rPr>
          <w:rFonts w:ascii="宋体" w:hAnsi="宋体" w:cs="宋体" w:eastAsia="宋体" w:hint="default"/>
          <w:sz w:val="18"/>
          <w:szCs w:val="18"/>
        </w:rPr>
        <w:t>火墙</w:t>
      </w:r>
    </w:p>
    <w:p>
      <w:pPr>
        <w:tabs>
          <w:tab w:pos="3345" w:val="left" w:leader="none"/>
          <w:tab w:pos="8165" w:val="left" w:leader="none"/>
        </w:tabs>
        <w:spacing w:line="320" w:lineRule="atLeast" w:before="16"/>
        <w:ind w:left="260" w:right="24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(12).Altium Limited</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绘图软件款</w:t>
        <w:tab/>
      </w:r>
      <w:r>
        <w:rPr>
          <w:rFonts w:ascii="Times New Roman" w:hAnsi="Times New Roman" w:cs="Times New Roman" w:eastAsia="Times New Roman" w:hint="default"/>
          <w:w w:val="95"/>
          <w:sz w:val="18"/>
          <w:szCs w:val="18"/>
        </w:rPr>
        <w:t>166,250.00</w:t>
        <w:tab/>
      </w:r>
      <w:r>
        <w:rPr>
          <w:rFonts w:ascii="Times New Roman" w:hAnsi="Times New Roman" w:cs="Times New Roman" w:eastAsia="Times New Roman" w:hint="default"/>
          <w:sz w:val="18"/>
          <w:szCs w:val="18"/>
        </w:rPr>
        <w:t>145,250.00</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(13).coreldraw  x5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简体中文版软</w:t>
      </w:r>
    </w:p>
    <w:p>
      <w:pPr>
        <w:spacing w:line="154" w:lineRule="exact" w:before="0"/>
        <w:ind w:left="0" w:right="245" w:firstLine="0"/>
        <w:jc w:val="right"/>
        <w:rPr>
          <w:rFonts w:ascii="Times New Roman" w:hAnsi="Times New Roman" w:cs="Times New Roman" w:eastAsia="Times New Roman" w:hint="default"/>
          <w:sz w:val="18"/>
          <w:szCs w:val="18"/>
        </w:rPr>
      </w:pPr>
      <w:r>
        <w:rPr/>
        <w:pict>
          <v:shape style="position:absolute;margin-left:68.269997pt;margin-top:5.918554pt;width:439.35pt;height:62.4pt;mso-position-horizontal-relative:page;mso-position-vertical-relative:paragraph;z-index:143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813"/>
                    <w:gridCol w:w="3974"/>
                  </w:tblGrid>
                  <w:tr>
                    <w:trPr>
                      <w:trHeight w:val="578"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件</w:t>
                        </w:r>
                      </w:p>
                      <w:p>
                        <w:pPr>
                          <w:pStyle w:val="TableParagraph"/>
                          <w:spacing w:line="240" w:lineRule="auto" w:before="86"/>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宋体" w:hAnsi="宋体" w:cs="宋体" w:eastAsia="宋体" w:hint="default"/>
                            <w:sz w:val="18"/>
                            <w:szCs w:val="18"/>
                          </w:rPr>
                          <w:t>微软软件</w:t>
                        </w:r>
                      </w:p>
                    </w:tc>
                    <w:tc>
                      <w:tcPr>
                        <w:tcW w:w="397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487,746.02</w:t>
                        </w:r>
                      </w:p>
                    </w:tc>
                  </w:tr>
                  <w:tr>
                    <w:trPr>
                      <w:trHeight w:val="322"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高尔夫球会籍</w:t>
                        </w:r>
                      </w:p>
                    </w:tc>
                    <w:tc>
                      <w:tcPr>
                        <w:tcW w:w="397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pacing w:val="-1"/>
                            <w:sz w:val="18"/>
                          </w:rPr>
                          <w:t>3,280,000.00</w:t>
                        </w:r>
                      </w:p>
                    </w:tc>
                  </w:tr>
                  <w:tr>
                    <w:trPr>
                      <w:trHeight w:val="347"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(16).</w:t>
                        </w:r>
                        <w:r>
                          <w:rPr>
                            <w:rFonts w:ascii="宋体" w:hAnsi="宋体" w:cs="宋体" w:eastAsia="宋体" w:hint="default"/>
                            <w:sz w:val="18"/>
                            <w:szCs w:val="18"/>
                          </w:rPr>
                          <w:t>高塘土地使用权＊</w:t>
                        </w:r>
                        <w:r>
                          <w:rPr>
                            <w:rFonts w:ascii="Times New Roman" w:hAnsi="Times New Roman" w:cs="Times New Roman" w:eastAsia="Times New Roman" w:hint="default"/>
                            <w:sz w:val="18"/>
                            <w:szCs w:val="18"/>
                          </w:rPr>
                          <w:t>2</w:t>
                        </w:r>
                      </w:p>
                    </w:tc>
                    <w:tc>
                      <w:tcPr>
                        <w:tcW w:w="397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pacing w:val="-1"/>
                            <w:sz w:val="18"/>
                          </w:rPr>
                          <w:t>29,602,328.59</w:t>
                        </w:r>
                      </w:p>
                    </w:tc>
                  </w:tr>
                </w:tbl>
                <w:p>
                  <w:pPr/>
                </w:p>
              </w:txbxContent>
            </v:textbox>
            <w10:wrap type="none"/>
          </v:shape>
        </w:pict>
      </w:r>
      <w:r>
        <w:rPr>
          <w:rFonts w:ascii="Times New Roman"/>
          <w:sz w:val="18"/>
        </w:rPr>
        <w:t>10,826.64</w:t>
      </w:r>
    </w:p>
    <w:p>
      <w:pPr>
        <w:spacing w:after="0" w:line="154" w:lineRule="exact"/>
        <w:jc w:val="right"/>
        <w:rPr>
          <w:rFonts w:ascii="Times New Roman" w:hAnsi="Times New Roman" w:cs="Times New Roman" w:eastAsia="Times New Roman" w:hint="default"/>
          <w:sz w:val="18"/>
          <w:szCs w:val="18"/>
        </w:rPr>
        <w:sectPr>
          <w:pgSz w:w="11910" w:h="16840"/>
          <w:pgMar w:header="0" w:footer="1256" w:top="1060" w:bottom="1440" w:left="1140" w:right="1540"/>
        </w:sect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300" w:lineRule="auto" w:before="162"/>
        <w:ind w:left="260" w:right="-11" w:firstLine="0"/>
        <w:jc w:val="left"/>
        <w:rPr>
          <w:rFonts w:ascii="宋体" w:hAnsi="宋体" w:cs="宋体" w:eastAsia="宋体" w:hint="default"/>
          <w:sz w:val="18"/>
          <w:szCs w:val="18"/>
        </w:rPr>
      </w:pPr>
      <w:r>
        <w:rPr>
          <w:rFonts w:ascii="Times New Roman" w:hAnsi="Times New Roman" w:cs="Times New Roman" w:eastAsia="Times New Roman" w:hint="default"/>
          <w:spacing w:val="9"/>
          <w:sz w:val="18"/>
          <w:szCs w:val="18"/>
        </w:rPr>
        <w:t>(17).</w:t>
      </w:r>
      <w:r>
        <w:rPr>
          <w:rFonts w:ascii="宋体" w:hAnsi="宋体" w:cs="宋体" w:eastAsia="宋体" w:hint="default"/>
          <w:spacing w:val="9"/>
          <w:sz w:val="18"/>
          <w:szCs w:val="18"/>
        </w:rPr>
        <w:t>新一代自助设备交易平台</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系统</w:t>
      </w:r>
    </w:p>
    <w:p>
      <w:pPr>
        <w:spacing w:line="400" w:lineRule="auto" w:before="73"/>
        <w:ind w:left="260" w:right="60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、减值准备合计 </w:t>
      </w:r>
      <w:r>
        <w:rPr>
          <w:rFonts w:ascii="Times New Roman" w:hAnsi="Times New Roman" w:cs="Times New Roman" w:eastAsia="Times New Roman" w:hint="default"/>
          <w:sz w:val="18"/>
          <w:szCs w:val="18"/>
        </w:rPr>
        <w:t>(1).NS_5GT_108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防火墙</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6"/>
          <w:szCs w:val="16"/>
        </w:rPr>
      </w:pPr>
    </w:p>
    <w:p>
      <w:pPr>
        <w:spacing w:before="0"/>
        <w:ind w:left="260" w:right="0" w:firstLine="0"/>
        <w:jc w:val="left"/>
        <w:rPr>
          <w:rFonts w:ascii="Times New Roman" w:hAnsi="Times New Roman" w:cs="Times New Roman" w:eastAsia="Times New Roman" w:hint="default"/>
          <w:sz w:val="18"/>
          <w:szCs w:val="18"/>
        </w:rPr>
      </w:pPr>
      <w:r>
        <w:rPr>
          <w:rFonts w:ascii="Times New Roman"/>
          <w:sz w:val="18"/>
        </w:rPr>
        <w:t>5,013,805.33</w:t>
      </w:r>
    </w:p>
    <w:p>
      <w:pPr>
        <w:spacing w:after="0"/>
        <w:jc w:val="left"/>
        <w:rPr>
          <w:rFonts w:ascii="Times New Roman" w:hAnsi="Times New Roman" w:cs="Times New Roman" w:eastAsia="Times New Roman" w:hint="default"/>
          <w:sz w:val="18"/>
          <w:szCs w:val="18"/>
        </w:rPr>
        <w:sectPr>
          <w:type w:val="continuous"/>
          <w:pgSz w:w="11910" w:h="16840"/>
          <w:pgMar w:top="1100" w:bottom="1240" w:left="1140" w:right="1540"/>
          <w:cols w:num="2" w:equalWidth="0">
            <w:col w:w="2739" w:space="5032"/>
            <w:col w:w="1459"/>
          </w:cols>
        </w:sectPr>
      </w:pPr>
    </w:p>
    <w:p>
      <w:pPr>
        <w:spacing w:before="1"/>
        <w:ind w:left="260" w:right="98" w:firstLine="0"/>
        <w:jc w:val="left"/>
        <w:rPr>
          <w:rFonts w:ascii="Times New Roman" w:hAnsi="Times New Roman" w:cs="Times New Roman" w:eastAsia="Times New Roman" w:hint="default"/>
          <w:sz w:val="18"/>
          <w:szCs w:val="18"/>
        </w:rPr>
      </w:pPr>
      <w:r>
        <w:rPr/>
        <w:pict>
          <v:group style="position:absolute;margin-left:63.150002pt;margin-top:72pt;width:449.35pt;height:684.55pt;mso-position-horizontal-relative:page;mso-position-vertical-relative:page;z-index:-814264" coordorigin="1263,1440" coordsize="8987,13691">
            <v:group style="position:absolute;left:1292;top:1455;width:8932;height:2" coordorigin="1292,1455" coordsize="8932,2">
              <v:shape style="position:absolute;left:1292;top:1455;width:8932;height:2" coordorigin="1292,1455" coordsize="8932,0" path="m1292,1455l10224,1455e" filled="false" stroked="true" strokeweight="1.5pt" strokecolor="#000000">
                <v:path arrowok="t"/>
              </v:shape>
              <v:shape style="position:absolute;left:3953;top:1441;width:4319;height:432" type="#_x0000_t75" stroked="false">
                <v:imagedata r:id="rId167" o:title=""/>
              </v:shape>
            </v:group>
            <v:group style="position:absolute;left:1278;top:15116;width:2704;height:2" coordorigin="1278,15116" coordsize="2704,2">
              <v:shape style="position:absolute;left:1278;top:15116;width:2704;height:2" coordorigin="1278,15116" coordsize="2704,0" path="m1278,15116l3982,15116e" filled="false" stroked="true" strokeweight="1.5pt" strokecolor="#000000">
                <v:path arrowok="t"/>
              </v:shape>
              <v:shape style="position:absolute;left:1273;top:1825;width:8976;height:13304" type="#_x0000_t75" stroked="false">
                <v:imagedata r:id="rId168" o:title=""/>
              </v:shape>
            </v:group>
            <v:group style="position:absolute;left:3982;top:15116;width:1418;height:2" coordorigin="3982,15116" coordsize="1418,2">
              <v:shape style="position:absolute;left:3982;top:15116;width:1418;height:2" coordorigin="3982,15116" coordsize="1418,0" path="m3982,15116l5399,15116e" filled="false" stroked="true" strokeweight="1.5pt" strokecolor="#000000">
                <v:path arrowok="t"/>
              </v:shape>
              <v:shape style="position:absolute;left:5370;top:14448;width:67;height:682" type="#_x0000_t75" stroked="false">
                <v:imagedata r:id="rId169" o:title=""/>
              </v:shape>
            </v:group>
            <v:group style="position:absolute;left:5399;top:15116;width:1419;height:2" coordorigin="5399,15116" coordsize="1419,2">
              <v:shape style="position:absolute;left:5399;top:15116;width:1419;height:2" coordorigin="5399,15116" coordsize="1419,0" path="m5399,15116l6817,15116e" filled="false" stroked="true" strokeweight="1.5pt" strokecolor="#000000">
                <v:path arrowok="t"/>
              </v:shape>
              <v:shape style="position:absolute;left:6788;top:14448;width:67;height:682" type="#_x0000_t75" stroked="false">
                <v:imagedata r:id="rId169" o:title=""/>
              </v:shape>
            </v:group>
            <v:group style="position:absolute;left:6817;top:15116;width:1416;height:2" coordorigin="6817,15116" coordsize="1416,2">
              <v:shape style="position:absolute;left:6817;top:15116;width:1416;height:2" coordorigin="6817,15116" coordsize="1416,0" path="m6817,15116l8233,15116e" filled="false" stroked="true" strokeweight="1.5pt" strokecolor="#000000">
                <v:path arrowok="t"/>
              </v:shape>
              <v:shape style="position:absolute;left:8204;top:14448;width:67;height:682" type="#_x0000_t75" stroked="false">
                <v:imagedata r:id="rId169" o:title=""/>
              </v:shape>
            </v:group>
            <v:group style="position:absolute;left:8233;top:15116;width:1991;height:2" coordorigin="8233,15116" coordsize="1991,2">
              <v:shape style="position:absolute;left:8233;top:15116;width:1991;height:2" coordorigin="8233,15116" coordsize="1991,0" path="m8233,15116l10224,15116e" filled="false" stroked="true" strokeweight="1.5pt" strokecolor="#000000">
                <v:path arrowok="t"/>
              </v:shape>
            </v:group>
            <w10:wrap type="none"/>
          </v:group>
        </w:pict>
      </w:r>
      <w:r>
        <w:rPr>
          <w:rFonts w:ascii="Times New Roman" w:hAnsi="Times New Roman" w:cs="Times New Roman" w:eastAsia="Times New Roman" w:hint="default"/>
          <w:sz w:val="18"/>
          <w:szCs w:val="18"/>
        </w:rPr>
        <w:t>(2).</w:t>
      </w:r>
      <w:r>
        <w:rPr>
          <w:rFonts w:ascii="宋体" w:hAnsi="宋体" w:cs="宋体" w:eastAsia="宋体" w:hint="default"/>
          <w:sz w:val="18"/>
          <w:szCs w:val="18"/>
        </w:rPr>
        <w:t>科学城土地使用权＊</w:t>
      </w:r>
      <w:r>
        <w:rPr>
          <w:rFonts w:ascii="Times New Roman" w:hAnsi="Times New Roman" w:cs="Times New Roman" w:eastAsia="Times New Roman" w:hint="default"/>
          <w:sz w:val="18"/>
          <w:szCs w:val="18"/>
        </w:rPr>
        <w:t>1</w:t>
      </w:r>
    </w:p>
    <w:p>
      <w:pPr>
        <w:spacing w:line="369" w:lineRule="auto" w:before="136"/>
        <w:ind w:left="260" w:right="670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金蝶软件</w:t>
      </w:r>
      <w:r>
        <w:rPr>
          <w:rFonts w:ascii="宋体" w:hAnsi="宋体" w:cs="宋体" w:eastAsia="宋体" w:hint="default"/>
          <w:w w:val="99"/>
          <w:sz w:val="18"/>
          <w:szCs w:val="18"/>
        </w:rPr>
        <w:t> </w:t>
      </w:r>
      <w:r>
        <w:rPr>
          <w:rFonts w:ascii="Times New Roman" w:hAnsi="Times New Roman" w:cs="Times New Roman" w:eastAsia="Times New Roman" w:hint="default"/>
          <w:sz w:val="18"/>
          <w:szCs w:val="18"/>
        </w:rPr>
        <w:t>(4).KINGTELLER&amp;</w:t>
      </w:r>
      <w:r>
        <w:rPr>
          <w:rFonts w:ascii="宋体" w:hAnsi="宋体" w:cs="宋体" w:eastAsia="宋体" w:hint="default"/>
          <w:sz w:val="18"/>
          <w:szCs w:val="18"/>
        </w:rPr>
        <w:t>御银商标</w:t>
      </w:r>
    </w:p>
    <w:p>
      <w:pPr>
        <w:spacing w:before="27"/>
        <w:ind w:left="260" w:right="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(5).1688A</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大堂式外观专利</w:t>
      </w:r>
    </w:p>
    <w:p>
      <w:pPr>
        <w:spacing w:before="136"/>
        <w:ind w:left="260" w:right="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自动柜员机面板</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外观专利</w:t>
      </w:r>
    </w:p>
    <w:p>
      <w:pPr>
        <w:spacing w:before="135"/>
        <w:ind w:left="260" w:right="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人民币防伪鉴别仪外观专利</w:t>
      </w:r>
    </w:p>
    <w:p>
      <w:pPr>
        <w:spacing w:before="135"/>
        <w:ind w:left="260" w:right="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(8).URT racker</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事务系统</w:t>
      </w:r>
    </w:p>
    <w:p>
      <w:pPr>
        <w:spacing w:before="136"/>
        <w:ind w:left="260" w:right="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办公自动化系统</w:t>
      </w:r>
      <w:r>
        <w:rPr>
          <w:rFonts w:ascii="Times New Roman" w:hAnsi="Times New Roman" w:cs="Times New Roman" w:eastAsia="Times New Roman" w:hint="default"/>
          <w:sz w:val="18"/>
          <w:szCs w:val="18"/>
        </w:rPr>
        <w:t>—OA</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系统</w:t>
      </w:r>
    </w:p>
    <w:p>
      <w:pPr>
        <w:spacing w:line="304" w:lineRule="auto" w:before="135"/>
        <w:ind w:left="260" w:right="646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(10).VideoArts</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培训技术课程</w:t>
      </w:r>
      <w:r>
        <w:rPr>
          <w:rFonts w:ascii="宋体" w:hAnsi="宋体" w:cs="宋体" w:eastAsia="宋体" w:hint="default"/>
          <w:w w:val="99"/>
          <w:sz w:val="18"/>
          <w:szCs w:val="18"/>
        </w:rPr>
        <w:t> </w:t>
      </w:r>
      <w:r>
        <w:rPr>
          <w:rFonts w:ascii="Times New Roman" w:hAnsi="Times New Roman" w:cs="Times New Roman" w:eastAsia="Times New Roman" w:hint="default"/>
          <w:sz w:val="18"/>
          <w:szCs w:val="18"/>
        </w:rPr>
        <w:t>(11).OA</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系统瑞星杀毒软件及防</w:t>
      </w:r>
      <w:r>
        <w:rPr>
          <w:rFonts w:ascii="宋体" w:hAnsi="宋体" w:cs="宋体" w:eastAsia="宋体" w:hint="default"/>
          <w:w w:val="99"/>
          <w:sz w:val="18"/>
          <w:szCs w:val="18"/>
        </w:rPr>
        <w:t> </w:t>
      </w:r>
      <w:r>
        <w:rPr>
          <w:rFonts w:ascii="宋体" w:hAnsi="宋体" w:cs="宋体" w:eastAsia="宋体" w:hint="default"/>
          <w:sz w:val="18"/>
          <w:szCs w:val="18"/>
        </w:rPr>
        <w:t>火墙</w:t>
      </w:r>
    </w:p>
    <w:p>
      <w:pPr>
        <w:spacing w:after="0" w:line="304" w:lineRule="auto"/>
        <w:jc w:val="left"/>
        <w:rPr>
          <w:rFonts w:ascii="宋体" w:hAnsi="宋体" w:cs="宋体" w:eastAsia="宋体" w:hint="default"/>
          <w:sz w:val="18"/>
          <w:szCs w:val="18"/>
        </w:rPr>
        <w:sectPr>
          <w:type w:val="continuous"/>
          <w:pgSz w:w="11910" w:h="16840"/>
          <w:pgMar w:top="1100" w:bottom="1240" w:left="1140" w:right="1540"/>
        </w:sectPr>
      </w:pPr>
    </w:p>
    <w:p>
      <w:pPr>
        <w:spacing w:line="240" w:lineRule="auto" w:before="8"/>
        <w:rPr>
          <w:rFonts w:ascii="宋体" w:hAnsi="宋体" w:cs="宋体" w:eastAsia="宋体" w:hint="default"/>
          <w:sz w:val="29"/>
          <w:szCs w:val="29"/>
        </w:rPr>
      </w:pPr>
    </w:p>
    <w:tbl>
      <w:tblPr>
        <w:tblW w:w="0" w:type="auto"/>
        <w:jc w:val="left"/>
        <w:tblInd w:w="225" w:type="dxa"/>
        <w:tblLayout w:type="fixed"/>
        <w:tblCellMar>
          <w:top w:w="0" w:type="dxa"/>
          <w:left w:w="0" w:type="dxa"/>
          <w:bottom w:w="0" w:type="dxa"/>
          <w:right w:w="0" w:type="dxa"/>
        </w:tblCellMar>
        <w:tblLook w:val="01E0"/>
      </w:tblPr>
      <w:tblGrid>
        <w:gridCol w:w="2741"/>
        <w:gridCol w:w="1418"/>
        <w:gridCol w:w="1297"/>
        <w:gridCol w:w="1559"/>
        <w:gridCol w:w="1771"/>
      </w:tblGrid>
      <w:tr>
        <w:trPr>
          <w:trHeight w:val="784" w:hRule="exact"/>
        </w:trPr>
        <w:tc>
          <w:tcPr>
            <w:tcW w:w="274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92"/>
              <w:jc w:val="center"/>
              <w:rPr>
                <w:rFonts w:ascii="宋体" w:hAnsi="宋体" w:cs="宋体" w:eastAsia="宋体" w:hint="default"/>
                <w:sz w:val="18"/>
                <w:szCs w:val="18"/>
              </w:rPr>
            </w:pPr>
            <w:r>
              <w:rPr>
                <w:rFonts w:ascii="宋体" w:hAnsi="宋体" w:cs="宋体" w:eastAsia="宋体" w:hint="default"/>
                <w:sz w:val="18"/>
                <w:szCs w:val="18"/>
              </w:rPr>
              <w:t>项  目</w:t>
            </w: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09"/>
              <w:jc w:val="center"/>
              <w:rPr>
                <w:rFonts w:ascii="宋体" w:hAnsi="宋体" w:cs="宋体" w:eastAsia="宋体" w:hint="default"/>
                <w:sz w:val="18"/>
                <w:szCs w:val="18"/>
              </w:rPr>
            </w:pPr>
            <w:r>
              <w:rPr>
                <w:rFonts w:ascii="Times New Roman" w:hAnsi="Times New Roman" w:cs="Times New Roman" w:eastAsia="Times New Roman" w:hint="default"/>
                <w:sz w:val="18"/>
                <w:szCs w:val="18"/>
              </w:rPr>
              <w:t>(12).Altium Limited</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绘图软件款</w:t>
            </w:r>
          </w:p>
        </w:tc>
        <w:tc>
          <w:tcPr>
            <w:tcW w:w="141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27"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9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2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5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48"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77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9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660" w:hRule="exact"/>
        </w:trPr>
        <w:tc>
          <w:tcPr>
            <w:tcW w:w="2741" w:type="dxa"/>
            <w:tcBorders>
              <w:top w:val="nil" w:sz="6" w:space="0" w:color="auto"/>
              <w:left w:val="nil" w:sz="6" w:space="0" w:color="auto"/>
              <w:bottom w:val="nil" w:sz="6" w:space="0" w:color="auto"/>
              <w:right w:val="nil" w:sz="6" w:space="0" w:color="auto"/>
            </w:tcBorders>
          </w:tcPr>
          <w:p>
            <w:pPr>
              <w:pStyle w:val="TableParagraph"/>
              <w:spacing w:line="300" w:lineRule="auto" w:before="11"/>
              <w:ind w:left="35" w:right="227"/>
              <w:jc w:val="left"/>
              <w:rPr>
                <w:rFonts w:ascii="宋体" w:hAnsi="宋体" w:cs="宋体" w:eastAsia="宋体" w:hint="default"/>
                <w:sz w:val="18"/>
                <w:szCs w:val="18"/>
              </w:rPr>
            </w:pPr>
            <w:r>
              <w:rPr>
                <w:rFonts w:ascii="Times New Roman" w:hAnsi="Times New Roman" w:cs="Times New Roman" w:eastAsia="Times New Roman" w:hint="default"/>
                <w:sz w:val="18"/>
                <w:szCs w:val="18"/>
              </w:rPr>
              <w:t>(13).coreldraw x5</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简体中文版软</w:t>
            </w:r>
            <w:r>
              <w:rPr>
                <w:rFonts w:ascii="宋体" w:hAnsi="宋体" w:cs="宋体" w:eastAsia="宋体" w:hint="default"/>
                <w:w w:val="99"/>
                <w:sz w:val="18"/>
                <w:szCs w:val="18"/>
              </w:rPr>
              <w:t> </w:t>
            </w:r>
            <w:r>
              <w:rPr>
                <w:rFonts w:ascii="宋体" w:hAnsi="宋体" w:cs="宋体" w:eastAsia="宋体" w:hint="default"/>
                <w:sz w:val="18"/>
                <w:szCs w:val="18"/>
              </w:rPr>
              <w:t>件</w:t>
            </w:r>
          </w:p>
        </w:tc>
        <w:tc>
          <w:tcPr>
            <w:tcW w:w="1418"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
        </w:tc>
      </w:tr>
      <w:tr>
        <w:trPr>
          <w:trHeight w:val="389" w:hRule="exact"/>
        </w:trPr>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宋体" w:hAnsi="宋体" w:cs="宋体" w:eastAsia="宋体" w:hint="default"/>
                <w:sz w:val="18"/>
                <w:szCs w:val="18"/>
              </w:rPr>
              <w:t>微软软件</w:t>
            </w:r>
          </w:p>
        </w:tc>
        <w:tc>
          <w:tcPr>
            <w:tcW w:w="1418"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
        </w:tc>
      </w:tr>
      <w:tr>
        <w:trPr>
          <w:trHeight w:val="385" w:hRule="exact"/>
        </w:trPr>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高尔夫球会籍</w:t>
            </w:r>
          </w:p>
        </w:tc>
        <w:tc>
          <w:tcPr>
            <w:tcW w:w="1418"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
        </w:tc>
      </w:tr>
      <w:tr>
        <w:trPr>
          <w:trHeight w:val="353" w:hRule="exact"/>
        </w:trPr>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(16).</w:t>
            </w:r>
            <w:r>
              <w:rPr>
                <w:rFonts w:ascii="宋体" w:hAnsi="宋体" w:cs="宋体" w:eastAsia="宋体" w:hint="default"/>
                <w:sz w:val="18"/>
                <w:szCs w:val="18"/>
              </w:rPr>
              <w:t>高塘土地使用权＊</w:t>
            </w:r>
            <w:r>
              <w:rPr>
                <w:rFonts w:ascii="Times New Roman" w:hAnsi="Times New Roman" w:cs="Times New Roman" w:eastAsia="Times New Roman" w:hint="default"/>
                <w:sz w:val="18"/>
                <w:szCs w:val="18"/>
              </w:rPr>
              <w:t>2</w:t>
            </w:r>
          </w:p>
        </w:tc>
        <w:tc>
          <w:tcPr>
            <w:tcW w:w="1418"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
        </w:tc>
      </w:tr>
      <w:tr>
        <w:trPr>
          <w:trHeight w:val="644" w:hRule="exact"/>
        </w:trPr>
        <w:tc>
          <w:tcPr>
            <w:tcW w:w="2741" w:type="dxa"/>
            <w:tcBorders>
              <w:top w:val="nil" w:sz="6" w:space="0" w:color="auto"/>
              <w:left w:val="nil" w:sz="6" w:space="0" w:color="auto"/>
              <w:bottom w:val="nil" w:sz="6" w:space="0" w:color="auto"/>
              <w:right w:val="nil" w:sz="6" w:space="0" w:color="auto"/>
            </w:tcBorders>
          </w:tcPr>
          <w:p>
            <w:pPr>
              <w:pStyle w:val="TableParagraph"/>
              <w:spacing w:line="300" w:lineRule="auto" w:before="10"/>
              <w:ind w:left="35" w:right="226"/>
              <w:jc w:val="left"/>
              <w:rPr>
                <w:rFonts w:ascii="宋体" w:hAnsi="宋体" w:cs="宋体" w:eastAsia="宋体" w:hint="default"/>
                <w:sz w:val="18"/>
                <w:szCs w:val="18"/>
              </w:rPr>
            </w:pPr>
            <w:r>
              <w:rPr>
                <w:rFonts w:ascii="Times New Roman" w:hAnsi="Times New Roman" w:cs="Times New Roman" w:eastAsia="Times New Roman" w:hint="default"/>
                <w:spacing w:val="9"/>
                <w:sz w:val="18"/>
                <w:szCs w:val="18"/>
              </w:rPr>
              <w:t>(17).</w:t>
            </w:r>
            <w:r>
              <w:rPr>
                <w:rFonts w:ascii="宋体" w:hAnsi="宋体" w:cs="宋体" w:eastAsia="宋体" w:hint="default"/>
                <w:spacing w:val="9"/>
                <w:sz w:val="18"/>
                <w:szCs w:val="18"/>
              </w:rPr>
              <w:t>新一代自助设备交易平台</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系统</w:t>
            </w:r>
          </w:p>
        </w:tc>
        <w:tc>
          <w:tcPr>
            <w:tcW w:w="1418"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
        </w:tc>
      </w:tr>
      <w:tr>
        <w:trPr>
          <w:trHeight w:val="358" w:hRule="exact"/>
        </w:trPr>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、无形资产账面价值合计</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27"/>
              <w:jc w:val="right"/>
              <w:rPr>
                <w:rFonts w:ascii="Times New Roman" w:hAnsi="Times New Roman" w:cs="Times New Roman" w:eastAsia="Times New Roman" w:hint="default"/>
                <w:sz w:val="18"/>
                <w:szCs w:val="18"/>
              </w:rPr>
            </w:pPr>
            <w:r>
              <w:rPr>
                <w:rFonts w:ascii="Times New Roman"/>
                <w:sz w:val="18"/>
              </w:rPr>
              <w:t>265,524.73</w:t>
            </w:r>
          </w:p>
        </w:tc>
        <w:tc>
          <w:tcPr>
            <w:tcW w:w="129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Times New Roman" w:hAnsi="Times New Roman" w:cs="Times New Roman" w:eastAsia="Times New Roman" w:hint="default"/>
                <w:sz w:val="18"/>
                <w:szCs w:val="18"/>
              </w:rPr>
            </w:pPr>
            <w:r>
              <w:rPr>
                <w:rFonts w:ascii="Times New Roman"/>
                <w:spacing w:val="-1"/>
                <w:sz w:val="18"/>
              </w:rPr>
              <w:t>47,711,408.56</w:t>
            </w:r>
          </w:p>
        </w:tc>
      </w:tr>
      <w:tr>
        <w:trPr>
          <w:trHeight w:val="338" w:hRule="exact"/>
        </w:trPr>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(1).NS_5GT_108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防火墙</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26"/>
              <w:jc w:val="right"/>
              <w:rPr>
                <w:rFonts w:ascii="Times New Roman" w:hAnsi="Times New Roman" w:cs="Times New Roman" w:eastAsia="Times New Roman" w:hint="default"/>
                <w:sz w:val="18"/>
                <w:szCs w:val="18"/>
              </w:rPr>
            </w:pPr>
            <w:r>
              <w:rPr>
                <w:rFonts w:ascii="Times New Roman"/>
                <w:sz w:val="18"/>
              </w:rPr>
              <w:t>1,353.18</w:t>
            </w:r>
          </w:p>
        </w:tc>
        <w:tc>
          <w:tcPr>
            <w:tcW w:w="129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Times New Roman" w:hAnsi="Times New Roman" w:cs="Times New Roman" w:eastAsia="Times New Roman" w:hint="default"/>
                <w:sz w:val="18"/>
                <w:szCs w:val="18"/>
              </w:rPr>
            </w:pPr>
            <w:r>
              <w:rPr>
                <w:rFonts w:ascii="Times New Roman"/>
                <w:sz w:val="18"/>
              </w:rPr>
              <w:t>193.14</w:t>
            </w:r>
          </w:p>
        </w:tc>
      </w:tr>
      <w:tr>
        <w:trPr>
          <w:trHeight w:val="322" w:hRule="exact"/>
        </w:trPr>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科学城土地使用权＊</w:t>
            </w:r>
            <w:r>
              <w:rPr>
                <w:rFonts w:ascii="Times New Roman" w:hAnsi="Times New Roman" w:cs="Times New Roman" w:eastAsia="Times New Roman" w:hint="default"/>
                <w:sz w:val="18"/>
                <w:szCs w:val="18"/>
              </w:rPr>
              <w:t>1</w:t>
            </w:r>
          </w:p>
        </w:tc>
        <w:tc>
          <w:tcPr>
            <w:tcW w:w="1418"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pacing w:val="-1"/>
                <w:sz w:val="18"/>
              </w:rPr>
              <w:t>9,053,700.00</w:t>
            </w:r>
          </w:p>
        </w:tc>
      </w:tr>
      <w:tr>
        <w:trPr>
          <w:trHeight w:val="322" w:hRule="exact"/>
        </w:trPr>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金蝶软件</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6"/>
              <w:jc w:val="right"/>
              <w:rPr>
                <w:rFonts w:ascii="Times New Roman" w:hAnsi="Times New Roman" w:cs="Times New Roman" w:eastAsia="Times New Roman" w:hint="default"/>
                <w:sz w:val="18"/>
                <w:szCs w:val="18"/>
              </w:rPr>
            </w:pPr>
            <w:r>
              <w:rPr>
                <w:rFonts w:ascii="Times New Roman"/>
                <w:sz w:val="18"/>
              </w:rPr>
              <w:t>9,250.20</w:t>
            </w:r>
          </w:p>
        </w:tc>
        <w:tc>
          <w:tcPr>
            <w:tcW w:w="129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z w:val="18"/>
              </w:rPr>
              <w:t>46,100.21</w:t>
            </w:r>
          </w:p>
        </w:tc>
      </w:tr>
      <w:tr>
        <w:trPr>
          <w:trHeight w:val="322" w:hRule="exact"/>
        </w:trPr>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(4).KINGTELLER&amp;</w:t>
            </w:r>
            <w:r>
              <w:rPr>
                <w:rFonts w:ascii="宋体" w:hAnsi="宋体" w:cs="宋体" w:eastAsia="宋体" w:hint="default"/>
                <w:sz w:val="18"/>
                <w:szCs w:val="18"/>
              </w:rPr>
              <w:t>御银商标</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6"/>
              <w:jc w:val="right"/>
              <w:rPr>
                <w:rFonts w:ascii="Times New Roman" w:hAnsi="Times New Roman" w:cs="Times New Roman" w:eastAsia="Times New Roman" w:hint="default"/>
                <w:sz w:val="18"/>
                <w:szCs w:val="18"/>
              </w:rPr>
            </w:pPr>
            <w:r>
              <w:rPr>
                <w:rFonts w:ascii="Times New Roman"/>
                <w:sz w:val="18"/>
              </w:rPr>
              <w:t>293.06</w:t>
            </w:r>
          </w:p>
        </w:tc>
        <w:tc>
          <w:tcPr>
            <w:tcW w:w="129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
        </w:tc>
      </w:tr>
      <w:tr>
        <w:trPr>
          <w:trHeight w:val="322" w:hRule="exact"/>
        </w:trPr>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(5).1688A</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大堂式外观专利</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7"/>
              <w:jc w:val="right"/>
              <w:rPr>
                <w:rFonts w:ascii="Times New Roman" w:hAnsi="Times New Roman" w:cs="Times New Roman" w:eastAsia="Times New Roman" w:hint="default"/>
                <w:sz w:val="18"/>
                <w:szCs w:val="18"/>
              </w:rPr>
            </w:pPr>
            <w:r>
              <w:rPr>
                <w:rFonts w:ascii="Times New Roman"/>
                <w:sz w:val="18"/>
              </w:rPr>
              <w:t>143.66</w:t>
            </w:r>
          </w:p>
        </w:tc>
        <w:tc>
          <w:tcPr>
            <w:tcW w:w="129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
        </w:tc>
      </w:tr>
      <w:tr>
        <w:trPr>
          <w:trHeight w:val="322" w:hRule="exact"/>
        </w:trPr>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自动柜员机面板</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外观专利</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6"/>
              <w:jc w:val="right"/>
              <w:rPr>
                <w:rFonts w:ascii="Times New Roman" w:hAnsi="Times New Roman" w:cs="Times New Roman" w:eastAsia="Times New Roman" w:hint="default"/>
                <w:sz w:val="18"/>
                <w:szCs w:val="18"/>
              </w:rPr>
            </w:pPr>
            <w:r>
              <w:rPr>
                <w:rFonts w:ascii="Times New Roman"/>
                <w:sz w:val="18"/>
              </w:rPr>
              <w:t>1,740.34</w:t>
            </w:r>
          </w:p>
        </w:tc>
        <w:tc>
          <w:tcPr>
            <w:tcW w:w="129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z w:val="18"/>
              </w:rPr>
              <w:t>882.82</w:t>
            </w:r>
          </w:p>
        </w:tc>
      </w:tr>
      <w:tr>
        <w:trPr>
          <w:trHeight w:val="322" w:hRule="exact"/>
        </w:trPr>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人民币防伪鉴别仪外观专利</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6"/>
              <w:jc w:val="right"/>
              <w:rPr>
                <w:rFonts w:ascii="Times New Roman" w:hAnsi="Times New Roman" w:cs="Times New Roman" w:eastAsia="Times New Roman" w:hint="default"/>
                <w:sz w:val="18"/>
                <w:szCs w:val="18"/>
              </w:rPr>
            </w:pPr>
            <w:r>
              <w:rPr>
                <w:rFonts w:ascii="Times New Roman"/>
                <w:sz w:val="18"/>
              </w:rPr>
              <w:t>745.88</w:t>
            </w:r>
          </w:p>
        </w:tc>
        <w:tc>
          <w:tcPr>
            <w:tcW w:w="129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z w:val="18"/>
              </w:rPr>
              <w:t>415.40</w:t>
            </w:r>
          </w:p>
        </w:tc>
      </w:tr>
      <w:tr>
        <w:trPr>
          <w:trHeight w:val="322" w:hRule="exact"/>
        </w:trPr>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(8).URT racker</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事务系统</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6"/>
              <w:jc w:val="right"/>
              <w:rPr>
                <w:rFonts w:ascii="Times New Roman" w:hAnsi="Times New Roman" w:cs="Times New Roman" w:eastAsia="Times New Roman" w:hint="default"/>
                <w:sz w:val="18"/>
                <w:szCs w:val="18"/>
              </w:rPr>
            </w:pPr>
            <w:r>
              <w:rPr>
                <w:rFonts w:ascii="Times New Roman"/>
                <w:sz w:val="18"/>
              </w:rPr>
              <w:t>363.00</w:t>
            </w:r>
          </w:p>
        </w:tc>
        <w:tc>
          <w:tcPr>
            <w:tcW w:w="129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
        </w:tc>
      </w:tr>
      <w:tr>
        <w:trPr>
          <w:trHeight w:val="322" w:hRule="exact"/>
        </w:trPr>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办公自动化系统</w:t>
            </w:r>
            <w:r>
              <w:rPr>
                <w:rFonts w:ascii="Times New Roman" w:hAnsi="Times New Roman" w:cs="Times New Roman" w:eastAsia="Times New Roman" w:hint="default"/>
                <w:sz w:val="18"/>
                <w:szCs w:val="18"/>
              </w:rPr>
              <w:t>—OA</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系统</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6"/>
              <w:jc w:val="right"/>
              <w:rPr>
                <w:rFonts w:ascii="Times New Roman" w:hAnsi="Times New Roman" w:cs="Times New Roman" w:eastAsia="Times New Roman" w:hint="default"/>
                <w:sz w:val="18"/>
                <w:szCs w:val="18"/>
              </w:rPr>
            </w:pPr>
            <w:r>
              <w:rPr>
                <w:rFonts w:ascii="Times New Roman"/>
                <w:sz w:val="18"/>
              </w:rPr>
              <w:t>36,249.89</w:t>
            </w:r>
          </w:p>
        </w:tc>
        <w:tc>
          <w:tcPr>
            <w:tcW w:w="129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z w:val="18"/>
              </w:rPr>
              <w:t>31,249.85</w:t>
            </w:r>
          </w:p>
        </w:tc>
      </w:tr>
      <w:tr>
        <w:trPr>
          <w:trHeight w:val="348" w:hRule="exact"/>
        </w:trPr>
        <w:tc>
          <w:tcPr>
            <w:tcW w:w="274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(10).VideoArts</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培训技术课程</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5"/>
              <w:jc w:val="right"/>
              <w:rPr>
                <w:rFonts w:ascii="Times New Roman" w:hAnsi="Times New Roman" w:cs="Times New Roman" w:eastAsia="Times New Roman" w:hint="default"/>
                <w:sz w:val="18"/>
                <w:szCs w:val="18"/>
              </w:rPr>
            </w:pPr>
            <w:r>
              <w:rPr>
                <w:rFonts w:ascii="Times New Roman"/>
                <w:sz w:val="18"/>
              </w:rPr>
              <w:t>12,905.00</w:t>
            </w:r>
          </w:p>
        </w:tc>
        <w:tc>
          <w:tcPr>
            <w:tcW w:w="129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z w:val="18"/>
              </w:rPr>
              <w:t>7,565.00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9"/>
          <w:szCs w:val="19"/>
        </w:rPr>
      </w:pPr>
    </w:p>
    <w:tbl>
      <w:tblPr>
        <w:tblW w:w="0" w:type="auto"/>
        <w:jc w:val="left"/>
        <w:tblInd w:w="225" w:type="dxa"/>
        <w:tblLayout w:type="fixed"/>
        <w:tblCellMar>
          <w:top w:w="0" w:type="dxa"/>
          <w:left w:w="0" w:type="dxa"/>
          <w:bottom w:w="0" w:type="dxa"/>
          <w:right w:w="0" w:type="dxa"/>
        </w:tblCellMar>
        <w:tblLook w:val="01E0"/>
      </w:tblPr>
      <w:tblGrid>
        <w:gridCol w:w="4813"/>
        <w:gridCol w:w="3974"/>
      </w:tblGrid>
      <w:tr>
        <w:trPr>
          <w:trHeight w:val="577"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件</w:t>
            </w:r>
          </w:p>
          <w:p>
            <w:pPr>
              <w:pStyle w:val="TableParagraph"/>
              <w:spacing w:line="240" w:lineRule="auto" w:before="86"/>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宋体" w:hAnsi="宋体" w:cs="宋体" w:eastAsia="宋体" w:hint="default"/>
                <w:sz w:val="18"/>
                <w:szCs w:val="18"/>
              </w:rPr>
              <w:t>微软软件</w:t>
            </w:r>
          </w:p>
        </w:tc>
        <w:tc>
          <w:tcPr>
            <w:tcW w:w="397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487,746.02</w:t>
            </w:r>
          </w:p>
        </w:tc>
      </w:tr>
      <w:tr>
        <w:trPr>
          <w:trHeight w:val="322"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高尔夫球会籍</w:t>
            </w:r>
          </w:p>
        </w:tc>
        <w:tc>
          <w:tcPr>
            <w:tcW w:w="397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pacing w:val="-1"/>
                <w:sz w:val="18"/>
              </w:rPr>
              <w:t>3,280,000.00</w:t>
            </w:r>
          </w:p>
        </w:tc>
      </w:tr>
      <w:tr>
        <w:trPr>
          <w:trHeight w:val="348" w:hRule="exact"/>
        </w:trPr>
        <w:tc>
          <w:tcPr>
            <w:tcW w:w="481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(16).</w:t>
            </w:r>
            <w:r>
              <w:rPr>
                <w:rFonts w:ascii="宋体" w:hAnsi="宋体" w:cs="宋体" w:eastAsia="宋体" w:hint="default"/>
                <w:sz w:val="18"/>
                <w:szCs w:val="18"/>
              </w:rPr>
              <w:t>高塘土地使用权＊</w:t>
            </w:r>
            <w:r>
              <w:rPr>
                <w:rFonts w:ascii="Times New Roman" w:hAnsi="Times New Roman" w:cs="Times New Roman" w:eastAsia="Times New Roman" w:hint="default"/>
                <w:sz w:val="18"/>
                <w:szCs w:val="18"/>
              </w:rPr>
              <w:t>2</w:t>
            </w:r>
          </w:p>
        </w:tc>
        <w:tc>
          <w:tcPr>
            <w:tcW w:w="397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pacing w:val="-1"/>
                <w:sz w:val="18"/>
              </w:rPr>
              <w:t>29,602,328.59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97"/>
        <w:ind w:left="860" w:right="98" w:firstLine="0"/>
        <w:jc w:val="left"/>
        <w:rPr>
          <w:rFonts w:ascii="Times New Roman" w:hAnsi="Times New Roman" w:cs="Times New Roman" w:eastAsia="Times New Roman" w:hint="default"/>
          <w:sz w:val="21"/>
          <w:szCs w:val="21"/>
        </w:rPr>
      </w:pPr>
      <w:r>
        <w:rPr/>
        <w:pict>
          <v:group style="position:absolute;margin-left:63.150002pt;margin-top:-496.465942pt;width:449.35pt;height:501.7pt;mso-position-horizontal-relative:page;mso-position-vertical-relative:paragraph;z-index:-814048" coordorigin="1263,-9929" coordsize="8987,10034">
            <v:shape style="position:absolute;left:3953;top:-9929;width:4319;height:432" type="#_x0000_t75" stroked="false">
              <v:imagedata r:id="rId167" o:title=""/>
            </v:shape>
            <v:group style="position:absolute;left:1278;top:89;width:2704;height:2" coordorigin="1278,89" coordsize="2704,2">
              <v:shape style="position:absolute;left:1278;top:89;width:2704;height:2" coordorigin="1278,89" coordsize="2704,0" path="m1278,89l3982,89e" filled="false" stroked="true" strokeweight="1.5pt" strokecolor="#000000">
                <v:path arrowok="t"/>
              </v:shape>
              <v:shape style="position:absolute;left:1273;top:-9545;width:8976;height:9648" type="#_x0000_t75" stroked="false">
                <v:imagedata r:id="rId170" o:title=""/>
              </v:shape>
            </v:group>
            <v:group style="position:absolute;left:3982;top:89;width:1418;height:2" coordorigin="3982,89" coordsize="1418,2">
              <v:shape style="position:absolute;left:3982;top:89;width:1418;height:2" coordorigin="3982,89" coordsize="1418,0" path="m3982,89l5399,89e" filled="false" stroked="true" strokeweight="1.5pt" strokecolor="#000000">
                <v:path arrowok="t"/>
              </v:shape>
              <v:shape style="position:absolute;left:5370;top:-579;width:67;height:682" type="#_x0000_t75" stroked="false">
                <v:imagedata r:id="rId171" o:title=""/>
              </v:shape>
            </v:group>
            <v:group style="position:absolute;left:5399;top:89;width:1419;height:2" coordorigin="5399,89" coordsize="1419,2">
              <v:shape style="position:absolute;left:5399;top:89;width:1419;height:2" coordorigin="5399,89" coordsize="1419,0" path="m5399,89l6817,89e" filled="false" stroked="true" strokeweight="1.5pt" strokecolor="#000000">
                <v:path arrowok="t"/>
              </v:shape>
              <v:shape style="position:absolute;left:6788;top:-579;width:67;height:682" type="#_x0000_t75" stroked="false">
                <v:imagedata r:id="rId171" o:title=""/>
              </v:shape>
            </v:group>
            <v:group style="position:absolute;left:6817;top:89;width:1416;height:2" coordorigin="6817,89" coordsize="1416,2">
              <v:shape style="position:absolute;left:6817;top:89;width:1416;height:2" coordorigin="6817,89" coordsize="1416,0" path="m6817,89l8233,89e" filled="false" stroked="true" strokeweight="1.5pt" strokecolor="#000000">
                <v:path arrowok="t"/>
              </v:shape>
              <v:shape style="position:absolute;left:8204;top:-579;width:67;height:682" type="#_x0000_t75" stroked="false">
                <v:imagedata r:id="rId171" o:title=""/>
              </v:shape>
            </v:group>
            <v:group style="position:absolute;left:8233;top:89;width:1991;height:2" coordorigin="8233,89" coordsize="1991,2">
              <v:shape style="position:absolute;left:8233;top:89;width:1991;height:2" coordorigin="8233,89" coordsize="1991,0" path="m8233,89l10224,89e" filled="false" stroked="true" strokeweight="1.5pt" strokecolor="#000000">
                <v:path arrowok="t"/>
              </v:shape>
              <v:shape style="position:absolute;left:1400;top:-3040;width:2478;height:1147"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(11).OA</w:t>
                      </w:r>
                      <w:r>
                        <w:rPr>
                          <w:rFonts w:ascii="Times New Roman" w:hAnsi="Times New Roman" w:cs="Times New Roman" w:eastAsia="Times New Roman" w:hint="default"/>
                          <w:spacing w:val="26"/>
                          <w:sz w:val="18"/>
                          <w:szCs w:val="18"/>
                        </w:rPr>
                        <w:t> </w:t>
                      </w:r>
                      <w:r>
                        <w:rPr>
                          <w:rFonts w:ascii="宋体" w:hAnsi="宋体" w:cs="宋体" w:eastAsia="宋体" w:hint="default"/>
                          <w:sz w:val="18"/>
                          <w:szCs w:val="18"/>
                        </w:rPr>
                        <w:t>系统瑞星杀毒软件及防</w:t>
                      </w:r>
                    </w:p>
                    <w:p>
                      <w:pPr>
                        <w:spacing w:before="63"/>
                        <w:ind w:left="0" w:right="0" w:firstLine="0"/>
                        <w:jc w:val="left"/>
                        <w:rPr>
                          <w:rFonts w:ascii="宋体" w:hAnsi="宋体" w:cs="宋体" w:eastAsia="宋体" w:hint="default"/>
                          <w:sz w:val="18"/>
                          <w:szCs w:val="18"/>
                        </w:rPr>
                      </w:pPr>
                      <w:r>
                        <w:rPr>
                          <w:rFonts w:ascii="宋体" w:hAnsi="宋体" w:cs="宋体" w:eastAsia="宋体" w:hint="default"/>
                          <w:sz w:val="18"/>
                          <w:szCs w:val="18"/>
                        </w:rPr>
                        <w:t>火墙</w:t>
                      </w:r>
                    </w:p>
                    <w:p>
                      <w:pPr>
                        <w:spacing w:before="86"/>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(12).Altium Limited</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绘图软件款</w:t>
                      </w:r>
                    </w:p>
                    <w:p>
                      <w:pPr>
                        <w:spacing w:line="245" w:lineRule="exact" w:before="73"/>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(13).coreldraw  x5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简体中文版软</w:t>
                      </w:r>
                    </w:p>
                  </w:txbxContent>
                </v:textbox>
                <w10:wrap type="none"/>
              </v:shape>
              <v:shape style="position:absolute;left:4576;top:-2877;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36,230.52</w:t>
                      </w:r>
                    </w:p>
                  </w:txbxContent>
                </v:textbox>
                <w10:wrap type="none"/>
              </v:shape>
              <v:shape style="position:absolute;left:9396;top:-2877;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31,345.56</w:t>
                      </w:r>
                    </w:p>
                  </w:txbxContent>
                </v:textbox>
                <w10:wrap type="none"/>
              </v:shape>
              <v:shape style="position:absolute;left:4486;top:-239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166,250.00</w:t>
                      </w:r>
                    </w:p>
                  </w:txbxContent>
                </v:textbox>
                <w10:wrap type="none"/>
              </v:shape>
              <v:shape style="position:absolute;left:9306;top:-239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145,250.00</w:t>
                      </w:r>
                    </w:p>
                  </w:txbxContent>
                </v:textbox>
                <w10:wrap type="none"/>
              </v:shape>
              <v:shape style="position:absolute;left:1400;top:-1920;width:8717;height:1929" type="#_x0000_t202" filled="false" stroked="false">
                <v:textbox inset="0,0,0,0">
                  <w:txbxContent>
                    <w:p>
                      <w:pPr>
                        <w:spacing w:line="184" w:lineRule="exact" w:before="0"/>
                        <w:ind w:left="0" w:right="0" w:firstLine="0"/>
                        <w:jc w:val="right"/>
                        <w:rPr>
                          <w:rFonts w:ascii="Times New Roman" w:hAnsi="Times New Roman" w:cs="Times New Roman" w:eastAsia="Times New Roman" w:hint="default"/>
                          <w:sz w:val="18"/>
                          <w:szCs w:val="18"/>
                        </w:rPr>
                      </w:pPr>
                      <w:r>
                        <w:rPr>
                          <w:rFonts w:ascii="Times New Roman"/>
                          <w:sz w:val="18"/>
                        </w:rPr>
                        <w:t>10,826.64</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5"/>
                          <w:szCs w:val="15"/>
                        </w:rPr>
                      </w:pPr>
                    </w:p>
                    <w:p>
                      <w:pPr>
                        <w:spacing w:line="300" w:lineRule="atLeast" w:before="0"/>
                        <w:ind w:left="0" w:right="6236" w:firstLine="0"/>
                        <w:jc w:val="left"/>
                        <w:rPr>
                          <w:rFonts w:ascii="宋体" w:hAnsi="宋体" w:cs="宋体" w:eastAsia="宋体" w:hint="default"/>
                          <w:sz w:val="18"/>
                          <w:szCs w:val="18"/>
                        </w:rPr>
                      </w:pPr>
                      <w:r>
                        <w:rPr>
                          <w:rFonts w:ascii="Times New Roman" w:hAnsi="Times New Roman" w:cs="Times New Roman" w:eastAsia="Times New Roman" w:hint="default"/>
                          <w:spacing w:val="9"/>
                          <w:sz w:val="18"/>
                          <w:szCs w:val="18"/>
                        </w:rPr>
                        <w:t>(17).</w:t>
                      </w:r>
                      <w:r>
                        <w:rPr>
                          <w:rFonts w:ascii="宋体" w:hAnsi="宋体" w:cs="宋体" w:eastAsia="宋体" w:hint="default"/>
                          <w:spacing w:val="9"/>
                          <w:sz w:val="18"/>
                          <w:szCs w:val="18"/>
                        </w:rPr>
                        <w:t>新一代自助设备交易平台</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系统</w:t>
                      </w:r>
                    </w:p>
                  </w:txbxContent>
                </v:textbox>
                <w10:wrap type="none"/>
              </v:shape>
              <v:shape style="position:absolute;left:9172;top:-32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5,013,805.33</w:t>
                      </w:r>
                    </w:p>
                  </w:txbxContent>
                </v:textbox>
                <w10:wrap type="non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z w:val="21"/>
          <w:szCs w:val="21"/>
        </w:rPr>
        <w:t>科学</w:t>
      </w:r>
      <w:r>
        <w:rPr>
          <w:rFonts w:ascii="宋体" w:hAnsi="宋体" w:cs="宋体" w:eastAsia="宋体" w:hint="default"/>
          <w:spacing w:val="-2"/>
          <w:sz w:val="21"/>
          <w:szCs w:val="21"/>
        </w:rPr>
        <w:t>城</w:t>
      </w:r>
      <w:r>
        <w:rPr>
          <w:rFonts w:ascii="宋体" w:hAnsi="宋体" w:cs="宋体" w:eastAsia="宋体" w:hint="default"/>
          <w:sz w:val="21"/>
          <w:szCs w:val="21"/>
        </w:rPr>
        <w:t>土地使用权</w:t>
      </w:r>
      <w:r>
        <w:rPr>
          <w:rFonts w:ascii="宋体" w:hAnsi="宋体" w:cs="宋体" w:eastAsia="宋体" w:hint="default"/>
          <w:spacing w:val="-106"/>
          <w:sz w:val="21"/>
          <w:szCs w:val="21"/>
        </w:rPr>
        <w:t>：</w:t>
      </w:r>
      <w:r>
        <w:rPr>
          <w:rFonts w:ascii="宋体" w:hAnsi="宋体" w:cs="宋体" w:eastAsia="宋体" w:hint="default"/>
          <w:sz w:val="21"/>
          <w:szCs w:val="21"/>
        </w:rPr>
        <w:t>权证号为穗府国</w:t>
      </w:r>
      <w:r>
        <w:rPr>
          <w:rFonts w:ascii="宋体" w:hAnsi="宋体" w:cs="宋体" w:eastAsia="宋体" w:hint="default"/>
          <w:spacing w:val="-105"/>
          <w:sz w:val="21"/>
          <w:szCs w:val="21"/>
        </w:rPr>
        <w:t>用</w:t>
      </w:r>
      <w:r>
        <w:rPr>
          <w:rFonts w:ascii="宋体" w:hAnsi="宋体" w:cs="宋体" w:eastAsia="宋体" w:hint="default"/>
          <w:sz w:val="21"/>
          <w:szCs w:val="21"/>
        </w:rPr>
        <w:t>（</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11</w:t>
      </w:r>
      <w:r>
        <w:rPr>
          <w:rFonts w:ascii="宋体" w:hAnsi="宋体" w:cs="宋体" w:eastAsia="宋体" w:hint="default"/>
          <w:spacing w:val="-105"/>
          <w:sz w:val="21"/>
          <w:szCs w:val="21"/>
        </w:rPr>
        <w:t>）</w:t>
      </w:r>
      <w:r>
        <w:rPr>
          <w:rFonts w:ascii="宋体" w:hAnsi="宋体" w:cs="宋体" w:eastAsia="宋体" w:hint="default"/>
          <w:sz w:val="21"/>
          <w:szCs w:val="21"/>
        </w:rPr>
        <w:t>第</w:t>
      </w:r>
      <w:r>
        <w:rPr>
          <w:rFonts w:ascii="宋体" w:hAnsi="宋体" w:cs="宋体" w:eastAsia="宋体" w:hint="default"/>
          <w:spacing w:val="-62"/>
          <w:sz w:val="21"/>
          <w:szCs w:val="21"/>
        </w:rPr>
        <w:t> </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6</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号</w:t>
      </w:r>
      <w:r>
        <w:rPr>
          <w:rFonts w:ascii="宋体" w:hAnsi="宋体" w:cs="宋体" w:eastAsia="宋体" w:hint="default"/>
          <w:spacing w:val="-105"/>
          <w:sz w:val="21"/>
          <w:szCs w:val="21"/>
        </w:rPr>
        <w:t>，</w:t>
      </w:r>
      <w:r>
        <w:rPr>
          <w:rFonts w:ascii="宋体" w:hAnsi="宋体" w:cs="宋体" w:eastAsia="宋体" w:hint="default"/>
          <w:sz w:val="21"/>
          <w:szCs w:val="21"/>
        </w:rPr>
        <w:t>使用</w:t>
      </w:r>
      <w:r>
        <w:rPr>
          <w:rFonts w:ascii="宋体" w:hAnsi="宋体" w:cs="宋体" w:eastAsia="宋体" w:hint="default"/>
          <w:spacing w:val="-2"/>
          <w:sz w:val="21"/>
          <w:szCs w:val="21"/>
        </w:rPr>
        <w:t>权</w:t>
      </w:r>
      <w:r>
        <w:rPr>
          <w:rFonts w:ascii="宋体" w:hAnsi="宋体" w:cs="宋体" w:eastAsia="宋体" w:hint="default"/>
          <w:sz w:val="21"/>
          <w:szCs w:val="21"/>
        </w:rPr>
        <w:t>面积为</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5,00</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.00</w:t>
      </w:r>
      <w:r>
        <w:rPr>
          <w:rFonts w:ascii="Times New Roman" w:hAnsi="Times New Roman" w:cs="Times New Roman" w:eastAsia="Times New Roman" w:hint="default"/>
          <w:sz w:val="21"/>
          <w:szCs w:val="21"/>
        </w:rPr>
      </w:r>
    </w:p>
    <w:p>
      <w:pPr>
        <w:spacing w:line="331" w:lineRule="auto" w:before="109"/>
        <w:ind w:left="860" w:right="245" w:hanging="1"/>
        <w:jc w:val="left"/>
        <w:rPr>
          <w:rFonts w:ascii="宋体" w:hAnsi="宋体" w:cs="宋体" w:eastAsia="宋体" w:hint="default"/>
          <w:sz w:val="21"/>
          <w:szCs w:val="21"/>
        </w:rPr>
      </w:pPr>
      <w:r>
        <w:rPr>
          <w:rFonts w:ascii="宋体" w:hAnsi="宋体" w:cs="宋体" w:eastAsia="宋体" w:hint="default"/>
          <w:sz w:val="21"/>
          <w:szCs w:val="21"/>
        </w:rPr>
        <w:t>平方米，为工矿仓储用地，使用年限至</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2060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日终止，该土地使用权以出让方 式取得。</w:t>
      </w:r>
    </w:p>
    <w:p>
      <w:pPr>
        <w:spacing w:before="45"/>
        <w:ind w:left="860" w:right="98" w:firstLine="0"/>
        <w:jc w:val="left"/>
        <w:rPr>
          <w:rFonts w:ascii="Times New Roman" w:hAnsi="Times New Roman" w:cs="Times New Roman" w:eastAsia="Times New Roman" w:hint="default"/>
          <w:sz w:val="21"/>
          <w:szCs w:val="21"/>
        </w:rPr>
      </w:pPr>
      <w:r>
        <w:rPr>
          <w:rFonts w:ascii="宋体" w:hAnsi="宋体" w:cs="宋体" w:eastAsia="宋体" w:hint="default"/>
          <w:spacing w:val="-11"/>
          <w:sz w:val="21"/>
          <w:szCs w:val="21"/>
        </w:rPr>
        <w:t>＊</w:t>
      </w:r>
      <w:r>
        <w:rPr>
          <w:rFonts w:ascii="Times New Roman" w:hAnsi="Times New Roman" w:cs="Times New Roman" w:eastAsia="Times New Roman" w:hint="default"/>
          <w:spacing w:val="-11"/>
          <w:sz w:val="21"/>
          <w:szCs w:val="21"/>
        </w:rPr>
        <w:t>2</w:t>
      </w:r>
      <w:r>
        <w:rPr>
          <w:rFonts w:ascii="宋体" w:hAnsi="宋体" w:cs="宋体" w:eastAsia="宋体" w:hint="default"/>
          <w:spacing w:val="-11"/>
          <w:sz w:val="21"/>
          <w:szCs w:val="21"/>
        </w:rPr>
        <w:t>：高塘土地使用权：权证号为穗府国用（</w:t>
      </w:r>
      <w:r>
        <w:rPr>
          <w:rFonts w:ascii="Times New Roman" w:hAnsi="Times New Roman" w:cs="Times New Roman" w:eastAsia="Times New Roman" w:hint="default"/>
          <w:spacing w:val="-11"/>
          <w:sz w:val="21"/>
          <w:szCs w:val="21"/>
        </w:rPr>
        <w:t>2011</w:t>
      </w:r>
      <w:r>
        <w:rPr>
          <w:rFonts w:ascii="宋体" w:hAnsi="宋体" w:cs="宋体" w:eastAsia="宋体" w:hint="default"/>
          <w:spacing w:val="-11"/>
          <w:sz w:val="21"/>
          <w:szCs w:val="21"/>
        </w:rPr>
        <w:t>）第</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01100110</w:t>
      </w:r>
      <w:r>
        <w:rPr>
          <w:rFonts w:ascii="Times New Roman" w:hAnsi="Times New Roman" w:cs="Times New Roman" w:eastAsia="Times New Roman" w:hint="default"/>
          <w:spacing w:val="-1"/>
          <w:sz w:val="21"/>
          <w:szCs w:val="21"/>
        </w:rPr>
        <w:t> </w:t>
      </w:r>
      <w:r>
        <w:rPr>
          <w:rFonts w:ascii="宋体" w:hAnsi="宋体" w:cs="宋体" w:eastAsia="宋体" w:hint="default"/>
          <w:spacing w:val="-9"/>
          <w:sz w:val="21"/>
          <w:szCs w:val="21"/>
        </w:rPr>
        <w:t>号，使用权面积为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14,693.00</w:t>
      </w:r>
    </w:p>
    <w:p>
      <w:pPr>
        <w:spacing w:before="109"/>
        <w:ind w:left="860" w:right="98" w:firstLine="0"/>
        <w:jc w:val="left"/>
        <w:rPr>
          <w:rFonts w:ascii="宋体" w:hAnsi="宋体" w:cs="宋体" w:eastAsia="宋体" w:hint="default"/>
          <w:sz w:val="21"/>
          <w:szCs w:val="21"/>
        </w:rPr>
      </w:pPr>
      <w:r>
        <w:rPr>
          <w:rFonts w:ascii="宋体" w:hAnsi="宋体" w:cs="宋体" w:eastAsia="宋体" w:hint="default"/>
          <w:sz w:val="21"/>
          <w:szCs w:val="21"/>
        </w:rPr>
        <w:t>平方米，用途为科教用地，该土地使用权以出让方式取得，土地出让使用年限自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31"/>
          <w:sz w:val="21"/>
          <w:szCs w:val="21"/>
        </w:rPr>
        <w:t> </w:t>
      </w:r>
      <w:r>
        <w:rPr>
          <w:rFonts w:ascii="宋体" w:hAnsi="宋体" w:cs="宋体" w:eastAsia="宋体" w:hint="default"/>
          <w:sz w:val="21"/>
          <w:szCs w:val="21"/>
        </w:rPr>
        <w:t>年</w:t>
      </w:r>
    </w:p>
    <w:p>
      <w:pPr>
        <w:spacing w:before="110"/>
        <w:ind w:left="860" w:right="98"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日起计算，居民份额用地</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70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年，商业、旅游、娱乐份额用地</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40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年，其他用地</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50</w:t>
      </w:r>
    </w:p>
    <w:p>
      <w:pPr>
        <w:spacing w:before="109"/>
        <w:ind w:left="860" w:right="98" w:firstLine="0"/>
        <w:jc w:val="left"/>
        <w:rPr>
          <w:rFonts w:ascii="宋体" w:hAnsi="宋体" w:cs="宋体" w:eastAsia="宋体" w:hint="default"/>
          <w:sz w:val="21"/>
          <w:szCs w:val="21"/>
        </w:rPr>
      </w:pPr>
      <w:r>
        <w:rPr>
          <w:rFonts w:ascii="宋体" w:hAnsi="宋体" w:cs="宋体" w:eastAsia="宋体" w:hint="default"/>
          <w:sz w:val="21"/>
          <w:szCs w:val="21"/>
        </w:rPr>
        <w:t>年，土地属于其他用地按</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年摊销。</w:t>
      </w:r>
    </w:p>
    <w:p>
      <w:pPr>
        <w:spacing w:line="331" w:lineRule="auto" w:before="109"/>
        <w:ind w:left="870" w:right="4764" w:hanging="10"/>
        <w:jc w:val="left"/>
        <w:rPr>
          <w:rFonts w:ascii="宋体" w:hAnsi="宋体" w:cs="宋体" w:eastAsia="宋体" w:hint="default"/>
          <w:sz w:val="21"/>
          <w:szCs w:val="21"/>
        </w:rPr>
      </w:pPr>
      <w:r>
        <w:rPr>
          <w:rFonts w:ascii="宋体" w:hAnsi="宋体" w:cs="宋体" w:eastAsia="宋体" w:hint="default"/>
          <w:sz w:val="21"/>
          <w:szCs w:val="21"/>
        </w:rPr>
        <w:t>本期摊销额</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666,936.32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本期末无用于抵押或担保的无形资产。</w:t>
      </w:r>
    </w:p>
    <w:p>
      <w:pPr>
        <w:spacing w:after="0" w:line="331" w:lineRule="auto"/>
        <w:jc w:val="left"/>
        <w:rPr>
          <w:rFonts w:ascii="宋体" w:hAnsi="宋体" w:cs="宋体" w:eastAsia="宋体" w:hint="default"/>
          <w:sz w:val="21"/>
          <w:szCs w:val="21"/>
        </w:rPr>
        <w:sectPr>
          <w:pgSz w:w="11910" w:h="16840"/>
          <w:pgMar w:header="0" w:footer="1256" w:top="1060" w:bottom="1440" w:left="1140" w:right="15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tabs>
          <w:tab w:pos="1408" w:val="left" w:leader="none"/>
        </w:tabs>
        <w:spacing w:before="0"/>
        <w:ind w:left="870" w:right="115"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公司开发项目支出</w:t>
      </w:r>
      <w:r>
        <w:rPr>
          <w:rFonts w:ascii="宋体" w:hAnsi="宋体" w:cs="宋体" w:eastAsia="宋体" w:hint="default"/>
          <w:sz w:val="21"/>
          <w:szCs w:val="21"/>
        </w:rPr>
      </w:r>
    </w:p>
    <w:p>
      <w:pPr>
        <w:spacing w:line="4249" w:lineRule="exact"/>
        <w:ind w:left="732" w:right="0" w:firstLine="0"/>
        <w:rPr>
          <w:rFonts w:ascii="宋体" w:hAnsi="宋体" w:cs="宋体" w:eastAsia="宋体" w:hint="default"/>
          <w:sz w:val="20"/>
          <w:szCs w:val="20"/>
        </w:rPr>
      </w:pPr>
      <w:r>
        <w:rPr>
          <w:rFonts w:ascii="宋体" w:hAnsi="宋体" w:cs="宋体" w:eastAsia="宋体" w:hint="default"/>
          <w:position w:val="-84"/>
          <w:sz w:val="20"/>
          <w:szCs w:val="20"/>
        </w:rPr>
        <w:pict>
          <v:group style="width:419.25pt;height:212.5pt;mso-position-horizontal-relative:char;mso-position-vertical-relative:line" coordorigin="0,0" coordsize="8385,4250">
            <v:group style="position:absolute;left:29;top:15;width:8322;height:2" coordorigin="29,15" coordsize="8322,2">
              <v:shape style="position:absolute;left:29;top:15;width:8322;height:2" coordorigin="29,15" coordsize="8322,0" path="m29,15l8351,15e" filled="false" stroked="true" strokeweight="1.5pt" strokecolor="#000000">
                <v:path arrowok="t"/>
              </v:shape>
              <v:shape style="position:absolute;left:1546;top:1;width:5562;height:808" type="#_x0000_t75" stroked="false">
                <v:imagedata r:id="rId172" o:title=""/>
              </v:shape>
              <v:shape style="position:absolute;left:1;top:761;width:8384;height:816" type="#_x0000_t75" stroked="false">
                <v:imagedata r:id="rId173" o:title=""/>
              </v:shape>
            </v:group>
            <v:group style="position:absolute;left:31;top:1558;width:1545;height:749" coordorigin="31,1558" coordsize="1545,749">
              <v:shape style="position:absolute;left:31;top:1558;width:1545;height:749" coordorigin="31,1558" coordsize="1545,749" path="m31,2306l1575,2306,1575,1558,31,1558,31,2306xe" filled="true" fillcolor="#ffffff" stroked="false">
                <v:path arrowok="t"/>
                <v:fill type="solid"/>
              </v:shape>
            </v:group>
            <v:group style="position:absolute;left:139;top:1558;width:1334;height:375" coordorigin="139,1558" coordsize="1334,375">
              <v:shape style="position:absolute;left:139;top:1558;width:1334;height:375" coordorigin="139,1558" coordsize="1334,375" path="m139,1932l1472,1932,1472,1558,139,1558,139,1932xe" filled="true" fillcolor="#ffffff" stroked="false">
                <v:path arrowok="t"/>
                <v:fill type="solid"/>
              </v:shape>
            </v:group>
            <v:group style="position:absolute;left:139;top:1932;width:1334;height:375" coordorigin="139,1932" coordsize="1334,375">
              <v:shape style="position:absolute;left:139;top:1932;width:1334;height:375" coordorigin="139,1932" coordsize="1334,375" path="m139,2306l1472,2306,1472,1932,139,1932,139,2306xe" filled="true" fillcolor="#ffffff" stroked="false">
                <v:path arrowok="t"/>
                <v:fill type="solid"/>
              </v:shape>
            </v:group>
            <v:group style="position:absolute;left:1586;top:1558;width:1232;height:749" coordorigin="1586,1558" coordsize="1232,749">
              <v:shape style="position:absolute;left:1586;top:1558;width:1232;height:749" coordorigin="1586,1558" coordsize="1232,749" path="m1586,2306l2817,2306,2817,1558,1586,1558,1586,2306xe" filled="true" fillcolor="#ffffff" stroked="false">
                <v:path arrowok="t"/>
                <v:fill type="solid"/>
              </v:shape>
            </v:group>
            <v:group style="position:absolute;left:1688;top:1745;width:1026;height:375" coordorigin="1688,1745" coordsize="1026,375">
              <v:shape style="position:absolute;left:1688;top:1745;width:1026;height:375" coordorigin="1688,1745" coordsize="1026,375" path="m1688,2119l2714,2119,2714,1745,1688,1745,1688,2119xe" filled="true" fillcolor="#ffffff" stroked="false">
                <v:path arrowok="t"/>
                <v:fill type="solid"/>
              </v:shape>
            </v:group>
            <v:group style="position:absolute;left:2828;top:1558;width:1266;height:749" coordorigin="2828,1558" coordsize="1266,749">
              <v:shape style="position:absolute;left:2828;top:1558;width:1266;height:749" coordorigin="2828,1558" coordsize="1266,749" path="m2828,2306l4094,2306,4094,1558,2828,1558,2828,2306xe" filled="true" fillcolor="#ffffff" stroked="false">
                <v:path arrowok="t"/>
                <v:fill type="solid"/>
              </v:shape>
            </v:group>
            <v:group style="position:absolute;left:2930;top:1745;width:1061;height:375" coordorigin="2930,1745" coordsize="1061,375">
              <v:shape style="position:absolute;left:2930;top:1745;width:1061;height:375" coordorigin="2930,1745" coordsize="1061,375" path="m2930,2119l3991,2119,3991,1745,2930,1745,2930,2119xe" filled="true" fillcolor="#ffffff" stroked="false">
                <v:path arrowok="t"/>
                <v:fill type="solid"/>
              </v:shape>
            </v:group>
            <v:group style="position:absolute;left:4103;top:1558;width:1408;height:749" coordorigin="4103,1558" coordsize="1408,749">
              <v:shape style="position:absolute;left:4103;top:1558;width:1408;height:749" coordorigin="4103,1558" coordsize="1408,749" path="m4103,2306l5511,2306,5511,1558,4103,1558,4103,2306xe" filled="true" fillcolor="#ffffff" stroked="false">
                <v:path arrowok="t"/>
                <v:fill type="solid"/>
              </v:shape>
            </v:group>
            <v:group style="position:absolute;left:4207;top:1745;width:1202;height:375" coordorigin="4207,1745" coordsize="1202,375">
              <v:shape style="position:absolute;left:4207;top:1745;width:1202;height:375" coordorigin="4207,1745" coordsize="1202,375" path="m4207,2119l5408,2119,5408,1745,4207,1745,4207,2119xe" filled="true" fillcolor="#ffffff" stroked="false">
                <v:path arrowok="t"/>
                <v:fill type="solid"/>
              </v:shape>
            </v:group>
            <v:group style="position:absolute;left:5522;top:1558;width:1548;height:749" coordorigin="5522,1558" coordsize="1548,749">
              <v:shape style="position:absolute;left:5522;top:1558;width:1548;height:749" coordorigin="5522,1558" coordsize="1548,749" path="m5522,2306l7070,2306,7070,1558,5522,1558,5522,2306xe" filled="true" fillcolor="#ffffff" stroked="false">
                <v:path arrowok="t"/>
                <v:fill type="solid"/>
              </v:shape>
            </v:group>
            <v:group style="position:absolute;left:5624;top:1745;width:1344;height:375" coordorigin="5624,1745" coordsize="1344,375">
              <v:shape style="position:absolute;left:5624;top:1745;width:1344;height:375" coordorigin="5624,1745" coordsize="1344,375" path="m5624,2119l6968,2119,6968,1745,5624,1745,5624,2119xe" filled="true" fillcolor="#ffffff" stroked="false">
                <v:path arrowok="t"/>
                <v:fill type="solid"/>
              </v:shape>
            </v:group>
            <v:group style="position:absolute;left:7081;top:1558;width:1271;height:749" coordorigin="7081,1558" coordsize="1271,749">
              <v:shape style="position:absolute;left:7081;top:1558;width:1271;height:749" coordorigin="7081,1558" coordsize="1271,749" path="m7081,2306l8351,2306,8351,1558,7081,1558,7081,2306xe" filled="true" fillcolor="#ffffff" stroked="false">
                <v:path arrowok="t"/>
                <v:fill type="solid"/>
              </v:shape>
            </v:group>
            <v:group style="position:absolute;left:7184;top:1745;width:1060;height:375" coordorigin="7184,1745" coordsize="1060,375">
              <v:shape style="position:absolute;left:7184;top:1745;width:1060;height:375" coordorigin="7184,1745" coordsize="1060,375" path="m7184,2119l8243,2119,8243,1745,7184,1745,7184,2119xe" filled="true" fillcolor="#ffffff" stroked="false">
                <v:path arrowok="t"/>
                <v:fill type="solid"/>
              </v:shape>
              <v:shape style="position:absolute;left:1;top:1519;width:8384;height:816" type="#_x0000_t75" stroked="false">
                <v:imagedata r:id="rId174" o:title=""/>
              </v:shape>
            </v:group>
            <v:group style="position:absolute;left:31;top:2317;width:1545;height:749" coordorigin="31,2317" coordsize="1545,749">
              <v:shape style="position:absolute;left:31;top:2317;width:1545;height:749" coordorigin="31,2317" coordsize="1545,749" path="m31,3066l1575,3066,1575,2317,31,2317,31,3066xe" filled="true" fillcolor="#ffffff" stroked="false">
                <v:path arrowok="t"/>
                <v:fill type="solid"/>
              </v:shape>
            </v:group>
            <v:group style="position:absolute;left:139;top:2317;width:1334;height:375" coordorigin="139,2317" coordsize="1334,375">
              <v:shape style="position:absolute;left:139;top:2317;width:1334;height:375" coordorigin="139,2317" coordsize="1334,375" path="m139,2692l1472,2692,1472,2317,139,2317,139,2692xe" filled="true" fillcolor="#ffffff" stroked="false">
                <v:path arrowok="t"/>
                <v:fill type="solid"/>
              </v:shape>
            </v:group>
            <v:group style="position:absolute;left:139;top:2692;width:1334;height:375" coordorigin="139,2692" coordsize="1334,375">
              <v:shape style="position:absolute;left:139;top:2692;width:1334;height:375" coordorigin="139,2692" coordsize="1334,375" path="m139,3066l1472,3066,1472,2692,139,2692,139,3066xe" filled="true" fillcolor="#ffffff" stroked="false">
                <v:path arrowok="t"/>
                <v:fill type="solid"/>
              </v:shape>
            </v:group>
            <v:group style="position:absolute;left:1586;top:2317;width:1232;height:749" coordorigin="1586,2317" coordsize="1232,749">
              <v:shape style="position:absolute;left:1586;top:2317;width:1232;height:749" coordorigin="1586,2317" coordsize="1232,749" path="m1586,3066l2817,3066,2817,2317,1586,2317,1586,3066xe" filled="true" fillcolor="#ffffff" stroked="false">
                <v:path arrowok="t"/>
                <v:fill type="solid"/>
              </v:shape>
            </v:group>
            <v:group style="position:absolute;left:1688;top:2504;width:1026;height:375" coordorigin="1688,2504" coordsize="1026,375">
              <v:shape style="position:absolute;left:1688;top:2504;width:1026;height:375" coordorigin="1688,2504" coordsize="1026,375" path="m1688,2879l2714,2879,2714,2504,1688,2504,1688,2879xe" filled="true" fillcolor="#ffffff" stroked="false">
                <v:path arrowok="t"/>
                <v:fill type="solid"/>
              </v:shape>
            </v:group>
            <v:group style="position:absolute;left:2828;top:2317;width:1266;height:749" coordorigin="2828,2317" coordsize="1266,749">
              <v:shape style="position:absolute;left:2828;top:2317;width:1266;height:749" coordorigin="2828,2317" coordsize="1266,749" path="m2828,3066l4094,3066,4094,2317,2828,2317,2828,3066xe" filled="true" fillcolor="#ffffff" stroked="false">
                <v:path arrowok="t"/>
                <v:fill type="solid"/>
              </v:shape>
            </v:group>
            <v:group style="position:absolute;left:2930;top:2504;width:1061;height:375" coordorigin="2930,2504" coordsize="1061,375">
              <v:shape style="position:absolute;left:2930;top:2504;width:1061;height:375" coordorigin="2930,2504" coordsize="1061,375" path="m2930,2879l3991,2879,3991,2504,2930,2504,2930,2879xe" filled="true" fillcolor="#ffffff" stroked="false">
                <v:path arrowok="t"/>
                <v:fill type="solid"/>
              </v:shape>
            </v:group>
            <v:group style="position:absolute;left:4103;top:2317;width:1408;height:749" coordorigin="4103,2317" coordsize="1408,749">
              <v:shape style="position:absolute;left:4103;top:2317;width:1408;height:749" coordorigin="4103,2317" coordsize="1408,749" path="m4103,3066l5511,3066,5511,2317,4103,2317,4103,3066xe" filled="true" fillcolor="#ffffff" stroked="false">
                <v:path arrowok="t"/>
                <v:fill type="solid"/>
              </v:shape>
            </v:group>
            <v:group style="position:absolute;left:4207;top:2504;width:1202;height:375" coordorigin="4207,2504" coordsize="1202,375">
              <v:shape style="position:absolute;left:4207;top:2504;width:1202;height:375" coordorigin="4207,2504" coordsize="1202,375" path="m4207,2879l5408,2879,5408,2504,4207,2504,4207,2879xe" filled="true" fillcolor="#ffffff" stroked="false">
                <v:path arrowok="t"/>
                <v:fill type="solid"/>
              </v:shape>
            </v:group>
            <v:group style="position:absolute;left:5522;top:2317;width:1548;height:749" coordorigin="5522,2317" coordsize="1548,749">
              <v:shape style="position:absolute;left:5522;top:2317;width:1548;height:749" coordorigin="5522,2317" coordsize="1548,749" path="m5522,3066l7070,3066,7070,2317,5522,2317,5522,3066xe" filled="true" fillcolor="#ffffff" stroked="false">
                <v:path arrowok="t"/>
                <v:fill type="solid"/>
              </v:shape>
            </v:group>
            <v:group style="position:absolute;left:5624;top:2504;width:1344;height:375" coordorigin="5624,2504" coordsize="1344,375">
              <v:shape style="position:absolute;left:5624;top:2504;width:1344;height:375" coordorigin="5624,2504" coordsize="1344,375" path="m5624,2879l6968,2879,6968,2504,5624,2504,5624,2879xe" filled="true" fillcolor="#ffffff" stroked="false">
                <v:path arrowok="t"/>
                <v:fill type="solid"/>
              </v:shape>
            </v:group>
            <v:group style="position:absolute;left:7081;top:2317;width:1271;height:749" coordorigin="7081,2317" coordsize="1271,749">
              <v:shape style="position:absolute;left:7081;top:2317;width:1271;height:749" coordorigin="7081,2317" coordsize="1271,749" path="m7081,3066l8351,3066,8351,2317,7081,2317,7081,3066xe" filled="true" fillcolor="#ffffff" stroked="false">
                <v:path arrowok="t"/>
                <v:fill type="solid"/>
              </v:shape>
            </v:group>
            <v:group style="position:absolute;left:7184;top:2504;width:1060;height:375" coordorigin="7184,2504" coordsize="1060,375">
              <v:shape style="position:absolute;left:7184;top:2504;width:1060;height:375" coordorigin="7184,2504" coordsize="1060,375" path="m7184,2879l8243,2879,8243,2504,7184,2504,7184,2879xe" filled="true" fillcolor="#ffffff" stroked="false">
                <v:path arrowok="t"/>
                <v:fill type="solid"/>
              </v:shape>
              <v:shape style="position:absolute;left:1;top:2278;width:8384;height:817" type="#_x0000_t75" stroked="false">
                <v:imagedata r:id="rId175" o:title=""/>
              </v:shape>
              <v:shape style="position:absolute;left:1;top:3037;width:8384;height:442" type="#_x0000_t75" stroked="false">
                <v:imagedata r:id="rId176" o:title=""/>
              </v:shape>
            </v:group>
            <v:group style="position:absolute;left:1472;top:3460;width:104;height:375" coordorigin="1472,3460" coordsize="104,375">
              <v:shape style="position:absolute;left:1472;top:3460;width:104;height:375" coordorigin="1472,3460" coordsize="104,375" path="m1472,3834l1575,3834,1575,3460,1472,3460,1472,3834xe" filled="true" fillcolor="#ffffff" stroked="false">
                <v:path arrowok="t"/>
                <v:fill type="solid"/>
              </v:shape>
            </v:group>
            <v:group style="position:absolute;left:31;top:3460;width:108;height:375" coordorigin="31,3460" coordsize="108,375">
              <v:shape style="position:absolute;left:31;top:3460;width:108;height:375" coordorigin="31,3460" coordsize="108,375" path="m31,3834l139,3834,139,3460,31,3460,31,3834xe" filled="true" fillcolor="#ffffff" stroked="false">
                <v:path arrowok="t"/>
                <v:fill type="solid"/>
              </v:shape>
            </v:group>
            <v:group style="position:absolute;left:139;top:3460;width:1334;height:375" coordorigin="139,3460" coordsize="1334,375">
              <v:shape style="position:absolute;left:139;top:3460;width:1334;height:375" coordorigin="139,3460" coordsize="1334,375" path="m139,3834l1472,3834,1472,3460,139,3460,139,3834xe" filled="true" fillcolor="#ffffff" stroked="false">
                <v:path arrowok="t"/>
                <v:fill type="solid"/>
              </v:shape>
            </v:group>
            <v:group style="position:absolute;left:2714;top:3460;width:104;height:375" coordorigin="2714,3460" coordsize="104,375">
              <v:shape style="position:absolute;left:2714;top:3460;width:104;height:375" coordorigin="2714,3460" coordsize="104,375" path="m2714,3834l2817,3834,2817,3460,2714,3460,2714,3834xe" filled="true" fillcolor="#ffffff" stroked="false">
                <v:path arrowok="t"/>
                <v:fill type="solid"/>
              </v:shape>
            </v:group>
            <v:group style="position:absolute;left:1586;top:3460;width:102;height:375" coordorigin="1586,3460" coordsize="102,375">
              <v:shape style="position:absolute;left:1586;top:3460;width:102;height:375" coordorigin="1586,3460" coordsize="102,375" path="m1586,3834l1688,3834,1688,3460,1586,3460,1586,3834xe" filled="true" fillcolor="#ffffff" stroked="false">
                <v:path arrowok="t"/>
                <v:fill type="solid"/>
              </v:shape>
            </v:group>
            <v:group style="position:absolute;left:1688;top:3460;width:1026;height:375" coordorigin="1688,3460" coordsize="1026,375">
              <v:shape style="position:absolute;left:1688;top:3460;width:1026;height:375" coordorigin="1688,3460" coordsize="1026,375" path="m1688,3834l2714,3834,2714,3460,1688,3460,1688,3834xe" filled="true" fillcolor="#ffffff" stroked="false">
                <v:path arrowok="t"/>
                <v:fill type="solid"/>
              </v:shape>
            </v:group>
            <v:group style="position:absolute;left:3991;top:3460;width:104;height:375" coordorigin="3991,3460" coordsize="104,375">
              <v:shape style="position:absolute;left:3991;top:3460;width:104;height:375" coordorigin="3991,3460" coordsize="104,375" path="m3991,3834l4094,3834,4094,3460,3991,3460,3991,3834xe" filled="true" fillcolor="#ffffff" stroked="false">
                <v:path arrowok="t"/>
                <v:fill type="solid"/>
              </v:shape>
            </v:group>
            <v:group style="position:absolute;left:2828;top:3460;width:102;height:375" coordorigin="2828,3460" coordsize="102,375">
              <v:shape style="position:absolute;left:2828;top:3460;width:102;height:375" coordorigin="2828,3460" coordsize="102,375" path="m2828,3834l2930,3834,2930,3460,2828,3460,2828,3834xe" filled="true" fillcolor="#ffffff" stroked="false">
                <v:path arrowok="t"/>
                <v:fill type="solid"/>
              </v:shape>
            </v:group>
            <v:group style="position:absolute;left:2930;top:3460;width:1061;height:375" coordorigin="2930,3460" coordsize="1061,375">
              <v:shape style="position:absolute;left:2930;top:3460;width:1061;height:375" coordorigin="2930,3460" coordsize="1061,375" path="m2930,3834l3991,3834,3991,3460,2930,3460,2930,3834xe" filled="true" fillcolor="#ffffff" stroked="false">
                <v:path arrowok="t"/>
                <v:fill type="solid"/>
              </v:shape>
            </v:group>
            <v:group style="position:absolute;left:5408;top:3460;width:104;height:375" coordorigin="5408,3460" coordsize="104,375">
              <v:shape style="position:absolute;left:5408;top:3460;width:104;height:375" coordorigin="5408,3460" coordsize="104,375" path="m5408,3834l5511,3834,5511,3460,5408,3460,5408,3834xe" filled="true" fillcolor="#ffffff" stroked="false">
                <v:path arrowok="t"/>
                <v:fill type="solid"/>
              </v:shape>
            </v:group>
            <v:group style="position:absolute;left:4103;top:3460;width:104;height:375" coordorigin="4103,3460" coordsize="104,375">
              <v:shape style="position:absolute;left:4103;top:3460;width:104;height:375" coordorigin="4103,3460" coordsize="104,375" path="m4103,3834l4207,3834,4207,3460,4103,3460,4103,3834xe" filled="true" fillcolor="#ffffff" stroked="false">
                <v:path arrowok="t"/>
                <v:fill type="solid"/>
              </v:shape>
            </v:group>
            <v:group style="position:absolute;left:4207;top:3460;width:1202;height:375" coordorigin="4207,3460" coordsize="1202,375">
              <v:shape style="position:absolute;left:4207;top:3460;width:1202;height:375" coordorigin="4207,3460" coordsize="1202,375" path="m4207,3834l5408,3834,5408,3460,4207,3460,4207,3834xe" filled="true" fillcolor="#ffffff" stroked="false">
                <v:path arrowok="t"/>
                <v:fill type="solid"/>
              </v:shape>
            </v:group>
            <v:group style="position:absolute;left:6968;top:3460;width:102;height:375" coordorigin="6968,3460" coordsize="102,375">
              <v:shape style="position:absolute;left:6968;top:3460;width:102;height:375" coordorigin="6968,3460" coordsize="102,375" path="m6968,3834l7070,3834,7070,3460,6968,3460,6968,3834xe" filled="true" fillcolor="#ffffff" stroked="false">
                <v:path arrowok="t"/>
                <v:fill type="solid"/>
              </v:shape>
            </v:group>
            <v:group style="position:absolute;left:5522;top:3460;width:102;height:375" coordorigin="5522,3460" coordsize="102,375">
              <v:shape style="position:absolute;left:5522;top:3460;width:102;height:375" coordorigin="5522,3460" coordsize="102,375" path="m5522,3834l5624,3834,5624,3460,5522,3460,5522,3834xe" filled="true" fillcolor="#ffffff" stroked="false">
                <v:path arrowok="t"/>
                <v:fill type="solid"/>
              </v:shape>
            </v:group>
            <v:group style="position:absolute;left:5624;top:3460;width:1344;height:375" coordorigin="5624,3460" coordsize="1344,375">
              <v:shape style="position:absolute;left:5624;top:3460;width:1344;height:375" coordorigin="5624,3460" coordsize="1344,375" path="m5624,3834l6968,3834,6968,3460,5624,3460,5624,3834xe" filled="true" fillcolor="#ffffff" stroked="false">
                <v:path arrowok="t"/>
                <v:fill type="solid"/>
              </v:shape>
            </v:group>
            <v:group style="position:absolute;left:8243;top:3460;width:108;height:375" coordorigin="8243,3460" coordsize="108,375">
              <v:shape style="position:absolute;left:8243;top:3460;width:108;height:375" coordorigin="8243,3460" coordsize="108,375" path="m8243,3834l8351,3834,8351,3460,8243,3460,8243,3834xe" filled="true" fillcolor="#ffffff" stroked="false">
                <v:path arrowok="t"/>
                <v:fill type="solid"/>
              </v:shape>
            </v:group>
            <v:group style="position:absolute;left:7081;top:3460;width:104;height:375" coordorigin="7081,3460" coordsize="104,375">
              <v:shape style="position:absolute;left:7081;top:3460;width:104;height:375" coordorigin="7081,3460" coordsize="104,375" path="m7081,3834l7184,3834,7184,3460,7081,3460,7081,3834xe" filled="true" fillcolor="#ffffff" stroked="false">
                <v:path arrowok="t"/>
                <v:fill type="solid"/>
              </v:shape>
            </v:group>
            <v:group style="position:absolute;left:7184;top:3460;width:1060;height:375" coordorigin="7184,3460" coordsize="1060,375">
              <v:shape style="position:absolute;left:7184;top:3460;width:1060;height:375" coordorigin="7184,3460" coordsize="1060,375" path="m7184,3834l8243,3834,8243,3460,7184,3460,7184,3834xe" filled="true" fillcolor="#ffffff" stroked="false">
                <v:path arrowok="t"/>
                <v:fill type="solid"/>
              </v:shape>
            </v:group>
            <v:group style="position:absolute;left:15;top:4234;width:1560;height:2" coordorigin="15,4234" coordsize="1560,2">
              <v:shape style="position:absolute;left:15;top:4234;width:1560;height:2" coordorigin="15,4234" coordsize="1560,0" path="m15,4234l1575,4234e" filled="false" stroked="true" strokeweight="1.5pt" strokecolor="#000000">
                <v:path arrowok="t"/>
              </v:shape>
            </v:group>
            <v:group style="position:absolute;left:1575;top:4234;width:1242;height:2" coordorigin="1575,4234" coordsize="1242,2">
              <v:shape style="position:absolute;left:1575;top:4234;width:1242;height:2" coordorigin="1575,4234" coordsize="1242,0" path="m1575,4234l2817,4234e" filled="false" stroked="true" strokeweight="1.5pt" strokecolor="#000000">
                <v:path arrowok="t"/>
              </v:shape>
            </v:group>
            <v:group style="position:absolute;left:2817;top:4234;width:1276;height:2" coordorigin="2817,4234" coordsize="1276,2">
              <v:shape style="position:absolute;left:2817;top:4234;width:1276;height:2" coordorigin="2817,4234" coordsize="1276,0" path="m2817,4234l4093,4234e" filled="false" stroked="true" strokeweight="1.5pt" strokecolor="#000000">
                <v:path arrowok="t"/>
              </v:shape>
            </v:group>
            <v:group style="position:absolute;left:4093;top:4234;width:1419;height:2" coordorigin="4093,4234" coordsize="1419,2">
              <v:shape style="position:absolute;left:4093;top:4234;width:1419;height:2" coordorigin="4093,4234" coordsize="1419,0" path="m4093,4234l5511,4234e" filled="false" stroked="true" strokeweight="1.5pt" strokecolor="#000000">
                <v:path arrowok="t"/>
              </v:shape>
            </v:group>
            <v:group style="position:absolute;left:5511;top:4234;width:1559;height:2" coordorigin="5511,4234" coordsize="1559,2">
              <v:shape style="position:absolute;left:5511;top:4234;width:1559;height:2" coordorigin="5511,4234" coordsize="1559,0" path="m5511,4234l7070,4234e" filled="false" stroked="true" strokeweight="1.5pt" strokecolor="#000000">
                <v:path arrowok="t"/>
              </v:shape>
              <v:shape style="position:absolute;left:1;top:3421;width:8384;height:798" type="#_x0000_t75" stroked="false">
                <v:imagedata r:id="rId177" o:title=""/>
              </v:shape>
            </v:group>
            <v:group style="position:absolute;left:7070;top:4234;width:1282;height:2" coordorigin="7070,4234" coordsize="1282,2">
              <v:shape style="position:absolute;left:7070;top:4234;width:1282;height:2" coordorigin="7070,4234" coordsize="1282,0" path="m7070,4234l8351,4234e" filled="false" stroked="true" strokeweight="1.5pt" strokecolor="#000000">
                <v:path arrowok="t"/>
              </v:shape>
              <v:shape style="position:absolute;left:5137;top:12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本期转出数</w:t>
                      </w:r>
                    </w:p>
                  </w:txbxContent>
                </v:textbox>
                <w10:wrap type="none"/>
              </v:shape>
              <v:shape style="position:absolute;left:536;top:31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1840;top:3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099;top:3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7353;top:3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4268;top:513;width:2657;height:180" type="#_x0000_t202" filled="false" stroked="false">
                <v:textbox inset="0,0,0,0">
                  <w:txbxContent>
                    <w:p>
                      <w:pPr>
                        <w:tabs>
                          <w:tab w:pos="139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计入当期损益</w:t>
                        <w:tab/>
                        <w:t>确认为无形资产</w:t>
                      </w:r>
                    </w:p>
                  </w:txbxContent>
                </v:textbox>
                <w10:wrap type="none"/>
              </v:shape>
              <v:shape style="position:absolute;left:139;top:897;width:1335;height:555"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监控开发系</w:t>
                      </w:r>
                    </w:p>
                    <w:p>
                      <w:pPr>
                        <w:spacing w:before="125"/>
                        <w:ind w:left="0" w:right="0" w:firstLine="0"/>
                        <w:jc w:val="left"/>
                        <w:rPr>
                          <w:rFonts w:ascii="宋体" w:hAnsi="宋体" w:cs="宋体" w:eastAsia="宋体" w:hint="default"/>
                          <w:sz w:val="18"/>
                          <w:szCs w:val="18"/>
                        </w:rPr>
                      </w:pPr>
                      <w:r>
                        <w:rPr>
                          <w:rFonts w:ascii="宋体" w:hAnsi="宋体" w:cs="宋体" w:eastAsia="宋体" w:hint="default"/>
                          <w:sz w:val="18"/>
                          <w:szCs w:val="18"/>
                        </w:rPr>
                        <w:t>统研发项目</w:t>
                      </w:r>
                    </w:p>
                  </w:txbxContent>
                </v:textbox>
                <w10:wrap type="none"/>
              </v:shape>
              <v:shape style="position:absolute;left:1904;top:109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135,000.00</w:t>
                      </w:r>
                    </w:p>
                  </w:txbxContent>
                </v:textbox>
                <w10:wrap type="none"/>
              </v:shape>
              <v:shape style="position:absolute;left:7433;top:109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135,000.00</w:t>
                      </w:r>
                    </w:p>
                  </w:txbxContent>
                </v:textbox>
                <w10:wrap type="none"/>
              </v:shape>
              <v:shape style="position:absolute;left:139;top:1655;width:1335;height:55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新一代自助设备</w:t>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交易平台系统</w:t>
                      </w:r>
                    </w:p>
                  </w:txbxContent>
                </v:textbox>
                <w10:wrap type="none"/>
              </v:shape>
              <v:shape style="position:absolute;left:1769;top:185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4,130,781.37</w:t>
                      </w:r>
                    </w:p>
                  </w:txbxContent>
                </v:textbox>
                <w10:wrap type="none"/>
              </v:shape>
              <v:shape style="position:absolute;left:3179;top:185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925,156.78</w:t>
                      </w:r>
                    </w:p>
                  </w:txbxContent>
                </v:textbox>
                <w10:wrap type="none"/>
              </v:shape>
              <v:shape style="position:absolute;left:6022;top:185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5,055,938.15</w:t>
                      </w:r>
                    </w:p>
                  </w:txbxContent>
                </v:textbox>
                <w10:wrap type="none"/>
              </v:shape>
              <v:shape style="position:absolute;left:139;top:2415;width:1335;height:555"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自助终端综</w:t>
                      </w:r>
                    </w:p>
                    <w:p>
                      <w:pPr>
                        <w:spacing w:before="125"/>
                        <w:ind w:left="0" w:right="0" w:firstLine="0"/>
                        <w:jc w:val="left"/>
                        <w:rPr>
                          <w:rFonts w:ascii="宋体" w:hAnsi="宋体" w:cs="宋体" w:eastAsia="宋体" w:hint="default"/>
                          <w:sz w:val="18"/>
                          <w:szCs w:val="18"/>
                        </w:rPr>
                      </w:pPr>
                      <w:r>
                        <w:rPr>
                          <w:rFonts w:ascii="宋体" w:hAnsi="宋体" w:cs="宋体" w:eastAsia="宋体" w:hint="default"/>
                          <w:sz w:val="18"/>
                          <w:szCs w:val="18"/>
                        </w:rPr>
                        <w:t>合维护系统</w:t>
                      </w:r>
                    </w:p>
                  </w:txbxContent>
                </v:textbox>
                <w10:wrap type="none"/>
              </v:shape>
              <v:shape style="position:absolute;left:3045;top:260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3,760,000.00</w:t>
                      </w:r>
                    </w:p>
                  </w:txbxContent>
                </v:textbox>
                <w10:wrap type="none"/>
              </v:shape>
              <v:shape style="position:absolute;left:7299;top:260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3,760,000.00</w:t>
                      </w:r>
                    </w:p>
                  </w:txbxContent>
                </v:textbox>
                <w10:wrap type="none"/>
              </v:shape>
              <v:shape style="position:absolute;left:139;top:317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安全管理系统</w:t>
                      </w:r>
                    </w:p>
                  </w:txbxContent>
                </v:textbox>
                <w10:wrap type="none"/>
              </v:shape>
              <v:shape style="position:absolute;left:3045;top:318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3,700,000.00</w:t>
                      </w:r>
                    </w:p>
                  </w:txbxContent>
                </v:textbox>
                <w10:wrap type="none"/>
              </v:shape>
              <v:shape style="position:absolute;left:7299;top:318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3,700,000.00</w:t>
                      </w:r>
                    </w:p>
                  </w:txbxContent>
                </v:textbox>
                <w10:wrap type="none"/>
              </v:shape>
              <v:shape style="position:absolute;left:139;top:3557;width:1144;height:566"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管理系统</w:t>
                      </w:r>
                    </w:p>
                    <w:p>
                      <w:pPr>
                        <w:spacing w:before="136"/>
                        <w:ind w:left="397"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3179;top:3564;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133,500.00</w:t>
                      </w:r>
                    </w:p>
                  </w:txbxContent>
                </v:textbox>
                <w10:wrap type="none"/>
              </v:shape>
              <v:shape style="position:absolute;left:7433;top:3564;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133,500.00</w:t>
                      </w:r>
                    </w:p>
                  </w:txbxContent>
                </v:textbox>
                <w10:wrap type="none"/>
              </v:shape>
              <v:shape style="position:absolute;left:1769;top:395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4,265,781.37</w:t>
                      </w:r>
                    </w:p>
                  </w:txbxContent>
                </v:textbox>
                <w10:wrap type="none"/>
              </v:shape>
              <v:shape style="position:absolute;left:3045;top:395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8,518,656.78</w:t>
                      </w:r>
                    </w:p>
                  </w:txbxContent>
                </v:textbox>
                <w10:wrap type="none"/>
              </v:shape>
              <v:shape style="position:absolute;left:6022;top:395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5,055,938.15</w:t>
                      </w:r>
                    </w:p>
                  </w:txbxContent>
                </v:textbox>
                <w10:wrap type="none"/>
              </v:shape>
              <v:shape style="position:absolute;left:7299;top:395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7,728,500.00</w:t>
                      </w:r>
                    </w:p>
                  </w:txbxContent>
                </v:textbox>
                <w10:wrap type="none"/>
              </v:shape>
            </v:group>
          </v:group>
        </w:pict>
      </w:r>
      <w:r>
        <w:rPr>
          <w:rFonts w:ascii="宋体" w:hAnsi="宋体" w:cs="宋体" w:eastAsia="宋体" w:hint="default"/>
          <w:position w:val="-84"/>
          <w:sz w:val="20"/>
          <w:szCs w:val="20"/>
        </w:rPr>
      </w:r>
    </w:p>
    <w:p>
      <w:pPr>
        <w:spacing w:line="240" w:lineRule="auto" w:before="8"/>
        <w:rPr>
          <w:rFonts w:ascii="宋体" w:hAnsi="宋体" w:cs="宋体" w:eastAsia="宋体" w:hint="default"/>
          <w:b/>
          <w:bCs/>
          <w:sz w:val="5"/>
          <w:szCs w:val="5"/>
        </w:rPr>
      </w:pPr>
    </w:p>
    <w:p>
      <w:pPr>
        <w:spacing w:line="328" w:lineRule="auto" w:before="35"/>
        <w:ind w:left="869" w:right="1322" w:hanging="10"/>
        <w:jc w:val="left"/>
        <w:rPr>
          <w:rFonts w:ascii="宋体" w:hAnsi="宋体" w:cs="宋体" w:eastAsia="宋体" w:hint="default"/>
          <w:sz w:val="21"/>
          <w:szCs w:val="21"/>
        </w:rPr>
      </w:pPr>
      <w:r>
        <w:rPr>
          <w:rFonts w:ascii="宋体" w:hAnsi="宋体" w:cs="宋体" w:eastAsia="宋体" w:hint="default"/>
          <w:sz w:val="21"/>
          <w:szCs w:val="21"/>
        </w:rPr>
        <w:t>本期开发支出占本期研究开发项目支出总额的比例</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28.16</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通过公司内部研发形成的无形资产占无形资产期末账面价值的比例</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10.60</w:t>
      </w:r>
      <w:r>
        <w:rPr>
          <w:rFonts w:ascii="宋体" w:hAnsi="宋体" w:cs="宋体" w:eastAsia="宋体" w:hint="default"/>
          <w:sz w:val="21"/>
          <w:szCs w:val="21"/>
        </w:rPr>
        <w:t>％。</w:t>
      </w:r>
    </w:p>
    <w:p>
      <w:pPr>
        <w:spacing w:line="240" w:lineRule="auto" w:before="5"/>
        <w:rPr>
          <w:rFonts w:ascii="宋体" w:hAnsi="宋体" w:cs="宋体" w:eastAsia="宋体" w:hint="default"/>
          <w:sz w:val="32"/>
          <w:szCs w:val="32"/>
        </w:rPr>
      </w:pPr>
    </w:p>
    <w:p>
      <w:pPr>
        <w:tabs>
          <w:tab w:pos="1408" w:val="left" w:leader="none"/>
        </w:tabs>
        <w:spacing w:before="0"/>
        <w:ind w:left="869" w:right="115"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无形资产期末未有减值迹象，故未对其计提减值准备。</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spacing w:before="0"/>
        <w:ind w:left="137" w:right="115" w:firstLine="0"/>
        <w:jc w:val="left"/>
        <w:rPr>
          <w:rFonts w:ascii="宋体" w:hAnsi="宋体" w:cs="宋体" w:eastAsia="宋体" w:hint="default"/>
          <w:sz w:val="21"/>
          <w:szCs w:val="21"/>
        </w:rPr>
      </w:pPr>
      <w:r>
        <w:rPr/>
        <w:pict>
          <v:group style="position:absolute;margin-left:91.529999pt;margin-top:15.383969pt;width:421.9pt;height:329.25pt;mso-position-horizontal-relative:page;mso-position-vertical-relative:paragraph;z-index:-813280" coordorigin="1831,308" coordsize="8438,6585">
            <v:group style="position:absolute;left:1860;top:323;width:8378;height:2" coordorigin="1860,323" coordsize="8378,2">
              <v:shape style="position:absolute;left:1860;top:323;width:8378;height:2" coordorigin="1860,323" coordsize="8378,0" path="m1860,323l10237,323e" filled="false" stroked="true" strokeweight="1.5pt" strokecolor="#000000">
                <v:path arrowok="t"/>
              </v:shape>
              <v:shape style="position:absolute;left:3109;top:309;width:5604;height:432" type="#_x0000_t75" stroked="false">
                <v:imagedata r:id="rId178" o:title=""/>
              </v:shape>
            </v:group>
            <v:group style="position:absolute;left:1846;top:6877;width:1293;height:2" coordorigin="1846,6877" coordsize="1293,2">
              <v:shape style="position:absolute;left:1846;top:6877;width:1293;height:2" coordorigin="1846,6877" coordsize="1293,0" path="m1846,6877l3138,6877e" filled="false" stroked="true" strokeweight="1.5pt" strokecolor="#000000">
                <v:path arrowok="t"/>
              </v:shape>
            </v:group>
            <v:group style="position:absolute;left:3138;top:6877;width:1227;height:2" coordorigin="3138,6877" coordsize="1227,2">
              <v:shape style="position:absolute;left:3138;top:6877;width:1227;height:2" coordorigin="3138,6877" coordsize="1227,0" path="m3138,6877l4364,6877e" filled="false" stroked="true" strokeweight="1.5pt" strokecolor="#000000">
                <v:path arrowok="t"/>
              </v:shape>
            </v:group>
            <v:group style="position:absolute;left:4364;top:6877;width:1088;height:2" coordorigin="4364,6877" coordsize="1088,2">
              <v:shape style="position:absolute;left:4364;top:6877;width:1088;height:2" coordorigin="4364,6877" coordsize="1088,0" path="m4364,6877l5452,6877e" filled="false" stroked="true" strokeweight="1.5pt" strokecolor="#000000">
                <v:path arrowok="t"/>
              </v:shape>
            </v:group>
            <v:group style="position:absolute;left:5452;top:6877;width:1088;height:2" coordorigin="5452,6877" coordsize="1088,2">
              <v:shape style="position:absolute;left:5452;top:6877;width:1088;height:2" coordorigin="5452,6877" coordsize="1088,0" path="m5452,6877l6539,6877e" filled="false" stroked="true" strokeweight="1.5pt" strokecolor="#000000">
                <v:path arrowok="t"/>
              </v:shape>
            </v:group>
            <v:group style="position:absolute;left:6539;top:6877;width:1049;height:2" coordorigin="6539,6877" coordsize="1049,2">
              <v:shape style="position:absolute;left:6539;top:6877;width:1049;height:2" coordorigin="6539,6877" coordsize="1049,0" path="m6539,6877l7588,6877e" filled="false" stroked="true" strokeweight="1.5pt" strokecolor="#000000">
                <v:path arrowok="t"/>
              </v:shape>
            </v:group>
            <v:group style="position:absolute;left:7588;top:6877;width:1088;height:2" coordorigin="7588,6877" coordsize="1088,2">
              <v:shape style="position:absolute;left:7588;top:6877;width:1088;height:2" coordorigin="7588,6877" coordsize="1088,0" path="m7588,6877l8675,6877e" filled="false" stroked="true" strokeweight="1.5pt" strokecolor="#000000">
                <v:path arrowok="t"/>
              </v:shape>
              <v:shape style="position:absolute;left:1831;top:683;width:8437;height:6179" type="#_x0000_t75" stroked="false">
                <v:imagedata r:id="rId179" o:title=""/>
              </v:shape>
            </v:group>
            <v:group style="position:absolute;left:8675;top:6877;width:1563;height:2" coordorigin="8675,6877" coordsize="1563,2">
              <v:shape style="position:absolute;left:8675;top:6877;width:1563;height:2" coordorigin="8675,6877" coordsize="1563,0" path="m8675,6877l10237,6877e" filled="false" stroked="true" strokeweight="1.5pt" strokecolor="#000000">
                <v:path arrowok="t"/>
              </v:shape>
              <v:shape style="position:absolute;left:2321;top:43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396;top:43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4554;top:435;width:3942;height:180" type="#_x0000_t202" filled="false" stroked="false">
                <v:textbox inset="0,0,0,0">
                  <w:txbxContent>
                    <w:p>
                      <w:pPr>
                        <w:tabs>
                          <w:tab w:pos="1085" w:val="left" w:leader="none"/>
                          <w:tab w:pos="2153" w:val="left" w:leader="none"/>
                          <w:tab w:pos="322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tab/>
                        <w:t>本期摊销</w:t>
                        <w:tab/>
                        <w:t>其他减少</w:t>
                        <w:tab/>
                        <w:t>期末余额</w:t>
                      </w:r>
                    </w:p>
                  </w:txbxContent>
                </v:textbox>
                <w10:wrap type="none"/>
              </v:shape>
              <v:shape style="position:absolute;left:8902;top:435;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其他减少的原因</w:t>
                      </w:r>
                    </w:p>
                  </w:txbxContent>
                </v:textbox>
                <w10:wrap type="non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十四</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2"/>
          <w:szCs w:val="12"/>
        </w:rPr>
      </w:pPr>
    </w:p>
    <w:tbl>
      <w:tblPr>
        <w:tblW w:w="0" w:type="auto"/>
        <w:jc w:val="left"/>
        <w:tblInd w:w="793" w:type="dxa"/>
        <w:tblLayout w:type="fixed"/>
        <w:tblCellMar>
          <w:top w:w="0" w:type="dxa"/>
          <w:left w:w="0" w:type="dxa"/>
          <w:bottom w:w="0" w:type="dxa"/>
          <w:right w:w="0" w:type="dxa"/>
        </w:tblCellMar>
        <w:tblLook w:val="01E0"/>
      </w:tblPr>
      <w:tblGrid>
        <w:gridCol w:w="1047"/>
        <w:gridCol w:w="1421"/>
        <w:gridCol w:w="1087"/>
        <w:gridCol w:w="1611"/>
        <w:gridCol w:w="1509"/>
      </w:tblGrid>
      <w:tr>
        <w:trPr>
          <w:trHeight w:val="386" w:hRule="exact"/>
        </w:trPr>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36"/>
              <w:jc w:val="right"/>
              <w:rPr>
                <w:rFonts w:ascii="Times New Roman" w:hAnsi="Times New Roman" w:cs="Times New Roman" w:eastAsia="Times New Roman" w:hint="default"/>
                <w:sz w:val="18"/>
                <w:szCs w:val="18"/>
              </w:rPr>
            </w:pPr>
            <w:r>
              <w:rPr>
                <w:rFonts w:ascii="Times New Roman"/>
                <w:sz w:val="18"/>
              </w:rPr>
              <w:t>20,681.13</w:t>
            </w:r>
          </w:p>
        </w:tc>
        <w:tc>
          <w:tcPr>
            <w:tcW w:w="108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660"/>
              <w:jc w:val="right"/>
              <w:rPr>
                <w:rFonts w:ascii="Times New Roman" w:hAnsi="Times New Roman" w:cs="Times New Roman" w:eastAsia="Times New Roman" w:hint="default"/>
                <w:sz w:val="18"/>
                <w:szCs w:val="18"/>
              </w:rPr>
            </w:pPr>
            <w:r>
              <w:rPr>
                <w:rFonts w:ascii="Times New Roman"/>
                <w:sz w:val="18"/>
              </w:rPr>
              <w:t>20,681.13</w:t>
            </w:r>
          </w:p>
        </w:tc>
        <w:tc>
          <w:tcPr>
            <w:tcW w:w="1509" w:type="dxa"/>
            <w:vMerge w:val="restart"/>
            <w:tcBorders>
              <w:top w:val="nil" w:sz="6" w:space="0" w:color="auto"/>
              <w:left w:val="nil" w:sz="6" w:space="0" w:color="auto"/>
              <w:right w:val="nil" w:sz="6" w:space="0" w:color="auto"/>
            </w:tcBorders>
          </w:tcPr>
          <w:p>
            <w:pPr/>
          </w:p>
        </w:tc>
      </w:tr>
      <w:tr>
        <w:trPr>
          <w:trHeight w:val="385" w:hRule="exact"/>
        </w:trPr>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6"/>
              <w:jc w:val="right"/>
              <w:rPr>
                <w:rFonts w:ascii="Times New Roman" w:hAnsi="Times New Roman" w:cs="Times New Roman" w:eastAsia="Times New Roman" w:hint="default"/>
                <w:sz w:val="18"/>
                <w:szCs w:val="18"/>
              </w:rPr>
            </w:pPr>
            <w:r>
              <w:rPr>
                <w:rFonts w:ascii="Times New Roman"/>
                <w:sz w:val="18"/>
              </w:rPr>
              <w:t>61,032.50</w:t>
            </w:r>
          </w:p>
        </w:tc>
        <w:tc>
          <w:tcPr>
            <w:tcW w:w="108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60"/>
              <w:jc w:val="right"/>
              <w:rPr>
                <w:rFonts w:ascii="Times New Roman" w:hAnsi="Times New Roman" w:cs="Times New Roman" w:eastAsia="Times New Roman" w:hint="default"/>
                <w:sz w:val="18"/>
                <w:szCs w:val="18"/>
              </w:rPr>
            </w:pPr>
            <w:r>
              <w:rPr>
                <w:rFonts w:ascii="Times New Roman"/>
                <w:sz w:val="18"/>
              </w:rPr>
              <w:t>61,032.50</w:t>
            </w:r>
          </w:p>
        </w:tc>
        <w:tc>
          <w:tcPr>
            <w:tcW w:w="1509" w:type="dxa"/>
            <w:vMerge/>
            <w:tcBorders>
              <w:left w:val="nil" w:sz="6" w:space="0" w:color="auto"/>
              <w:right w:val="nil" w:sz="6" w:space="0" w:color="auto"/>
            </w:tcBorders>
          </w:tcPr>
          <w:p>
            <w:pPr/>
          </w:p>
        </w:tc>
      </w:tr>
      <w:tr>
        <w:trPr>
          <w:trHeight w:val="385" w:hRule="exact"/>
        </w:trPr>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6"/>
              <w:jc w:val="right"/>
              <w:rPr>
                <w:rFonts w:ascii="Times New Roman" w:hAnsi="Times New Roman" w:cs="Times New Roman" w:eastAsia="Times New Roman" w:hint="default"/>
                <w:sz w:val="18"/>
                <w:szCs w:val="18"/>
              </w:rPr>
            </w:pPr>
            <w:r>
              <w:rPr>
                <w:rFonts w:ascii="Times New Roman"/>
                <w:sz w:val="18"/>
              </w:rPr>
              <w:t>1,294.75</w:t>
            </w:r>
          </w:p>
        </w:tc>
        <w:tc>
          <w:tcPr>
            <w:tcW w:w="108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60"/>
              <w:jc w:val="right"/>
              <w:rPr>
                <w:rFonts w:ascii="Times New Roman" w:hAnsi="Times New Roman" w:cs="Times New Roman" w:eastAsia="Times New Roman" w:hint="default"/>
                <w:sz w:val="18"/>
                <w:szCs w:val="18"/>
              </w:rPr>
            </w:pPr>
            <w:r>
              <w:rPr>
                <w:rFonts w:ascii="Times New Roman"/>
                <w:sz w:val="18"/>
              </w:rPr>
              <w:t>1,294.75</w:t>
            </w:r>
          </w:p>
        </w:tc>
        <w:tc>
          <w:tcPr>
            <w:tcW w:w="1509" w:type="dxa"/>
            <w:vMerge/>
            <w:tcBorders>
              <w:left w:val="nil" w:sz="6" w:space="0" w:color="auto"/>
              <w:right w:val="nil" w:sz="6" w:space="0" w:color="auto"/>
            </w:tcBorders>
          </w:tcPr>
          <w:p>
            <w:pPr/>
          </w:p>
        </w:tc>
      </w:tr>
      <w:tr>
        <w:trPr>
          <w:trHeight w:val="384" w:hRule="exact"/>
        </w:trPr>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7"/>
              <w:jc w:val="right"/>
              <w:rPr>
                <w:rFonts w:ascii="Times New Roman" w:hAnsi="Times New Roman" w:cs="Times New Roman" w:eastAsia="Times New Roman" w:hint="default"/>
                <w:sz w:val="18"/>
                <w:szCs w:val="18"/>
              </w:rPr>
            </w:pPr>
            <w:r>
              <w:rPr>
                <w:rFonts w:ascii="Times New Roman"/>
                <w:sz w:val="18"/>
              </w:rPr>
              <w:t>220,212.17</w:t>
            </w:r>
          </w:p>
        </w:tc>
        <w:tc>
          <w:tcPr>
            <w:tcW w:w="108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60"/>
              <w:jc w:val="right"/>
              <w:rPr>
                <w:rFonts w:ascii="Times New Roman" w:hAnsi="Times New Roman" w:cs="Times New Roman" w:eastAsia="Times New Roman" w:hint="default"/>
                <w:sz w:val="18"/>
                <w:szCs w:val="18"/>
              </w:rPr>
            </w:pPr>
            <w:r>
              <w:rPr>
                <w:rFonts w:ascii="Times New Roman"/>
                <w:sz w:val="18"/>
              </w:rPr>
              <w:t>220,212.17</w:t>
            </w:r>
          </w:p>
        </w:tc>
        <w:tc>
          <w:tcPr>
            <w:tcW w:w="1509" w:type="dxa"/>
            <w:vMerge/>
            <w:tcBorders>
              <w:left w:val="nil" w:sz="6" w:space="0" w:color="auto"/>
              <w:right w:val="nil" w:sz="6" w:space="0" w:color="auto"/>
            </w:tcBorders>
          </w:tcPr>
          <w:p>
            <w:pPr/>
          </w:p>
        </w:tc>
      </w:tr>
      <w:tr>
        <w:trPr>
          <w:trHeight w:val="385" w:hRule="exact"/>
        </w:trPr>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6"/>
              <w:jc w:val="right"/>
              <w:rPr>
                <w:rFonts w:ascii="Times New Roman" w:hAnsi="Times New Roman" w:cs="Times New Roman" w:eastAsia="Times New Roman" w:hint="default"/>
                <w:sz w:val="18"/>
                <w:szCs w:val="18"/>
              </w:rPr>
            </w:pPr>
            <w:r>
              <w:rPr>
                <w:rFonts w:ascii="Times New Roman"/>
                <w:sz w:val="18"/>
              </w:rPr>
              <w:t>43,522.82</w:t>
            </w:r>
          </w:p>
        </w:tc>
        <w:tc>
          <w:tcPr>
            <w:tcW w:w="108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60"/>
              <w:jc w:val="right"/>
              <w:rPr>
                <w:rFonts w:ascii="Times New Roman" w:hAnsi="Times New Roman" w:cs="Times New Roman" w:eastAsia="Times New Roman" w:hint="default"/>
                <w:sz w:val="18"/>
                <w:szCs w:val="18"/>
              </w:rPr>
            </w:pPr>
            <w:r>
              <w:rPr>
                <w:rFonts w:ascii="Times New Roman"/>
                <w:sz w:val="18"/>
              </w:rPr>
              <w:t>43,522.82</w:t>
            </w:r>
          </w:p>
        </w:tc>
        <w:tc>
          <w:tcPr>
            <w:tcW w:w="1509" w:type="dxa"/>
            <w:vMerge/>
            <w:tcBorders>
              <w:left w:val="nil" w:sz="6" w:space="0" w:color="auto"/>
              <w:bottom w:val="nil" w:sz="6" w:space="0" w:color="auto"/>
              <w:right w:val="nil" w:sz="6" w:space="0" w:color="auto"/>
            </w:tcBorders>
          </w:tcPr>
          <w:p>
            <w:pPr/>
          </w:p>
        </w:tc>
      </w:tr>
      <w:tr>
        <w:trPr>
          <w:trHeight w:val="385" w:hRule="exact"/>
        </w:trPr>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5"/>
              <w:jc w:val="right"/>
              <w:rPr>
                <w:rFonts w:ascii="Times New Roman" w:hAnsi="Times New Roman" w:cs="Times New Roman" w:eastAsia="Times New Roman" w:hint="default"/>
                <w:sz w:val="18"/>
                <w:szCs w:val="18"/>
              </w:rPr>
            </w:pPr>
            <w:r>
              <w:rPr>
                <w:rFonts w:ascii="Times New Roman"/>
                <w:sz w:val="18"/>
              </w:rPr>
              <w:t>68,651.43</w:t>
            </w:r>
          </w:p>
        </w:tc>
        <w:tc>
          <w:tcPr>
            <w:tcW w:w="108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60"/>
              <w:jc w:val="right"/>
              <w:rPr>
                <w:rFonts w:ascii="Times New Roman" w:hAnsi="Times New Roman" w:cs="Times New Roman" w:eastAsia="Times New Roman" w:hint="default"/>
                <w:sz w:val="18"/>
                <w:szCs w:val="18"/>
              </w:rPr>
            </w:pPr>
            <w:r>
              <w:rPr>
                <w:rFonts w:ascii="Times New Roman"/>
                <w:sz w:val="18"/>
              </w:rPr>
              <w:t>63,370.56</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z w:val="18"/>
              </w:rPr>
              <w:t>5,280.87</w:t>
            </w:r>
          </w:p>
        </w:tc>
      </w:tr>
      <w:tr>
        <w:trPr>
          <w:trHeight w:val="384" w:hRule="exact"/>
        </w:trPr>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5"/>
              <w:jc w:val="right"/>
              <w:rPr>
                <w:rFonts w:ascii="Times New Roman" w:hAnsi="Times New Roman" w:cs="Times New Roman" w:eastAsia="Times New Roman" w:hint="default"/>
                <w:sz w:val="18"/>
                <w:szCs w:val="18"/>
              </w:rPr>
            </w:pPr>
            <w:r>
              <w:rPr>
                <w:rFonts w:ascii="Times New Roman"/>
                <w:sz w:val="18"/>
              </w:rPr>
              <w:t>10,651.83</w:t>
            </w:r>
          </w:p>
        </w:tc>
        <w:tc>
          <w:tcPr>
            <w:tcW w:w="108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60"/>
              <w:jc w:val="right"/>
              <w:rPr>
                <w:rFonts w:ascii="Times New Roman" w:hAnsi="Times New Roman" w:cs="Times New Roman" w:eastAsia="Times New Roman" w:hint="default"/>
                <w:sz w:val="18"/>
                <w:szCs w:val="18"/>
              </w:rPr>
            </w:pPr>
            <w:r>
              <w:rPr>
                <w:rFonts w:ascii="Times New Roman"/>
                <w:sz w:val="18"/>
              </w:rPr>
              <w:t>8,521.44</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2,130.39</w:t>
            </w:r>
          </w:p>
        </w:tc>
      </w:tr>
      <w:tr>
        <w:trPr>
          <w:trHeight w:val="385" w:hRule="exact"/>
        </w:trPr>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6"/>
              <w:jc w:val="right"/>
              <w:rPr>
                <w:rFonts w:ascii="Times New Roman" w:hAnsi="Times New Roman" w:cs="Times New Roman" w:eastAsia="Times New Roman" w:hint="default"/>
                <w:sz w:val="18"/>
                <w:szCs w:val="18"/>
              </w:rPr>
            </w:pPr>
            <w:r>
              <w:rPr>
                <w:rFonts w:ascii="Times New Roman"/>
                <w:sz w:val="18"/>
              </w:rPr>
              <w:t>53,069.75</w:t>
            </w:r>
          </w:p>
        </w:tc>
        <w:tc>
          <w:tcPr>
            <w:tcW w:w="108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60"/>
              <w:jc w:val="right"/>
              <w:rPr>
                <w:rFonts w:ascii="Times New Roman" w:hAnsi="Times New Roman" w:cs="Times New Roman" w:eastAsia="Times New Roman" w:hint="default"/>
                <w:sz w:val="18"/>
                <w:szCs w:val="18"/>
              </w:rPr>
            </w:pPr>
            <w:r>
              <w:rPr>
                <w:rFonts w:ascii="Times New Roman"/>
                <w:sz w:val="18"/>
              </w:rPr>
              <w:t>37,461.00</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15,608.75</w:t>
            </w:r>
          </w:p>
        </w:tc>
      </w:tr>
      <w:tr>
        <w:trPr>
          <w:trHeight w:val="385" w:hRule="exact"/>
        </w:trPr>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7"/>
              <w:jc w:val="right"/>
              <w:rPr>
                <w:rFonts w:ascii="Times New Roman" w:hAnsi="Times New Roman" w:cs="Times New Roman" w:eastAsia="Times New Roman" w:hint="default"/>
                <w:sz w:val="18"/>
                <w:szCs w:val="18"/>
              </w:rPr>
            </w:pPr>
            <w:r>
              <w:rPr>
                <w:rFonts w:ascii="Times New Roman"/>
                <w:sz w:val="18"/>
              </w:rPr>
              <w:t>146,642.48</w:t>
            </w:r>
          </w:p>
        </w:tc>
        <w:tc>
          <w:tcPr>
            <w:tcW w:w="108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60"/>
              <w:jc w:val="right"/>
              <w:rPr>
                <w:rFonts w:ascii="Times New Roman" w:hAnsi="Times New Roman" w:cs="Times New Roman" w:eastAsia="Times New Roman" w:hint="default"/>
                <w:sz w:val="18"/>
                <w:szCs w:val="18"/>
              </w:rPr>
            </w:pPr>
            <w:r>
              <w:rPr>
                <w:rFonts w:ascii="Times New Roman"/>
                <w:sz w:val="18"/>
              </w:rPr>
              <w:t>87,985.44</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z w:val="18"/>
              </w:rPr>
              <w:t>58,657.04</w:t>
            </w:r>
          </w:p>
        </w:tc>
      </w:tr>
      <w:tr>
        <w:trPr>
          <w:trHeight w:val="384" w:hRule="exact"/>
        </w:trPr>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5"/>
              <w:jc w:val="right"/>
              <w:rPr>
                <w:rFonts w:ascii="Times New Roman" w:hAnsi="Times New Roman" w:cs="Times New Roman" w:eastAsia="Times New Roman" w:hint="default"/>
                <w:sz w:val="18"/>
                <w:szCs w:val="18"/>
              </w:rPr>
            </w:pPr>
            <w:r>
              <w:rPr>
                <w:rFonts w:ascii="Times New Roman"/>
                <w:spacing w:val="-1"/>
                <w:sz w:val="18"/>
              </w:rPr>
              <w:t>112,009.63</w:t>
            </w:r>
          </w:p>
        </w:tc>
        <w:tc>
          <w:tcPr>
            <w:tcW w:w="108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60"/>
              <w:jc w:val="right"/>
              <w:rPr>
                <w:rFonts w:ascii="Times New Roman" w:hAnsi="Times New Roman" w:cs="Times New Roman" w:eastAsia="Times New Roman" w:hint="default"/>
                <w:sz w:val="18"/>
                <w:szCs w:val="18"/>
              </w:rPr>
            </w:pPr>
            <w:r>
              <w:rPr>
                <w:rFonts w:ascii="Times New Roman"/>
                <w:sz w:val="18"/>
              </w:rPr>
              <w:t>64,005.52</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48,004.11</w:t>
            </w:r>
          </w:p>
        </w:tc>
      </w:tr>
      <w:tr>
        <w:trPr>
          <w:trHeight w:val="385" w:hRule="exact"/>
        </w:trPr>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7"/>
              <w:jc w:val="right"/>
              <w:rPr>
                <w:rFonts w:ascii="Times New Roman" w:hAnsi="Times New Roman" w:cs="Times New Roman" w:eastAsia="Times New Roman" w:hint="default"/>
                <w:sz w:val="18"/>
                <w:szCs w:val="18"/>
              </w:rPr>
            </w:pPr>
            <w:r>
              <w:rPr>
                <w:rFonts w:ascii="Times New Roman"/>
                <w:sz w:val="18"/>
              </w:rPr>
              <w:t>219,330.84</w:t>
            </w:r>
          </w:p>
        </w:tc>
        <w:tc>
          <w:tcPr>
            <w:tcW w:w="108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60"/>
              <w:jc w:val="right"/>
              <w:rPr>
                <w:rFonts w:ascii="Times New Roman" w:hAnsi="Times New Roman" w:cs="Times New Roman" w:eastAsia="Times New Roman" w:hint="default"/>
                <w:sz w:val="18"/>
                <w:szCs w:val="18"/>
              </w:rPr>
            </w:pPr>
            <w:r>
              <w:rPr>
                <w:rFonts w:ascii="Times New Roman"/>
                <w:spacing w:val="-1"/>
                <w:sz w:val="18"/>
              </w:rPr>
              <w:t>119,635.04</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99,695.80</w:t>
            </w:r>
          </w:p>
        </w:tc>
      </w:tr>
      <w:tr>
        <w:trPr>
          <w:trHeight w:val="385" w:hRule="exact"/>
        </w:trPr>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21"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0"/>
              <w:jc w:val="center"/>
              <w:rPr>
                <w:rFonts w:ascii="Times New Roman" w:hAnsi="Times New Roman" w:cs="Times New Roman" w:eastAsia="Times New Roman" w:hint="default"/>
                <w:sz w:val="18"/>
                <w:szCs w:val="18"/>
              </w:rPr>
            </w:pPr>
            <w:r>
              <w:rPr>
                <w:rFonts w:ascii="Times New Roman"/>
                <w:sz w:val="18"/>
              </w:rPr>
              <w:t>192,037.00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60"/>
              <w:jc w:val="right"/>
              <w:rPr>
                <w:rFonts w:ascii="Times New Roman" w:hAnsi="Times New Roman" w:cs="Times New Roman" w:eastAsia="Times New Roman" w:hint="default"/>
                <w:sz w:val="18"/>
                <w:szCs w:val="18"/>
              </w:rPr>
            </w:pPr>
            <w:r>
              <w:rPr>
                <w:rFonts w:ascii="Times New Roman"/>
                <w:sz w:val="18"/>
              </w:rPr>
              <w:t>96,018.40</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z w:val="18"/>
              </w:rPr>
              <w:t>96,018.60</w:t>
            </w:r>
          </w:p>
        </w:tc>
      </w:tr>
      <w:tr>
        <w:trPr>
          <w:trHeight w:val="384" w:hRule="exact"/>
        </w:trPr>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21"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0"/>
              <w:jc w:val="center"/>
              <w:rPr>
                <w:rFonts w:ascii="Times New Roman" w:hAnsi="Times New Roman" w:cs="Times New Roman" w:eastAsia="Times New Roman" w:hint="default"/>
                <w:sz w:val="18"/>
                <w:szCs w:val="18"/>
              </w:rPr>
            </w:pPr>
            <w:r>
              <w:rPr>
                <w:rFonts w:ascii="Times New Roman"/>
                <w:sz w:val="18"/>
              </w:rPr>
              <w:t>187,000.00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60"/>
              <w:jc w:val="right"/>
              <w:rPr>
                <w:rFonts w:ascii="Times New Roman" w:hAnsi="Times New Roman" w:cs="Times New Roman" w:eastAsia="Times New Roman" w:hint="default"/>
                <w:sz w:val="18"/>
                <w:szCs w:val="18"/>
              </w:rPr>
            </w:pPr>
            <w:r>
              <w:rPr>
                <w:rFonts w:ascii="Times New Roman"/>
                <w:sz w:val="18"/>
              </w:rPr>
              <w:t>62,333.28</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124,666.72</w:t>
            </w:r>
          </w:p>
        </w:tc>
      </w:tr>
      <w:tr>
        <w:trPr>
          <w:trHeight w:val="385" w:hRule="exact"/>
        </w:trPr>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21"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82"/>
              <w:ind w:left="90" w:right="0"/>
              <w:jc w:val="center"/>
              <w:rPr>
                <w:rFonts w:ascii="Times New Roman" w:hAnsi="Times New Roman" w:cs="Times New Roman" w:eastAsia="Times New Roman" w:hint="default"/>
                <w:sz w:val="18"/>
                <w:szCs w:val="18"/>
              </w:rPr>
            </w:pPr>
            <w:r>
              <w:rPr>
                <w:rFonts w:ascii="Times New Roman"/>
                <w:sz w:val="18"/>
              </w:rPr>
              <w:t>53,758.00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60"/>
              <w:jc w:val="right"/>
              <w:rPr>
                <w:rFonts w:ascii="Times New Roman" w:hAnsi="Times New Roman" w:cs="Times New Roman" w:eastAsia="Times New Roman" w:hint="default"/>
                <w:sz w:val="18"/>
                <w:szCs w:val="18"/>
              </w:rPr>
            </w:pPr>
            <w:r>
              <w:rPr>
                <w:rFonts w:ascii="Times New Roman"/>
                <w:sz w:val="18"/>
              </w:rPr>
              <w:t>17,919.28</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35,838.72</w:t>
            </w:r>
          </w:p>
        </w:tc>
      </w:tr>
      <w:tr>
        <w:trPr>
          <w:trHeight w:val="385" w:hRule="exact"/>
        </w:trPr>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21"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0"/>
              <w:jc w:val="center"/>
              <w:rPr>
                <w:rFonts w:ascii="Times New Roman" w:hAnsi="Times New Roman" w:cs="Times New Roman" w:eastAsia="Times New Roman" w:hint="default"/>
                <w:sz w:val="18"/>
                <w:szCs w:val="18"/>
              </w:rPr>
            </w:pPr>
            <w:r>
              <w:rPr>
                <w:rFonts w:ascii="Times New Roman"/>
                <w:sz w:val="18"/>
              </w:rPr>
              <w:t>108,800.00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60"/>
              <w:jc w:val="right"/>
              <w:rPr>
                <w:rFonts w:ascii="Times New Roman" w:hAnsi="Times New Roman" w:cs="Times New Roman" w:eastAsia="Times New Roman" w:hint="default"/>
                <w:sz w:val="18"/>
                <w:szCs w:val="18"/>
              </w:rPr>
            </w:pPr>
            <w:r>
              <w:rPr>
                <w:rFonts w:ascii="Times New Roman"/>
                <w:sz w:val="18"/>
              </w:rPr>
              <w:t>27,200.06</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z w:val="18"/>
              </w:rPr>
              <w:t>81,599.94</w:t>
            </w:r>
          </w:p>
        </w:tc>
      </w:tr>
      <w:tr>
        <w:trPr>
          <w:trHeight w:val="390" w:hRule="exact"/>
        </w:trPr>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21"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82"/>
              <w:ind w:left="90" w:right="0"/>
              <w:jc w:val="center"/>
              <w:rPr>
                <w:rFonts w:ascii="Times New Roman" w:hAnsi="Times New Roman" w:cs="Times New Roman" w:eastAsia="Times New Roman" w:hint="default"/>
                <w:sz w:val="18"/>
                <w:szCs w:val="18"/>
              </w:rPr>
            </w:pPr>
            <w:r>
              <w:rPr>
                <w:rFonts w:ascii="Times New Roman"/>
                <w:sz w:val="18"/>
              </w:rPr>
              <w:t>49,254.00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60"/>
              <w:jc w:val="right"/>
              <w:rPr>
                <w:rFonts w:ascii="Times New Roman" w:hAnsi="Times New Roman" w:cs="Times New Roman" w:eastAsia="Times New Roman" w:hint="default"/>
                <w:sz w:val="18"/>
                <w:szCs w:val="18"/>
              </w:rPr>
            </w:pPr>
            <w:r>
              <w:rPr>
                <w:rFonts w:ascii="Times New Roman"/>
                <w:sz w:val="18"/>
              </w:rPr>
              <w:t>8,209.00</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41,045.00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256" w:top="1060" w:bottom="1440" w:left="1140" w:right="1520"/>
        </w:sectPr>
      </w:pPr>
    </w:p>
    <w:p>
      <w:pPr>
        <w:spacing w:line="240" w:lineRule="auto" w:before="8"/>
        <w:rPr>
          <w:rFonts w:ascii="宋体" w:hAnsi="宋体" w:cs="宋体" w:eastAsia="宋体" w:hint="default"/>
          <w:b/>
          <w:bCs/>
          <w:sz w:val="29"/>
          <w:szCs w:val="29"/>
        </w:rPr>
      </w:pPr>
    </w:p>
    <w:tbl>
      <w:tblPr>
        <w:tblW w:w="0" w:type="auto"/>
        <w:jc w:val="left"/>
        <w:tblInd w:w="793" w:type="dxa"/>
        <w:tblLayout w:type="fixed"/>
        <w:tblCellMar>
          <w:top w:w="0" w:type="dxa"/>
          <w:left w:w="0" w:type="dxa"/>
          <w:bottom w:w="0" w:type="dxa"/>
          <w:right w:w="0" w:type="dxa"/>
        </w:tblCellMar>
        <w:tblLook w:val="01E0"/>
      </w:tblPr>
      <w:tblGrid>
        <w:gridCol w:w="1134"/>
        <w:gridCol w:w="1335"/>
        <w:gridCol w:w="1090"/>
        <w:gridCol w:w="1607"/>
        <w:gridCol w:w="1509"/>
      </w:tblGrid>
      <w:tr>
        <w:trPr>
          <w:trHeight w:val="398" w:hRule="exact"/>
        </w:trPr>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335" w:type="dxa"/>
            <w:tcBorders>
              <w:top w:val="nil" w:sz="6" w:space="0" w:color="auto"/>
              <w:left w:val="nil" w:sz="6" w:space="0" w:color="auto"/>
              <w:bottom w:val="nil" w:sz="6" w:space="0" w:color="auto"/>
              <w:right w:val="nil" w:sz="6" w:space="0" w:color="auto"/>
            </w:tcBorders>
          </w:tcPr>
          <w:p>
            <w:pP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96"/>
              <w:ind w:left="87" w:right="0"/>
              <w:jc w:val="center"/>
              <w:rPr>
                <w:rFonts w:ascii="Times New Roman" w:hAnsi="Times New Roman" w:cs="Times New Roman" w:eastAsia="Times New Roman" w:hint="default"/>
                <w:sz w:val="18"/>
                <w:szCs w:val="18"/>
              </w:rPr>
            </w:pPr>
            <w:r>
              <w:rPr>
                <w:rFonts w:ascii="Times New Roman"/>
                <w:sz w:val="18"/>
              </w:rPr>
              <w:t>47,933.00</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660"/>
              <w:jc w:val="right"/>
              <w:rPr>
                <w:rFonts w:ascii="Times New Roman" w:hAnsi="Times New Roman" w:cs="Times New Roman" w:eastAsia="Times New Roman" w:hint="default"/>
                <w:sz w:val="18"/>
                <w:szCs w:val="18"/>
              </w:rPr>
            </w:pPr>
            <w:r>
              <w:rPr>
                <w:rFonts w:ascii="Times New Roman"/>
                <w:sz w:val="18"/>
              </w:rPr>
              <w:t>5,991.59</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18"/>
                <w:szCs w:val="18"/>
              </w:rPr>
            </w:pPr>
            <w:r>
              <w:rPr>
                <w:rFonts w:ascii="Times New Roman"/>
                <w:sz w:val="18"/>
              </w:rPr>
              <w:t>41,941.41</w:t>
            </w:r>
          </w:p>
        </w:tc>
      </w:tr>
      <w:tr>
        <w:trPr>
          <w:trHeight w:val="385" w:hRule="exact"/>
        </w:trPr>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335" w:type="dxa"/>
            <w:tcBorders>
              <w:top w:val="nil" w:sz="6" w:space="0" w:color="auto"/>
              <w:left w:val="nil" w:sz="6" w:space="0" w:color="auto"/>
              <w:bottom w:val="nil" w:sz="6" w:space="0" w:color="auto"/>
              <w:right w:val="nil" w:sz="6" w:space="0" w:color="auto"/>
            </w:tcBorders>
          </w:tcPr>
          <w:p>
            <w:pP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0"/>
              <w:jc w:val="center"/>
              <w:rPr>
                <w:rFonts w:ascii="Times New Roman" w:hAnsi="Times New Roman" w:cs="Times New Roman" w:eastAsia="Times New Roman" w:hint="default"/>
                <w:sz w:val="18"/>
                <w:szCs w:val="18"/>
              </w:rPr>
            </w:pPr>
            <w:r>
              <w:rPr>
                <w:rFonts w:ascii="Times New Roman"/>
                <w:sz w:val="18"/>
              </w:rPr>
              <w:t>229,038.90</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60"/>
              <w:jc w:val="right"/>
              <w:rPr>
                <w:rFonts w:ascii="Times New Roman" w:hAnsi="Times New Roman" w:cs="Times New Roman" w:eastAsia="Times New Roman" w:hint="default"/>
                <w:sz w:val="18"/>
                <w:szCs w:val="18"/>
              </w:rPr>
            </w:pPr>
            <w:r>
              <w:rPr>
                <w:rFonts w:ascii="Times New Roman"/>
                <w:sz w:val="18"/>
              </w:rPr>
              <w:t>28,629.81</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200,409.09</w:t>
            </w:r>
          </w:p>
        </w:tc>
      </w:tr>
      <w:tr>
        <w:trPr>
          <w:trHeight w:val="385" w:hRule="exact"/>
        </w:trPr>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335" w:type="dxa"/>
            <w:tcBorders>
              <w:top w:val="nil" w:sz="6" w:space="0" w:color="auto"/>
              <w:left w:val="nil" w:sz="6" w:space="0" w:color="auto"/>
              <w:bottom w:val="nil" w:sz="6" w:space="0" w:color="auto"/>
              <w:right w:val="nil" w:sz="6" w:space="0" w:color="auto"/>
            </w:tcBorders>
          </w:tcPr>
          <w:p>
            <w:pP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87" w:right="0"/>
              <w:jc w:val="center"/>
              <w:rPr>
                <w:rFonts w:ascii="Times New Roman" w:hAnsi="Times New Roman" w:cs="Times New Roman" w:eastAsia="Times New Roman" w:hint="default"/>
                <w:sz w:val="18"/>
                <w:szCs w:val="18"/>
              </w:rPr>
            </w:pPr>
            <w:r>
              <w:rPr>
                <w:rFonts w:ascii="Times New Roman"/>
                <w:sz w:val="18"/>
              </w:rPr>
              <w:t>74,223.60</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60"/>
              <w:jc w:val="right"/>
              <w:rPr>
                <w:rFonts w:ascii="Times New Roman" w:hAnsi="Times New Roman" w:cs="Times New Roman" w:eastAsia="Times New Roman" w:hint="default"/>
                <w:sz w:val="18"/>
                <w:szCs w:val="18"/>
              </w:rPr>
            </w:pPr>
            <w:r>
              <w:rPr>
                <w:rFonts w:ascii="Times New Roman"/>
                <w:sz w:val="18"/>
              </w:rPr>
              <w:t>3,092.65</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z w:val="18"/>
              </w:rPr>
              <w:t>71,130.95</w:t>
            </w:r>
          </w:p>
        </w:tc>
      </w:tr>
      <w:tr>
        <w:trPr>
          <w:trHeight w:val="390" w:hRule="exact"/>
        </w:trPr>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85" w:right="0"/>
              <w:jc w:val="left"/>
              <w:rPr>
                <w:rFonts w:ascii="Times New Roman" w:hAnsi="Times New Roman" w:cs="Times New Roman" w:eastAsia="Times New Roman" w:hint="default"/>
                <w:sz w:val="18"/>
                <w:szCs w:val="18"/>
              </w:rPr>
            </w:pPr>
            <w:r>
              <w:rPr>
                <w:rFonts w:ascii="Times New Roman"/>
                <w:sz w:val="18"/>
              </w:rPr>
              <w:t>957,099.33</w:t>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Times New Roman"/>
                <w:sz w:val="18"/>
              </w:rPr>
              <w:t>942,044.50</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60"/>
              <w:jc w:val="right"/>
              <w:rPr>
                <w:rFonts w:ascii="Times New Roman" w:hAnsi="Times New Roman" w:cs="Times New Roman" w:eastAsia="Times New Roman" w:hint="default"/>
                <w:sz w:val="18"/>
                <w:szCs w:val="18"/>
              </w:rPr>
            </w:pPr>
            <w:r>
              <w:rPr>
                <w:rFonts w:ascii="Times New Roman"/>
                <w:spacing w:val="-1"/>
                <w:sz w:val="18"/>
              </w:rPr>
              <w:t>977,116.44</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922,027.39</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spacing w:before="35"/>
        <w:ind w:left="138" w:right="115" w:firstLine="0"/>
        <w:jc w:val="left"/>
        <w:rPr>
          <w:rFonts w:ascii="宋体" w:hAnsi="宋体" w:cs="宋体" w:eastAsia="宋体" w:hint="default"/>
          <w:sz w:val="21"/>
          <w:szCs w:val="21"/>
        </w:rPr>
      </w:pPr>
      <w:r>
        <w:rPr/>
        <w:pict>
          <v:group style="position:absolute;margin-left:91.529999pt;margin-top:-102.266174pt;width:421.9pt;height:79.4pt;mso-position-horizontal-relative:page;mso-position-vertical-relative:paragraph;z-index:-813256" coordorigin="1831,-2045" coordsize="8438,1588">
            <v:group style="position:absolute;left:1860;top:-2030;width:8378;height:2" coordorigin="1860,-2030" coordsize="8378,2">
              <v:shape style="position:absolute;left:1860;top:-2030;width:8378;height:2" coordorigin="1860,-2030" coordsize="8378,0" path="m1860,-2030l10237,-2030e" filled="false" stroked="true" strokeweight="1.5pt" strokecolor="#000000">
                <v:path arrowok="t"/>
              </v:shape>
              <v:shape style="position:absolute;left:3109;top:-2044;width:5604;height:432" type="#_x0000_t75" stroked="false">
                <v:imagedata r:id="rId180" o:title=""/>
              </v:shape>
            </v:group>
            <v:group style="position:absolute;left:1846;top:-473;width:1293;height:2" coordorigin="1846,-473" coordsize="1293,2">
              <v:shape style="position:absolute;left:1846;top:-473;width:1293;height:2" coordorigin="1846,-473" coordsize="1293,0" path="m1846,-473l3138,-473e" filled="false" stroked="true" strokeweight="1.5pt" strokecolor="#000000">
                <v:path arrowok="t"/>
              </v:shape>
            </v:group>
            <v:group style="position:absolute;left:3138;top:-473;width:1227;height:2" coordorigin="3138,-473" coordsize="1227,2">
              <v:shape style="position:absolute;left:3138;top:-473;width:1227;height:2" coordorigin="3138,-473" coordsize="1227,0" path="m3138,-473l4364,-473e" filled="false" stroked="true" strokeweight="1.5pt" strokecolor="#000000">
                <v:path arrowok="t"/>
              </v:shape>
            </v:group>
            <v:group style="position:absolute;left:4364;top:-473;width:1088;height:2" coordorigin="4364,-473" coordsize="1088,2">
              <v:shape style="position:absolute;left:4364;top:-473;width:1088;height:2" coordorigin="4364,-473" coordsize="1088,0" path="m4364,-473l5452,-473e" filled="false" stroked="true" strokeweight="1.5pt" strokecolor="#000000">
                <v:path arrowok="t"/>
              </v:shape>
            </v:group>
            <v:group style="position:absolute;left:5452;top:-473;width:1088;height:2" coordorigin="5452,-473" coordsize="1088,2">
              <v:shape style="position:absolute;left:5452;top:-473;width:1088;height:2" coordorigin="5452,-473" coordsize="1088,0" path="m5452,-473l6539,-473e" filled="false" stroked="true" strokeweight="1.5pt" strokecolor="#000000">
                <v:path arrowok="t"/>
              </v:shape>
            </v:group>
            <v:group style="position:absolute;left:6539;top:-473;width:1049;height:2" coordorigin="6539,-473" coordsize="1049,2">
              <v:shape style="position:absolute;left:6539;top:-473;width:1049;height:2" coordorigin="6539,-473" coordsize="1049,0" path="m6539,-473l7588,-473e" filled="false" stroked="true" strokeweight="1.5pt" strokecolor="#000000">
                <v:path arrowok="t"/>
              </v:shape>
            </v:group>
            <v:group style="position:absolute;left:7588;top:-473;width:1088;height:2" coordorigin="7588,-473" coordsize="1088,2">
              <v:shape style="position:absolute;left:7588;top:-473;width:1088;height:2" coordorigin="7588,-473" coordsize="1088,0" path="m7588,-473l8675,-473e" filled="false" stroked="true" strokeweight="1.5pt" strokecolor="#000000">
                <v:path arrowok="t"/>
              </v:shape>
              <v:shape style="position:absolute;left:1831;top:-1670;width:8437;height:1182" type="#_x0000_t75" stroked="false">
                <v:imagedata r:id="rId181" o:title=""/>
              </v:shape>
            </v:group>
            <v:group style="position:absolute;left:8675;top:-473;width:1563;height:2" coordorigin="8675,-473" coordsize="1563,2">
              <v:shape style="position:absolute;left:8675;top:-473;width:1563;height:2" coordorigin="8675,-473" coordsize="1563,0" path="m8675,-473l10237,-473e" filled="false" stroked="true" strokeweight="1.5pt" strokecolor="#000000">
                <v:path arrowok="t"/>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递延所得税资产和递延所得税负债</w:t>
      </w:r>
      <w:r>
        <w:rPr>
          <w:rFonts w:ascii="宋体" w:hAnsi="宋体" w:cs="宋体" w:eastAsia="宋体" w:hint="default"/>
          <w:sz w:val="21"/>
          <w:szCs w:val="21"/>
        </w:rPr>
      </w:r>
    </w:p>
    <w:p>
      <w:pPr>
        <w:tabs>
          <w:tab w:pos="1408" w:val="left" w:leader="none"/>
        </w:tabs>
        <w:spacing w:before="110"/>
        <w:ind w:left="869" w:right="115"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递延所得税资产和递延所得税负债不以抵销后的净额列示</w:t>
      </w:r>
      <w:r>
        <w:rPr>
          <w:rFonts w:ascii="宋体" w:hAnsi="宋体" w:cs="宋体" w:eastAsia="宋体" w:hint="default"/>
          <w:sz w:val="21"/>
          <w:szCs w:val="21"/>
        </w:rPr>
      </w:r>
    </w:p>
    <w:p>
      <w:pPr>
        <w:spacing w:before="109"/>
        <w:ind w:left="1412" w:right="115" w:firstLine="0"/>
        <w:jc w:val="left"/>
        <w:rPr>
          <w:rFonts w:ascii="宋体" w:hAnsi="宋体" w:cs="宋体" w:eastAsia="宋体" w:hint="default"/>
          <w:sz w:val="21"/>
          <w:szCs w:val="21"/>
        </w:rPr>
      </w:pPr>
      <w:r>
        <w:rPr/>
        <w:pict>
          <v:group style="position:absolute;margin-left:93.629997pt;margin-top:20.833075pt;width:390.9pt;height:194.65pt;mso-position-horizontal-relative:page;mso-position-vertical-relative:paragraph;z-index:-813088" coordorigin="1873,417" coordsize="7818,3893">
            <v:shape style="position:absolute;left:5759;top:417;width:2088;height:432" type="#_x0000_t75" stroked="false">
              <v:imagedata r:id="rId182" o:title=""/>
            </v:shape>
            <v:group style="position:absolute;left:1888;top:4294;width:3900;height:2" coordorigin="1888,4294" coordsize="3900,2">
              <v:shape style="position:absolute;left:1888;top:4294;width:3900;height:2" coordorigin="1888,4294" coordsize="3900,0" path="m1888,4294l5788,4294e" filled="false" stroked="true" strokeweight="1.5pt" strokecolor="#000000">
                <v:path arrowok="t"/>
              </v:shape>
            </v:group>
            <v:group style="position:absolute;left:5788;top:4294;width:2021;height:2" coordorigin="5788,4294" coordsize="2021,2">
              <v:shape style="position:absolute;left:5788;top:4294;width:2021;height:2" coordorigin="5788,4294" coordsize="2021,0" path="m5788,4294l7808,4294e" filled="false" stroked="true" strokeweight="1.5pt" strokecolor="#000000">
                <v:path arrowok="t"/>
              </v:shape>
              <v:shape style="position:absolute;left:1873;top:801;width:7817;height:3479" type="#_x0000_t75" stroked="false">
                <v:imagedata r:id="rId183" o:title=""/>
              </v:shape>
            </v:group>
            <v:group style="position:absolute;left:7808;top:4294;width:1848;height:2" coordorigin="7808,4294" coordsize="1848,2">
              <v:shape style="position:absolute;left:7808;top:4294;width:1848;height:2" coordorigin="7808,4294" coordsize="1848,0" path="m7808,4294l9656,4294e" filled="false" stroked="true" strokeweight="1.5pt" strokecolor="#000000">
                <v:path arrowok="t"/>
              </v:shape>
              <v:shape style="position:absolute;left:2011;top:3618;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可供出售金融资产公允价值变动</w:t>
                      </w:r>
                    </w:p>
                  </w:txbxContent>
                </v:textbox>
                <w10:wrap type="none"/>
              </v:shape>
              <v:shape style="position:absolute;left:6671;top:3626;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10,681,946.17</w:t>
                      </w:r>
                    </w:p>
                  </w:txbxContent>
                </v:textbox>
                <w10:wrap type="none"/>
              </v:shape>
              <v:shape style="position:absolute;left:8515;top:3626;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29,690,250.00</w:t>
                      </w:r>
                    </w:p>
                  </w:txbxContent>
                </v:textbox>
                <w10:wrap type="none"/>
              </v:shape>
              <v:shape style="position:absolute;left:3668;top:400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6671;top:401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28,331,320.91</w:t>
                      </w:r>
                    </w:p>
                  </w:txbxContent>
                </v:textbox>
                <w10:wrap type="none"/>
              </v:shape>
              <v:shape style="position:absolute;left:8515;top:401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37,621,175.43</w:t>
                      </w:r>
                    </w:p>
                  </w:txbxContent>
                </v:textbox>
                <w10:wrap type="non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）已确认的递延所得税资产和递延所得税负债</w:t>
      </w:r>
    </w:p>
    <w:p>
      <w:pPr>
        <w:spacing w:line="240" w:lineRule="auto" w:before="5"/>
        <w:rPr>
          <w:rFonts w:ascii="宋体" w:hAnsi="宋体" w:cs="宋体" w:eastAsia="宋体" w:hint="default"/>
          <w:sz w:val="2"/>
          <w:szCs w:val="2"/>
        </w:rPr>
      </w:pPr>
    </w:p>
    <w:tbl>
      <w:tblPr>
        <w:tblW w:w="0" w:type="auto"/>
        <w:jc w:val="left"/>
        <w:tblInd w:w="836" w:type="dxa"/>
        <w:tblLayout w:type="fixed"/>
        <w:tblCellMar>
          <w:top w:w="0" w:type="dxa"/>
          <w:left w:w="0" w:type="dxa"/>
          <w:bottom w:w="0" w:type="dxa"/>
          <w:right w:w="0" w:type="dxa"/>
        </w:tblCellMar>
        <w:tblLook w:val="01E0"/>
      </w:tblPr>
      <w:tblGrid>
        <w:gridCol w:w="1541"/>
        <w:gridCol w:w="331"/>
        <w:gridCol w:w="1432"/>
        <w:gridCol w:w="2761"/>
        <w:gridCol w:w="1544"/>
      </w:tblGrid>
      <w:tr>
        <w:trPr>
          <w:trHeight w:val="780" w:hRule="exact"/>
        </w:trPr>
        <w:tc>
          <w:tcPr>
            <w:tcW w:w="154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b/>
                <w:bCs/>
                <w:sz w:val="18"/>
                <w:szCs w:val="18"/>
              </w:rPr>
              <w:t>递延所得税资产：</w:t>
            </w:r>
            <w:r>
              <w:rPr>
                <w:rFonts w:ascii="宋体" w:hAnsi="宋体" w:cs="宋体" w:eastAsia="宋体" w:hint="default"/>
                <w:sz w:val="18"/>
                <w:szCs w:val="18"/>
              </w:rPr>
            </w:r>
          </w:p>
        </w:tc>
        <w:tc>
          <w:tcPr>
            <w:tcW w:w="33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26"/>
              <w:jc w:val="center"/>
              <w:rPr>
                <w:rFonts w:ascii="宋体" w:hAnsi="宋体" w:cs="宋体" w:eastAsia="宋体" w:hint="default"/>
                <w:sz w:val="18"/>
                <w:szCs w:val="18"/>
              </w:rPr>
            </w:pPr>
            <w:r>
              <w:rPr>
                <w:rFonts w:ascii="宋体" w:hAnsi="宋体" w:cs="宋体" w:eastAsia="宋体" w:hint="default"/>
                <w:sz w:val="18"/>
                <w:szCs w:val="18"/>
              </w:rPr>
              <w:t>项</w:t>
            </w:r>
          </w:p>
        </w:tc>
        <w:tc>
          <w:tcPr>
            <w:tcW w:w="143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90" w:right="0"/>
              <w:jc w:val="left"/>
              <w:rPr>
                <w:rFonts w:ascii="宋体" w:hAnsi="宋体" w:cs="宋体" w:eastAsia="宋体" w:hint="default"/>
                <w:sz w:val="18"/>
                <w:szCs w:val="18"/>
              </w:rPr>
            </w:pPr>
            <w:r>
              <w:rPr>
                <w:rFonts w:ascii="宋体" w:hAnsi="宋体" w:cs="宋体" w:eastAsia="宋体" w:hint="default"/>
                <w:sz w:val="18"/>
                <w:szCs w:val="18"/>
              </w:rPr>
              <w:t>目</w:t>
            </w:r>
          </w:p>
        </w:tc>
        <w:tc>
          <w:tcPr>
            <w:tcW w:w="276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16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4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34"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88" w:hRule="exact"/>
        </w:trPr>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331" w:type="dxa"/>
            <w:tcBorders>
              <w:top w:val="nil" w:sz="6" w:space="0" w:color="auto"/>
              <w:left w:val="nil" w:sz="6" w:space="0" w:color="auto"/>
              <w:bottom w:val="nil" w:sz="6" w:space="0" w:color="auto"/>
              <w:right w:val="nil" w:sz="6" w:space="0" w:color="auto"/>
            </w:tcBorders>
          </w:tcPr>
          <w:p>
            <w:pPr/>
          </w:p>
        </w:tc>
        <w:tc>
          <w:tcPr>
            <w:tcW w:w="143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2"/>
              <w:jc w:val="right"/>
              <w:rPr>
                <w:rFonts w:ascii="Times New Roman" w:hAnsi="Times New Roman" w:cs="Times New Roman" w:eastAsia="Times New Roman" w:hint="default"/>
                <w:sz w:val="18"/>
                <w:szCs w:val="18"/>
              </w:rPr>
            </w:pPr>
            <w:r>
              <w:rPr>
                <w:rFonts w:ascii="Times New Roman"/>
                <w:spacing w:val="-1"/>
                <w:sz w:val="18"/>
              </w:rPr>
              <w:t>2,368,399.27</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18"/>
                <w:szCs w:val="18"/>
              </w:rPr>
            </w:pPr>
            <w:r>
              <w:rPr>
                <w:rFonts w:ascii="Times New Roman"/>
                <w:spacing w:val="-1"/>
                <w:sz w:val="18"/>
              </w:rPr>
              <w:t>1,565,083.25</w:t>
            </w:r>
          </w:p>
        </w:tc>
      </w:tr>
      <w:tr>
        <w:trPr>
          <w:trHeight w:val="385" w:hRule="exact"/>
        </w:trPr>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 w:type="dxa"/>
            <w:tcBorders>
              <w:top w:val="nil" w:sz="6" w:space="0" w:color="auto"/>
              <w:left w:val="nil" w:sz="6" w:space="0" w:color="auto"/>
              <w:bottom w:val="nil" w:sz="6" w:space="0" w:color="auto"/>
              <w:right w:val="nil" w:sz="6" w:space="0" w:color="auto"/>
            </w:tcBorders>
          </w:tcPr>
          <w:p>
            <w:pPr/>
          </w:p>
        </w:tc>
        <w:tc>
          <w:tcPr>
            <w:tcW w:w="143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2"/>
              <w:jc w:val="right"/>
              <w:rPr>
                <w:rFonts w:ascii="Times New Roman" w:hAnsi="Times New Roman" w:cs="Times New Roman" w:eastAsia="Times New Roman" w:hint="default"/>
                <w:sz w:val="18"/>
                <w:szCs w:val="18"/>
              </w:rPr>
            </w:pPr>
            <w:r>
              <w:rPr>
                <w:rFonts w:ascii="Times New Roman"/>
                <w:spacing w:val="-1"/>
                <w:sz w:val="18"/>
              </w:rPr>
              <w:t>5,842,440.00</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4,130,820.00</w:t>
            </w:r>
          </w:p>
        </w:tc>
      </w:tr>
      <w:tr>
        <w:trPr>
          <w:trHeight w:val="385" w:hRule="exact"/>
        </w:trPr>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融资租赁预计税金</w:t>
            </w:r>
          </w:p>
        </w:tc>
        <w:tc>
          <w:tcPr>
            <w:tcW w:w="331" w:type="dxa"/>
            <w:tcBorders>
              <w:top w:val="nil" w:sz="6" w:space="0" w:color="auto"/>
              <w:left w:val="nil" w:sz="6" w:space="0" w:color="auto"/>
              <w:bottom w:val="nil" w:sz="6" w:space="0" w:color="auto"/>
              <w:right w:val="nil" w:sz="6" w:space="0" w:color="auto"/>
            </w:tcBorders>
          </w:tcPr>
          <w:p>
            <w:pPr/>
          </w:p>
        </w:tc>
        <w:tc>
          <w:tcPr>
            <w:tcW w:w="143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3"/>
              <w:jc w:val="right"/>
              <w:rPr>
                <w:rFonts w:ascii="Times New Roman" w:hAnsi="Times New Roman" w:cs="Times New Roman" w:eastAsia="Times New Roman" w:hint="default"/>
                <w:sz w:val="18"/>
                <w:szCs w:val="18"/>
              </w:rPr>
            </w:pPr>
            <w:r>
              <w:rPr>
                <w:rFonts w:ascii="Times New Roman"/>
                <w:spacing w:val="-1"/>
                <w:sz w:val="18"/>
              </w:rPr>
              <w:t>2,040,915.34</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z w:val="18"/>
              </w:rPr>
              <w:t>997,398.78</w:t>
            </w:r>
          </w:p>
        </w:tc>
      </w:tr>
      <w:tr>
        <w:trPr>
          <w:trHeight w:val="765" w:hRule="exact"/>
        </w:trPr>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b/>
                <w:bCs/>
                <w:sz w:val="18"/>
                <w:szCs w:val="18"/>
              </w:rPr>
              <w:t>递延所得税负债：</w:t>
            </w:r>
            <w:r>
              <w:rPr>
                <w:rFonts w:ascii="宋体" w:hAnsi="宋体" w:cs="宋体" w:eastAsia="宋体" w:hint="default"/>
                <w:sz w:val="18"/>
                <w:szCs w:val="18"/>
              </w:rPr>
            </w:r>
          </w:p>
        </w:tc>
        <w:tc>
          <w:tcPr>
            <w:tcW w:w="33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6"/>
              <w:jc w:val="center"/>
              <w:rPr>
                <w:rFonts w:ascii="宋体" w:hAnsi="宋体" w:cs="宋体" w:eastAsia="宋体" w:hint="default"/>
                <w:sz w:val="18"/>
                <w:szCs w:val="18"/>
              </w:rPr>
            </w:pPr>
            <w:r>
              <w:rPr>
                <w:rFonts w:ascii="宋体" w:hAnsi="宋体" w:cs="宋体" w:eastAsia="宋体" w:hint="default"/>
                <w:sz w:val="18"/>
                <w:szCs w:val="18"/>
              </w:rPr>
              <w:t>小</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90"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76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2"/>
              <w:jc w:val="right"/>
              <w:rPr>
                <w:rFonts w:ascii="Times New Roman" w:hAnsi="Times New Roman" w:cs="Times New Roman" w:eastAsia="Times New Roman" w:hint="default"/>
                <w:sz w:val="18"/>
                <w:szCs w:val="18"/>
              </w:rPr>
            </w:pPr>
            <w:r>
              <w:rPr>
                <w:rFonts w:ascii="Times New Roman"/>
                <w:spacing w:val="-1"/>
                <w:sz w:val="18"/>
              </w:rPr>
              <w:t>10,251,754.61</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6,693,302.03</w:t>
            </w:r>
          </w:p>
        </w:tc>
      </w:tr>
      <w:tr>
        <w:trPr>
          <w:trHeight w:val="390" w:hRule="exact"/>
        </w:trPr>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融资租赁</w:t>
            </w:r>
          </w:p>
        </w:tc>
        <w:tc>
          <w:tcPr>
            <w:tcW w:w="331" w:type="dxa"/>
            <w:tcBorders>
              <w:top w:val="nil" w:sz="6" w:space="0" w:color="auto"/>
              <w:left w:val="nil" w:sz="6" w:space="0" w:color="auto"/>
              <w:bottom w:val="nil" w:sz="6" w:space="0" w:color="auto"/>
              <w:right w:val="nil" w:sz="6" w:space="0" w:color="auto"/>
            </w:tcBorders>
          </w:tcPr>
          <w:p>
            <w:pPr/>
          </w:p>
        </w:tc>
        <w:tc>
          <w:tcPr>
            <w:tcW w:w="1432" w:type="dxa"/>
            <w:tcBorders>
              <w:top w:val="nil" w:sz="6" w:space="0" w:color="auto"/>
              <w:left w:val="nil" w:sz="6" w:space="0" w:color="auto"/>
              <w:bottom w:val="nil" w:sz="6" w:space="0" w:color="auto"/>
              <w:right w:val="nil" w:sz="6" w:space="0" w:color="auto"/>
            </w:tcBorders>
          </w:tcPr>
          <w:p>
            <w:pPr/>
          </w:p>
        </w:tc>
        <w:tc>
          <w:tcPr>
            <w:tcW w:w="276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2"/>
              <w:jc w:val="right"/>
              <w:rPr>
                <w:rFonts w:ascii="Times New Roman" w:hAnsi="Times New Roman" w:cs="Times New Roman" w:eastAsia="Times New Roman" w:hint="default"/>
                <w:sz w:val="18"/>
                <w:szCs w:val="18"/>
              </w:rPr>
            </w:pPr>
            <w:r>
              <w:rPr>
                <w:rFonts w:ascii="Times New Roman"/>
                <w:spacing w:val="-1"/>
                <w:sz w:val="18"/>
              </w:rPr>
              <w:t>17,649,374.74</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
              <w:jc w:val="right"/>
              <w:rPr>
                <w:rFonts w:ascii="Times New Roman" w:hAnsi="Times New Roman" w:cs="Times New Roman" w:eastAsia="Times New Roman" w:hint="default"/>
                <w:sz w:val="18"/>
                <w:szCs w:val="18"/>
              </w:rPr>
            </w:pPr>
            <w:r>
              <w:rPr>
                <w:rFonts w:ascii="Times New Roman"/>
                <w:spacing w:val="-1"/>
                <w:sz w:val="18"/>
              </w:rPr>
              <w:t>7,930,925.43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spacing w:before="35"/>
        <w:ind w:left="1412" w:right="115" w:firstLine="0"/>
        <w:jc w:val="left"/>
        <w:rPr>
          <w:rFonts w:ascii="宋体" w:hAnsi="宋体" w:cs="宋体" w:eastAsia="宋体" w:hint="default"/>
          <w:sz w:val="21"/>
          <w:szCs w:val="21"/>
        </w:rPr>
      </w:pPr>
      <w:r>
        <w:rPr/>
        <w:pict>
          <v:group style="position:absolute;margin-left:93.660004pt;margin-top:17.193966pt;width:390.85pt;height:77.850pt;mso-position-horizontal-relative:page;mso-position-vertical-relative:paragraph;z-index:-813064" coordorigin="1873,344" coordsize="7817,1557">
            <v:shape style="position:absolute;left:5759;top:344;width:2088;height:432" type="#_x0000_t75" stroked="false">
              <v:imagedata r:id="rId184" o:title=""/>
            </v:shape>
            <v:shape style="position:absolute;left:1873;top:718;width:7817;height:1182" type="#_x0000_t75" stroked="false">
              <v:imagedata r:id="rId185" o:title=""/>
            </v:shape>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）未确认递延所得税资产明细</w:t>
      </w:r>
    </w:p>
    <w:p>
      <w:pPr>
        <w:spacing w:line="240" w:lineRule="auto" w:before="6"/>
        <w:rPr>
          <w:rFonts w:ascii="宋体" w:hAnsi="宋体" w:cs="宋体" w:eastAsia="宋体" w:hint="default"/>
          <w:sz w:val="2"/>
          <w:szCs w:val="2"/>
        </w:rPr>
      </w:pPr>
    </w:p>
    <w:tbl>
      <w:tblPr>
        <w:tblW w:w="0" w:type="auto"/>
        <w:jc w:val="left"/>
        <w:tblInd w:w="836" w:type="dxa"/>
        <w:tblLayout w:type="fixed"/>
        <w:tblCellMar>
          <w:top w:w="0" w:type="dxa"/>
          <w:left w:w="0" w:type="dxa"/>
          <w:bottom w:w="0" w:type="dxa"/>
          <w:right w:w="0" w:type="dxa"/>
        </w:tblCellMar>
        <w:tblLook w:val="01E0"/>
      </w:tblPr>
      <w:tblGrid>
        <w:gridCol w:w="3304"/>
        <w:gridCol w:w="2761"/>
        <w:gridCol w:w="1545"/>
      </w:tblGrid>
      <w:tr>
        <w:trPr>
          <w:trHeight w:val="783" w:hRule="exact"/>
        </w:trPr>
        <w:tc>
          <w:tcPr>
            <w:tcW w:w="330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40" w:right="0"/>
              <w:jc w:val="center"/>
              <w:rPr>
                <w:rFonts w:ascii="宋体" w:hAnsi="宋体" w:cs="宋体" w:eastAsia="宋体" w:hint="default"/>
                <w:sz w:val="18"/>
                <w:szCs w:val="18"/>
              </w:rPr>
            </w:pPr>
            <w:r>
              <w:rPr>
                <w:rFonts w:ascii="宋体" w:hAnsi="宋体" w:cs="宋体" w:eastAsia="宋体" w:hint="default"/>
                <w:sz w:val="18"/>
                <w:szCs w:val="18"/>
              </w:rPr>
              <w:t>项  目</w:t>
            </w:r>
          </w:p>
          <w:p>
            <w:pPr>
              <w:pStyle w:val="TableParagraph"/>
              <w:spacing w:line="240" w:lineRule="auto" w:before="148"/>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）可抵扣暂时性差异</w:t>
            </w:r>
          </w:p>
        </w:tc>
        <w:tc>
          <w:tcPr>
            <w:tcW w:w="276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16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4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34"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85" w:hRule="exact"/>
        </w:trPr>
        <w:tc>
          <w:tcPr>
            <w:tcW w:w="330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）可抵扣亏损</w:t>
            </w:r>
          </w:p>
        </w:tc>
        <w:tc>
          <w:tcPr>
            <w:tcW w:w="276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2"/>
              <w:jc w:val="right"/>
              <w:rPr>
                <w:rFonts w:ascii="Times New Roman" w:hAnsi="Times New Roman" w:cs="Times New Roman" w:eastAsia="Times New Roman" w:hint="default"/>
                <w:sz w:val="18"/>
                <w:szCs w:val="18"/>
              </w:rPr>
            </w:pPr>
            <w:r>
              <w:rPr>
                <w:rFonts w:ascii="Times New Roman"/>
                <w:sz w:val="18"/>
              </w:rPr>
              <w:t>329,173.38</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597,834.51</w:t>
            </w:r>
          </w:p>
        </w:tc>
      </w:tr>
      <w:tr>
        <w:trPr>
          <w:trHeight w:val="390" w:hRule="exact"/>
        </w:trPr>
        <w:tc>
          <w:tcPr>
            <w:tcW w:w="3304"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44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761"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332"/>
              <w:jc w:val="right"/>
              <w:rPr>
                <w:rFonts w:ascii="Times New Roman" w:hAnsi="Times New Roman" w:cs="Times New Roman" w:eastAsia="Times New Roman" w:hint="default"/>
                <w:sz w:val="18"/>
                <w:szCs w:val="18"/>
              </w:rPr>
            </w:pPr>
            <w:r>
              <w:rPr>
                <w:rFonts w:ascii="Times New Roman"/>
                <w:sz w:val="18"/>
              </w:rPr>
              <w:t>329,173.38</w:t>
            </w:r>
          </w:p>
        </w:tc>
        <w:tc>
          <w:tcPr>
            <w:tcW w:w="1545"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597,834.51</w:t>
            </w:r>
          </w:p>
        </w:tc>
      </w:tr>
    </w:tbl>
    <w:p>
      <w:pPr>
        <w:spacing w:line="240" w:lineRule="auto" w:before="13"/>
        <w:rPr>
          <w:rFonts w:ascii="宋体" w:hAnsi="宋体" w:cs="宋体" w:eastAsia="宋体" w:hint="default"/>
          <w:sz w:val="7"/>
          <w:szCs w:val="7"/>
        </w:rPr>
      </w:pPr>
    </w:p>
    <w:p>
      <w:pPr>
        <w:spacing w:line="436" w:lineRule="auto" w:before="35"/>
        <w:ind w:left="860" w:right="115" w:firstLine="0"/>
        <w:jc w:val="left"/>
        <w:rPr>
          <w:rFonts w:ascii="宋体" w:hAnsi="宋体" w:cs="宋体" w:eastAsia="宋体" w:hint="default"/>
          <w:sz w:val="21"/>
          <w:szCs w:val="21"/>
        </w:rPr>
      </w:pPr>
      <w:r>
        <w:rPr>
          <w:rFonts w:ascii="宋体" w:hAnsi="宋体" w:cs="宋体" w:eastAsia="宋体" w:hint="default"/>
          <w:spacing w:val="-3"/>
          <w:sz w:val="21"/>
          <w:szCs w:val="21"/>
        </w:rPr>
        <w:t>注：由于未来能否获得足够的应纳税所得额具有不确定性，因此没有确认为递延所得税资</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产的可抵扣暂时性差异和可抵扣亏损。</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7"/>
          <w:szCs w:val="17"/>
        </w:rPr>
      </w:pPr>
    </w:p>
    <w:p>
      <w:pPr>
        <w:spacing w:before="0"/>
        <w:ind w:left="1412" w:right="115" w:firstLine="0"/>
        <w:jc w:val="left"/>
        <w:rPr>
          <w:rFonts w:ascii="宋体" w:hAnsi="宋体" w:cs="宋体" w:eastAsia="宋体" w:hint="default"/>
          <w:sz w:val="21"/>
          <w:szCs w:val="21"/>
        </w:rPr>
      </w:pPr>
      <w:r>
        <w:rPr/>
        <w:pict>
          <v:group style="position:absolute;margin-left:93.629997pt;margin-top:15.324273pt;width:390.75pt;height:117.85pt;mso-position-horizontal-relative:page;mso-position-vertical-relative:paragraph;z-index:-813040" coordorigin="1873,306" coordsize="7815,2357">
            <v:group style="position:absolute;left:1902;top:321;width:6136;height:2" coordorigin="1902,321" coordsize="6136,2">
              <v:shape style="position:absolute;left:1902;top:321;width:6136;height:2" coordorigin="1902,321" coordsize="6136,0" path="m1902,321l8038,321e" filled="false" stroked="true" strokeweight="1.5pt" strokecolor="#000000">
                <v:path arrowok="t"/>
              </v:shape>
            </v:group>
            <v:group style="position:absolute;left:8038;top:321;width:1619;height:2" coordorigin="8038,321" coordsize="1619,2">
              <v:shape style="position:absolute;left:8038;top:321;width:1619;height:2" coordorigin="8038,321" coordsize="1619,0" path="m8038,321l9656,321e" filled="false" stroked="true" strokeweight="1.5pt" strokecolor="#000000">
                <v:path arrowok="t"/>
              </v:shape>
              <v:shape style="position:absolute;left:3779;top:308;width:4267;height:432" type="#_x0000_t75" stroked="false">
                <v:imagedata r:id="rId186" o:title=""/>
              </v:shape>
            </v:group>
            <v:group style="position:absolute;left:1888;top:2648;width:1920;height:2" coordorigin="1888,2648" coordsize="1920,2">
              <v:shape style="position:absolute;left:1888;top:2648;width:1920;height:2" coordorigin="1888,2648" coordsize="1920,0" path="m1888,2648l3808,2648e" filled="false" stroked="true" strokeweight="1.5pt" strokecolor="#000000">
                <v:path arrowok="t"/>
              </v:shape>
            </v:group>
            <v:group style="position:absolute;left:3808;top:2648;width:2100;height:2" coordorigin="3808,2648" coordsize="2100,2">
              <v:shape style="position:absolute;left:3808;top:2648;width:2100;height:2" coordorigin="3808,2648" coordsize="2100,0" path="m3808,2648l5908,2648e" filled="false" stroked="true" strokeweight="1.5pt" strokecolor="#000000">
                <v:path arrowok="t"/>
              </v:shape>
            </v:group>
            <v:group style="position:absolute;left:5908;top:2648;width:2100;height:2" coordorigin="5908,2648" coordsize="2100,2">
              <v:shape style="position:absolute;left:5908;top:2648;width:2100;height:2" coordorigin="5908,2648" coordsize="2100,0" path="m5908,2648l8008,2648e" filled="false" stroked="true" strokeweight="1.5pt" strokecolor="#000000">
                <v:path arrowok="t"/>
              </v:shape>
              <v:shape style="position:absolute;left:1873;top:682;width:7814;height:1951" type="#_x0000_t75" stroked="false">
                <v:imagedata r:id="rId187" o:title=""/>
              </v:shape>
            </v:group>
            <v:group style="position:absolute;left:8008;top:2648;width:30;height:2" coordorigin="8008,2648" coordsize="30,2">
              <v:shape style="position:absolute;left:8008;top:2648;width:30;height:2" coordorigin="8008,2648" coordsize="30,0" path="m8008,2648l8038,2648e" filled="false" stroked="true" strokeweight="1.5pt" strokecolor="#000000">
                <v:path arrowok="t"/>
              </v:shape>
            </v:group>
            <v:group style="position:absolute;left:8038;top:2648;width:1619;height:2" coordorigin="8038,2648" coordsize="1619,2">
              <v:shape style="position:absolute;left:8038;top:2648;width:1619;height:2" coordorigin="8038,2648" coordsize="1619,0" path="m8038,2648l9656,2648e" filled="false" stroked="true" strokeweight="1.5pt" strokecolor="#000000">
                <v:path arrowok="t"/>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）未确认递延所得税资产的可抵扣亏损将于以下年度到期</w:t>
      </w:r>
    </w:p>
    <w:p>
      <w:pPr>
        <w:spacing w:line="240" w:lineRule="auto" w:before="5"/>
        <w:rPr>
          <w:rFonts w:ascii="宋体" w:hAnsi="宋体" w:cs="宋体" w:eastAsia="宋体" w:hint="default"/>
          <w:sz w:val="2"/>
          <w:szCs w:val="2"/>
        </w:rPr>
      </w:pPr>
    </w:p>
    <w:tbl>
      <w:tblPr>
        <w:tblW w:w="0" w:type="auto"/>
        <w:jc w:val="left"/>
        <w:tblInd w:w="836" w:type="dxa"/>
        <w:tblLayout w:type="fixed"/>
        <w:tblCellMar>
          <w:top w:w="0" w:type="dxa"/>
          <w:left w:w="0" w:type="dxa"/>
          <w:bottom w:w="0" w:type="dxa"/>
          <w:right w:w="0" w:type="dxa"/>
        </w:tblCellMar>
        <w:tblLook w:val="01E0"/>
      </w:tblPr>
      <w:tblGrid>
        <w:gridCol w:w="882"/>
        <w:gridCol w:w="957"/>
        <w:gridCol w:w="2389"/>
        <w:gridCol w:w="2076"/>
        <w:gridCol w:w="769"/>
      </w:tblGrid>
      <w:tr>
        <w:trPr>
          <w:trHeight w:val="784"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88"/>
              <w:jc w:val="right"/>
              <w:rPr>
                <w:rFonts w:ascii="宋体" w:hAnsi="宋体" w:cs="宋体" w:eastAsia="宋体" w:hint="default"/>
                <w:sz w:val="18"/>
                <w:szCs w:val="18"/>
              </w:rPr>
            </w:pPr>
            <w:r>
              <w:rPr>
                <w:rFonts w:ascii="宋体" w:hAnsi="宋体" w:cs="宋体" w:eastAsia="宋体" w:hint="default"/>
                <w:sz w:val="18"/>
                <w:szCs w:val="18"/>
              </w:rPr>
              <w:t>项</w:t>
            </w:r>
          </w:p>
          <w:p>
            <w:pPr>
              <w:pStyle w:val="TableParagraph"/>
              <w:spacing w:line="240" w:lineRule="auto" w:before="148"/>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5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90" w:right="0"/>
              <w:jc w:val="left"/>
              <w:rPr>
                <w:rFonts w:ascii="宋体" w:hAnsi="宋体" w:cs="宋体" w:eastAsia="宋体" w:hint="default"/>
                <w:sz w:val="18"/>
                <w:szCs w:val="18"/>
              </w:rPr>
            </w:pPr>
            <w:r>
              <w:rPr>
                <w:rFonts w:ascii="宋体" w:hAnsi="宋体" w:cs="宋体" w:eastAsia="宋体" w:hint="default"/>
                <w:sz w:val="18"/>
                <w:szCs w:val="18"/>
              </w:rPr>
              <w:t>目</w:t>
            </w:r>
          </w:p>
        </w:tc>
        <w:tc>
          <w:tcPr>
            <w:tcW w:w="238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68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98"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890" w:right="0"/>
              <w:jc w:val="left"/>
              <w:rPr>
                <w:rFonts w:ascii="Times New Roman" w:hAnsi="Times New Roman" w:cs="Times New Roman" w:eastAsia="Times New Roman" w:hint="default"/>
                <w:sz w:val="18"/>
                <w:szCs w:val="18"/>
              </w:rPr>
            </w:pPr>
            <w:r>
              <w:rPr>
                <w:rFonts w:ascii="Times New Roman"/>
                <w:sz w:val="18"/>
              </w:rPr>
              <w:t>396,176.69</w:t>
            </w:r>
          </w:p>
        </w:tc>
        <w:tc>
          <w:tcPr>
            <w:tcW w:w="76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74" w:right="0"/>
              <w:jc w:val="left"/>
              <w:rPr>
                <w:rFonts w:ascii="宋体" w:hAnsi="宋体" w:cs="宋体" w:eastAsia="宋体" w:hint="default"/>
                <w:sz w:val="18"/>
                <w:szCs w:val="18"/>
              </w:rPr>
            </w:pPr>
            <w:r>
              <w:rPr>
                <w:rFonts w:ascii="宋体" w:hAnsi="宋体" w:cs="宋体" w:eastAsia="宋体" w:hint="default"/>
                <w:sz w:val="18"/>
                <w:szCs w:val="18"/>
              </w:rPr>
              <w:t>备注</w:t>
            </w:r>
          </w:p>
        </w:tc>
      </w:tr>
      <w:tr>
        <w:trPr>
          <w:trHeight w:val="385"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57" w:type="dxa"/>
            <w:tcBorders>
              <w:top w:val="nil" w:sz="6" w:space="0" w:color="auto"/>
              <w:left w:val="nil" w:sz="6" w:space="0" w:color="auto"/>
              <w:bottom w:val="nil" w:sz="6" w:space="0" w:color="auto"/>
              <w:right w:val="nil" w:sz="6" w:space="0" w:color="auto"/>
            </w:tcBorders>
          </w:tcPr>
          <w:p>
            <w:pPr/>
          </w:p>
        </w:tc>
        <w:tc>
          <w:tcPr>
            <w:tcW w:w="238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96"/>
              <w:jc w:val="right"/>
              <w:rPr>
                <w:rFonts w:ascii="Times New Roman" w:hAnsi="Times New Roman" w:cs="Times New Roman" w:eastAsia="Times New Roman" w:hint="default"/>
                <w:sz w:val="18"/>
                <w:szCs w:val="18"/>
              </w:rPr>
            </w:pPr>
            <w:r>
              <w:rPr>
                <w:rFonts w:ascii="Times New Roman"/>
                <w:sz w:val="18"/>
              </w:rPr>
              <w:t>56,582.62</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72"/>
              <w:jc w:val="right"/>
              <w:rPr>
                <w:rFonts w:ascii="Times New Roman" w:hAnsi="Times New Roman" w:cs="Times New Roman" w:eastAsia="Times New Roman" w:hint="default"/>
                <w:sz w:val="18"/>
                <w:szCs w:val="18"/>
              </w:rPr>
            </w:pPr>
            <w:r>
              <w:rPr>
                <w:rFonts w:ascii="Times New Roman"/>
                <w:sz w:val="18"/>
              </w:rPr>
              <w:t>76,435.45</w:t>
            </w:r>
          </w:p>
        </w:tc>
        <w:tc>
          <w:tcPr>
            <w:tcW w:w="769" w:type="dxa"/>
            <w:tcBorders>
              <w:top w:val="nil" w:sz="6" w:space="0" w:color="auto"/>
              <w:left w:val="nil" w:sz="6" w:space="0" w:color="auto"/>
              <w:bottom w:val="nil" w:sz="6" w:space="0" w:color="auto"/>
              <w:right w:val="nil" w:sz="6" w:space="0" w:color="auto"/>
            </w:tcBorders>
          </w:tcPr>
          <w:p>
            <w:pPr/>
          </w:p>
        </w:tc>
      </w:tr>
      <w:tr>
        <w:trPr>
          <w:trHeight w:val="384"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57" w:type="dxa"/>
            <w:tcBorders>
              <w:top w:val="nil" w:sz="6" w:space="0" w:color="auto"/>
              <w:left w:val="nil" w:sz="6" w:space="0" w:color="auto"/>
              <w:bottom w:val="nil" w:sz="6" w:space="0" w:color="auto"/>
              <w:right w:val="nil" w:sz="6" w:space="0" w:color="auto"/>
            </w:tcBorders>
          </w:tcPr>
          <w:p>
            <w:pPr/>
          </w:p>
        </w:tc>
        <w:tc>
          <w:tcPr>
            <w:tcW w:w="238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96"/>
              <w:jc w:val="right"/>
              <w:rPr>
                <w:rFonts w:ascii="Times New Roman" w:hAnsi="Times New Roman" w:cs="Times New Roman" w:eastAsia="Times New Roman" w:hint="default"/>
                <w:sz w:val="18"/>
                <w:szCs w:val="18"/>
              </w:rPr>
            </w:pPr>
            <w:r>
              <w:rPr>
                <w:rFonts w:ascii="Times New Roman"/>
                <w:sz w:val="18"/>
              </w:rPr>
              <w:t>125,987.75</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72"/>
              <w:jc w:val="right"/>
              <w:rPr>
                <w:rFonts w:ascii="Times New Roman" w:hAnsi="Times New Roman" w:cs="Times New Roman" w:eastAsia="Times New Roman" w:hint="default"/>
                <w:sz w:val="18"/>
                <w:szCs w:val="18"/>
              </w:rPr>
            </w:pPr>
            <w:r>
              <w:rPr>
                <w:rFonts w:ascii="Times New Roman"/>
                <w:sz w:val="18"/>
              </w:rPr>
              <w:t>125,222.37</w:t>
            </w:r>
          </w:p>
        </w:tc>
        <w:tc>
          <w:tcPr>
            <w:tcW w:w="769" w:type="dxa"/>
            <w:tcBorders>
              <w:top w:val="nil" w:sz="6" w:space="0" w:color="auto"/>
              <w:left w:val="nil" w:sz="6" w:space="0" w:color="auto"/>
              <w:bottom w:val="nil" w:sz="6" w:space="0" w:color="auto"/>
              <w:right w:val="nil" w:sz="6" w:space="0" w:color="auto"/>
            </w:tcBorders>
          </w:tcPr>
          <w:p>
            <w:pPr/>
          </w:p>
        </w:tc>
      </w:tr>
      <w:tr>
        <w:trPr>
          <w:trHeight w:val="385"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57" w:type="dxa"/>
            <w:tcBorders>
              <w:top w:val="nil" w:sz="6" w:space="0" w:color="auto"/>
              <w:left w:val="nil" w:sz="6" w:space="0" w:color="auto"/>
              <w:bottom w:val="nil" w:sz="6" w:space="0" w:color="auto"/>
              <w:right w:val="nil" w:sz="6" w:space="0" w:color="auto"/>
            </w:tcBorders>
          </w:tcPr>
          <w:p>
            <w:pPr/>
          </w:p>
        </w:tc>
        <w:tc>
          <w:tcPr>
            <w:tcW w:w="238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96"/>
              <w:jc w:val="right"/>
              <w:rPr>
                <w:rFonts w:ascii="Times New Roman" w:hAnsi="Times New Roman" w:cs="Times New Roman" w:eastAsia="Times New Roman" w:hint="default"/>
                <w:sz w:val="18"/>
                <w:szCs w:val="18"/>
              </w:rPr>
            </w:pPr>
            <w:r>
              <w:rPr>
                <w:rFonts w:ascii="Times New Roman"/>
                <w:sz w:val="18"/>
              </w:rPr>
              <w:t>146,603.01</w:t>
            </w:r>
          </w:p>
        </w:tc>
        <w:tc>
          <w:tcPr>
            <w:tcW w:w="2076" w:type="dxa"/>
            <w:tcBorders>
              <w:top w:val="nil" w:sz="6" w:space="0" w:color="auto"/>
              <w:left w:val="nil" w:sz="6" w:space="0" w:color="auto"/>
              <w:bottom w:val="nil" w:sz="6" w:space="0" w:color="auto"/>
              <w:right w:val="nil" w:sz="6" w:space="0" w:color="auto"/>
            </w:tcBorders>
          </w:tcPr>
          <w:p>
            <w:pPr/>
          </w:p>
        </w:tc>
        <w:tc>
          <w:tcPr>
            <w:tcW w:w="769" w:type="dxa"/>
            <w:tcBorders>
              <w:top w:val="nil" w:sz="6" w:space="0" w:color="auto"/>
              <w:left w:val="nil" w:sz="6" w:space="0" w:color="auto"/>
              <w:bottom w:val="nil" w:sz="6" w:space="0" w:color="auto"/>
              <w:right w:val="nil" w:sz="6" w:space="0" w:color="auto"/>
            </w:tcBorders>
          </w:tcPr>
          <w:p>
            <w:pPr/>
          </w:p>
        </w:tc>
      </w:tr>
      <w:tr>
        <w:trPr>
          <w:trHeight w:val="390" w:hRule="exact"/>
        </w:trPr>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57" w:type="dxa"/>
            <w:tcBorders>
              <w:top w:val="nil" w:sz="6" w:space="0" w:color="auto"/>
              <w:left w:val="nil" w:sz="6" w:space="0" w:color="auto"/>
              <w:bottom w:val="nil" w:sz="6" w:space="0" w:color="auto"/>
              <w:right w:val="nil" w:sz="6" w:space="0" w:color="auto"/>
            </w:tcBorders>
          </w:tcPr>
          <w:p>
            <w:pPr/>
          </w:p>
        </w:tc>
        <w:tc>
          <w:tcPr>
            <w:tcW w:w="238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96"/>
              <w:jc w:val="right"/>
              <w:rPr>
                <w:rFonts w:ascii="Times New Roman" w:hAnsi="Times New Roman" w:cs="Times New Roman" w:eastAsia="Times New Roman" w:hint="default"/>
                <w:sz w:val="18"/>
                <w:szCs w:val="18"/>
              </w:rPr>
            </w:pPr>
            <w:r>
              <w:rPr>
                <w:rFonts w:ascii="Times New Roman"/>
                <w:sz w:val="18"/>
              </w:rPr>
              <w:t>329,173.38</w:t>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72"/>
              <w:jc w:val="right"/>
              <w:rPr>
                <w:rFonts w:ascii="Times New Roman" w:hAnsi="Times New Roman" w:cs="Times New Roman" w:eastAsia="Times New Roman" w:hint="default"/>
                <w:sz w:val="18"/>
                <w:szCs w:val="18"/>
              </w:rPr>
            </w:pPr>
            <w:r>
              <w:rPr>
                <w:rFonts w:ascii="Times New Roman"/>
                <w:sz w:val="18"/>
              </w:rPr>
              <w:t>597,834.51</w:t>
            </w:r>
          </w:p>
        </w:tc>
        <w:tc>
          <w:tcPr>
            <w:tcW w:w="769"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0" w:footer="1256" w:top="1060" w:bottom="1440" w:left="1140" w:right="152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spacing w:before="0"/>
        <w:ind w:left="1412" w:right="97" w:firstLine="0"/>
        <w:jc w:val="left"/>
        <w:rPr>
          <w:rFonts w:ascii="宋体" w:hAnsi="宋体" w:cs="宋体" w:eastAsia="宋体" w:hint="default"/>
          <w:sz w:val="21"/>
          <w:szCs w:val="21"/>
        </w:rPr>
      </w:pPr>
      <w:r>
        <w:rPr/>
        <w:pict>
          <v:group style="position:absolute;margin-left:93.660004pt;margin-top:15.323994pt;width:390.7pt;height:212.5pt;mso-position-horizontal-relative:page;mso-position-vertical-relative:paragraph;z-index:-812752" coordorigin="1873,306" coordsize="7814,4250">
            <v:group style="position:absolute;left:1902;top:321;width:7755;height:2" coordorigin="1902,321" coordsize="7755,2">
              <v:shape style="position:absolute;left:1902;top:321;width:7755;height:2" coordorigin="1902,321" coordsize="7755,0" path="m1902,321l9656,321e" filled="false" stroked="true" strokeweight="1.5pt" strokecolor="#000000">
                <v:path arrowok="t"/>
              </v:shape>
              <v:shape style="position:absolute;left:6250;top:336;width:10;height:374" type="#_x0000_t75" stroked="false">
                <v:imagedata r:id="rId188" o:title=""/>
              </v:shape>
              <v:shape style="position:absolute;left:1873;top:682;width:7813;height:3874" type="#_x0000_t75" stroked="false">
                <v:imagedata r:id="rId189" o:title=""/>
              </v:shape>
              <v:shape style="position:absolute;left:3899;top:43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7775;top:43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2011;top:819;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应纳税差异项目</w:t>
                      </w:r>
                    </w:p>
                  </w:txbxContent>
                </v:textbox>
                <w10:wrap type="non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）应纳税差异和可抵扣差异项目明细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tbl>
      <w:tblPr>
        <w:tblW w:w="0" w:type="auto"/>
        <w:jc w:val="left"/>
        <w:tblInd w:w="836" w:type="dxa"/>
        <w:tblLayout w:type="fixed"/>
        <w:tblCellMar>
          <w:top w:w="0" w:type="dxa"/>
          <w:left w:w="0" w:type="dxa"/>
          <w:bottom w:w="0" w:type="dxa"/>
          <w:right w:w="0" w:type="dxa"/>
        </w:tblCellMar>
        <w:tblLook w:val="01E0"/>
      </w:tblPr>
      <w:tblGrid>
        <w:gridCol w:w="4591"/>
        <w:gridCol w:w="3017"/>
      </w:tblGrid>
      <w:tr>
        <w:trPr>
          <w:trHeight w:val="386"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5" w:right="0"/>
              <w:jc w:val="left"/>
              <w:rPr>
                <w:rFonts w:ascii="宋体" w:hAnsi="宋体" w:cs="宋体" w:eastAsia="宋体" w:hint="default"/>
                <w:sz w:val="18"/>
                <w:szCs w:val="18"/>
              </w:rPr>
            </w:pPr>
            <w:r>
              <w:rPr>
                <w:rFonts w:ascii="宋体" w:hAnsi="宋体" w:cs="宋体" w:eastAsia="宋体" w:hint="default"/>
                <w:sz w:val="18"/>
                <w:szCs w:val="18"/>
              </w:rPr>
              <w:t>融资租赁</w:t>
            </w:r>
          </w:p>
        </w:tc>
        <w:tc>
          <w:tcPr>
            <w:tcW w:w="301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Times New Roman" w:hAnsi="Times New Roman" w:cs="Times New Roman" w:eastAsia="Times New Roman" w:hint="default"/>
                <w:sz w:val="18"/>
                <w:szCs w:val="18"/>
              </w:rPr>
            </w:pPr>
            <w:r>
              <w:rPr>
                <w:rFonts w:ascii="Times New Roman"/>
                <w:spacing w:val="-1"/>
                <w:sz w:val="18"/>
              </w:rPr>
              <w:t>111,589,791.17</w:t>
            </w:r>
          </w:p>
        </w:tc>
      </w:tr>
      <w:tr>
        <w:trPr>
          <w:trHeight w:val="385"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15" w:right="0"/>
              <w:jc w:val="left"/>
              <w:rPr>
                <w:rFonts w:ascii="宋体" w:hAnsi="宋体" w:cs="宋体" w:eastAsia="宋体" w:hint="default"/>
                <w:sz w:val="18"/>
                <w:szCs w:val="18"/>
              </w:rPr>
            </w:pPr>
            <w:r>
              <w:rPr>
                <w:rFonts w:ascii="宋体" w:hAnsi="宋体" w:cs="宋体" w:eastAsia="宋体" w:hint="default"/>
                <w:sz w:val="18"/>
                <w:szCs w:val="18"/>
              </w:rPr>
              <w:t>可供出售金融资产公允价值变动</w:t>
            </w:r>
          </w:p>
        </w:tc>
        <w:tc>
          <w:tcPr>
            <w:tcW w:w="30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71,212,974.47</w:t>
            </w:r>
          </w:p>
        </w:tc>
      </w:tr>
      <w:tr>
        <w:trPr>
          <w:trHeight w:val="385"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30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pacing w:val="-1"/>
                <w:sz w:val="18"/>
              </w:rPr>
              <w:t>182,802,765.64</w:t>
            </w:r>
          </w:p>
        </w:tc>
      </w:tr>
      <w:tr>
        <w:trPr>
          <w:trHeight w:val="380"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可抵扣差异项目</w:t>
            </w:r>
          </w:p>
        </w:tc>
        <w:tc>
          <w:tcPr>
            <w:tcW w:w="3017" w:type="dxa"/>
            <w:tcBorders>
              <w:top w:val="nil" w:sz="6" w:space="0" w:color="auto"/>
              <w:left w:val="nil" w:sz="6" w:space="0" w:color="auto"/>
              <w:bottom w:val="nil" w:sz="6" w:space="0" w:color="auto"/>
              <w:right w:val="nil" w:sz="6" w:space="0" w:color="auto"/>
            </w:tcBorders>
          </w:tcPr>
          <w:p>
            <w:pPr/>
          </w:p>
        </w:tc>
      </w:tr>
      <w:tr>
        <w:trPr>
          <w:trHeight w:val="388"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21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301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18"/>
                <w:szCs w:val="18"/>
              </w:rPr>
            </w:pPr>
            <w:r>
              <w:rPr>
                <w:rFonts w:ascii="Times New Roman"/>
                <w:spacing w:val="-1"/>
                <w:sz w:val="18"/>
              </w:rPr>
              <w:t>14,254,765.69</w:t>
            </w:r>
          </w:p>
        </w:tc>
      </w:tr>
      <w:tr>
        <w:trPr>
          <w:trHeight w:val="385"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40" w:lineRule="auto" w:before="43"/>
              <w:ind w:left="215"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30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z w:val="18"/>
              </w:rPr>
              <w:t>535,138.05</w:t>
            </w:r>
          </w:p>
        </w:tc>
      </w:tr>
      <w:tr>
        <w:trPr>
          <w:trHeight w:val="384"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15"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0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38,949,600.00</w:t>
            </w:r>
          </w:p>
        </w:tc>
      </w:tr>
      <w:tr>
        <w:trPr>
          <w:trHeight w:val="385" w:hRule="exact"/>
        </w:trPr>
        <w:tc>
          <w:tcPr>
            <w:tcW w:w="459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15" w:right="0"/>
              <w:jc w:val="left"/>
              <w:rPr>
                <w:rFonts w:ascii="宋体" w:hAnsi="宋体" w:cs="宋体" w:eastAsia="宋体" w:hint="default"/>
                <w:sz w:val="18"/>
                <w:szCs w:val="18"/>
              </w:rPr>
            </w:pPr>
            <w:r>
              <w:rPr>
                <w:rFonts w:ascii="宋体" w:hAnsi="宋体" w:cs="宋体" w:eastAsia="宋体" w:hint="default"/>
                <w:sz w:val="18"/>
                <w:szCs w:val="18"/>
              </w:rPr>
              <w:t>融资租赁预计税金</w:t>
            </w:r>
          </w:p>
        </w:tc>
        <w:tc>
          <w:tcPr>
            <w:tcW w:w="30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13,606,102.27</w:t>
            </w:r>
          </w:p>
        </w:tc>
      </w:tr>
      <w:tr>
        <w:trPr>
          <w:trHeight w:val="391" w:hRule="exact"/>
        </w:trPr>
        <w:tc>
          <w:tcPr>
            <w:tcW w:w="4591"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3017"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pacing w:val="-1"/>
                <w:sz w:val="18"/>
              </w:rPr>
              <w:t>67,345,606.01</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spacing w:before="35"/>
        <w:ind w:left="137" w:right="97" w:firstLine="0"/>
        <w:jc w:val="left"/>
        <w:rPr>
          <w:rFonts w:ascii="宋体" w:hAnsi="宋体" w:cs="宋体" w:eastAsia="宋体" w:hint="default"/>
          <w:sz w:val="21"/>
          <w:szCs w:val="21"/>
        </w:rPr>
      </w:pPr>
      <w:r>
        <w:rPr/>
        <w:pict>
          <v:group style="position:absolute;margin-left:93.660004pt;margin-top:17.133684pt;width:390.2pt;height:88.35pt;mso-position-horizontal-relative:page;mso-position-vertical-relative:paragraph;z-index:-812512" coordorigin="1873,343" coordsize="7804,1767">
            <v:group style="position:absolute;left:1902;top:358;width:7746;height:2" coordorigin="1902,358" coordsize="7746,2">
              <v:shape style="position:absolute;left:1902;top:358;width:7746;height:2" coordorigin="1902,358" coordsize="7746,0" path="m1902,358l9648,358e" filled="false" stroked="true" strokeweight="1.5pt" strokecolor="#000000">
                <v:path arrowok="t"/>
              </v:shape>
              <v:shape style="position:absolute;left:3962;top:349;width:4375;height:817" type="#_x0000_t75" stroked="false">
                <v:imagedata r:id="rId190" o:title=""/>
              </v:shape>
              <v:shape style="position:absolute;left:1873;top:1114;width:7804;height:379" type="#_x0000_t75" stroked="false">
                <v:imagedata r:id="rId191" o:title=""/>
              </v:shape>
              <v:shape style="position:absolute;left:1873;top:1436;width:7804;height:379" type="#_x0000_t75" stroked="false">
                <v:imagedata r:id="rId192" o:title=""/>
              </v:shape>
            </v:group>
            <v:group style="position:absolute;left:3883;top:1797;width:104;height:312" coordorigin="3883,1797" coordsize="104,312">
              <v:shape style="position:absolute;left:3883;top:1797;width:104;height:312" coordorigin="3883,1797" coordsize="104,312" path="m3883,2109l3986,2109,3986,1797,3883,1797,3883,2109xe" filled="true" fillcolor="#ffffff" stroked="false">
                <v:path arrowok="t"/>
                <v:fill type="solid"/>
              </v:shape>
            </v:group>
            <v:group style="position:absolute;left:1903;top:1797;width:108;height:312" coordorigin="1903,1797" coordsize="108,312">
              <v:shape style="position:absolute;left:1903;top:1797;width:108;height:312" coordorigin="1903,1797" coordsize="108,312" path="m1903,2109l2011,2109,2011,1797,1903,1797,1903,2109xe" filled="true" fillcolor="#ffffff" stroked="false">
                <v:path arrowok="t"/>
                <v:fill type="solid"/>
              </v:shape>
            </v:group>
            <v:group style="position:absolute;left:2011;top:1797;width:1872;height:312" coordorigin="2011,1797" coordsize="1872,312">
              <v:shape style="position:absolute;left:2011;top:1797;width:1872;height:312" coordorigin="2011,1797" coordsize="1872,312" path="m2011,2109l3883,2109,3883,1797,2011,1797,2011,2109xe" filled="true" fillcolor="#ffffff" stroked="false">
                <v:path arrowok="t"/>
                <v:fill type="solid"/>
              </v:shape>
            </v:group>
            <v:group style="position:absolute;left:5154;top:1797;width:104;height:312" coordorigin="5154,1797" coordsize="104,312">
              <v:shape style="position:absolute;left:5154;top:1797;width:104;height:312" coordorigin="5154,1797" coordsize="104,312" path="m5154,2109l5257,2109,5257,1797,5154,1797,5154,2109xe" filled="true" fillcolor="#ffffff" stroked="false">
                <v:path arrowok="t"/>
                <v:fill type="solid"/>
              </v:shape>
            </v:group>
            <v:group style="position:absolute;left:3996;top:1797;width:104;height:312" coordorigin="3996,1797" coordsize="104,312">
              <v:shape style="position:absolute;left:3996;top:1797;width:104;height:312" coordorigin="3996,1797" coordsize="104,312" path="m3996,2109l4099,2109,4099,1797,3996,1797,3996,2109xe" filled="true" fillcolor="#ffffff" stroked="false">
                <v:path arrowok="t"/>
                <v:fill type="solid"/>
              </v:shape>
            </v:group>
            <v:group style="position:absolute;left:4099;top:1797;width:1055;height:312" coordorigin="4099,1797" coordsize="1055,312">
              <v:shape style="position:absolute;left:4099;top:1797;width:1055;height:312" coordorigin="4099,1797" coordsize="1055,312" path="m4099,2109l5154,2109,5154,1797,4099,1797,4099,2109xe" filled="true" fillcolor="#ffffff" stroked="false">
                <v:path arrowok="t"/>
                <v:fill type="solid"/>
              </v:shape>
            </v:group>
            <v:group style="position:absolute;left:6430;top:1797;width:104;height:312" coordorigin="6430,1797" coordsize="104,312">
              <v:shape style="position:absolute;left:6430;top:1797;width:104;height:312" coordorigin="6430,1797" coordsize="104,312" path="m6430,2109l6533,2109,6533,1797,6430,1797,6430,2109xe" filled="true" fillcolor="#ffffff" stroked="false">
                <v:path arrowok="t"/>
                <v:fill type="solid"/>
              </v:shape>
            </v:group>
            <v:group style="position:absolute;left:5267;top:1797;width:104;height:312" coordorigin="5267,1797" coordsize="104,312">
              <v:shape style="position:absolute;left:5267;top:1797;width:104;height:312" coordorigin="5267,1797" coordsize="104,312" path="m5267,2109l5370,2109,5370,1797,5267,1797,5267,2109xe" filled="true" fillcolor="#ffffff" stroked="false">
                <v:path arrowok="t"/>
                <v:fill type="solid"/>
              </v:shape>
            </v:group>
            <v:group style="position:absolute;left:5370;top:1797;width:1060;height:312" coordorigin="5370,1797" coordsize="1060,312">
              <v:shape style="position:absolute;left:5370;top:1797;width:1060;height:312" coordorigin="5370,1797" coordsize="1060,312" path="m5370,2109l6430,2109,6430,1797,5370,1797,5370,2109xe" filled="true" fillcolor="#ffffff" stroked="false">
                <v:path arrowok="t"/>
                <v:fill type="solid"/>
              </v:shape>
            </v:group>
            <v:group style="position:absolute;left:7139;top:1797;width:104;height:312" coordorigin="7139,1797" coordsize="104,312">
              <v:shape style="position:absolute;left:7139;top:1797;width:104;height:312" coordorigin="7139,1797" coordsize="104,312" path="m7139,2109l7242,2109,7242,1797,7139,1797,7139,2109xe" filled="true" fillcolor="#ffffff" stroked="false">
                <v:path arrowok="t"/>
                <v:fill type="solid"/>
              </v:shape>
            </v:group>
            <v:group style="position:absolute;left:6542;top:1797;width:104;height:312" coordorigin="6542,1797" coordsize="104,312">
              <v:shape style="position:absolute;left:6542;top:1797;width:104;height:312" coordorigin="6542,1797" coordsize="104,312" path="m6542,2109l6646,2109,6646,1797,6542,1797,6542,2109xe" filled="true" fillcolor="#ffffff" stroked="false">
                <v:path arrowok="t"/>
                <v:fill type="solid"/>
              </v:shape>
            </v:group>
            <v:group style="position:absolute;left:6646;top:1797;width:494;height:312" coordorigin="6646,1797" coordsize="494,312">
              <v:shape style="position:absolute;left:6646;top:1797;width:494;height:312" coordorigin="6646,1797" coordsize="494,312" path="m6646,2109l7139,2109,7139,1797,6646,1797,6646,2109xe" filled="true" fillcolor="#ffffff" stroked="false">
                <v:path arrowok="t"/>
                <v:fill type="solid"/>
              </v:shape>
            </v:group>
            <v:group style="position:absolute;left:8201;top:1797;width:104;height:312" coordorigin="8201,1797" coordsize="104,312">
              <v:shape style="position:absolute;left:8201;top:1797;width:104;height:312" coordorigin="8201,1797" coordsize="104,312" path="m8201,2109l8304,2109,8304,1797,8201,1797,8201,2109xe" filled="true" fillcolor="#ffffff" stroked="false">
                <v:path arrowok="t"/>
                <v:fill type="solid"/>
              </v:shape>
            </v:group>
            <v:group style="position:absolute;left:7252;top:1797;width:104;height:312" coordorigin="7252,1797" coordsize="104,312">
              <v:shape style="position:absolute;left:7252;top:1797;width:104;height:312" coordorigin="7252,1797" coordsize="104,312" path="m7252,2109l7355,2109,7355,1797,7252,1797,7252,2109xe" filled="true" fillcolor="#ffffff" stroked="false">
                <v:path arrowok="t"/>
                <v:fill type="solid"/>
              </v:shape>
            </v:group>
            <v:group style="position:absolute;left:7355;top:1797;width:846;height:312" coordorigin="7355,1797" coordsize="846,312">
              <v:shape style="position:absolute;left:7355;top:1797;width:846;height:312" coordorigin="7355,1797" coordsize="846,312" path="m7355,2109l8201,2109,8201,1797,7355,1797,7355,2109xe" filled="true" fillcolor="#ffffff" stroked="false">
                <v:path arrowok="t"/>
                <v:fill type="solid"/>
              </v:shape>
            </v:group>
            <v:group style="position:absolute;left:9540;top:1797;width:108;height:312" coordorigin="9540,1797" coordsize="108,312">
              <v:shape style="position:absolute;left:9540;top:1797;width:108;height:312" coordorigin="9540,1797" coordsize="108,312" path="m9540,2109l9648,2109,9648,1797,9540,1797,9540,2109xe" filled="true" fillcolor="#ffffff" stroked="false">
                <v:path arrowok="t"/>
                <v:fill type="solid"/>
              </v:shape>
            </v:group>
            <v:group style="position:absolute;left:8314;top:1797;width:104;height:312" coordorigin="8314,1797" coordsize="104,312">
              <v:shape style="position:absolute;left:8314;top:1797;width:104;height:312" coordorigin="8314,1797" coordsize="104,312" path="m8314,2109l8417,2109,8417,1797,8314,1797,8314,2109xe" filled="true" fillcolor="#ffffff" stroked="false">
                <v:path arrowok="t"/>
                <v:fill type="solid"/>
              </v:shape>
            </v:group>
            <v:group style="position:absolute;left:8417;top:1797;width:1124;height:312" coordorigin="8417,1797" coordsize="1124,312">
              <v:shape style="position:absolute;left:8417;top:1797;width:1124;height:312" coordorigin="8417,1797" coordsize="1124,312" path="m8417,2109l9540,2109,9540,1797,8417,1797,8417,2109xe" filled="true" fillcolor="#ffffff" stroked="false">
                <v:path arrowok="t"/>
                <v:fill type="solid"/>
              </v:shape>
              <v:shape style="position:absolute;left:1873;top:1757;width:7794;height:352" type="#_x0000_t75" stroked="false">
                <v:imagedata r:id="rId193" o:title=""/>
              </v:shape>
              <v:shape style="position:absolute;left:7063;top:54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shape style="position:absolute;left:2632;top:739;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4266;top:7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5539;top:7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8618;top:7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667;top:934;width:1336;height:180" type="#_x0000_t202" filled="false" stroked="false">
                <v:textbox inset="0,0,0,0">
                  <w:txbxContent>
                    <w:p>
                      <w:pPr>
                        <w:tabs>
                          <w:tab w:pos="88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 回</w:t>
                        <w:tab/>
                        <w:t>转 销</w:t>
                      </w:r>
                    </w:p>
                  </w:txbxContent>
                </v:textbox>
                <w10:wrap type="none"/>
              </v:shape>
              <v:shape style="position:absolute;left:2191;top:12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4210;top:1226;width:2222;height:180" type="#_x0000_t202" filled="false" stroked="false">
                <v:textbox inset="0,0,0,0">
                  <w:txbxContent>
                    <w:p>
                      <w:pPr>
                        <w:tabs>
                          <w:tab w:pos="1275"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9,210,391.49</w:t>
                        <w:tab/>
                        <w:t>5,044,374.20</w:t>
                      </w:r>
                    </w:p>
                  </w:txbxContent>
                </v:textbox>
                <w10:wrap type="none"/>
              </v:shape>
              <v:shape style="position:absolute;left:8506;top:1226;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14,254,765.69</w:t>
                      </w:r>
                    </w:p>
                  </w:txbxContent>
                </v:textbox>
                <w10:wrap type="non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十六</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资产减值准备</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5"/>
          <w:szCs w:val="25"/>
        </w:rPr>
      </w:pPr>
    </w:p>
    <w:tbl>
      <w:tblPr>
        <w:tblW w:w="0" w:type="auto"/>
        <w:jc w:val="left"/>
        <w:tblInd w:w="747" w:type="dxa"/>
        <w:tblLayout w:type="fixed"/>
        <w:tblCellMar>
          <w:top w:w="0" w:type="dxa"/>
          <w:left w:w="0" w:type="dxa"/>
          <w:bottom w:w="0" w:type="dxa"/>
          <w:right w:w="0" w:type="dxa"/>
        </w:tblCellMar>
        <w:tblLook w:val="01E0"/>
      </w:tblPr>
      <w:tblGrid>
        <w:gridCol w:w="1853"/>
        <w:gridCol w:w="1580"/>
        <w:gridCol w:w="1591"/>
        <w:gridCol w:w="1443"/>
        <w:gridCol w:w="1294"/>
      </w:tblGrid>
      <w:tr>
        <w:trPr>
          <w:trHeight w:val="349" w:hRule="exact"/>
        </w:trPr>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67"/>
              <w:jc w:val="right"/>
              <w:rPr>
                <w:rFonts w:ascii="宋体" w:hAnsi="宋体" w:cs="宋体" w:eastAsia="宋体" w:hint="default"/>
                <w:sz w:val="18"/>
                <w:szCs w:val="18"/>
              </w:rPr>
            </w:pPr>
            <w:r>
              <w:rPr>
                <w:rFonts w:ascii="宋体" w:hAnsi="宋体" w:cs="宋体" w:eastAsia="宋体" w:hint="default"/>
                <w:sz w:val="18"/>
                <w:szCs w:val="18"/>
              </w:rPr>
              <w:t>存货跌价准备</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62"/>
              <w:jc w:val="right"/>
              <w:rPr>
                <w:rFonts w:ascii="Times New Roman" w:hAnsi="Times New Roman" w:cs="Times New Roman" w:eastAsia="Times New Roman" w:hint="default"/>
                <w:sz w:val="18"/>
                <w:szCs w:val="18"/>
              </w:rPr>
            </w:pPr>
            <w:r>
              <w:rPr>
                <w:rFonts w:ascii="Times New Roman"/>
                <w:sz w:val="18"/>
              </w:rPr>
              <w:t>601,684.08</w:t>
            </w: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477"/>
              <w:jc w:val="right"/>
              <w:rPr>
                <w:rFonts w:ascii="Times New Roman" w:hAnsi="Times New Roman" w:cs="Times New Roman" w:eastAsia="Times New Roman" w:hint="default"/>
                <w:sz w:val="18"/>
                <w:szCs w:val="18"/>
              </w:rPr>
            </w:pPr>
            <w:r>
              <w:rPr>
                <w:rFonts w:ascii="Times New Roman"/>
                <w:sz w:val="18"/>
              </w:rPr>
              <w:t>535,138.05</w:t>
            </w:r>
          </w:p>
        </w:tc>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49"/>
              <w:jc w:val="right"/>
              <w:rPr>
                <w:rFonts w:ascii="Times New Roman" w:hAnsi="Times New Roman" w:cs="Times New Roman" w:eastAsia="Times New Roman" w:hint="default"/>
                <w:sz w:val="18"/>
                <w:szCs w:val="18"/>
              </w:rPr>
            </w:pPr>
            <w:r>
              <w:rPr>
                <w:rFonts w:ascii="Times New Roman"/>
                <w:sz w:val="18"/>
              </w:rPr>
              <w:t>601,684.08</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4"/>
              <w:jc w:val="right"/>
              <w:rPr>
                <w:rFonts w:ascii="Times New Roman" w:hAnsi="Times New Roman" w:cs="Times New Roman" w:eastAsia="Times New Roman" w:hint="default"/>
                <w:sz w:val="18"/>
                <w:szCs w:val="18"/>
              </w:rPr>
            </w:pPr>
            <w:r>
              <w:rPr>
                <w:rFonts w:ascii="Times New Roman"/>
                <w:sz w:val="18"/>
              </w:rPr>
              <w:t>535,138.05</w:t>
            </w:r>
          </w:p>
        </w:tc>
      </w:tr>
      <w:tr>
        <w:trPr>
          <w:trHeight w:val="329" w:hRule="exact"/>
        </w:trPr>
        <w:tc>
          <w:tcPr>
            <w:tcW w:w="1853"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521"/>
              <w:jc w:val="right"/>
              <w:rPr>
                <w:rFonts w:ascii="宋体" w:hAnsi="宋体" w:cs="宋体" w:eastAsia="宋体" w:hint="default"/>
                <w:sz w:val="18"/>
                <w:szCs w:val="18"/>
              </w:rPr>
            </w:pPr>
            <w:r>
              <w:rPr>
                <w:rFonts w:ascii="宋体" w:hAnsi="宋体" w:cs="宋体" w:eastAsia="宋体" w:hint="default"/>
                <w:sz w:val="18"/>
                <w:szCs w:val="18"/>
              </w:rPr>
              <w:t>合计</w:t>
            </w:r>
          </w:p>
        </w:tc>
        <w:tc>
          <w:tcPr>
            <w:tcW w:w="1580"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63"/>
              <w:jc w:val="right"/>
              <w:rPr>
                <w:rFonts w:ascii="Times New Roman" w:hAnsi="Times New Roman" w:cs="Times New Roman" w:eastAsia="Times New Roman" w:hint="default"/>
                <w:sz w:val="18"/>
                <w:szCs w:val="18"/>
              </w:rPr>
            </w:pPr>
            <w:r>
              <w:rPr>
                <w:rFonts w:ascii="Times New Roman"/>
                <w:spacing w:val="-1"/>
                <w:sz w:val="18"/>
              </w:rPr>
              <w:t>9,812,075.57</w:t>
            </w:r>
          </w:p>
        </w:tc>
        <w:tc>
          <w:tcPr>
            <w:tcW w:w="1591"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478"/>
              <w:jc w:val="right"/>
              <w:rPr>
                <w:rFonts w:ascii="Times New Roman" w:hAnsi="Times New Roman" w:cs="Times New Roman" w:eastAsia="Times New Roman" w:hint="default"/>
                <w:sz w:val="18"/>
                <w:szCs w:val="18"/>
              </w:rPr>
            </w:pPr>
            <w:r>
              <w:rPr>
                <w:rFonts w:ascii="Times New Roman"/>
                <w:spacing w:val="-1"/>
                <w:sz w:val="18"/>
              </w:rPr>
              <w:t>5,579,512.25</w:t>
            </w:r>
          </w:p>
        </w:tc>
        <w:tc>
          <w:tcPr>
            <w:tcW w:w="1443"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49"/>
              <w:jc w:val="right"/>
              <w:rPr>
                <w:rFonts w:ascii="Times New Roman" w:hAnsi="Times New Roman" w:cs="Times New Roman" w:eastAsia="Times New Roman" w:hint="default"/>
                <w:sz w:val="18"/>
                <w:szCs w:val="18"/>
              </w:rPr>
            </w:pPr>
            <w:r>
              <w:rPr>
                <w:rFonts w:ascii="Times New Roman"/>
                <w:sz w:val="18"/>
              </w:rPr>
              <w:t>601,684.08</w:t>
            </w:r>
          </w:p>
        </w:tc>
        <w:tc>
          <w:tcPr>
            <w:tcW w:w="1294"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14,789,903.74</w:t>
            </w:r>
          </w:p>
        </w:tc>
      </w:tr>
    </w:tbl>
    <w:p>
      <w:pPr>
        <w:spacing w:line="240" w:lineRule="auto" w:before="3"/>
        <w:rPr>
          <w:rFonts w:ascii="宋体" w:hAnsi="宋体" w:cs="宋体" w:eastAsia="宋体" w:hint="default"/>
          <w:b/>
          <w:bCs/>
          <w:sz w:val="29"/>
          <w:szCs w:val="29"/>
        </w:rPr>
      </w:pPr>
    </w:p>
    <w:p>
      <w:pPr>
        <w:spacing w:before="35"/>
        <w:ind w:left="137" w:right="97"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十七</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短期借款</w:t>
      </w:r>
      <w:r>
        <w:rPr>
          <w:rFonts w:ascii="宋体" w:hAnsi="宋体" w:cs="宋体" w:eastAsia="宋体" w:hint="default"/>
          <w:sz w:val="21"/>
          <w:szCs w:val="21"/>
        </w:rPr>
      </w:r>
    </w:p>
    <w:p>
      <w:pPr>
        <w:tabs>
          <w:tab w:pos="1408" w:val="left" w:leader="none"/>
        </w:tabs>
        <w:spacing w:before="69"/>
        <w:ind w:left="869" w:right="97"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短期借款分类</w:t>
      </w:r>
      <w:r>
        <w:rPr>
          <w:rFonts w:ascii="宋体" w:hAnsi="宋体" w:cs="宋体" w:eastAsia="宋体" w:hint="default"/>
          <w:sz w:val="21"/>
          <w:szCs w:val="21"/>
        </w:rPr>
      </w:r>
    </w:p>
    <w:p>
      <w:pPr>
        <w:spacing w:line="1530" w:lineRule="exact"/>
        <w:ind w:left="732"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390.4pt;height:76.5pt;mso-position-horizontal-relative:char;mso-position-vertical-relative:line" coordorigin="0,0" coordsize="7808,1530">
            <v:group style="position:absolute;left:29;top:15;width:7755;height:2" coordorigin="29,15" coordsize="7755,2">
              <v:shape style="position:absolute;left:29;top:15;width:7755;height:2" coordorigin="29,15" coordsize="7755,0" path="m29,15l7784,15e" filled="false" stroked="true" strokeweight="1.5pt" strokecolor="#000000">
                <v:path arrowok="t"/>
              </v:shape>
              <v:shape style="position:absolute;left:3490;top:8;width:2194;height:403" type="#_x0000_t75" stroked="false">
                <v:imagedata r:id="rId194" o:title=""/>
              </v:shape>
            </v:group>
            <v:group style="position:absolute;left:15;top:1515;width:3497;height:2" coordorigin="15,1515" coordsize="3497,2">
              <v:shape style="position:absolute;left:15;top:1515;width:3497;height:2" coordorigin="15,1515" coordsize="3497,0" path="m15,1515l3512,1515e" filled="false" stroked="true" strokeweight="1.5pt" strokecolor="#000000">
                <v:path arrowok="t"/>
              </v:shape>
            </v:group>
            <v:group style="position:absolute;left:3512;top:1515;width:2141;height:2" coordorigin="3512,1515" coordsize="2141,2">
              <v:shape style="position:absolute;left:3512;top:1515;width:2141;height:2" coordorigin="3512,1515" coordsize="2141,0" path="m3512,1515l5653,1515e" filled="false" stroked="true" strokeweight="1.5pt" strokecolor="#000000">
                <v:path arrowok="t"/>
              </v:shape>
              <v:shape style="position:absolute;left:1;top:367;width:7807;height:1133" type="#_x0000_t75" stroked="false">
                <v:imagedata r:id="rId195" o:title=""/>
              </v:shape>
            </v:group>
            <v:group style="position:absolute;left:5653;top:1515;width:2132;height:2" coordorigin="5653,1515" coordsize="2132,2">
              <v:shape style="position:absolute;left:5653;top:1515;width:2132;height:2" coordorigin="5653,1515" coordsize="2132,0" path="m5653,1515l7784,1515e" filled="false" stroked="true" strokeweight="1.5pt" strokecolor="#000000">
                <v:path arrowok="t"/>
              </v:shape>
              <v:shape style="position:absolute;left:1594;top:18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139;top:92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抵押并保证借款</w:t>
                      </w:r>
                    </w:p>
                  </w:txbxContent>
                </v:textbox>
                <w10:wrap type="none"/>
              </v:shape>
              <v:shape style="position:absolute;left:4227;top:183;width:1324;height:86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p>
                      <w:pPr>
                        <w:spacing w:before="112"/>
                        <w:ind w:left="287" w:right="0" w:firstLine="0"/>
                        <w:jc w:val="left"/>
                        <w:rPr>
                          <w:rFonts w:ascii="Times New Roman" w:hAnsi="Times New Roman" w:cs="Times New Roman" w:eastAsia="Times New Roman" w:hint="default"/>
                          <w:sz w:val="18"/>
                          <w:szCs w:val="18"/>
                        </w:rPr>
                      </w:pPr>
                      <w:r>
                        <w:rPr>
                          <w:rFonts w:ascii="Times New Roman"/>
                          <w:sz w:val="18"/>
                        </w:rPr>
                        <w:t>66,789,540.00</w:t>
                      </w:r>
                    </w:p>
                    <w:p>
                      <w:pPr>
                        <w:spacing w:line="240" w:lineRule="auto" w:before="6"/>
                        <w:rPr>
                          <w:rFonts w:ascii="宋体" w:hAnsi="宋体" w:cs="宋体" w:eastAsia="宋体" w:hint="default"/>
                          <w:b/>
                          <w:bCs/>
                          <w:sz w:val="12"/>
                          <w:szCs w:val="12"/>
                        </w:rPr>
                      </w:pPr>
                    </w:p>
                    <w:p>
                      <w:pPr>
                        <w:spacing w:line="203" w:lineRule="exact" w:before="0"/>
                        <w:ind w:left="287" w:right="0" w:firstLine="0"/>
                        <w:jc w:val="left"/>
                        <w:rPr>
                          <w:rFonts w:ascii="Times New Roman" w:hAnsi="Times New Roman" w:cs="Times New Roman" w:eastAsia="Times New Roman" w:hint="default"/>
                          <w:sz w:val="18"/>
                          <w:szCs w:val="18"/>
                        </w:rPr>
                      </w:pPr>
                      <w:r>
                        <w:rPr>
                          <w:rFonts w:ascii="Times New Roman"/>
                          <w:sz w:val="18"/>
                        </w:rPr>
                        <w:t>55,000,000.00</w:t>
                      </w:r>
                    </w:p>
                  </w:txbxContent>
                </v:textbox>
                <w10:wrap type="none"/>
              </v:shape>
              <v:shape style="position:absolute;left:6361;top:18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9;top:55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质押并保证借款</w:t>
                      </w:r>
                    </w:p>
                  </w:txbxContent>
                </v:textbox>
                <w10:wrap type="none"/>
              </v:shape>
              <v:shape style="position:absolute;left:1594;top:129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425;top:1238;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121,789,540.00</w:t>
                      </w:r>
                    </w:p>
                  </w:txbxContent>
                </v:textbox>
                <w10:wrap type="none"/>
              </v:shape>
            </v:group>
          </v:group>
        </w:pict>
      </w:r>
      <w:r>
        <w:rPr>
          <w:rFonts w:ascii="宋体" w:hAnsi="宋体" w:cs="宋体" w:eastAsia="宋体" w:hint="default"/>
          <w:position w:val="-30"/>
          <w:sz w:val="20"/>
          <w:szCs w:val="2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5"/>
          <w:szCs w:val="15"/>
        </w:rPr>
      </w:pPr>
    </w:p>
    <w:p>
      <w:pPr>
        <w:spacing w:line="331" w:lineRule="auto" w:before="0"/>
        <w:ind w:left="860" w:right="97"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公司于</w:t>
      </w:r>
      <w:r>
        <w:rPr>
          <w:rFonts w:ascii="宋体" w:hAnsi="宋体" w:cs="宋体" w:eastAsia="宋体" w:hint="default"/>
          <w:spacing w:val="-7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年</w:t>
      </w:r>
      <w:r>
        <w:rPr>
          <w:rFonts w:ascii="宋体" w:hAnsi="宋体" w:cs="宋体" w:eastAsia="宋体" w:hint="default"/>
          <w:spacing w:val="-74"/>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月</w:t>
      </w:r>
      <w:r>
        <w:rPr>
          <w:rFonts w:ascii="宋体" w:hAnsi="宋体" w:cs="宋体" w:eastAsia="宋体" w:hint="default"/>
          <w:spacing w:val="-7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日与深圳发展银行股份有限公司广州分行签订综合授信额度合同， 取得人民币</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1,500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万元短期借款。杨文江为其提供担保；另以</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355</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台</w:t>
      </w:r>
      <w:r>
        <w:rPr>
          <w:rFonts w:ascii="宋体" w:hAnsi="宋体" w:cs="宋体" w:eastAsia="宋体" w:hint="default"/>
          <w:spacing w:val="-45"/>
          <w:sz w:val="21"/>
          <w:szCs w:val="21"/>
        </w:rPr>
        <w:t> </w:t>
      </w:r>
      <w:r>
        <w:rPr>
          <w:rFonts w:ascii="Times New Roman" w:hAnsi="Times New Roman" w:cs="Times New Roman" w:eastAsia="Times New Roman" w:hint="default"/>
          <w:spacing w:val="-9"/>
          <w:sz w:val="21"/>
          <w:szCs w:val="21"/>
        </w:rPr>
        <w:t>ATM</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设备作抵押， 抵押物原值</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32,747,729.03</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元，截止</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日抵押物净值</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32,022,620.87 </w:t>
      </w:r>
      <w:r>
        <w:rPr>
          <w:rFonts w:ascii="宋体" w:hAnsi="宋体" w:cs="宋体" w:eastAsia="宋体" w:hint="default"/>
          <w:sz w:val="21"/>
          <w:szCs w:val="21"/>
        </w:rPr>
        <w:t>元。</w:t>
      </w:r>
    </w:p>
    <w:p>
      <w:pPr>
        <w:spacing w:line="331" w:lineRule="auto" w:before="20"/>
        <w:ind w:left="860" w:right="212" w:hanging="1"/>
        <w:jc w:val="both"/>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公司于</w:t>
      </w:r>
      <w:r>
        <w:rPr>
          <w:rFonts w:ascii="宋体" w:hAnsi="宋体" w:cs="宋体" w:eastAsia="宋体" w:hint="default"/>
          <w:spacing w:val="-57"/>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日与广州农村商业银行股份有限公司白云新城支行签订最高额借 款合同，分别取得人民币 </w:t>
      </w:r>
      <w:r>
        <w:rPr>
          <w:rFonts w:ascii="Times New Roman" w:hAnsi="Times New Roman" w:cs="Times New Roman" w:eastAsia="Times New Roman" w:hint="default"/>
          <w:sz w:val="21"/>
          <w:szCs w:val="21"/>
        </w:rPr>
        <w:t>1,000 </w:t>
      </w:r>
      <w:r>
        <w:rPr>
          <w:rFonts w:ascii="宋体" w:hAnsi="宋体" w:cs="宋体" w:eastAsia="宋体" w:hint="default"/>
          <w:sz w:val="21"/>
          <w:szCs w:val="21"/>
        </w:rPr>
        <w:t>万元、</w:t>
      </w:r>
      <w:r>
        <w:rPr>
          <w:rFonts w:ascii="Times New Roman" w:hAnsi="Times New Roman" w:cs="Times New Roman" w:eastAsia="Times New Roman" w:hint="default"/>
          <w:sz w:val="21"/>
          <w:szCs w:val="21"/>
        </w:rPr>
        <w:t>3,000</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万元短期借款。杨文江为其担保；另以本公 </w:t>
      </w:r>
      <w:r>
        <w:rPr>
          <w:rFonts w:ascii="宋体" w:hAnsi="宋体" w:cs="宋体" w:eastAsia="宋体" w:hint="default"/>
          <w:spacing w:val="-1"/>
          <w:sz w:val="21"/>
          <w:szCs w:val="21"/>
        </w:rPr>
        <w:t>司新塘镇太平洋工业区（增国用</w:t>
      </w:r>
      <w:r>
        <w:rPr>
          <w:rFonts w:ascii="Times New Roman" w:hAnsi="Times New Roman" w:cs="Times New Roman" w:eastAsia="Times New Roman" w:hint="default"/>
          <w:spacing w:val="-1"/>
          <w:sz w:val="21"/>
          <w:szCs w:val="21"/>
        </w:rPr>
        <w:t>[2004]</w:t>
      </w:r>
      <w:r>
        <w:rPr>
          <w:rFonts w:ascii="宋体" w:hAnsi="宋体" w:cs="宋体" w:eastAsia="宋体" w:hint="default"/>
          <w:spacing w:val="-1"/>
          <w:sz w:val="21"/>
          <w:szCs w:val="21"/>
        </w:rPr>
        <w:t>第</w:t>
      </w:r>
      <w:r>
        <w:rPr>
          <w:rFonts w:ascii="宋体" w:hAnsi="宋体" w:cs="宋体" w:eastAsia="宋体" w:hint="default"/>
          <w:sz w:val="21"/>
          <w:szCs w:val="21"/>
        </w:rPr>
        <w:t> </w:t>
      </w:r>
      <w:r>
        <w:rPr>
          <w:rFonts w:ascii="Times New Roman" w:hAnsi="Times New Roman" w:cs="Times New Roman" w:eastAsia="Times New Roman" w:hint="default"/>
          <w:spacing w:val="-1"/>
          <w:sz w:val="21"/>
          <w:szCs w:val="21"/>
        </w:rPr>
        <w:t>B0201924</w:t>
      </w:r>
      <w:r>
        <w:rPr>
          <w:rFonts w:ascii="Times New Roman" w:hAnsi="Times New Roman" w:cs="Times New Roman" w:eastAsia="Times New Roman" w:hint="default"/>
          <w:sz w:val="21"/>
          <w:szCs w:val="21"/>
        </w:rPr>
        <w:t> </w:t>
      </w:r>
      <w:r>
        <w:rPr>
          <w:rFonts w:ascii="宋体" w:hAnsi="宋体" w:cs="宋体" w:eastAsia="宋体" w:hint="default"/>
          <w:spacing w:val="-8"/>
          <w:sz w:val="21"/>
          <w:szCs w:val="21"/>
        </w:rPr>
        <w:t>号）、增城市新塘镇太平洋工业区</w:t>
      </w:r>
      <w:r>
        <w:rPr>
          <w:rFonts w:ascii="宋体" w:hAnsi="宋体" w:cs="宋体" w:eastAsia="宋体" w:hint="default"/>
          <w:spacing w:val="-18"/>
          <w:sz w:val="21"/>
          <w:szCs w:val="21"/>
        </w:rPr>
        <w:t> </w:t>
      </w:r>
      <w:r>
        <w:rPr>
          <w:rFonts w:ascii="Times New Roman" w:hAnsi="Times New Roman" w:cs="Times New Roman" w:eastAsia="Times New Roman" w:hint="default"/>
          <w:sz w:val="21"/>
          <w:szCs w:val="21"/>
        </w:rPr>
        <w:t>69 </w:t>
      </w:r>
      <w:r>
        <w:rPr>
          <w:rFonts w:ascii="宋体" w:hAnsi="宋体" w:cs="宋体" w:eastAsia="宋体" w:hint="default"/>
          <w:sz w:val="21"/>
          <w:szCs w:val="21"/>
        </w:rPr>
        <w:t>号（粤房字第</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4021047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号、粤房字第</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4021046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号）房产作抵押。抵押物原值</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3,969,919.85</w:t>
      </w:r>
    </w:p>
    <w:p>
      <w:pPr>
        <w:spacing w:before="21"/>
        <w:ind w:left="860" w:right="97" w:firstLine="0"/>
        <w:jc w:val="left"/>
        <w:rPr>
          <w:rFonts w:ascii="宋体" w:hAnsi="宋体" w:cs="宋体" w:eastAsia="宋体" w:hint="default"/>
          <w:sz w:val="21"/>
          <w:szCs w:val="21"/>
        </w:rPr>
      </w:pPr>
      <w:r>
        <w:rPr>
          <w:rFonts w:ascii="宋体" w:hAnsi="宋体" w:cs="宋体" w:eastAsia="宋体" w:hint="default"/>
          <w:sz w:val="21"/>
          <w:szCs w:val="21"/>
        </w:rPr>
        <w:t>元，截止</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日抵押物净值</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2,155,586.38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p>
    <w:p>
      <w:pPr>
        <w:spacing w:after="0"/>
        <w:jc w:val="left"/>
        <w:rPr>
          <w:rFonts w:ascii="宋体" w:hAnsi="宋体" w:cs="宋体" w:eastAsia="宋体" w:hint="default"/>
          <w:sz w:val="21"/>
          <w:szCs w:val="21"/>
        </w:rPr>
        <w:sectPr>
          <w:pgSz w:w="11910" w:h="16840"/>
          <w:pgMar w:header="0" w:footer="1256" w:top="1060" w:bottom="1440" w:left="1140" w:right="158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spacing w:before="0"/>
        <w:ind w:left="86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子公司御银科技（香港）有限公司于</w:t>
      </w:r>
      <w:r>
        <w:rPr>
          <w:rFonts w:ascii="宋体" w:hAnsi="宋体" w:cs="宋体" w:eastAsia="宋体" w:hint="default"/>
          <w:spacing w:val="-57"/>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日与中国工商银行（欧洲）有限公</w:t>
      </w:r>
    </w:p>
    <w:p>
      <w:pPr>
        <w:spacing w:before="109"/>
        <w:ind w:left="860" w:right="0" w:firstLine="0"/>
        <w:jc w:val="left"/>
        <w:rPr>
          <w:rFonts w:ascii="宋体" w:hAnsi="宋体" w:cs="宋体" w:eastAsia="宋体" w:hint="default"/>
          <w:sz w:val="21"/>
          <w:szCs w:val="21"/>
        </w:rPr>
      </w:pPr>
      <w:r>
        <w:rPr>
          <w:rFonts w:ascii="宋体" w:hAnsi="宋体" w:cs="宋体" w:eastAsia="宋体" w:hint="default"/>
          <w:spacing w:val="-5"/>
          <w:sz w:val="21"/>
          <w:szCs w:val="21"/>
        </w:rPr>
        <w:t>司签订借款合同，取得</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600</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万美元短期借款。以本公司向工商银行广州工业大道支行申请</w:t>
      </w:r>
    </w:p>
    <w:p>
      <w:pPr>
        <w:spacing w:before="110"/>
        <w:ind w:left="860" w:right="0" w:firstLine="0"/>
        <w:jc w:val="left"/>
        <w:rPr>
          <w:rFonts w:ascii="宋体" w:hAnsi="宋体" w:cs="宋体" w:eastAsia="宋体" w:hint="default"/>
          <w:sz w:val="21"/>
          <w:szCs w:val="21"/>
        </w:rPr>
      </w:pPr>
      <w:r>
        <w:rPr>
          <w:rFonts w:ascii="宋体" w:hAnsi="宋体" w:cs="宋体" w:eastAsia="宋体" w:hint="default"/>
          <w:spacing w:val="-3"/>
          <w:sz w:val="21"/>
          <w:szCs w:val="21"/>
        </w:rPr>
        <w:t>出具的备用信用证作担保；子公司广州御新软件有限公司以持有的</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370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万股星河生物股票</w:t>
      </w:r>
    </w:p>
    <w:p>
      <w:pPr>
        <w:spacing w:before="109"/>
        <w:ind w:left="860" w:right="0" w:firstLine="0"/>
        <w:jc w:val="left"/>
        <w:rPr>
          <w:rFonts w:ascii="宋体" w:hAnsi="宋体" w:cs="宋体" w:eastAsia="宋体" w:hint="default"/>
          <w:sz w:val="21"/>
          <w:szCs w:val="21"/>
        </w:rPr>
      </w:pPr>
      <w:r>
        <w:rPr>
          <w:rFonts w:ascii="宋体" w:hAnsi="宋体" w:cs="宋体" w:eastAsia="宋体" w:hint="default"/>
          <w:sz w:val="21"/>
          <w:szCs w:val="21"/>
        </w:rPr>
        <w:t>质押给工商银行广州工业大道支行，质押担保总额</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5,409.40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万元人民币。</w:t>
      </w:r>
    </w:p>
    <w:p>
      <w:pPr>
        <w:spacing w:before="109"/>
        <w:ind w:left="86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  </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子公司御银科技（香港）有限公司与中国工商银行（澳门）股份有限公司签订借款合</w:t>
      </w:r>
    </w:p>
    <w:p>
      <w:pPr>
        <w:spacing w:before="110"/>
        <w:ind w:left="860" w:right="0" w:firstLine="0"/>
        <w:jc w:val="left"/>
        <w:rPr>
          <w:rFonts w:ascii="宋体" w:hAnsi="宋体" w:cs="宋体" w:eastAsia="宋体" w:hint="default"/>
          <w:sz w:val="21"/>
          <w:szCs w:val="21"/>
        </w:rPr>
      </w:pPr>
      <w:r>
        <w:rPr>
          <w:rFonts w:ascii="宋体" w:hAnsi="宋体" w:cs="宋体" w:eastAsia="宋体" w:hint="default"/>
          <w:spacing w:val="-11"/>
          <w:sz w:val="21"/>
          <w:szCs w:val="21"/>
        </w:rPr>
        <w:t>同，取得</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460</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万美元短期借款。以本公司向工商银行广州工业大道支行申请出具的备用信</w:t>
      </w:r>
    </w:p>
    <w:p>
      <w:pPr>
        <w:spacing w:before="109"/>
        <w:ind w:left="860" w:right="0" w:firstLine="0"/>
        <w:jc w:val="left"/>
        <w:rPr>
          <w:rFonts w:ascii="宋体" w:hAnsi="宋体" w:cs="宋体" w:eastAsia="宋体" w:hint="default"/>
          <w:sz w:val="21"/>
          <w:szCs w:val="21"/>
        </w:rPr>
      </w:pPr>
      <w:r>
        <w:rPr>
          <w:rFonts w:ascii="宋体" w:hAnsi="宋体" w:cs="宋体" w:eastAsia="宋体" w:hint="default"/>
          <w:spacing w:val="-4"/>
          <w:sz w:val="21"/>
          <w:szCs w:val="21"/>
        </w:rPr>
        <w:t>用证作担保；子公司广州御新软件有限公司以持有的</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318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万股星河生物股票质押给工商银</w:t>
      </w:r>
    </w:p>
    <w:p>
      <w:pPr>
        <w:spacing w:before="109"/>
        <w:ind w:left="860" w:right="0" w:firstLine="0"/>
        <w:jc w:val="left"/>
        <w:rPr>
          <w:rFonts w:ascii="宋体" w:hAnsi="宋体" w:cs="宋体" w:eastAsia="宋体" w:hint="default"/>
          <w:sz w:val="21"/>
          <w:szCs w:val="21"/>
        </w:rPr>
      </w:pPr>
      <w:r>
        <w:rPr>
          <w:rFonts w:ascii="宋体" w:hAnsi="宋体" w:cs="宋体" w:eastAsia="宋体" w:hint="default"/>
          <w:sz w:val="21"/>
          <w:szCs w:val="21"/>
        </w:rPr>
        <w:t>行广州工业大道支行，质押担保总额</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8,246.80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万人民币。</w:t>
      </w:r>
    </w:p>
    <w:p>
      <w:pPr>
        <w:spacing w:line="240" w:lineRule="auto" w:before="12"/>
        <w:rPr>
          <w:rFonts w:ascii="宋体" w:hAnsi="宋体" w:cs="宋体" w:eastAsia="宋体" w:hint="default"/>
          <w:sz w:val="32"/>
          <w:szCs w:val="32"/>
        </w:rPr>
      </w:pPr>
    </w:p>
    <w:p>
      <w:pPr>
        <w:tabs>
          <w:tab w:pos="1408" w:val="left" w:leader="none"/>
        </w:tabs>
        <w:spacing w:before="0"/>
        <w:ind w:left="869"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期末不存在已到期未偿还的短期借款。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before="181"/>
        <w:ind w:left="13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十八</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应付账款</w:t>
      </w:r>
      <w:r>
        <w:rPr>
          <w:rFonts w:ascii="宋体" w:hAnsi="宋体" w:cs="宋体" w:eastAsia="宋体" w:hint="default"/>
          <w:sz w:val="21"/>
          <w:szCs w:val="21"/>
        </w:rPr>
      </w:r>
    </w:p>
    <w:p>
      <w:pPr>
        <w:tabs>
          <w:tab w:pos="1408" w:val="left" w:leader="none"/>
        </w:tabs>
        <w:spacing w:before="109"/>
        <w:ind w:left="869" w:right="0" w:firstLine="0"/>
        <w:jc w:val="left"/>
        <w:rPr>
          <w:rFonts w:ascii="宋体" w:hAnsi="宋体" w:cs="宋体" w:eastAsia="宋体" w:hint="default"/>
          <w:sz w:val="21"/>
          <w:szCs w:val="21"/>
        </w:rPr>
      </w:pPr>
      <w:r>
        <w:rPr/>
        <w:pict>
          <v:group style="position:absolute;margin-left:93.660004pt;margin-top:20.773384pt;width:390.75pt;height:116.35pt;mso-position-horizontal-relative:page;mso-position-vertical-relative:paragraph;z-index:-812416" coordorigin="1873,415" coordsize="7815,2327">
            <v:group style="position:absolute;left:1902;top:430;width:7755;height:2" coordorigin="1902,430" coordsize="7755,2">
              <v:shape style="position:absolute;left:1902;top:430;width:7755;height:2" coordorigin="1902,430" coordsize="7755,0" path="m1902,430l9656,430e" filled="false" stroked="true" strokeweight="1.5pt" strokecolor="#000000">
                <v:path arrowok="t"/>
              </v:shape>
              <v:shape style="position:absolute;left:4945;top:417;width:2477;height:432" type="#_x0000_t75" stroked="false">
                <v:imagedata r:id="rId196" o:title=""/>
              </v:shape>
              <v:shape style="position:absolute;left:1873;top:801;width:7814;height:1942" type="#_x0000_t75" stroked="false">
                <v:imagedata r:id="rId197" o:title=""/>
              </v:shape>
              <v:shape style="position:absolute;left:3260;top:54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5824;top:5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162;top:5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应付账款明细如下：</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2"/>
          <w:szCs w:val="12"/>
        </w:rPr>
      </w:pPr>
    </w:p>
    <w:tbl>
      <w:tblPr>
        <w:tblW w:w="0" w:type="auto"/>
        <w:jc w:val="left"/>
        <w:tblInd w:w="836" w:type="dxa"/>
        <w:tblLayout w:type="fixed"/>
        <w:tblCellMar>
          <w:top w:w="0" w:type="dxa"/>
          <w:left w:w="0" w:type="dxa"/>
          <w:bottom w:w="0" w:type="dxa"/>
          <w:right w:w="0" w:type="dxa"/>
        </w:tblCellMar>
        <w:tblLook w:val="01E0"/>
      </w:tblPr>
      <w:tblGrid>
        <w:gridCol w:w="1627"/>
        <w:gridCol w:w="1420"/>
        <w:gridCol w:w="2875"/>
        <w:gridCol w:w="1687"/>
      </w:tblGrid>
      <w:tr>
        <w:trPr>
          <w:trHeight w:val="387" w:hRule="exact"/>
        </w:trPr>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1420" w:type="dxa"/>
            <w:tcBorders>
              <w:top w:val="nil" w:sz="6" w:space="0" w:color="auto"/>
              <w:left w:val="nil" w:sz="6" w:space="0" w:color="auto"/>
              <w:bottom w:val="nil" w:sz="6" w:space="0" w:color="auto"/>
              <w:right w:val="nil" w:sz="6" w:space="0" w:color="auto"/>
            </w:tcBorders>
          </w:tcPr>
          <w:p>
            <w:pPr/>
          </w:p>
        </w:tc>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614"/>
              <w:jc w:val="right"/>
              <w:rPr>
                <w:rFonts w:ascii="Times New Roman" w:hAnsi="Times New Roman" w:cs="Times New Roman" w:eastAsia="Times New Roman" w:hint="default"/>
                <w:sz w:val="18"/>
                <w:szCs w:val="18"/>
              </w:rPr>
            </w:pPr>
            <w:r>
              <w:rPr>
                <w:rFonts w:ascii="Times New Roman"/>
                <w:spacing w:val="-1"/>
                <w:sz w:val="18"/>
              </w:rPr>
              <w:t>87,034,913.22</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Times New Roman" w:hAnsi="Times New Roman" w:cs="Times New Roman" w:eastAsia="Times New Roman" w:hint="default"/>
                <w:sz w:val="18"/>
                <w:szCs w:val="18"/>
              </w:rPr>
            </w:pPr>
            <w:r>
              <w:rPr>
                <w:rFonts w:ascii="Times New Roman"/>
                <w:spacing w:val="-1"/>
                <w:sz w:val="18"/>
              </w:rPr>
              <w:t>31,504,913.75</w:t>
            </w:r>
          </w:p>
        </w:tc>
      </w:tr>
      <w:tr>
        <w:trPr>
          <w:trHeight w:val="384" w:hRule="exact"/>
        </w:trPr>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20" w:type="dxa"/>
            <w:tcBorders>
              <w:top w:val="nil" w:sz="6" w:space="0" w:color="auto"/>
              <w:left w:val="nil" w:sz="6" w:space="0" w:color="auto"/>
              <w:bottom w:val="nil" w:sz="6" w:space="0" w:color="auto"/>
              <w:right w:val="nil" w:sz="6" w:space="0" w:color="auto"/>
            </w:tcBorders>
          </w:tcPr>
          <w:p>
            <w:pPr/>
          </w:p>
        </w:tc>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13"/>
              <w:jc w:val="right"/>
              <w:rPr>
                <w:rFonts w:ascii="Times New Roman" w:hAnsi="Times New Roman" w:cs="Times New Roman" w:eastAsia="Times New Roman" w:hint="default"/>
                <w:sz w:val="18"/>
                <w:szCs w:val="18"/>
              </w:rPr>
            </w:pPr>
            <w:r>
              <w:rPr>
                <w:rFonts w:ascii="Times New Roman"/>
                <w:sz w:val="18"/>
              </w:rPr>
              <w:t>2,594,312.72</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1,037,898.24</w:t>
            </w:r>
          </w:p>
        </w:tc>
      </w:tr>
      <w:tr>
        <w:trPr>
          <w:trHeight w:val="385" w:hRule="exact"/>
        </w:trPr>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20" w:type="dxa"/>
            <w:tcBorders>
              <w:top w:val="nil" w:sz="6" w:space="0" w:color="auto"/>
              <w:left w:val="nil" w:sz="6" w:space="0" w:color="auto"/>
              <w:bottom w:val="nil" w:sz="6" w:space="0" w:color="auto"/>
              <w:right w:val="nil" w:sz="6" w:space="0" w:color="auto"/>
            </w:tcBorders>
          </w:tcPr>
          <w:p>
            <w:pPr/>
          </w:p>
        </w:tc>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13"/>
              <w:jc w:val="right"/>
              <w:rPr>
                <w:rFonts w:ascii="Times New Roman" w:hAnsi="Times New Roman" w:cs="Times New Roman" w:eastAsia="Times New Roman" w:hint="default"/>
                <w:sz w:val="18"/>
                <w:szCs w:val="18"/>
              </w:rPr>
            </w:pPr>
            <w:r>
              <w:rPr>
                <w:rFonts w:ascii="Times New Roman"/>
                <w:sz w:val="18"/>
              </w:rPr>
              <w:t>1,024,487.97</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45,427.26</w:t>
            </w:r>
          </w:p>
        </w:tc>
      </w:tr>
      <w:tr>
        <w:trPr>
          <w:trHeight w:val="385" w:hRule="exact"/>
        </w:trPr>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420" w:type="dxa"/>
            <w:tcBorders>
              <w:top w:val="nil" w:sz="6" w:space="0" w:color="auto"/>
              <w:left w:val="nil" w:sz="6" w:space="0" w:color="auto"/>
              <w:bottom w:val="nil" w:sz="6" w:space="0" w:color="auto"/>
              <w:right w:val="nil" w:sz="6" w:space="0" w:color="auto"/>
            </w:tcBorders>
          </w:tcPr>
          <w:p>
            <w:pPr/>
          </w:p>
        </w:tc>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14"/>
              <w:jc w:val="right"/>
              <w:rPr>
                <w:rFonts w:ascii="Times New Roman" w:hAnsi="Times New Roman" w:cs="Times New Roman" w:eastAsia="Times New Roman" w:hint="default"/>
                <w:sz w:val="18"/>
                <w:szCs w:val="18"/>
              </w:rPr>
            </w:pPr>
            <w:r>
              <w:rPr>
                <w:rFonts w:ascii="Times New Roman"/>
                <w:sz w:val="18"/>
              </w:rPr>
              <w:t>45,427.26</w:t>
            </w:r>
          </w:p>
        </w:tc>
        <w:tc>
          <w:tcPr>
            <w:tcW w:w="1687" w:type="dxa"/>
            <w:tcBorders>
              <w:top w:val="nil" w:sz="6" w:space="0" w:color="auto"/>
              <w:left w:val="nil" w:sz="6" w:space="0" w:color="auto"/>
              <w:bottom w:val="nil" w:sz="6" w:space="0" w:color="auto"/>
              <w:right w:val="nil" w:sz="6" w:space="0" w:color="auto"/>
            </w:tcBorders>
          </w:tcPr>
          <w:p>
            <w:pPr/>
          </w:p>
        </w:tc>
      </w:tr>
      <w:tr>
        <w:trPr>
          <w:trHeight w:val="389" w:hRule="exact"/>
        </w:trPr>
        <w:tc>
          <w:tcPr>
            <w:tcW w:w="1627"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340"/>
              <w:jc w:val="right"/>
              <w:rPr>
                <w:rFonts w:ascii="宋体" w:hAnsi="宋体" w:cs="宋体" w:eastAsia="宋体" w:hint="default"/>
                <w:sz w:val="18"/>
                <w:szCs w:val="18"/>
              </w:rPr>
            </w:pPr>
            <w:r>
              <w:rPr>
                <w:rFonts w:ascii="宋体" w:hAnsi="宋体" w:cs="宋体" w:eastAsia="宋体" w:hint="default"/>
                <w:sz w:val="18"/>
                <w:szCs w:val="18"/>
              </w:rPr>
              <w:t>合</w:t>
            </w:r>
          </w:p>
        </w:tc>
        <w:tc>
          <w:tcPr>
            <w:tcW w:w="1420"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left="17"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875"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614"/>
              <w:jc w:val="right"/>
              <w:rPr>
                <w:rFonts w:ascii="Times New Roman" w:hAnsi="Times New Roman" w:cs="Times New Roman" w:eastAsia="Times New Roman" w:hint="default"/>
                <w:sz w:val="18"/>
                <w:szCs w:val="18"/>
              </w:rPr>
            </w:pPr>
            <w:r>
              <w:rPr>
                <w:rFonts w:ascii="Times New Roman"/>
                <w:spacing w:val="-1"/>
                <w:sz w:val="18"/>
              </w:rPr>
              <w:t>90,699,141.17</w:t>
            </w:r>
          </w:p>
        </w:tc>
        <w:tc>
          <w:tcPr>
            <w:tcW w:w="1687"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32,588,239.25</w:t>
            </w:r>
          </w:p>
        </w:tc>
      </w:tr>
    </w:tbl>
    <w:p>
      <w:pPr>
        <w:tabs>
          <w:tab w:pos="1408" w:val="left" w:leader="none"/>
        </w:tabs>
        <w:spacing w:before="78"/>
        <w:ind w:left="870"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期末余额中无欠持本公司</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％）表决权股份的股东单位款项。</w:t>
      </w:r>
      <w:r>
        <w:rPr>
          <w:rFonts w:ascii="宋体" w:hAnsi="宋体" w:cs="宋体" w:eastAsia="宋体" w:hint="default"/>
          <w:sz w:val="21"/>
          <w:szCs w:val="21"/>
        </w:rPr>
      </w:r>
    </w:p>
    <w:p>
      <w:pPr>
        <w:tabs>
          <w:tab w:pos="1425" w:val="left" w:leader="none"/>
        </w:tabs>
        <w:spacing w:before="109"/>
        <w:ind w:left="870"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期末数中无欠关联方情况。</w:t>
      </w:r>
      <w:r>
        <w:rPr>
          <w:rFonts w:ascii="宋体" w:hAnsi="宋体" w:cs="宋体" w:eastAsia="宋体" w:hint="default"/>
          <w:sz w:val="21"/>
          <w:szCs w:val="21"/>
        </w:rPr>
      </w:r>
    </w:p>
    <w:p>
      <w:pPr>
        <w:tabs>
          <w:tab w:pos="1425" w:val="left" w:leader="none"/>
        </w:tabs>
        <w:spacing w:before="110"/>
        <w:ind w:left="878"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期末无账龄超过一年的大额应付账款。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tbl>
      <w:tblPr>
        <w:tblW w:w="0" w:type="auto"/>
        <w:jc w:val="left"/>
        <w:tblInd w:w="103" w:type="dxa"/>
        <w:tblLayout w:type="fixed"/>
        <w:tblCellMar>
          <w:top w:w="0" w:type="dxa"/>
          <w:left w:w="0" w:type="dxa"/>
          <w:bottom w:w="0" w:type="dxa"/>
          <w:right w:w="0" w:type="dxa"/>
        </w:tblCellMar>
        <w:tblLook w:val="01E0"/>
      </w:tblPr>
      <w:tblGrid>
        <w:gridCol w:w="659"/>
        <w:gridCol w:w="3128"/>
        <w:gridCol w:w="2798"/>
        <w:gridCol w:w="1828"/>
      </w:tblGrid>
      <w:tr>
        <w:trPr>
          <w:trHeight w:val="757"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十九</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3128"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4" w:right="0"/>
              <w:jc w:val="left"/>
              <w:rPr>
                <w:rFonts w:ascii="宋体" w:hAnsi="宋体" w:cs="宋体" w:eastAsia="宋体" w:hint="default"/>
                <w:sz w:val="21"/>
                <w:szCs w:val="21"/>
              </w:rPr>
            </w:pPr>
            <w:r>
              <w:rPr>
                <w:rFonts w:ascii="宋体" w:hAnsi="宋体" w:cs="宋体" w:eastAsia="宋体" w:hint="default"/>
                <w:b/>
                <w:bCs/>
                <w:sz w:val="21"/>
                <w:szCs w:val="21"/>
              </w:rPr>
              <w:t>预收款项</w:t>
            </w:r>
            <w:r>
              <w:rPr>
                <w:rFonts w:ascii="宋体" w:hAnsi="宋体" w:cs="宋体" w:eastAsia="宋体" w:hint="default"/>
                <w:sz w:val="21"/>
                <w:szCs w:val="21"/>
              </w:rPr>
            </w:r>
          </w:p>
          <w:p>
            <w:pPr>
              <w:pStyle w:val="TableParagraph"/>
              <w:tabs>
                <w:tab w:pos="646" w:val="left" w:leader="none"/>
              </w:tabs>
              <w:spacing w:line="240" w:lineRule="auto" w:before="126"/>
              <w:ind w:left="10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预收款项情况：</w:t>
            </w:r>
            <w:r>
              <w:rPr>
                <w:rFonts w:ascii="宋体" w:hAnsi="宋体" w:cs="宋体" w:eastAsia="宋体" w:hint="default"/>
                <w:sz w:val="21"/>
                <w:szCs w:val="21"/>
              </w:rPr>
            </w:r>
          </w:p>
        </w:tc>
        <w:tc>
          <w:tcPr>
            <w:tcW w:w="4627" w:type="dxa"/>
            <w:gridSpan w:val="2"/>
            <w:tcBorders>
              <w:top w:val="nil" w:sz="6" w:space="0" w:color="auto"/>
              <w:left w:val="nil" w:sz="6" w:space="0" w:color="auto"/>
              <w:bottom w:val="single" w:sz="12" w:space="0" w:color="000000"/>
              <w:right w:val="nil" w:sz="6" w:space="0" w:color="auto"/>
            </w:tcBorders>
          </w:tcPr>
          <w:p>
            <w:pPr/>
          </w:p>
        </w:tc>
      </w:tr>
      <w:tr>
        <w:trPr>
          <w:trHeight w:val="394" w:hRule="exact"/>
        </w:trPr>
        <w:tc>
          <w:tcPr>
            <w:tcW w:w="659" w:type="dxa"/>
            <w:tcBorders>
              <w:top w:val="nil" w:sz="6" w:space="0" w:color="auto"/>
              <w:left w:val="nil" w:sz="6" w:space="0" w:color="auto"/>
              <w:bottom w:val="nil" w:sz="6" w:space="0" w:color="auto"/>
              <w:right w:val="nil" w:sz="6" w:space="0" w:color="auto"/>
            </w:tcBorders>
          </w:tcPr>
          <w:p>
            <w:pPr/>
          </w:p>
        </w:tc>
        <w:tc>
          <w:tcPr>
            <w:tcW w:w="312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3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9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63"/>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82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05"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90" w:hRule="exact"/>
        </w:trPr>
        <w:tc>
          <w:tcPr>
            <w:tcW w:w="659" w:type="dxa"/>
            <w:tcBorders>
              <w:top w:val="nil" w:sz="6" w:space="0" w:color="auto"/>
              <w:left w:val="nil" w:sz="6" w:space="0" w:color="auto"/>
              <w:bottom w:val="nil" w:sz="6" w:space="0" w:color="auto"/>
              <w:right w:val="nil" w:sz="6" w:space="0" w:color="auto"/>
            </w:tcBorders>
          </w:tcPr>
          <w:p>
            <w:pPr/>
          </w:p>
        </w:tc>
        <w:tc>
          <w:tcPr>
            <w:tcW w:w="3128"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79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03"/>
              <w:jc w:val="right"/>
              <w:rPr>
                <w:rFonts w:ascii="Times New Roman" w:hAnsi="Times New Roman" w:cs="Times New Roman" w:eastAsia="Times New Roman" w:hint="default"/>
                <w:sz w:val="18"/>
                <w:szCs w:val="18"/>
              </w:rPr>
            </w:pPr>
            <w:r>
              <w:rPr>
                <w:rFonts w:ascii="Times New Roman"/>
                <w:spacing w:val="-1"/>
                <w:sz w:val="18"/>
              </w:rPr>
              <w:t>59,640,951.25</w:t>
            </w: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3"/>
              <w:jc w:val="right"/>
              <w:rPr>
                <w:rFonts w:ascii="Times New Roman" w:hAnsi="Times New Roman" w:cs="Times New Roman" w:eastAsia="Times New Roman" w:hint="default"/>
                <w:sz w:val="18"/>
                <w:szCs w:val="18"/>
              </w:rPr>
            </w:pPr>
            <w:r>
              <w:rPr>
                <w:rFonts w:ascii="Times New Roman"/>
                <w:spacing w:val="-1"/>
                <w:sz w:val="18"/>
              </w:rPr>
              <w:t>46,983,591.08</w:t>
            </w:r>
          </w:p>
        </w:tc>
      </w:tr>
      <w:tr>
        <w:trPr>
          <w:trHeight w:val="1153" w:hRule="exact"/>
        </w:trPr>
        <w:tc>
          <w:tcPr>
            <w:tcW w:w="659" w:type="dxa"/>
            <w:tcBorders>
              <w:top w:val="nil" w:sz="6" w:space="0" w:color="auto"/>
              <w:left w:val="nil" w:sz="6" w:space="0" w:color="auto"/>
              <w:bottom w:val="nil" w:sz="6" w:space="0" w:color="auto"/>
              <w:right w:val="nil" w:sz="6" w:space="0" w:color="auto"/>
            </w:tcBorders>
          </w:tcPr>
          <w:p>
            <w:pPr/>
          </w:p>
        </w:tc>
        <w:tc>
          <w:tcPr>
            <w:tcW w:w="312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135"/>
              <w:ind w:left="10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135"/>
              <w:ind w:left="10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798" w:type="dxa"/>
            <w:tcBorders>
              <w:top w:val="nil" w:sz="6" w:space="0" w:color="auto"/>
              <w:left w:val="nil" w:sz="6" w:space="0" w:color="auto"/>
              <w:bottom w:val="nil" w:sz="6" w:space="0" w:color="auto"/>
              <w:right w:val="nil" w:sz="6" w:space="0" w:color="auto"/>
            </w:tcBorders>
          </w:tcPr>
          <w:p>
            <w:pPr/>
          </w:p>
        </w:tc>
        <w:tc>
          <w:tcPr>
            <w:tcW w:w="1828" w:type="dxa"/>
            <w:tcBorders>
              <w:top w:val="nil" w:sz="6" w:space="0" w:color="auto"/>
              <w:left w:val="nil" w:sz="6" w:space="0" w:color="auto"/>
              <w:bottom w:val="nil" w:sz="6" w:space="0" w:color="auto"/>
              <w:right w:val="nil" w:sz="6" w:space="0" w:color="auto"/>
            </w:tcBorders>
          </w:tcPr>
          <w:p>
            <w:pPr/>
          </w:p>
        </w:tc>
      </w:tr>
      <w:tr>
        <w:trPr>
          <w:trHeight w:val="390" w:hRule="exact"/>
        </w:trPr>
        <w:tc>
          <w:tcPr>
            <w:tcW w:w="659" w:type="dxa"/>
            <w:tcBorders>
              <w:top w:val="nil" w:sz="6" w:space="0" w:color="auto"/>
              <w:left w:val="nil" w:sz="6" w:space="0" w:color="auto"/>
              <w:bottom w:val="nil" w:sz="6" w:space="0" w:color="auto"/>
              <w:right w:val="nil" w:sz="6" w:space="0" w:color="auto"/>
            </w:tcBorders>
          </w:tcPr>
          <w:p>
            <w:pPr/>
          </w:p>
        </w:tc>
        <w:tc>
          <w:tcPr>
            <w:tcW w:w="3128" w:type="dxa"/>
            <w:tcBorders>
              <w:top w:val="nil" w:sz="6" w:space="0" w:color="auto"/>
              <w:left w:val="nil" w:sz="6" w:space="0" w:color="auto"/>
              <w:bottom w:val="single" w:sz="12" w:space="0" w:color="000000"/>
              <w:right w:val="nil" w:sz="6" w:space="0" w:color="auto"/>
            </w:tcBorders>
          </w:tcPr>
          <w:p>
            <w:pPr>
              <w:pStyle w:val="TableParagraph"/>
              <w:tabs>
                <w:tab w:pos="772" w:val="left" w:leader="none"/>
              </w:tabs>
              <w:spacing w:line="240" w:lineRule="auto" w:before="42"/>
              <w:ind w:left="232"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798"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403"/>
              <w:jc w:val="right"/>
              <w:rPr>
                <w:rFonts w:ascii="Times New Roman" w:hAnsi="Times New Roman" w:cs="Times New Roman" w:eastAsia="Times New Roman" w:hint="default"/>
                <w:sz w:val="18"/>
                <w:szCs w:val="18"/>
              </w:rPr>
            </w:pPr>
            <w:r>
              <w:rPr>
                <w:rFonts w:ascii="Times New Roman"/>
                <w:spacing w:val="-1"/>
                <w:sz w:val="18"/>
              </w:rPr>
              <w:t>59,640,951.25</w:t>
            </w:r>
          </w:p>
        </w:tc>
        <w:tc>
          <w:tcPr>
            <w:tcW w:w="1828"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3"/>
              <w:jc w:val="right"/>
              <w:rPr>
                <w:rFonts w:ascii="Times New Roman" w:hAnsi="Times New Roman" w:cs="Times New Roman" w:eastAsia="Times New Roman" w:hint="default"/>
                <w:sz w:val="18"/>
                <w:szCs w:val="18"/>
              </w:rPr>
            </w:pPr>
            <w:r>
              <w:rPr>
                <w:rFonts w:ascii="Times New Roman"/>
                <w:spacing w:val="-1"/>
                <w:sz w:val="18"/>
              </w:rPr>
              <w:t>46,983,591.08</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1"/>
          <w:szCs w:val="21"/>
        </w:rPr>
      </w:pPr>
    </w:p>
    <w:p>
      <w:pPr>
        <w:tabs>
          <w:tab w:pos="1408" w:val="left" w:leader="none"/>
        </w:tabs>
        <w:spacing w:before="35"/>
        <w:ind w:left="869" w:right="0" w:firstLine="0"/>
        <w:jc w:val="left"/>
        <w:rPr>
          <w:rFonts w:ascii="宋体" w:hAnsi="宋体" w:cs="宋体" w:eastAsia="宋体" w:hint="default"/>
          <w:sz w:val="21"/>
          <w:szCs w:val="21"/>
        </w:rPr>
      </w:pPr>
      <w:r>
        <w:rPr/>
        <w:pict>
          <v:group style="position:absolute;margin-left:93.660004pt;margin-top:-145.645782pt;width:390.6pt;height:116.3pt;mso-position-horizontal-relative:page;mso-position-vertical-relative:paragraph;z-index:-812392" coordorigin="1873,-2913" coordsize="7812,2326">
            <v:shape style="position:absolute;left:5228;top:-2913;width:2335;height:432" type="#_x0000_t75" stroked="false">
              <v:imagedata r:id="rId198" o:title=""/>
            </v:shape>
            <v:shape style="position:absolute;left:1873;top:-2539;width:7812;height:1951" type="#_x0000_t75" stroked="false">
              <v:imagedata r:id="rId199" o:title=""/>
            </v:shape>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期末余额中无预收持本公司</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％）表决权股份的股东单位款项。</w:t>
      </w:r>
      <w:r>
        <w:rPr>
          <w:rFonts w:ascii="宋体" w:hAnsi="宋体" w:cs="宋体" w:eastAsia="宋体" w:hint="default"/>
          <w:sz w:val="21"/>
          <w:szCs w:val="21"/>
        </w:rPr>
      </w:r>
    </w:p>
    <w:p>
      <w:pPr>
        <w:tabs>
          <w:tab w:pos="1425" w:val="left" w:leader="none"/>
        </w:tabs>
        <w:spacing w:before="110"/>
        <w:ind w:left="870"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期末余额中无预收关联方款项。</w:t>
      </w:r>
      <w:r>
        <w:rPr>
          <w:rFonts w:ascii="宋体" w:hAnsi="宋体" w:cs="宋体" w:eastAsia="宋体" w:hint="default"/>
          <w:sz w:val="21"/>
          <w:szCs w:val="21"/>
        </w:rPr>
      </w:r>
    </w:p>
    <w:p>
      <w:pPr>
        <w:tabs>
          <w:tab w:pos="1408" w:val="left" w:leader="none"/>
        </w:tabs>
        <w:spacing w:before="58"/>
        <w:ind w:left="870"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期末无账龄超过一年的大额预收款项情况。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1256" w:top="1060" w:bottom="1440" w:left="1140" w:right="164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5"/>
          <w:szCs w:val="15"/>
        </w:rPr>
      </w:pPr>
    </w:p>
    <w:p>
      <w:pPr>
        <w:tabs>
          <w:tab w:pos="908" w:val="left" w:leader="none"/>
        </w:tabs>
        <w:spacing w:before="35"/>
        <w:ind w:left="137" w:right="0" w:firstLine="0"/>
        <w:jc w:val="left"/>
        <w:rPr>
          <w:rFonts w:ascii="宋体" w:hAnsi="宋体" w:cs="宋体" w:eastAsia="宋体" w:hint="default"/>
          <w:sz w:val="21"/>
          <w:szCs w:val="21"/>
        </w:rPr>
      </w:pPr>
      <w:r>
        <w:rPr/>
        <w:pict>
          <v:group style="position:absolute;margin-left:63.18pt;margin-top:17.133995pt;width:428.6pt;height:308.5pt;mso-position-horizontal-relative:page;mso-position-vertical-relative:paragraph;z-index:-812368" coordorigin="1264,343" coordsize="8572,6170">
            <v:shape style="position:absolute;left:3919;top:343;width:4495;height:432" type="#_x0000_t75" stroked="false">
              <v:imagedata r:id="rId200" o:title=""/>
            </v:shape>
            <v:shape style="position:absolute;left:1264;top:727;width:8572;height:5785" type="#_x0000_t75" stroked="false">
              <v:imagedata r:id="rId201" o:title=""/>
            </v:shape>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二十</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应付职工薪酬</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225" w:type="dxa"/>
        <w:tblLayout w:type="fixed"/>
        <w:tblCellMar>
          <w:top w:w="0" w:type="dxa"/>
          <w:left w:w="0" w:type="dxa"/>
          <w:bottom w:w="0" w:type="dxa"/>
          <w:right w:w="0" w:type="dxa"/>
        </w:tblCellMar>
        <w:tblLook w:val="01E0"/>
      </w:tblPr>
      <w:tblGrid>
        <w:gridCol w:w="2698"/>
        <w:gridCol w:w="1403"/>
        <w:gridCol w:w="1510"/>
        <w:gridCol w:w="1525"/>
        <w:gridCol w:w="1225"/>
      </w:tblGrid>
      <w:tr>
        <w:trPr>
          <w:trHeight w:val="784" w:hRule="exact"/>
        </w:trPr>
        <w:tc>
          <w:tcPr>
            <w:tcW w:w="269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82"/>
              <w:jc w:val="center"/>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149"/>
              <w:ind w:right="195"/>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c>
        <w:tc>
          <w:tcPr>
            <w:tcW w:w="140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32"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1,883,005.37</w:t>
            </w:r>
          </w:p>
        </w:tc>
        <w:tc>
          <w:tcPr>
            <w:tcW w:w="151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4" w:right="0"/>
              <w:jc w:val="left"/>
              <w:rPr>
                <w:rFonts w:ascii="宋体" w:hAnsi="宋体" w:cs="宋体" w:eastAsia="宋体" w:hint="default"/>
                <w:sz w:val="18"/>
                <w:szCs w:val="18"/>
              </w:rPr>
            </w:pPr>
            <w:r>
              <w:rPr>
                <w:rFonts w:ascii="宋体" w:hAnsi="宋体" w:cs="宋体" w:eastAsia="宋体" w:hint="default"/>
                <w:sz w:val="18"/>
                <w:szCs w:val="18"/>
              </w:rPr>
              <w:t>本期增加</w:t>
            </w:r>
          </w:p>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212" w:right="0"/>
              <w:jc w:val="left"/>
              <w:rPr>
                <w:rFonts w:ascii="Times New Roman" w:hAnsi="Times New Roman" w:cs="Times New Roman" w:eastAsia="Times New Roman" w:hint="default"/>
                <w:sz w:val="18"/>
                <w:szCs w:val="18"/>
              </w:rPr>
            </w:pPr>
            <w:r>
              <w:rPr>
                <w:rFonts w:ascii="Times New Roman"/>
                <w:sz w:val="18"/>
              </w:rPr>
              <w:t>33,090,356.67</w:t>
            </w:r>
          </w:p>
        </w:tc>
        <w:tc>
          <w:tcPr>
            <w:tcW w:w="152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4" w:right="0"/>
              <w:jc w:val="left"/>
              <w:rPr>
                <w:rFonts w:ascii="宋体" w:hAnsi="宋体" w:cs="宋体" w:eastAsia="宋体" w:hint="default"/>
                <w:sz w:val="18"/>
                <w:szCs w:val="18"/>
              </w:rPr>
            </w:pPr>
            <w:r>
              <w:rPr>
                <w:rFonts w:ascii="宋体" w:hAnsi="宋体" w:cs="宋体" w:eastAsia="宋体" w:hint="default"/>
                <w:sz w:val="18"/>
                <w:szCs w:val="18"/>
              </w:rPr>
              <w:t>本期减少</w:t>
            </w:r>
          </w:p>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261" w:right="0"/>
              <w:jc w:val="left"/>
              <w:rPr>
                <w:rFonts w:ascii="Times New Roman" w:hAnsi="Times New Roman" w:cs="Times New Roman" w:eastAsia="Times New Roman" w:hint="default"/>
                <w:sz w:val="18"/>
                <w:szCs w:val="18"/>
              </w:rPr>
            </w:pPr>
            <w:r>
              <w:rPr>
                <w:rFonts w:ascii="Times New Roman"/>
                <w:sz w:val="18"/>
              </w:rPr>
              <w:t>32,752,082.35</w:t>
            </w:r>
          </w:p>
        </w:tc>
        <w:tc>
          <w:tcPr>
            <w:tcW w:w="122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27"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243" w:right="0"/>
              <w:jc w:val="left"/>
              <w:rPr>
                <w:rFonts w:ascii="Times New Roman" w:hAnsi="Times New Roman" w:cs="Times New Roman" w:eastAsia="Times New Roman" w:hint="default"/>
                <w:sz w:val="18"/>
                <w:szCs w:val="18"/>
              </w:rPr>
            </w:pPr>
            <w:r>
              <w:rPr>
                <w:rFonts w:ascii="Times New Roman"/>
                <w:sz w:val="18"/>
              </w:rPr>
              <w:t>2,221,279.69</w:t>
            </w:r>
          </w:p>
        </w:tc>
      </w:tr>
      <w:tr>
        <w:trPr>
          <w:trHeight w:val="384"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403"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59"/>
              <w:jc w:val="right"/>
              <w:rPr>
                <w:rFonts w:ascii="Times New Roman" w:hAnsi="Times New Roman" w:cs="Times New Roman" w:eastAsia="Times New Roman" w:hint="default"/>
                <w:sz w:val="18"/>
                <w:szCs w:val="18"/>
              </w:rPr>
            </w:pPr>
            <w:r>
              <w:rPr>
                <w:rFonts w:ascii="Times New Roman"/>
                <w:sz w:val="18"/>
              </w:rPr>
              <w:t>45,730.46</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5"/>
              <w:jc w:val="right"/>
              <w:rPr>
                <w:rFonts w:ascii="Times New Roman" w:hAnsi="Times New Roman" w:cs="Times New Roman" w:eastAsia="Times New Roman" w:hint="default"/>
                <w:sz w:val="18"/>
                <w:szCs w:val="18"/>
              </w:rPr>
            </w:pPr>
            <w:r>
              <w:rPr>
                <w:rFonts w:ascii="Times New Roman"/>
                <w:sz w:val="18"/>
              </w:rPr>
              <w:t>45,730.46</w:t>
            </w:r>
          </w:p>
        </w:tc>
        <w:tc>
          <w:tcPr>
            <w:tcW w:w="1225" w:type="dxa"/>
            <w:tcBorders>
              <w:top w:val="nil" w:sz="6" w:space="0" w:color="auto"/>
              <w:left w:val="nil" w:sz="6" w:space="0" w:color="auto"/>
              <w:bottom w:val="nil" w:sz="6" w:space="0" w:color="auto"/>
              <w:right w:val="nil" w:sz="6" w:space="0" w:color="auto"/>
            </w:tcBorders>
          </w:tcPr>
          <w:p>
            <w:pPr/>
          </w:p>
        </w:tc>
      </w:tr>
      <w:tr>
        <w:trPr>
          <w:trHeight w:val="385"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11"/>
              <w:jc w:val="right"/>
              <w:rPr>
                <w:rFonts w:ascii="Times New Roman" w:hAnsi="Times New Roman" w:cs="Times New Roman" w:eastAsia="Times New Roman" w:hint="default"/>
                <w:sz w:val="18"/>
                <w:szCs w:val="18"/>
              </w:rPr>
            </w:pPr>
            <w:r>
              <w:rPr>
                <w:rFonts w:ascii="Times New Roman"/>
                <w:sz w:val="18"/>
              </w:rPr>
              <w:t>21,553.10</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0"/>
              <w:jc w:val="right"/>
              <w:rPr>
                <w:rFonts w:ascii="Times New Roman" w:hAnsi="Times New Roman" w:cs="Times New Roman" w:eastAsia="Times New Roman" w:hint="default"/>
                <w:sz w:val="18"/>
                <w:szCs w:val="18"/>
              </w:rPr>
            </w:pPr>
            <w:r>
              <w:rPr>
                <w:rFonts w:ascii="Times New Roman"/>
                <w:spacing w:val="-1"/>
                <w:sz w:val="18"/>
              </w:rPr>
              <w:t>2,611,840.68</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5"/>
              <w:jc w:val="right"/>
              <w:rPr>
                <w:rFonts w:ascii="Times New Roman" w:hAnsi="Times New Roman" w:cs="Times New Roman" w:eastAsia="Times New Roman" w:hint="default"/>
                <w:sz w:val="18"/>
                <w:szCs w:val="18"/>
              </w:rPr>
            </w:pPr>
            <w:r>
              <w:rPr>
                <w:rFonts w:ascii="Times New Roman"/>
                <w:spacing w:val="-1"/>
                <w:sz w:val="18"/>
              </w:rPr>
              <w:t>2,619,264.42</w:t>
            </w:r>
          </w:p>
        </w:tc>
        <w:tc>
          <w:tcPr>
            <w:tcW w:w="122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14,129.36</w:t>
            </w:r>
          </w:p>
        </w:tc>
      </w:tr>
      <w:tr>
        <w:trPr>
          <w:trHeight w:val="383"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0"/>
              <w:jc w:val="right"/>
              <w:rPr>
                <w:rFonts w:ascii="Times New Roman" w:hAnsi="Times New Roman" w:cs="Times New Roman" w:eastAsia="Times New Roman" w:hint="default"/>
                <w:sz w:val="18"/>
                <w:szCs w:val="18"/>
              </w:rPr>
            </w:pPr>
            <w:r>
              <w:rPr>
                <w:rFonts w:ascii="Times New Roman"/>
                <w:sz w:val="18"/>
              </w:rPr>
              <w:t>8,123.37</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59"/>
              <w:jc w:val="right"/>
              <w:rPr>
                <w:rFonts w:ascii="Times New Roman" w:hAnsi="Times New Roman" w:cs="Times New Roman" w:eastAsia="Times New Roman" w:hint="default"/>
                <w:sz w:val="18"/>
                <w:szCs w:val="18"/>
              </w:rPr>
            </w:pPr>
            <w:r>
              <w:rPr>
                <w:rFonts w:ascii="Times New Roman"/>
                <w:spacing w:val="-1"/>
                <w:sz w:val="18"/>
              </w:rPr>
              <w:t>1,071,126.18</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5"/>
              <w:jc w:val="right"/>
              <w:rPr>
                <w:rFonts w:ascii="Times New Roman" w:hAnsi="Times New Roman" w:cs="Times New Roman" w:eastAsia="Times New Roman" w:hint="default"/>
                <w:sz w:val="18"/>
                <w:szCs w:val="18"/>
              </w:rPr>
            </w:pPr>
            <w:r>
              <w:rPr>
                <w:rFonts w:ascii="Times New Roman"/>
                <w:spacing w:val="-1"/>
                <w:sz w:val="18"/>
              </w:rPr>
              <w:t>1,074,377.47</w:t>
            </w:r>
          </w:p>
        </w:tc>
        <w:tc>
          <w:tcPr>
            <w:tcW w:w="12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4,872.08</w:t>
            </w:r>
          </w:p>
        </w:tc>
      </w:tr>
      <w:tr>
        <w:trPr>
          <w:trHeight w:val="384"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85" w:right="0"/>
              <w:jc w:val="left"/>
              <w:rPr>
                <w:rFonts w:ascii="宋体" w:hAnsi="宋体" w:cs="宋体" w:eastAsia="宋体" w:hint="default"/>
                <w:sz w:val="18"/>
                <w:szCs w:val="18"/>
              </w:rPr>
            </w:pPr>
            <w:r>
              <w:rPr>
                <w:rFonts w:ascii="宋体" w:hAnsi="宋体" w:cs="宋体" w:eastAsia="宋体" w:hint="default"/>
                <w:sz w:val="18"/>
                <w:szCs w:val="18"/>
              </w:rPr>
              <w:t>基本养老保险费</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1"/>
              <w:jc w:val="right"/>
              <w:rPr>
                <w:rFonts w:ascii="Times New Roman" w:hAnsi="Times New Roman" w:cs="Times New Roman" w:eastAsia="Times New Roman" w:hint="default"/>
                <w:sz w:val="18"/>
                <w:szCs w:val="18"/>
              </w:rPr>
            </w:pPr>
            <w:r>
              <w:rPr>
                <w:rFonts w:ascii="Times New Roman"/>
                <w:spacing w:val="-1"/>
                <w:sz w:val="18"/>
              </w:rPr>
              <w:t>11,982.28</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59"/>
              <w:jc w:val="right"/>
              <w:rPr>
                <w:rFonts w:ascii="Times New Roman" w:hAnsi="Times New Roman" w:cs="Times New Roman" w:eastAsia="Times New Roman" w:hint="default"/>
                <w:sz w:val="18"/>
                <w:szCs w:val="18"/>
              </w:rPr>
            </w:pPr>
            <w:r>
              <w:rPr>
                <w:rFonts w:ascii="Times New Roman"/>
                <w:spacing w:val="-1"/>
                <w:sz w:val="18"/>
              </w:rPr>
              <w:t>1,221,216.04</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7"/>
              <w:jc w:val="right"/>
              <w:rPr>
                <w:rFonts w:ascii="Times New Roman" w:hAnsi="Times New Roman" w:cs="Times New Roman" w:eastAsia="Times New Roman" w:hint="default"/>
                <w:sz w:val="18"/>
                <w:szCs w:val="18"/>
              </w:rPr>
            </w:pPr>
            <w:r>
              <w:rPr>
                <w:rFonts w:ascii="Times New Roman"/>
                <w:spacing w:val="-1"/>
                <w:sz w:val="18"/>
              </w:rPr>
              <w:t>1,224,880.04</w:t>
            </w:r>
          </w:p>
        </w:tc>
        <w:tc>
          <w:tcPr>
            <w:tcW w:w="12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8,318.28</w:t>
            </w:r>
          </w:p>
        </w:tc>
      </w:tr>
      <w:tr>
        <w:trPr>
          <w:trHeight w:val="381"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85" w:right="0"/>
              <w:jc w:val="left"/>
              <w:rPr>
                <w:rFonts w:ascii="宋体" w:hAnsi="宋体" w:cs="宋体" w:eastAsia="宋体" w:hint="default"/>
                <w:sz w:val="18"/>
                <w:szCs w:val="18"/>
              </w:rPr>
            </w:pPr>
            <w:r>
              <w:rPr>
                <w:rFonts w:ascii="宋体" w:hAnsi="宋体" w:cs="宋体" w:eastAsia="宋体" w:hint="default"/>
                <w:sz w:val="18"/>
                <w:szCs w:val="18"/>
              </w:rPr>
              <w:t>年金缴费</w:t>
            </w:r>
          </w:p>
        </w:tc>
        <w:tc>
          <w:tcPr>
            <w:tcW w:w="1403"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
        </w:tc>
        <w:tc>
          <w:tcPr>
            <w:tcW w:w="1525" w:type="dxa"/>
            <w:tcBorders>
              <w:top w:val="nil" w:sz="6" w:space="0" w:color="auto"/>
              <w:left w:val="nil" w:sz="6" w:space="0" w:color="auto"/>
              <w:bottom w:val="nil" w:sz="6" w:space="0" w:color="auto"/>
              <w:right w:val="nil" w:sz="6" w:space="0" w:color="auto"/>
            </w:tcBorders>
          </w:tcPr>
          <w:p>
            <w:pPr/>
          </w:p>
        </w:tc>
        <w:tc>
          <w:tcPr>
            <w:tcW w:w="1225" w:type="dxa"/>
            <w:tcBorders>
              <w:top w:val="nil" w:sz="6" w:space="0" w:color="auto"/>
              <w:left w:val="nil" w:sz="6" w:space="0" w:color="auto"/>
              <w:bottom w:val="nil" w:sz="6" w:space="0" w:color="auto"/>
              <w:right w:val="nil" w:sz="6" w:space="0" w:color="auto"/>
            </w:tcBorders>
          </w:tcPr>
          <w:p>
            <w:pPr/>
          </w:p>
        </w:tc>
      </w:tr>
      <w:tr>
        <w:trPr>
          <w:trHeight w:val="388"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485"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10"/>
              <w:jc w:val="right"/>
              <w:rPr>
                <w:rFonts w:ascii="Times New Roman" w:hAnsi="Times New Roman" w:cs="Times New Roman" w:eastAsia="Times New Roman" w:hint="default"/>
                <w:sz w:val="18"/>
                <w:szCs w:val="18"/>
              </w:rPr>
            </w:pPr>
            <w:r>
              <w:rPr>
                <w:rFonts w:ascii="Times New Roman"/>
                <w:sz w:val="18"/>
              </w:rPr>
              <w:t>455.39</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59"/>
              <w:jc w:val="right"/>
              <w:rPr>
                <w:rFonts w:ascii="Times New Roman" w:hAnsi="Times New Roman" w:cs="Times New Roman" w:eastAsia="Times New Roman" w:hint="default"/>
                <w:sz w:val="18"/>
                <w:szCs w:val="18"/>
              </w:rPr>
            </w:pPr>
            <w:r>
              <w:rPr>
                <w:rFonts w:ascii="Times New Roman"/>
                <w:sz w:val="18"/>
              </w:rPr>
              <w:t>169,434.43</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25"/>
              <w:jc w:val="right"/>
              <w:rPr>
                <w:rFonts w:ascii="Times New Roman" w:hAnsi="Times New Roman" w:cs="Times New Roman" w:eastAsia="Times New Roman" w:hint="default"/>
                <w:sz w:val="18"/>
                <w:szCs w:val="18"/>
              </w:rPr>
            </w:pPr>
            <w:r>
              <w:rPr>
                <w:rFonts w:ascii="Times New Roman"/>
                <w:sz w:val="18"/>
              </w:rPr>
              <w:t>165,368.12</w:t>
            </w:r>
          </w:p>
        </w:tc>
        <w:tc>
          <w:tcPr>
            <w:tcW w:w="122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
              <w:jc w:val="right"/>
              <w:rPr>
                <w:rFonts w:ascii="Times New Roman" w:hAnsi="Times New Roman" w:cs="Times New Roman" w:eastAsia="Times New Roman" w:hint="default"/>
                <w:sz w:val="18"/>
                <w:szCs w:val="18"/>
              </w:rPr>
            </w:pPr>
            <w:r>
              <w:rPr>
                <w:rFonts w:ascii="Times New Roman"/>
                <w:sz w:val="18"/>
              </w:rPr>
              <w:t>4,521.70</w:t>
            </w:r>
          </w:p>
        </w:tc>
      </w:tr>
      <w:tr>
        <w:trPr>
          <w:trHeight w:val="384"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85"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0"/>
              <w:jc w:val="right"/>
              <w:rPr>
                <w:rFonts w:ascii="Times New Roman" w:hAnsi="Times New Roman" w:cs="Times New Roman" w:eastAsia="Times New Roman" w:hint="default"/>
                <w:sz w:val="18"/>
                <w:szCs w:val="18"/>
              </w:rPr>
            </w:pPr>
            <w:r>
              <w:rPr>
                <w:rFonts w:ascii="Times New Roman"/>
                <w:sz w:val="18"/>
              </w:rPr>
              <w:t>187.58</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59"/>
              <w:jc w:val="right"/>
              <w:rPr>
                <w:rFonts w:ascii="Times New Roman" w:hAnsi="Times New Roman" w:cs="Times New Roman" w:eastAsia="Times New Roman" w:hint="default"/>
                <w:sz w:val="18"/>
                <w:szCs w:val="18"/>
              </w:rPr>
            </w:pPr>
            <w:r>
              <w:rPr>
                <w:rFonts w:ascii="Times New Roman"/>
                <w:sz w:val="18"/>
              </w:rPr>
              <w:t>42,642.02</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5"/>
              <w:jc w:val="right"/>
              <w:rPr>
                <w:rFonts w:ascii="Times New Roman" w:hAnsi="Times New Roman" w:cs="Times New Roman" w:eastAsia="Times New Roman" w:hint="default"/>
                <w:sz w:val="18"/>
                <w:szCs w:val="18"/>
              </w:rPr>
            </w:pPr>
            <w:r>
              <w:rPr>
                <w:rFonts w:ascii="Times New Roman"/>
                <w:sz w:val="18"/>
              </w:rPr>
              <w:t>46,807.86</w:t>
            </w:r>
          </w:p>
        </w:tc>
        <w:tc>
          <w:tcPr>
            <w:tcW w:w="12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w w:val="95"/>
                <w:sz w:val="18"/>
              </w:rPr>
              <w:t>-3,978.26</w:t>
            </w:r>
            <w:r>
              <w:rPr>
                <w:rFonts w:ascii="Times New Roman"/>
                <w:sz w:val="18"/>
              </w:rPr>
            </w:r>
          </w:p>
        </w:tc>
      </w:tr>
      <w:tr>
        <w:trPr>
          <w:trHeight w:val="385"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85"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2"/>
              <w:jc w:val="right"/>
              <w:rPr>
                <w:rFonts w:ascii="Times New Roman" w:hAnsi="Times New Roman" w:cs="Times New Roman" w:eastAsia="Times New Roman" w:hint="default"/>
                <w:sz w:val="18"/>
                <w:szCs w:val="18"/>
              </w:rPr>
            </w:pPr>
            <w:r>
              <w:rPr>
                <w:rFonts w:ascii="Times New Roman"/>
                <w:sz w:val="18"/>
              </w:rPr>
              <w:t>725.84</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59"/>
              <w:jc w:val="right"/>
              <w:rPr>
                <w:rFonts w:ascii="Times New Roman" w:hAnsi="Times New Roman" w:cs="Times New Roman" w:eastAsia="Times New Roman" w:hint="default"/>
                <w:sz w:val="18"/>
                <w:szCs w:val="18"/>
              </w:rPr>
            </w:pPr>
            <w:r>
              <w:rPr>
                <w:rFonts w:ascii="Times New Roman"/>
                <w:sz w:val="18"/>
              </w:rPr>
              <w:t>107,422.01</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5"/>
              <w:jc w:val="right"/>
              <w:rPr>
                <w:rFonts w:ascii="Times New Roman" w:hAnsi="Times New Roman" w:cs="Times New Roman" w:eastAsia="Times New Roman" w:hint="default"/>
                <w:sz w:val="18"/>
                <w:szCs w:val="18"/>
              </w:rPr>
            </w:pPr>
            <w:r>
              <w:rPr>
                <w:rFonts w:ascii="Times New Roman"/>
                <w:sz w:val="18"/>
              </w:rPr>
              <w:t>107,752.29</w:t>
            </w:r>
          </w:p>
        </w:tc>
        <w:tc>
          <w:tcPr>
            <w:tcW w:w="12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395.56</w:t>
            </w:r>
          </w:p>
        </w:tc>
      </w:tr>
      <w:tr>
        <w:trPr>
          <w:trHeight w:val="385"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85" w:right="0"/>
              <w:jc w:val="left"/>
              <w:rPr>
                <w:rFonts w:ascii="宋体" w:hAnsi="宋体" w:cs="宋体" w:eastAsia="宋体" w:hint="default"/>
                <w:sz w:val="18"/>
                <w:szCs w:val="18"/>
              </w:rPr>
            </w:pPr>
            <w:r>
              <w:rPr>
                <w:rFonts w:ascii="宋体" w:hAnsi="宋体" w:cs="宋体" w:eastAsia="宋体" w:hint="default"/>
                <w:sz w:val="18"/>
                <w:szCs w:val="18"/>
              </w:rPr>
              <w:t>重大疾病医疗补助</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1"/>
              <w:jc w:val="right"/>
              <w:rPr>
                <w:rFonts w:ascii="Times New Roman" w:hAnsi="Times New Roman" w:cs="Times New Roman" w:eastAsia="Times New Roman" w:hint="default"/>
                <w:sz w:val="18"/>
                <w:szCs w:val="18"/>
              </w:rPr>
            </w:pPr>
            <w:r>
              <w:rPr>
                <w:rFonts w:ascii="Times New Roman"/>
                <w:sz w:val="18"/>
              </w:rPr>
              <w:t>78.64</w:t>
            </w:r>
          </w:p>
        </w:tc>
        <w:tc>
          <w:tcPr>
            <w:tcW w:w="1510" w:type="dxa"/>
            <w:tcBorders>
              <w:top w:val="nil" w:sz="6" w:space="0" w:color="auto"/>
              <w:left w:val="nil" w:sz="6" w:space="0" w:color="auto"/>
              <w:bottom w:val="nil" w:sz="6" w:space="0" w:color="auto"/>
              <w:right w:val="nil" w:sz="6" w:space="0" w:color="auto"/>
            </w:tcBorders>
          </w:tcPr>
          <w:p>
            <w:pP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25"/>
              <w:jc w:val="right"/>
              <w:rPr>
                <w:rFonts w:ascii="Times New Roman" w:hAnsi="Times New Roman" w:cs="Times New Roman" w:eastAsia="Times New Roman" w:hint="default"/>
                <w:sz w:val="18"/>
                <w:szCs w:val="18"/>
              </w:rPr>
            </w:pPr>
            <w:r>
              <w:rPr>
                <w:rFonts w:ascii="Times New Roman"/>
                <w:sz w:val="18"/>
              </w:rPr>
              <w:t>78.64</w:t>
            </w:r>
          </w:p>
        </w:tc>
        <w:tc>
          <w:tcPr>
            <w:tcW w:w="1225" w:type="dxa"/>
            <w:tcBorders>
              <w:top w:val="nil" w:sz="6" w:space="0" w:color="auto"/>
              <w:left w:val="nil" w:sz="6" w:space="0" w:color="auto"/>
              <w:bottom w:val="nil" w:sz="6" w:space="0" w:color="auto"/>
              <w:right w:val="nil" w:sz="6" w:space="0" w:color="auto"/>
            </w:tcBorders>
          </w:tcPr>
          <w:p>
            <w:pPr/>
          </w:p>
        </w:tc>
      </w:tr>
      <w:tr>
        <w:trPr>
          <w:trHeight w:val="385"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0"/>
              <w:jc w:val="right"/>
              <w:rPr>
                <w:rFonts w:ascii="Times New Roman" w:hAnsi="Times New Roman" w:cs="Times New Roman" w:eastAsia="Times New Roman" w:hint="default"/>
                <w:sz w:val="18"/>
                <w:szCs w:val="18"/>
              </w:rPr>
            </w:pPr>
            <w:r>
              <w:rPr>
                <w:rFonts w:ascii="Times New Roman"/>
                <w:sz w:val="18"/>
              </w:rPr>
              <w:t>139,679.00</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59"/>
              <w:jc w:val="right"/>
              <w:rPr>
                <w:rFonts w:ascii="Times New Roman" w:hAnsi="Times New Roman" w:cs="Times New Roman" w:eastAsia="Times New Roman" w:hint="default"/>
                <w:sz w:val="18"/>
                <w:szCs w:val="18"/>
              </w:rPr>
            </w:pPr>
            <w:r>
              <w:rPr>
                <w:rFonts w:ascii="Times New Roman"/>
                <w:spacing w:val="-1"/>
                <w:sz w:val="18"/>
              </w:rPr>
              <w:t>1,150,471.00</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6"/>
              <w:jc w:val="right"/>
              <w:rPr>
                <w:rFonts w:ascii="Times New Roman" w:hAnsi="Times New Roman" w:cs="Times New Roman" w:eastAsia="Times New Roman" w:hint="default"/>
                <w:sz w:val="18"/>
                <w:szCs w:val="18"/>
              </w:rPr>
            </w:pPr>
            <w:r>
              <w:rPr>
                <w:rFonts w:ascii="Times New Roman"/>
                <w:spacing w:val="-1"/>
                <w:sz w:val="18"/>
              </w:rPr>
              <w:t>1,145,622.00</w:t>
            </w:r>
          </w:p>
        </w:tc>
        <w:tc>
          <w:tcPr>
            <w:tcW w:w="12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144,528.00</w:t>
            </w:r>
          </w:p>
        </w:tc>
      </w:tr>
      <w:tr>
        <w:trPr>
          <w:trHeight w:val="385"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）工会经费和职工教育经费</w:t>
            </w:r>
          </w:p>
        </w:tc>
        <w:tc>
          <w:tcPr>
            <w:tcW w:w="1403"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59"/>
              <w:jc w:val="right"/>
              <w:rPr>
                <w:rFonts w:ascii="Times New Roman" w:hAnsi="Times New Roman" w:cs="Times New Roman" w:eastAsia="Times New Roman" w:hint="default"/>
                <w:sz w:val="18"/>
                <w:szCs w:val="18"/>
              </w:rPr>
            </w:pPr>
            <w:r>
              <w:rPr>
                <w:rFonts w:ascii="Times New Roman"/>
                <w:sz w:val="18"/>
              </w:rPr>
              <w:t>24,594.67</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5"/>
              <w:jc w:val="right"/>
              <w:rPr>
                <w:rFonts w:ascii="Times New Roman" w:hAnsi="Times New Roman" w:cs="Times New Roman" w:eastAsia="Times New Roman" w:hint="default"/>
                <w:sz w:val="18"/>
                <w:szCs w:val="18"/>
              </w:rPr>
            </w:pPr>
            <w:r>
              <w:rPr>
                <w:rFonts w:ascii="Times New Roman"/>
                <w:sz w:val="18"/>
              </w:rPr>
              <w:t>7,700.00</w:t>
            </w:r>
          </w:p>
        </w:tc>
        <w:tc>
          <w:tcPr>
            <w:tcW w:w="122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16,894.67</w:t>
            </w:r>
          </w:p>
        </w:tc>
      </w:tr>
      <w:tr>
        <w:trPr>
          <w:trHeight w:val="1158" w:hRule="exact"/>
        </w:trPr>
        <w:tc>
          <w:tcPr>
            <w:tcW w:w="2698"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）辞退福利</w:t>
            </w:r>
          </w:p>
          <w:p>
            <w:pPr>
              <w:pStyle w:val="TableParagraph"/>
              <w:spacing w:line="240" w:lineRule="auto" w:before="135"/>
              <w:ind w:left="3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7</w:t>
            </w:r>
            <w:r>
              <w:rPr>
                <w:rFonts w:ascii="宋体" w:hAnsi="宋体" w:cs="宋体" w:eastAsia="宋体" w:hint="default"/>
                <w:sz w:val="18"/>
                <w:szCs w:val="18"/>
              </w:rPr>
              <w:t>）其他</w:t>
            </w:r>
          </w:p>
          <w:p>
            <w:pPr>
              <w:pStyle w:val="TableParagraph"/>
              <w:spacing w:line="240" w:lineRule="auto" w:before="135"/>
              <w:ind w:right="182"/>
              <w:jc w:val="center"/>
              <w:rPr>
                <w:rFonts w:ascii="宋体" w:hAnsi="宋体" w:cs="宋体" w:eastAsia="宋体" w:hint="default"/>
                <w:sz w:val="18"/>
                <w:szCs w:val="18"/>
              </w:rPr>
            </w:pPr>
            <w:r>
              <w:rPr>
                <w:rFonts w:ascii="宋体" w:hAnsi="宋体" w:cs="宋体" w:eastAsia="宋体" w:hint="default"/>
                <w:sz w:val="18"/>
                <w:szCs w:val="18"/>
              </w:rPr>
              <w:t>合计</w:t>
            </w:r>
          </w:p>
        </w:tc>
        <w:tc>
          <w:tcPr>
            <w:tcW w:w="1403"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3"/>
              <w:ind w:right="211"/>
              <w:jc w:val="right"/>
              <w:rPr>
                <w:rFonts w:ascii="Times New Roman" w:hAnsi="Times New Roman" w:cs="Times New Roman" w:eastAsia="Times New Roman" w:hint="default"/>
                <w:sz w:val="18"/>
                <w:szCs w:val="18"/>
              </w:rPr>
            </w:pPr>
            <w:r>
              <w:rPr>
                <w:rFonts w:ascii="Times New Roman"/>
                <w:spacing w:val="-1"/>
                <w:sz w:val="18"/>
              </w:rPr>
              <w:t>2,044,237.47</w:t>
            </w:r>
          </w:p>
        </w:tc>
        <w:tc>
          <w:tcPr>
            <w:tcW w:w="1510"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3"/>
              <w:ind w:right="259"/>
              <w:jc w:val="right"/>
              <w:rPr>
                <w:rFonts w:ascii="Times New Roman" w:hAnsi="Times New Roman" w:cs="Times New Roman" w:eastAsia="Times New Roman" w:hint="default"/>
                <w:sz w:val="18"/>
                <w:szCs w:val="18"/>
              </w:rPr>
            </w:pPr>
            <w:r>
              <w:rPr>
                <w:rFonts w:ascii="Times New Roman"/>
                <w:spacing w:val="-1"/>
                <w:sz w:val="18"/>
              </w:rPr>
              <w:t>36,922,993.48</w:t>
            </w:r>
          </w:p>
        </w:tc>
        <w:tc>
          <w:tcPr>
            <w:tcW w:w="1525"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3"/>
              <w:ind w:right="225"/>
              <w:jc w:val="right"/>
              <w:rPr>
                <w:rFonts w:ascii="Times New Roman" w:hAnsi="Times New Roman" w:cs="Times New Roman" w:eastAsia="Times New Roman" w:hint="default"/>
                <w:sz w:val="18"/>
                <w:szCs w:val="18"/>
              </w:rPr>
            </w:pPr>
            <w:r>
              <w:rPr>
                <w:rFonts w:ascii="Times New Roman"/>
                <w:spacing w:val="-1"/>
                <w:sz w:val="18"/>
              </w:rPr>
              <w:t>36,570,399.23</w:t>
            </w:r>
          </w:p>
        </w:tc>
        <w:tc>
          <w:tcPr>
            <w:tcW w:w="1225"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3"/>
              <w:ind w:right="33"/>
              <w:jc w:val="right"/>
              <w:rPr>
                <w:rFonts w:ascii="Times New Roman" w:hAnsi="Times New Roman" w:cs="Times New Roman" w:eastAsia="Times New Roman" w:hint="default"/>
                <w:sz w:val="18"/>
                <w:szCs w:val="18"/>
              </w:rPr>
            </w:pPr>
            <w:r>
              <w:rPr>
                <w:rFonts w:ascii="Times New Roman"/>
                <w:spacing w:val="-1"/>
                <w:sz w:val="18"/>
              </w:rPr>
              <w:t>2,396,831.72</w:t>
            </w:r>
          </w:p>
        </w:tc>
      </w:tr>
    </w:tbl>
    <w:p>
      <w:pPr>
        <w:tabs>
          <w:tab w:pos="1425" w:val="left" w:leader="none"/>
        </w:tabs>
        <w:spacing w:before="78"/>
        <w:ind w:left="870"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期末应付职工薪酬中无属于拖欠性质的金额。</w:t>
      </w:r>
      <w:r>
        <w:rPr>
          <w:rFonts w:ascii="宋体" w:hAnsi="宋体" w:cs="宋体" w:eastAsia="宋体" w:hint="default"/>
          <w:sz w:val="21"/>
          <w:szCs w:val="21"/>
        </w:rPr>
      </w:r>
    </w:p>
    <w:p>
      <w:pPr>
        <w:tabs>
          <w:tab w:pos="1425" w:val="left" w:leader="none"/>
        </w:tabs>
        <w:spacing w:before="110"/>
        <w:ind w:left="870"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工会经费和职工教育经费金额</w:t>
      </w:r>
      <w:r>
        <w:rPr>
          <w:rFonts w:ascii="宋体" w:hAnsi="宋体" w:cs="宋体" w:eastAsia="宋体" w:hint="default"/>
          <w:b/>
          <w:bCs/>
          <w:spacing w:val="-53"/>
          <w:sz w:val="21"/>
          <w:szCs w:val="21"/>
        </w:rPr>
        <w:t> </w:t>
      </w:r>
      <w:r>
        <w:rPr>
          <w:rFonts w:ascii="Times New Roman" w:hAnsi="Times New Roman" w:cs="Times New Roman" w:eastAsia="Times New Roman" w:hint="default"/>
          <w:b/>
          <w:bCs/>
          <w:spacing w:val="-1"/>
          <w:sz w:val="21"/>
          <w:szCs w:val="21"/>
        </w:rPr>
        <w:t>16,894.67</w:t>
      </w:r>
      <w:r>
        <w:rPr>
          <w:rFonts w:ascii="Times New Roman" w:hAnsi="Times New Roman" w:cs="Times New Roman" w:eastAsia="Times New Roman" w:hint="default"/>
          <w:b/>
          <w:bCs/>
          <w:sz w:val="21"/>
          <w:szCs w:val="21"/>
        </w:rPr>
        <w:t> </w:t>
      </w:r>
      <w:r>
        <w:rPr>
          <w:rFonts w:ascii="宋体" w:hAnsi="宋体" w:cs="宋体" w:eastAsia="宋体" w:hint="default"/>
          <w:b/>
          <w:bCs/>
          <w:spacing w:val="1"/>
          <w:sz w:val="21"/>
          <w:szCs w:val="21"/>
        </w:rPr>
        <w:t>元。</w:t>
      </w:r>
      <w:r>
        <w:rPr>
          <w:rFonts w:ascii="宋体" w:hAnsi="宋体" w:cs="宋体" w:eastAsia="宋体" w:hint="default"/>
          <w:sz w:val="21"/>
          <w:szCs w:val="21"/>
        </w:rPr>
      </w:r>
    </w:p>
    <w:p>
      <w:pPr>
        <w:tabs>
          <w:tab w:pos="1425" w:val="left" w:leader="none"/>
        </w:tabs>
        <w:spacing w:before="109"/>
        <w:ind w:left="870" w:right="0" w:firstLine="0"/>
        <w:jc w:val="left"/>
        <w:rPr>
          <w:rFonts w:ascii="宋体" w:hAnsi="宋体" w:cs="宋体" w:eastAsia="宋体" w:hint="default"/>
          <w:sz w:val="21"/>
          <w:szCs w:val="21"/>
        </w:rPr>
      </w:pPr>
      <w:r>
        <w:rPr/>
        <w:pict>
          <v:group style="position:absolute;margin-left:94.139999pt;margin-top:58.33321pt;width:390pt;height:193.15pt;mso-position-horizontal-relative:page;mso-position-vertical-relative:paragraph;z-index:-812344" coordorigin="1883,1167" coordsize="7800,3863">
            <v:shape style="position:absolute;left:5638;top:1167;width:2068;height:432" type="#_x0000_t75" stroked="false">
              <v:imagedata r:id="rId202" o:title=""/>
            </v:shape>
            <v:shape style="position:absolute;left:1883;top:1551;width:7800;height:3479" type="#_x0000_t75" stroked="false">
              <v:imagedata r:id="rId203" o:title=""/>
            </v:shape>
            <w10:wrap type="none"/>
          </v:group>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应付职工薪酬预计发放时间、金额等安排：当月工资本月计提后，于下月中发放。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2"/>
          <w:szCs w:val="12"/>
        </w:rPr>
      </w:pPr>
    </w:p>
    <w:tbl>
      <w:tblPr>
        <w:tblW w:w="0" w:type="auto"/>
        <w:jc w:val="left"/>
        <w:tblInd w:w="103" w:type="dxa"/>
        <w:tblLayout w:type="fixed"/>
        <w:tblCellMar>
          <w:top w:w="0" w:type="dxa"/>
          <w:left w:w="0" w:type="dxa"/>
          <w:bottom w:w="0" w:type="dxa"/>
          <w:right w:w="0" w:type="dxa"/>
        </w:tblCellMar>
        <w:tblLook w:val="01E0"/>
      </w:tblPr>
      <w:tblGrid>
        <w:gridCol w:w="2106"/>
        <w:gridCol w:w="1880"/>
        <w:gridCol w:w="2705"/>
        <w:gridCol w:w="1721"/>
      </w:tblGrid>
      <w:tr>
        <w:trPr>
          <w:trHeight w:val="357" w:hRule="exact"/>
        </w:trPr>
        <w:tc>
          <w:tcPr>
            <w:tcW w:w="2106"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应交税费</w:t>
            </w:r>
            <w:r>
              <w:rPr>
                <w:rFonts w:ascii="宋体" w:hAnsi="宋体" w:cs="宋体" w:eastAsia="宋体" w:hint="default"/>
                <w:sz w:val="21"/>
                <w:szCs w:val="21"/>
              </w:rPr>
            </w:r>
          </w:p>
        </w:tc>
        <w:tc>
          <w:tcPr>
            <w:tcW w:w="6307" w:type="dxa"/>
            <w:gridSpan w:val="3"/>
            <w:tcBorders>
              <w:top w:val="nil" w:sz="6" w:space="0" w:color="auto"/>
              <w:left w:val="nil" w:sz="6" w:space="0" w:color="auto"/>
              <w:bottom w:val="single" w:sz="12" w:space="0" w:color="000000"/>
              <w:right w:val="nil" w:sz="6" w:space="0" w:color="auto"/>
            </w:tcBorders>
          </w:tcPr>
          <w:p>
            <w:pPr/>
          </w:p>
        </w:tc>
      </w:tr>
      <w:tr>
        <w:trPr>
          <w:trHeight w:val="395" w:hRule="exact"/>
        </w:trPr>
        <w:tc>
          <w:tcPr>
            <w:tcW w:w="2106" w:type="dxa"/>
            <w:tcBorders>
              <w:top w:val="single" w:sz="12" w:space="0" w:color="000000"/>
              <w:left w:val="nil" w:sz="6" w:space="0" w:color="auto"/>
              <w:bottom w:val="nil" w:sz="6" w:space="0" w:color="auto"/>
              <w:right w:val="nil" w:sz="6" w:space="0" w:color="auto"/>
            </w:tcBorders>
          </w:tcPr>
          <w:p>
            <w:pPr/>
          </w:p>
        </w:tc>
        <w:tc>
          <w:tcPr>
            <w:tcW w:w="188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77" w:right="0"/>
              <w:jc w:val="left"/>
              <w:rPr>
                <w:rFonts w:ascii="宋体" w:hAnsi="宋体" w:cs="宋体" w:eastAsia="宋体" w:hint="default"/>
                <w:sz w:val="18"/>
                <w:szCs w:val="18"/>
              </w:rPr>
            </w:pPr>
            <w:r>
              <w:rPr>
                <w:rFonts w:ascii="宋体" w:hAnsi="宋体" w:cs="宋体" w:eastAsia="宋体" w:hint="default"/>
                <w:sz w:val="18"/>
                <w:szCs w:val="18"/>
              </w:rPr>
              <w:t>税费项目</w:t>
            </w:r>
          </w:p>
        </w:tc>
        <w:tc>
          <w:tcPr>
            <w:tcW w:w="270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08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72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68"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88"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7"/>
              <w:jc w:val="center"/>
              <w:rPr>
                <w:rFonts w:ascii="宋体" w:hAnsi="宋体" w:cs="宋体" w:eastAsia="宋体" w:hint="default"/>
                <w:sz w:val="18"/>
                <w:szCs w:val="18"/>
              </w:rPr>
            </w:pPr>
            <w:r>
              <w:rPr>
                <w:rFonts w:ascii="宋体" w:hAnsi="宋体" w:cs="宋体" w:eastAsia="宋体" w:hint="default"/>
                <w:sz w:val="18"/>
                <w:szCs w:val="18"/>
              </w:rPr>
              <w:t>增值税</w:t>
            </w:r>
          </w:p>
        </w:tc>
        <w:tc>
          <w:tcPr>
            <w:tcW w:w="1880" w:type="dxa"/>
            <w:tcBorders>
              <w:top w:val="nil" w:sz="6" w:space="0" w:color="auto"/>
              <w:left w:val="nil" w:sz="6" w:space="0" w:color="auto"/>
              <w:bottom w:val="nil" w:sz="6" w:space="0" w:color="auto"/>
              <w:right w:val="nil" w:sz="6" w:space="0" w:color="auto"/>
            </w:tcBorders>
          </w:tcPr>
          <w:p>
            <w:pPr/>
          </w:p>
        </w:tc>
        <w:tc>
          <w:tcPr>
            <w:tcW w:w="270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67"/>
              <w:jc w:val="right"/>
              <w:rPr>
                <w:rFonts w:ascii="Times New Roman" w:hAnsi="Times New Roman" w:cs="Times New Roman" w:eastAsia="Times New Roman" w:hint="default"/>
                <w:sz w:val="18"/>
                <w:szCs w:val="18"/>
              </w:rPr>
            </w:pPr>
            <w:r>
              <w:rPr>
                <w:rFonts w:ascii="Times New Roman"/>
                <w:spacing w:val="-1"/>
                <w:sz w:val="18"/>
              </w:rPr>
              <w:t>16,708,945.88</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8"/>
                <w:szCs w:val="18"/>
              </w:rPr>
            </w:pPr>
            <w:r>
              <w:rPr>
                <w:rFonts w:ascii="Times New Roman"/>
                <w:spacing w:val="-1"/>
                <w:sz w:val="18"/>
              </w:rPr>
              <w:t>11,713,175.63</w:t>
            </w:r>
          </w:p>
        </w:tc>
      </w:tr>
      <w:tr>
        <w:trPr>
          <w:trHeight w:val="384"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7"/>
              <w:jc w:val="center"/>
              <w:rPr>
                <w:rFonts w:ascii="宋体" w:hAnsi="宋体" w:cs="宋体" w:eastAsia="宋体" w:hint="default"/>
                <w:sz w:val="18"/>
                <w:szCs w:val="18"/>
              </w:rPr>
            </w:pPr>
            <w:r>
              <w:rPr>
                <w:rFonts w:ascii="宋体" w:hAnsi="宋体" w:cs="宋体" w:eastAsia="宋体" w:hint="default"/>
                <w:sz w:val="18"/>
                <w:szCs w:val="18"/>
              </w:rPr>
              <w:t>营业税</w:t>
            </w:r>
          </w:p>
        </w:tc>
        <w:tc>
          <w:tcPr>
            <w:tcW w:w="1880" w:type="dxa"/>
            <w:tcBorders>
              <w:top w:val="nil" w:sz="6" w:space="0" w:color="auto"/>
              <w:left w:val="nil" w:sz="6" w:space="0" w:color="auto"/>
              <w:bottom w:val="nil" w:sz="6" w:space="0" w:color="auto"/>
              <w:right w:val="nil" w:sz="6" w:space="0" w:color="auto"/>
            </w:tcBorders>
          </w:tcPr>
          <w:p>
            <w:pPr/>
          </w:p>
        </w:tc>
        <w:tc>
          <w:tcPr>
            <w:tcW w:w="27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66"/>
              <w:jc w:val="right"/>
              <w:rPr>
                <w:rFonts w:ascii="Times New Roman" w:hAnsi="Times New Roman" w:cs="Times New Roman" w:eastAsia="Times New Roman" w:hint="default"/>
                <w:sz w:val="18"/>
                <w:szCs w:val="18"/>
              </w:rPr>
            </w:pPr>
            <w:r>
              <w:rPr>
                <w:rFonts w:ascii="Times New Roman"/>
                <w:spacing w:val="-1"/>
                <w:sz w:val="18"/>
              </w:rPr>
              <w:t>14,517,809.86</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7,032,973.09</w:t>
            </w:r>
          </w:p>
        </w:tc>
      </w:tr>
      <w:tr>
        <w:trPr>
          <w:trHeight w:val="385"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768"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1880" w:type="dxa"/>
            <w:tcBorders>
              <w:top w:val="nil" w:sz="6" w:space="0" w:color="auto"/>
              <w:left w:val="nil" w:sz="6" w:space="0" w:color="auto"/>
              <w:bottom w:val="nil" w:sz="6" w:space="0" w:color="auto"/>
              <w:right w:val="nil" w:sz="6" w:space="0" w:color="auto"/>
            </w:tcBorders>
          </w:tcPr>
          <w:p>
            <w:pPr/>
          </w:p>
        </w:tc>
        <w:tc>
          <w:tcPr>
            <w:tcW w:w="27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67"/>
              <w:jc w:val="right"/>
              <w:rPr>
                <w:rFonts w:ascii="Times New Roman" w:hAnsi="Times New Roman" w:cs="Times New Roman" w:eastAsia="Times New Roman" w:hint="default"/>
                <w:sz w:val="18"/>
                <w:szCs w:val="18"/>
              </w:rPr>
            </w:pPr>
            <w:r>
              <w:rPr>
                <w:rFonts w:ascii="Times New Roman"/>
                <w:spacing w:val="-1"/>
                <w:sz w:val="18"/>
              </w:rPr>
              <w:t>2,118,478.26</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5,694,553.22</w:t>
            </w:r>
          </w:p>
        </w:tc>
      </w:tr>
      <w:tr>
        <w:trPr>
          <w:trHeight w:val="40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43"/>
              <w:ind w:left="768"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1880" w:type="dxa"/>
            <w:tcBorders>
              <w:top w:val="nil" w:sz="6" w:space="0" w:color="auto"/>
              <w:left w:val="nil" w:sz="6" w:space="0" w:color="auto"/>
              <w:bottom w:val="nil" w:sz="6" w:space="0" w:color="auto"/>
              <w:right w:val="nil" w:sz="6" w:space="0" w:color="auto"/>
            </w:tcBorders>
          </w:tcPr>
          <w:p>
            <w:pPr/>
          </w:p>
        </w:tc>
        <w:tc>
          <w:tcPr>
            <w:tcW w:w="2705"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67"/>
              <w:jc w:val="right"/>
              <w:rPr>
                <w:rFonts w:ascii="Times New Roman" w:hAnsi="Times New Roman" w:cs="Times New Roman" w:eastAsia="Times New Roman" w:hint="default"/>
                <w:sz w:val="18"/>
                <w:szCs w:val="18"/>
              </w:rPr>
            </w:pPr>
            <w:r>
              <w:rPr>
                <w:rFonts w:ascii="Times New Roman"/>
                <w:spacing w:val="-1"/>
                <w:sz w:val="18"/>
              </w:rPr>
              <w:t>119,830.27</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8"/>
                <w:szCs w:val="18"/>
              </w:rPr>
            </w:pPr>
            <w:r>
              <w:rPr>
                <w:rFonts w:ascii="Times New Roman"/>
                <w:sz w:val="18"/>
              </w:rPr>
              <w:t>173,102.87</w:t>
            </w:r>
          </w:p>
        </w:tc>
      </w:tr>
      <w:tr>
        <w:trPr>
          <w:trHeight w:val="368"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7"/>
              <w:ind w:left="768"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1880" w:type="dxa"/>
            <w:tcBorders>
              <w:top w:val="nil" w:sz="6" w:space="0" w:color="auto"/>
              <w:left w:val="nil" w:sz="6" w:space="0" w:color="auto"/>
              <w:bottom w:val="nil" w:sz="6" w:space="0" w:color="auto"/>
              <w:right w:val="nil" w:sz="6" w:space="0" w:color="auto"/>
            </w:tcBorders>
          </w:tcPr>
          <w:p>
            <w:pPr/>
          </w:p>
        </w:tc>
        <w:tc>
          <w:tcPr>
            <w:tcW w:w="2705"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67"/>
              <w:jc w:val="right"/>
              <w:rPr>
                <w:rFonts w:ascii="Times New Roman" w:hAnsi="Times New Roman" w:cs="Times New Roman" w:eastAsia="Times New Roman" w:hint="default"/>
                <w:sz w:val="18"/>
                <w:szCs w:val="18"/>
              </w:rPr>
            </w:pPr>
            <w:r>
              <w:rPr>
                <w:rFonts w:ascii="Times New Roman"/>
                <w:spacing w:val="-1"/>
                <w:sz w:val="18"/>
              </w:rPr>
              <w:t>1,306,410.68</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4"/>
              <w:jc w:val="right"/>
              <w:rPr>
                <w:rFonts w:ascii="Times New Roman" w:hAnsi="Times New Roman" w:cs="Times New Roman" w:eastAsia="Times New Roman" w:hint="default"/>
                <w:sz w:val="18"/>
                <w:szCs w:val="18"/>
              </w:rPr>
            </w:pPr>
            <w:r>
              <w:rPr>
                <w:rFonts w:ascii="Times New Roman"/>
                <w:sz w:val="18"/>
              </w:rPr>
              <w:t>854,032.72</w:t>
            </w:r>
          </w:p>
        </w:tc>
      </w:tr>
      <w:tr>
        <w:trPr>
          <w:trHeight w:val="385"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768"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1880" w:type="dxa"/>
            <w:tcBorders>
              <w:top w:val="nil" w:sz="6" w:space="0" w:color="auto"/>
              <w:left w:val="nil" w:sz="6" w:space="0" w:color="auto"/>
              <w:bottom w:val="nil" w:sz="6" w:space="0" w:color="auto"/>
              <w:right w:val="nil" w:sz="6" w:space="0" w:color="auto"/>
            </w:tcBorders>
          </w:tcPr>
          <w:p>
            <w:pPr/>
          </w:p>
        </w:tc>
        <w:tc>
          <w:tcPr>
            <w:tcW w:w="27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67"/>
              <w:jc w:val="right"/>
              <w:rPr>
                <w:rFonts w:ascii="Times New Roman" w:hAnsi="Times New Roman" w:cs="Times New Roman" w:eastAsia="Times New Roman" w:hint="default"/>
                <w:sz w:val="18"/>
                <w:szCs w:val="18"/>
              </w:rPr>
            </w:pPr>
            <w:r>
              <w:rPr>
                <w:rFonts w:ascii="Times New Roman"/>
                <w:sz w:val="18"/>
              </w:rPr>
              <w:t>873,434.95</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368,253.95</w:t>
            </w:r>
          </w:p>
        </w:tc>
      </w:tr>
      <w:tr>
        <w:trPr>
          <w:trHeight w:val="385"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7"/>
              <w:jc w:val="center"/>
              <w:rPr>
                <w:rFonts w:ascii="宋体" w:hAnsi="宋体" w:cs="宋体" w:eastAsia="宋体" w:hint="default"/>
                <w:sz w:val="18"/>
                <w:szCs w:val="18"/>
              </w:rPr>
            </w:pPr>
            <w:r>
              <w:rPr>
                <w:rFonts w:ascii="宋体" w:hAnsi="宋体" w:cs="宋体" w:eastAsia="宋体" w:hint="default"/>
                <w:sz w:val="18"/>
                <w:szCs w:val="18"/>
              </w:rPr>
              <w:t>印花税</w:t>
            </w:r>
          </w:p>
        </w:tc>
        <w:tc>
          <w:tcPr>
            <w:tcW w:w="1880" w:type="dxa"/>
            <w:tcBorders>
              <w:top w:val="nil" w:sz="6" w:space="0" w:color="auto"/>
              <w:left w:val="nil" w:sz="6" w:space="0" w:color="auto"/>
              <w:bottom w:val="nil" w:sz="6" w:space="0" w:color="auto"/>
              <w:right w:val="nil" w:sz="6" w:space="0" w:color="auto"/>
            </w:tcBorders>
          </w:tcPr>
          <w:p>
            <w:pPr/>
          </w:p>
        </w:tc>
        <w:tc>
          <w:tcPr>
            <w:tcW w:w="270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67"/>
              <w:jc w:val="right"/>
              <w:rPr>
                <w:rFonts w:ascii="Times New Roman" w:hAnsi="Times New Roman" w:cs="Times New Roman" w:eastAsia="Times New Roman" w:hint="default"/>
                <w:sz w:val="18"/>
                <w:szCs w:val="18"/>
              </w:rPr>
            </w:pPr>
            <w:r>
              <w:rPr>
                <w:rFonts w:ascii="Times New Roman"/>
                <w:sz w:val="18"/>
              </w:rPr>
              <w:t>78,321.30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z w:val="18"/>
              </w:rPr>
              <w:t>47,050.10</w:t>
            </w:r>
          </w:p>
        </w:tc>
      </w:tr>
      <w:tr>
        <w:trPr>
          <w:trHeight w:val="384"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7"/>
              <w:jc w:val="center"/>
              <w:rPr>
                <w:rFonts w:ascii="宋体" w:hAnsi="宋体" w:cs="宋体" w:eastAsia="宋体" w:hint="default"/>
                <w:sz w:val="18"/>
                <w:szCs w:val="18"/>
              </w:rPr>
            </w:pPr>
            <w:r>
              <w:rPr>
                <w:rFonts w:ascii="宋体" w:hAnsi="宋体" w:cs="宋体" w:eastAsia="宋体" w:hint="default"/>
                <w:sz w:val="18"/>
                <w:szCs w:val="18"/>
              </w:rPr>
              <w:t>防洪费</w:t>
            </w:r>
          </w:p>
        </w:tc>
        <w:tc>
          <w:tcPr>
            <w:tcW w:w="1880" w:type="dxa"/>
            <w:tcBorders>
              <w:top w:val="nil" w:sz="6" w:space="0" w:color="auto"/>
              <w:left w:val="nil" w:sz="6" w:space="0" w:color="auto"/>
              <w:bottom w:val="nil" w:sz="6" w:space="0" w:color="auto"/>
              <w:right w:val="nil" w:sz="6" w:space="0" w:color="auto"/>
            </w:tcBorders>
          </w:tcPr>
          <w:p>
            <w:pPr/>
          </w:p>
        </w:tc>
        <w:tc>
          <w:tcPr>
            <w:tcW w:w="27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67"/>
              <w:jc w:val="right"/>
              <w:rPr>
                <w:rFonts w:ascii="Times New Roman" w:hAnsi="Times New Roman" w:cs="Times New Roman" w:eastAsia="Times New Roman" w:hint="default"/>
                <w:sz w:val="18"/>
                <w:szCs w:val="18"/>
              </w:rPr>
            </w:pPr>
            <w:r>
              <w:rPr>
                <w:rFonts w:ascii="Times New Roman"/>
                <w:sz w:val="18"/>
              </w:rPr>
              <w:t>388,881.42</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267,630.81</w:t>
            </w:r>
          </w:p>
        </w:tc>
      </w:tr>
      <w:tr>
        <w:trPr>
          <w:trHeight w:val="390" w:hRule="exact"/>
        </w:trPr>
        <w:tc>
          <w:tcPr>
            <w:tcW w:w="2106" w:type="dxa"/>
            <w:tcBorders>
              <w:top w:val="nil" w:sz="6" w:space="0" w:color="auto"/>
              <w:left w:val="nil" w:sz="6" w:space="0" w:color="auto"/>
              <w:bottom w:val="single" w:sz="12" w:space="0" w:color="000000"/>
              <w:right w:val="nil" w:sz="6" w:space="0" w:color="auto"/>
            </w:tcBorders>
          </w:tcPr>
          <w:p>
            <w:pPr/>
          </w:p>
        </w:tc>
        <w:tc>
          <w:tcPr>
            <w:tcW w:w="1880"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257"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705"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367"/>
              <w:jc w:val="right"/>
              <w:rPr>
                <w:rFonts w:ascii="Times New Roman" w:hAnsi="Times New Roman" w:cs="Times New Roman" w:eastAsia="Times New Roman" w:hint="default"/>
                <w:sz w:val="18"/>
                <w:szCs w:val="18"/>
              </w:rPr>
            </w:pPr>
            <w:r>
              <w:rPr>
                <w:rFonts w:ascii="Times New Roman"/>
                <w:spacing w:val="-2"/>
                <w:sz w:val="18"/>
              </w:rPr>
              <w:t>36,112,112.62</w:t>
            </w:r>
          </w:p>
        </w:tc>
        <w:tc>
          <w:tcPr>
            <w:tcW w:w="1721"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pacing w:val="-1"/>
                <w:sz w:val="18"/>
              </w:rPr>
              <w:t>26,150,772.39</w:t>
            </w:r>
          </w:p>
        </w:tc>
      </w:tr>
      <w:tr>
        <w:trPr>
          <w:trHeight w:val="431" w:hRule="exact"/>
        </w:trPr>
        <w:tc>
          <w:tcPr>
            <w:tcW w:w="2106" w:type="dxa"/>
            <w:tcBorders>
              <w:top w:val="single" w:sz="12" w:space="0" w:color="000000"/>
              <w:left w:val="nil" w:sz="6" w:space="0" w:color="auto"/>
              <w:bottom w:val="single" w:sz="12" w:space="0" w:color="000000"/>
              <w:right w:val="nil" w:sz="6" w:space="0" w:color="auto"/>
            </w:tcBorders>
          </w:tcPr>
          <w:p>
            <w:pPr>
              <w:pStyle w:val="TableParagraph"/>
              <w:spacing w:line="240" w:lineRule="auto" w:before="93"/>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应付利息</w:t>
            </w:r>
            <w:r>
              <w:rPr>
                <w:rFonts w:ascii="宋体" w:hAnsi="宋体" w:cs="宋体" w:eastAsia="宋体" w:hint="default"/>
                <w:sz w:val="21"/>
                <w:szCs w:val="21"/>
              </w:rPr>
            </w:r>
          </w:p>
        </w:tc>
        <w:tc>
          <w:tcPr>
            <w:tcW w:w="1880" w:type="dxa"/>
            <w:tcBorders>
              <w:top w:val="single" w:sz="12" w:space="0" w:color="000000"/>
              <w:left w:val="nil" w:sz="6" w:space="0" w:color="auto"/>
              <w:bottom w:val="single" w:sz="12" w:space="0" w:color="000000"/>
              <w:right w:val="nil" w:sz="6" w:space="0" w:color="auto"/>
            </w:tcBorders>
          </w:tcPr>
          <w:p>
            <w:pPr/>
          </w:p>
        </w:tc>
        <w:tc>
          <w:tcPr>
            <w:tcW w:w="2705" w:type="dxa"/>
            <w:tcBorders>
              <w:top w:val="single" w:sz="12" w:space="0" w:color="000000"/>
              <w:left w:val="nil" w:sz="6" w:space="0" w:color="auto"/>
              <w:bottom w:val="single" w:sz="12" w:space="0" w:color="000000"/>
              <w:right w:val="nil" w:sz="6" w:space="0" w:color="auto"/>
            </w:tcBorders>
          </w:tcPr>
          <w:p>
            <w:pPr/>
          </w:p>
        </w:tc>
        <w:tc>
          <w:tcPr>
            <w:tcW w:w="1721" w:type="dxa"/>
            <w:tcBorders>
              <w:top w:val="single" w:sz="12" w:space="0" w:color="000000"/>
              <w:left w:val="nil" w:sz="6" w:space="0" w:color="auto"/>
              <w:bottom w:val="single" w:sz="12" w:space="0" w:color="000000"/>
              <w:right w:val="nil" w:sz="6" w:space="0" w:color="auto"/>
            </w:tcBorders>
          </w:tcPr>
          <w:p>
            <w:pPr/>
          </w:p>
        </w:tc>
      </w:tr>
      <w:tr>
        <w:trPr>
          <w:trHeight w:val="404" w:hRule="exact"/>
        </w:trPr>
        <w:tc>
          <w:tcPr>
            <w:tcW w:w="2106" w:type="dxa"/>
            <w:tcBorders>
              <w:top w:val="single" w:sz="12" w:space="0" w:color="000000"/>
              <w:left w:val="nil" w:sz="6" w:space="0" w:color="auto"/>
              <w:bottom w:val="single" w:sz="12" w:space="0" w:color="000000"/>
              <w:right w:val="nil" w:sz="6" w:space="0" w:color="auto"/>
            </w:tcBorders>
          </w:tcPr>
          <w:p>
            <w:pPr/>
          </w:p>
        </w:tc>
        <w:tc>
          <w:tcPr>
            <w:tcW w:w="1880" w:type="dxa"/>
            <w:tcBorders>
              <w:top w:val="single" w:sz="12" w:space="0" w:color="000000"/>
              <w:left w:val="nil" w:sz="6" w:space="0" w:color="auto"/>
              <w:bottom w:val="single" w:sz="12" w:space="0" w:color="000000"/>
              <w:right w:val="nil" w:sz="6" w:space="0" w:color="auto"/>
            </w:tcBorders>
          </w:tcPr>
          <w:p>
            <w:pPr>
              <w:pStyle w:val="TableParagraph"/>
              <w:spacing w:line="240" w:lineRule="auto" w:before="41"/>
              <w:ind w:left="176"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2705" w:type="dxa"/>
            <w:tcBorders>
              <w:top w:val="single" w:sz="12" w:space="0" w:color="000000"/>
              <w:left w:val="nil" w:sz="6" w:space="0" w:color="auto"/>
              <w:bottom w:val="single" w:sz="12" w:space="0" w:color="000000"/>
              <w:right w:val="nil" w:sz="6" w:space="0" w:color="auto"/>
            </w:tcBorders>
          </w:tcPr>
          <w:p>
            <w:pPr>
              <w:pStyle w:val="TableParagraph"/>
              <w:tabs>
                <w:tab w:pos="2437" w:val="left" w:leader="none"/>
              </w:tabs>
              <w:spacing w:line="240" w:lineRule="auto"/>
              <w:ind w:left="453" w:right="0"/>
              <w:jc w:val="left"/>
              <w:rPr>
                <w:rFonts w:ascii="宋体" w:hAnsi="宋体" w:cs="宋体" w:eastAsia="宋体" w:hint="default"/>
                <w:sz w:val="18"/>
                <w:szCs w:val="18"/>
              </w:rPr>
            </w:pPr>
            <w:r>
              <w:rPr>
                <w:position w:val="-11"/>
              </w:rPr>
              <w:drawing>
                <wp:inline distT="0" distB="0" distL="0" distR="0">
                  <wp:extent cx="6096" cy="237744"/>
                  <wp:effectExtent l="0" t="0" r="0" b="0"/>
                  <wp:docPr id="9" name="image174.png" descr=""/>
                  <wp:cNvGraphicFramePr>
                    <a:graphicFrameLocks noChangeAspect="1"/>
                  </wp:cNvGraphicFramePr>
                  <a:graphic>
                    <a:graphicData uri="http://schemas.openxmlformats.org/drawingml/2006/picture">
                      <pic:pic>
                        <pic:nvPicPr>
                          <pic:cNvPr id="10" name="image174.png"/>
                          <pic:cNvPicPr/>
                        </pic:nvPicPr>
                        <pic:blipFill>
                          <a:blip r:embed="rId204" cstate="print"/>
                          <a:stretch>
                            <a:fillRect/>
                          </a:stretch>
                        </pic:blipFill>
                        <pic:spPr>
                          <a:xfrm>
                            <a:off x="0" y="0"/>
                            <a:ext cx="6096" cy="237744"/>
                          </a:xfrm>
                          <a:prstGeom prst="rect">
                            <a:avLst/>
                          </a:prstGeom>
                        </pic:spPr>
                      </pic:pic>
                    </a:graphicData>
                  </a:graphic>
                </wp:inline>
              </w:drawing>
            </w:r>
            <w:r>
              <w:rPr>
                <w:position w:val="-11"/>
              </w:rPr>
            </w:r>
            <w:r>
              <w:rPr>
                <w:rFonts w:ascii="Times New Roman" w:hAnsi="Times New Roman" w:cs="Times New Roman" w:eastAsia="Times New Roman" w:hint="default"/>
                <w:sz w:val="20"/>
                <w:szCs w:val="20"/>
              </w:rPr>
              <w:t>            </w:t>
            </w:r>
            <w:r>
              <w:rPr>
                <w:rFonts w:ascii="宋体" w:hAnsi="宋体" w:cs="宋体" w:eastAsia="宋体" w:hint="default"/>
                <w:sz w:val="18"/>
                <w:szCs w:val="18"/>
              </w:rPr>
              <w:t>期末余额</w:t>
              <w:tab/>
            </w:r>
            <w:r>
              <w:rPr>
                <w:rFonts w:ascii="宋体" w:hAnsi="宋体" w:cs="宋体" w:eastAsia="宋体" w:hint="default"/>
                <w:position w:val="-11"/>
                <w:sz w:val="18"/>
                <w:szCs w:val="18"/>
              </w:rPr>
              <w:drawing>
                <wp:inline distT="0" distB="0" distL="0" distR="0">
                  <wp:extent cx="6096" cy="237744"/>
                  <wp:effectExtent l="0" t="0" r="0" b="0"/>
                  <wp:docPr id="11" name="image174.png" descr=""/>
                  <wp:cNvGraphicFramePr>
                    <a:graphicFrameLocks noChangeAspect="1"/>
                  </wp:cNvGraphicFramePr>
                  <a:graphic>
                    <a:graphicData uri="http://schemas.openxmlformats.org/drawingml/2006/picture">
                      <pic:pic>
                        <pic:nvPicPr>
                          <pic:cNvPr id="12" name="image174.png"/>
                          <pic:cNvPicPr/>
                        </pic:nvPicPr>
                        <pic:blipFill>
                          <a:blip r:embed="rId204" cstate="print"/>
                          <a:stretch>
                            <a:fillRect/>
                          </a:stretch>
                        </pic:blipFill>
                        <pic:spPr>
                          <a:xfrm>
                            <a:off x="0" y="0"/>
                            <a:ext cx="6096" cy="237744"/>
                          </a:xfrm>
                          <a:prstGeom prst="rect">
                            <a:avLst/>
                          </a:prstGeom>
                        </pic:spPr>
                      </pic:pic>
                    </a:graphicData>
                  </a:graphic>
                </wp:inline>
              </w:drawing>
            </w:r>
            <w:r>
              <w:rPr>
                <w:rFonts w:ascii="宋体" w:hAnsi="宋体" w:cs="宋体" w:eastAsia="宋体" w:hint="default"/>
                <w:position w:val="-11"/>
                <w:sz w:val="18"/>
                <w:szCs w:val="18"/>
              </w:rPr>
            </w:r>
            <w:r>
              <w:rPr>
                <w:rFonts w:ascii="宋体" w:hAnsi="宋体" w:cs="宋体" w:eastAsia="宋体" w:hint="default"/>
                <w:sz w:val="18"/>
                <w:szCs w:val="18"/>
              </w:rPr>
            </w:r>
          </w:p>
        </w:tc>
        <w:tc>
          <w:tcPr>
            <w:tcW w:w="1721" w:type="dxa"/>
            <w:tcBorders>
              <w:top w:val="single" w:sz="12" w:space="0" w:color="000000"/>
              <w:left w:val="nil" w:sz="6" w:space="0" w:color="auto"/>
              <w:bottom w:val="single" w:sz="12" w:space="0" w:color="000000"/>
              <w:right w:val="nil" w:sz="6" w:space="0" w:color="auto"/>
            </w:tcBorders>
          </w:tcPr>
          <w:p>
            <w:pPr>
              <w:pStyle w:val="TableParagraph"/>
              <w:spacing w:line="240" w:lineRule="auto" w:before="41"/>
              <w:ind w:left="368" w:right="0"/>
              <w:jc w:val="left"/>
              <w:rPr>
                <w:rFonts w:ascii="宋体" w:hAnsi="宋体" w:cs="宋体" w:eastAsia="宋体" w:hint="default"/>
                <w:sz w:val="18"/>
                <w:szCs w:val="18"/>
              </w:rPr>
            </w:pPr>
            <w:r>
              <w:rPr>
                <w:rFonts w:ascii="宋体" w:hAnsi="宋体" w:cs="宋体" w:eastAsia="宋体" w:hint="default"/>
                <w:sz w:val="18"/>
                <w:szCs w:val="18"/>
              </w:rPr>
              <w:t>年初余额</w:t>
            </w:r>
          </w:p>
        </w:tc>
      </w:tr>
    </w:tbl>
    <w:p>
      <w:pPr>
        <w:spacing w:after="0" w:line="240" w:lineRule="auto"/>
        <w:jc w:val="left"/>
        <w:rPr>
          <w:rFonts w:ascii="宋体" w:hAnsi="宋体" w:cs="宋体" w:eastAsia="宋体" w:hint="default"/>
          <w:sz w:val="18"/>
          <w:szCs w:val="18"/>
        </w:rPr>
        <w:sectPr>
          <w:pgSz w:w="11910" w:h="16840"/>
          <w:pgMar w:header="0" w:footer="1256" w:top="1060" w:bottom="1440" w:left="1140" w:right="1640"/>
        </w:sectPr>
      </w:pPr>
    </w:p>
    <w:p>
      <w:pPr>
        <w:spacing w:line="240" w:lineRule="auto" w:before="6"/>
        <w:rPr>
          <w:rFonts w:ascii="宋体" w:hAnsi="宋体" w:cs="宋体" w:eastAsia="宋体" w:hint="default"/>
          <w:b/>
          <w:bCs/>
          <w:sz w:val="28"/>
          <w:szCs w:val="28"/>
        </w:rPr>
      </w:pPr>
    </w:p>
    <w:p>
      <w:pPr>
        <w:spacing w:line="1587" w:lineRule="exact"/>
        <w:ind w:left="1292"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391pt;height:79.4pt;mso-position-horizontal-relative:char;mso-position-vertical-relative:line" coordorigin="0,0" coordsize="7820,1588">
            <v:group style="position:absolute;left:29;top:15;width:5795;height:2" coordorigin="29,15" coordsize="5795,2">
              <v:shape style="position:absolute;left:29;top:15;width:5795;height:2" coordorigin="29,15" coordsize="5795,0" path="m29,15l5824,15e" filled="false" stroked="true" strokeweight="1.5pt" strokecolor="#000000">
                <v:path arrowok="t"/>
              </v:shape>
            </v:group>
            <v:group style="position:absolute;left:5824;top:15;width:1960;height:2" coordorigin="5824,15" coordsize="1960,2">
              <v:shape style="position:absolute;left:5824;top:15;width:1960;height:2" coordorigin="5824,15" coordsize="1960,0" path="m5824,15l7784,15e" filled="false" stroked="true" strokeweight="1.5pt" strokecolor="#000000">
                <v:path arrowok="t"/>
              </v:shape>
              <v:shape style="position:absolute;left:3782;top:1;width:2051;height:432" type="#_x0000_t75" stroked="false">
                <v:imagedata r:id="rId205" o:title=""/>
              </v:shape>
            </v:group>
            <v:group style="position:absolute;left:15;top:1573;width:3796;height:2" coordorigin="15,1573" coordsize="3796,2">
              <v:shape style="position:absolute;left:15;top:1573;width:3796;height:2" coordorigin="15,1573" coordsize="3796,0" path="m15,1573l3811,1573e" filled="false" stroked="true" strokeweight="1.5pt" strokecolor="#000000">
                <v:path arrowok="t"/>
              </v:shape>
            </v:group>
            <v:group style="position:absolute;left:3811;top:1573;width:1984;height:2" coordorigin="3811,1573" coordsize="1984,2">
              <v:shape style="position:absolute;left:3811;top:1573;width:1984;height:2" coordorigin="3811,1573" coordsize="1984,0" path="m3811,1573l5794,1573e" filled="false" stroked="true" strokeweight="1.5pt" strokecolor="#000000">
                <v:path arrowok="t"/>
              </v:shape>
              <v:shape style="position:absolute;left:1;top:376;width:7819;height:1182" type="#_x0000_t75" stroked="false">
                <v:imagedata r:id="rId206" o:title=""/>
              </v:shape>
            </v:group>
            <v:group style="position:absolute;left:5794;top:1573;width:30;height:2" coordorigin="5794,1573" coordsize="30,2">
              <v:shape style="position:absolute;left:5794;top:1573;width:30;height:2" coordorigin="5794,1573" coordsize="30,0" path="m5794,1573l5824,1573e" filled="false" stroked="true" strokeweight="1.5pt" strokecolor="#000000">
                <v:path arrowok="t"/>
              </v:shape>
            </v:group>
            <v:group style="position:absolute;left:5824;top:1573;width:1960;height:2" coordorigin="5824,1573" coordsize="1960,2">
              <v:shape style="position:absolute;left:5824;top:1573;width:1960;height:2" coordorigin="5824,1573" coordsize="1960,0" path="m5824,1573l7784,1573e" filled="false" stroked="true" strokeweight="1.5pt" strokecolor="#000000">
                <v:path arrowok="t"/>
              </v:shape>
              <v:shape style="position:absolute;left:139;top:127;width:2700;height:9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分期付息到期还本的长期借款利息</w:t>
                      </w:r>
                    </w:p>
                    <w:p>
                      <w:pPr>
                        <w:spacing w:line="386" w:lineRule="exact" w:before="50"/>
                        <w:ind w:left="0" w:right="1258" w:firstLine="0"/>
                        <w:jc w:val="left"/>
                        <w:rPr>
                          <w:rFonts w:ascii="宋体" w:hAnsi="宋体" w:cs="宋体" w:eastAsia="宋体" w:hint="default"/>
                          <w:sz w:val="18"/>
                          <w:szCs w:val="18"/>
                        </w:rPr>
                      </w:pPr>
                      <w:r>
                        <w:rPr>
                          <w:rFonts w:ascii="宋体" w:hAnsi="宋体" w:cs="宋体" w:eastAsia="宋体" w:hint="default"/>
                          <w:sz w:val="18"/>
                          <w:szCs w:val="18"/>
                        </w:rPr>
                        <w:t>企业债券利息 短期借款应付利息</w:t>
                      </w:r>
                    </w:p>
                  </w:txbxContent>
                </v:textbox>
                <w10:wrap type="none"/>
              </v:shape>
              <v:shape style="position:absolute;left:4881;top:904;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456,079.36</w:t>
                      </w:r>
                    </w:p>
                  </w:txbxContent>
                </v:textbox>
                <w10:wrap type="none"/>
              </v:shape>
              <v:shape style="position:absolute;left:1607;top:1281;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4881;top:128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456,079.36</w:t>
                      </w:r>
                    </w:p>
                  </w:txbxContent>
                </v:textbox>
                <w10:wrap type="none"/>
              </v:shape>
            </v:group>
          </v:group>
        </w:pict>
      </w:r>
      <w:r>
        <w:rPr>
          <w:rFonts w:ascii="宋体" w:hAnsi="宋体" w:cs="宋体" w:eastAsia="宋体" w:hint="default"/>
          <w:position w:val="-31"/>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spacing w:before="35"/>
        <w:ind w:left="698" w:right="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6"/>
          <w:sz w:val="21"/>
          <w:szCs w:val="21"/>
        </w:rPr>
        <w:t> </w:t>
      </w:r>
      <w:r>
        <w:rPr>
          <w:rFonts w:ascii="宋体" w:hAnsi="宋体" w:cs="宋体" w:eastAsia="宋体" w:hint="default"/>
          <w:b/>
          <w:bCs/>
          <w:sz w:val="21"/>
          <w:szCs w:val="21"/>
        </w:rPr>
        <w:t>其他应付款</w:t>
      </w:r>
      <w:r>
        <w:rPr>
          <w:rFonts w:ascii="宋体" w:hAnsi="宋体" w:cs="宋体" w:eastAsia="宋体" w:hint="default"/>
          <w:sz w:val="21"/>
          <w:szCs w:val="21"/>
        </w:rPr>
      </w:r>
    </w:p>
    <w:p>
      <w:pPr>
        <w:tabs>
          <w:tab w:pos="1968" w:val="left" w:leader="none"/>
        </w:tabs>
        <w:spacing w:before="110"/>
        <w:ind w:left="1429" w:right="31" w:firstLine="0"/>
        <w:jc w:val="left"/>
        <w:rPr>
          <w:rFonts w:ascii="宋体" w:hAnsi="宋体" w:cs="宋体" w:eastAsia="宋体" w:hint="default"/>
          <w:sz w:val="21"/>
          <w:szCs w:val="21"/>
        </w:rPr>
      </w:pPr>
      <w:r>
        <w:rPr/>
        <w:pict>
          <v:group style="position:absolute;margin-left:93.660004pt;margin-top:20.88336pt;width:390.6pt;height:116.3pt;mso-position-horizontal-relative:page;mso-position-vertical-relative:paragraph;z-index:-811552" coordorigin="1873,418" coordsize="7812,2326">
            <v:shape style="position:absolute;left:5228;top:418;width:2335;height:432" type="#_x0000_t75" stroked="false">
              <v:imagedata r:id="rId207" o:title=""/>
            </v:shape>
            <v:shape style="position:absolute;left:1873;top:792;width:7812;height:1951" type="#_x0000_t75" stroked="false">
              <v:imagedata r:id="rId208" o:title=""/>
            </v:shape>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其他应付款情况：</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1396" w:type="dxa"/>
        <w:tblLayout w:type="fixed"/>
        <w:tblCellMar>
          <w:top w:w="0" w:type="dxa"/>
          <w:left w:w="0" w:type="dxa"/>
          <w:bottom w:w="0" w:type="dxa"/>
          <w:right w:w="0" w:type="dxa"/>
        </w:tblCellMar>
        <w:tblLook w:val="01E0"/>
      </w:tblPr>
      <w:tblGrid>
        <w:gridCol w:w="1786"/>
        <w:gridCol w:w="1227"/>
        <w:gridCol w:w="2839"/>
        <w:gridCol w:w="1758"/>
      </w:tblGrid>
      <w:tr>
        <w:trPr>
          <w:trHeight w:val="784" w:hRule="exact"/>
        </w:trPr>
        <w:tc>
          <w:tcPr>
            <w:tcW w:w="178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0"/>
              <w:jc w:val="right"/>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148"/>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1227" w:type="dxa"/>
            <w:tcBorders>
              <w:top w:val="single" w:sz="12" w:space="0" w:color="000000"/>
              <w:left w:val="nil" w:sz="6" w:space="0" w:color="auto"/>
              <w:bottom w:val="nil" w:sz="6" w:space="0" w:color="auto"/>
              <w:right w:val="nil" w:sz="6" w:space="0" w:color="auto"/>
            </w:tcBorders>
          </w:tcPr>
          <w:p>
            <w:pPr/>
          </w:p>
        </w:tc>
        <w:tc>
          <w:tcPr>
            <w:tcW w:w="283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23"/>
              <w:jc w:val="center"/>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494" w:right="0"/>
              <w:jc w:val="left"/>
              <w:rPr>
                <w:rFonts w:ascii="Times New Roman" w:hAnsi="Times New Roman" w:cs="Times New Roman" w:eastAsia="Times New Roman" w:hint="default"/>
                <w:sz w:val="18"/>
                <w:szCs w:val="18"/>
              </w:rPr>
            </w:pPr>
            <w:r>
              <w:rPr>
                <w:rFonts w:ascii="Times New Roman"/>
                <w:sz w:val="18"/>
              </w:rPr>
              <w:t>7,988,911.86</w:t>
            </w:r>
          </w:p>
        </w:tc>
        <w:tc>
          <w:tcPr>
            <w:tcW w:w="175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05"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687" w:right="0"/>
              <w:jc w:val="left"/>
              <w:rPr>
                <w:rFonts w:ascii="Times New Roman" w:hAnsi="Times New Roman" w:cs="Times New Roman" w:eastAsia="Times New Roman" w:hint="default"/>
                <w:sz w:val="18"/>
                <w:szCs w:val="18"/>
              </w:rPr>
            </w:pPr>
            <w:r>
              <w:rPr>
                <w:rFonts w:ascii="Times New Roman"/>
                <w:sz w:val="18"/>
              </w:rPr>
              <w:t>77,012,702.48</w:t>
            </w:r>
          </w:p>
        </w:tc>
      </w:tr>
      <w:tr>
        <w:trPr>
          <w:trHeight w:val="385" w:hRule="exact"/>
        </w:trPr>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83"/>
              <w:jc w:val="righ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27" w:type="dxa"/>
            <w:tcBorders>
              <w:top w:val="nil" w:sz="6" w:space="0" w:color="auto"/>
              <w:left w:val="nil" w:sz="6" w:space="0" w:color="auto"/>
              <w:bottom w:val="nil" w:sz="6" w:space="0" w:color="auto"/>
              <w:right w:val="nil" w:sz="6" w:space="0" w:color="auto"/>
            </w:tcBorders>
          </w:tcPr>
          <w:p>
            <w:pPr/>
          </w:p>
        </w:tc>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3"/>
              <w:jc w:val="right"/>
              <w:rPr>
                <w:rFonts w:ascii="Times New Roman" w:hAnsi="Times New Roman" w:cs="Times New Roman" w:eastAsia="Times New Roman" w:hint="default"/>
                <w:sz w:val="18"/>
                <w:szCs w:val="18"/>
              </w:rPr>
            </w:pPr>
            <w:r>
              <w:rPr>
                <w:rFonts w:ascii="Times New Roman"/>
                <w:spacing w:val="-1"/>
                <w:sz w:val="18"/>
              </w:rPr>
              <w:t>6,631,192.58</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607,487.00</w:t>
            </w:r>
          </w:p>
        </w:tc>
      </w:tr>
      <w:tr>
        <w:trPr>
          <w:trHeight w:val="769" w:hRule="exact"/>
        </w:trPr>
        <w:tc>
          <w:tcPr>
            <w:tcW w:w="178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135"/>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227" w:type="dxa"/>
            <w:tcBorders>
              <w:top w:val="nil" w:sz="6" w:space="0" w:color="auto"/>
              <w:left w:val="nil" w:sz="6" w:space="0" w:color="auto"/>
              <w:bottom w:val="nil" w:sz="6" w:space="0" w:color="auto"/>
              <w:right w:val="nil" w:sz="6" w:space="0" w:color="auto"/>
            </w:tcBorders>
          </w:tcPr>
          <w:p>
            <w:pPr/>
          </w:p>
        </w:tc>
        <w:tc>
          <w:tcPr>
            <w:tcW w:w="283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403"/>
              <w:jc w:val="right"/>
              <w:rPr>
                <w:rFonts w:ascii="Times New Roman" w:hAnsi="Times New Roman" w:cs="Times New Roman" w:eastAsia="Times New Roman" w:hint="default"/>
                <w:sz w:val="18"/>
                <w:szCs w:val="18"/>
              </w:rPr>
            </w:pPr>
            <w:r>
              <w:rPr>
                <w:rFonts w:ascii="Times New Roman"/>
                <w:sz w:val="18"/>
              </w:rPr>
              <w:t>1,688.69</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2,199.69</w:t>
            </w:r>
          </w:p>
        </w:tc>
      </w:tr>
      <w:tr>
        <w:trPr>
          <w:trHeight w:val="390" w:hRule="exact"/>
        </w:trPr>
        <w:tc>
          <w:tcPr>
            <w:tcW w:w="1786"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358"/>
              <w:jc w:val="right"/>
              <w:rPr>
                <w:rFonts w:ascii="宋体" w:hAnsi="宋体" w:cs="宋体" w:eastAsia="宋体" w:hint="default"/>
                <w:sz w:val="18"/>
                <w:szCs w:val="18"/>
              </w:rPr>
            </w:pPr>
            <w:r>
              <w:rPr>
                <w:rFonts w:ascii="宋体" w:hAnsi="宋体" w:cs="宋体" w:eastAsia="宋体" w:hint="default"/>
                <w:sz w:val="18"/>
                <w:szCs w:val="18"/>
              </w:rPr>
              <w:t>合</w:t>
            </w:r>
          </w:p>
        </w:tc>
        <w:tc>
          <w:tcPr>
            <w:tcW w:w="1227"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839"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403"/>
              <w:jc w:val="right"/>
              <w:rPr>
                <w:rFonts w:ascii="Times New Roman" w:hAnsi="Times New Roman" w:cs="Times New Roman" w:eastAsia="Times New Roman" w:hint="default"/>
                <w:sz w:val="18"/>
                <w:szCs w:val="18"/>
              </w:rPr>
            </w:pPr>
            <w:r>
              <w:rPr>
                <w:rFonts w:ascii="Times New Roman"/>
                <w:spacing w:val="-1"/>
                <w:sz w:val="18"/>
              </w:rPr>
              <w:t>14,621,793.13</w:t>
            </w:r>
          </w:p>
        </w:tc>
        <w:tc>
          <w:tcPr>
            <w:tcW w:w="1758"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77,622,389.17</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1"/>
          <w:szCs w:val="21"/>
        </w:rPr>
      </w:pPr>
    </w:p>
    <w:p>
      <w:pPr>
        <w:tabs>
          <w:tab w:pos="1968" w:val="left" w:leader="none"/>
        </w:tabs>
        <w:spacing w:before="35"/>
        <w:ind w:left="1429" w:right="3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期末余额中无欠持本公司</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％）表决权股份的股东单位款项。</w:t>
      </w:r>
      <w:r>
        <w:rPr>
          <w:rFonts w:ascii="宋体" w:hAnsi="宋体" w:cs="宋体" w:eastAsia="宋体" w:hint="default"/>
          <w:sz w:val="21"/>
          <w:szCs w:val="21"/>
        </w:rPr>
      </w:r>
    </w:p>
    <w:p>
      <w:pPr>
        <w:tabs>
          <w:tab w:pos="1968" w:val="left" w:leader="none"/>
        </w:tabs>
        <w:spacing w:before="110"/>
        <w:ind w:left="1430" w:right="3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期末余额中无欠关联方款项。</w:t>
      </w:r>
      <w:r>
        <w:rPr>
          <w:rFonts w:ascii="宋体" w:hAnsi="宋体" w:cs="宋体" w:eastAsia="宋体" w:hint="default"/>
          <w:sz w:val="21"/>
          <w:szCs w:val="21"/>
        </w:rPr>
      </w:r>
    </w:p>
    <w:p>
      <w:pPr>
        <w:tabs>
          <w:tab w:pos="1968" w:val="left" w:leader="none"/>
        </w:tabs>
        <w:spacing w:before="109"/>
        <w:ind w:left="1430" w:right="3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期末余额中无账龄超过一年的大额其他应付款情况。</w:t>
      </w:r>
      <w:r>
        <w:rPr>
          <w:rFonts w:ascii="宋体" w:hAnsi="宋体" w:cs="宋体" w:eastAsia="宋体" w:hint="default"/>
          <w:sz w:val="21"/>
          <w:szCs w:val="21"/>
        </w:rPr>
      </w:r>
    </w:p>
    <w:p>
      <w:pPr>
        <w:tabs>
          <w:tab w:pos="1968" w:val="left" w:leader="none"/>
        </w:tabs>
        <w:spacing w:before="109"/>
        <w:ind w:left="1430" w:right="3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期末余额中无金额较大的其他应付款情况。</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spacing w:before="0"/>
        <w:ind w:left="698" w:right="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预计负债</w:t>
      </w:r>
      <w:r>
        <w:rPr>
          <w:rFonts w:ascii="宋体" w:hAnsi="宋体" w:cs="宋体" w:eastAsia="宋体" w:hint="default"/>
          <w:sz w:val="21"/>
          <w:szCs w:val="21"/>
        </w:rPr>
      </w:r>
    </w:p>
    <w:p>
      <w:pPr>
        <w:spacing w:line="1203" w:lineRule="exact"/>
        <w:ind w:left="1292"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398.25pt;height:60.2pt;mso-position-horizontal-relative:char;mso-position-vertical-relative:line" coordorigin="0,0" coordsize="7965,1204">
            <v:group style="position:absolute;left:29;top:15;width:7917;height:2" coordorigin="29,15" coordsize="7917,2">
              <v:shape style="position:absolute;left:29;top:15;width:7917;height:2" coordorigin="29,15" coordsize="7917,0" path="m29,15l7946,15e" filled="false" stroked="true" strokeweight="1.5pt" strokecolor="#000000">
                <v:path arrowok="t"/>
              </v:shape>
              <v:shape style="position:absolute;left:2095;top:1;width:4304;height:432" type="#_x0000_t75" stroked="false">
                <v:imagedata r:id="rId209" o:title=""/>
              </v:shape>
            </v:group>
            <v:group style="position:absolute;left:15;top:1189;width:2109;height:2" coordorigin="15,1189" coordsize="2109,2">
              <v:shape style="position:absolute;left:15;top:1189;width:2109;height:2" coordorigin="15,1189" coordsize="2109,0" path="m15,1189l2123,1189e" filled="false" stroked="true" strokeweight="1.5pt" strokecolor="#000000">
                <v:path arrowok="t"/>
              </v:shape>
            </v:group>
            <v:group style="position:absolute;left:2123;top:1189;width:1403;height:2" coordorigin="2123,1189" coordsize="1403,2">
              <v:shape style="position:absolute;left:2123;top:1189;width:1403;height:2" coordorigin="2123,1189" coordsize="1403,0" path="m2123,1189l3526,1189e" filled="false" stroked="true" strokeweight="1.5pt" strokecolor="#000000">
                <v:path arrowok="t"/>
              </v:shape>
            </v:group>
            <v:group style="position:absolute;left:3526;top:1189;width:1419;height:2" coordorigin="3526,1189" coordsize="1419,2">
              <v:shape style="position:absolute;left:3526;top:1189;width:1419;height:2" coordorigin="3526,1189" coordsize="1419,0" path="m3526,1189l4945,1189e" filled="false" stroked="true" strokeweight="1.5pt" strokecolor="#000000">
                <v:path arrowok="t"/>
              </v:shape>
            </v:group>
            <v:group style="position:absolute;left:4945;top:1189;width:1416;height:2" coordorigin="4945,1189" coordsize="1416,2">
              <v:shape style="position:absolute;left:4945;top:1189;width:1416;height:2" coordorigin="4945,1189" coordsize="1416,0" path="m4945,1189l6361,1189e" filled="false" stroked="true" strokeweight="1.5pt" strokecolor="#000000">
                <v:path arrowok="t"/>
              </v:shape>
              <v:shape style="position:absolute;left:10;top:385;width:7955;height:788" type="#_x0000_t75" stroked="false">
                <v:imagedata r:id="rId210" o:title=""/>
              </v:shape>
            </v:group>
            <v:group style="position:absolute;left:6361;top:1189;width:1586;height:2" coordorigin="6361,1189" coordsize="1586,2">
              <v:shape style="position:absolute;left:6361;top:1189;width:1586;height:2" coordorigin="6361,1189" coordsize="1586,0" path="m6361,1189l7946,1189e" filled="false" stroked="true" strokeweight="1.5pt" strokecolor="#000000">
                <v:path arrowok="t"/>
              </v:shape>
              <v:shape style="position:absolute;left:899;top:1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2469;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880;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5297;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shape style="position:absolute;left:6796;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139;top:513;width:67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ATM</w:t>
                      </w:r>
                      <w:r>
                        <w:rPr>
                          <w:rFonts w:ascii="宋体" w:hAnsi="宋体" w:cs="宋体" w:eastAsia="宋体" w:hint="default"/>
                          <w:spacing w:val="-46"/>
                          <w:sz w:val="18"/>
                          <w:szCs w:val="18"/>
                        </w:rPr>
                        <w:t> </w:t>
                      </w:r>
                      <w:r>
                        <w:rPr>
                          <w:rFonts w:ascii="宋体" w:hAnsi="宋体" w:cs="宋体" w:eastAsia="宋体" w:hint="default"/>
                          <w:sz w:val="18"/>
                          <w:szCs w:val="18"/>
                        </w:rPr>
                        <w:t>维护</w:t>
                      </w:r>
                    </w:p>
                  </w:txbxContent>
                </v:textbox>
                <w10:wrap type="none"/>
              </v:shape>
              <v:shape style="position:absolute;left:2389;top:520;width:3872;height:180" type="#_x0000_t202" filled="false" stroked="false">
                <v:textbox inset="0,0,0,0">
                  <w:txbxContent>
                    <w:p>
                      <w:pPr>
                        <w:tabs>
                          <w:tab w:pos="1418" w:val="left" w:leader="none"/>
                          <w:tab w:pos="284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27,538,800.00</w:t>
                        <w:tab/>
                        <w:t>23,163,600.00</w:t>
                        <w:tab/>
                        <w:t>11,752,800.00</w:t>
                      </w:r>
                    </w:p>
                  </w:txbxContent>
                </v:textbox>
                <w10:wrap type="none"/>
              </v:shape>
              <v:shape style="position:absolute;left:6804;top:52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38,949,600.00</w:t>
                      </w:r>
                    </w:p>
                  </w:txbxContent>
                </v:textbox>
                <w10:wrap type="none"/>
              </v:shape>
              <v:shape style="position:absolute;left:899;top:89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389;top:904;width:3872;height:180" type="#_x0000_t202" filled="false" stroked="false">
                <v:textbox inset="0,0,0,0">
                  <w:txbxContent>
                    <w:p>
                      <w:pPr>
                        <w:tabs>
                          <w:tab w:pos="1418" w:val="left" w:leader="none"/>
                          <w:tab w:pos="284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27,538,800.00</w:t>
                        <w:tab/>
                        <w:t>23,163,600.00</w:t>
                        <w:tab/>
                        <w:t>11,752,800.00</w:t>
                      </w:r>
                    </w:p>
                  </w:txbxContent>
                </v:textbox>
                <w10:wrap type="none"/>
              </v:shape>
              <v:shape style="position:absolute;left:6804;top:904;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38,949,600.00</w:t>
                      </w:r>
                    </w:p>
                  </w:txbxContent>
                </v:textbox>
                <w10:wrap type="none"/>
              </v:shape>
            </v:group>
          </v:group>
        </w:pict>
      </w:r>
      <w:r>
        <w:rPr>
          <w:rFonts w:ascii="宋体" w:hAnsi="宋体" w:cs="宋体" w:eastAsia="宋体" w:hint="default"/>
          <w:position w:val="-23"/>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9"/>
          <w:szCs w:val="19"/>
        </w:rPr>
      </w:pPr>
    </w:p>
    <w:p>
      <w:pPr>
        <w:spacing w:before="35"/>
        <w:ind w:left="712" w:right="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13"/>
          <w:sz w:val="21"/>
          <w:szCs w:val="21"/>
        </w:rPr>
        <w:t> </w:t>
      </w:r>
      <w:r>
        <w:rPr>
          <w:rFonts w:ascii="宋体" w:hAnsi="宋体" w:cs="宋体" w:eastAsia="宋体" w:hint="default"/>
          <w:b/>
          <w:bCs/>
          <w:sz w:val="21"/>
          <w:szCs w:val="21"/>
        </w:rPr>
        <w:t>股本</w:t>
      </w:r>
      <w:r>
        <w:rPr>
          <w:rFonts w:ascii="宋体" w:hAnsi="宋体" w:cs="宋体" w:eastAsia="宋体" w:hint="default"/>
          <w:sz w:val="21"/>
          <w:szCs w:val="21"/>
        </w:rPr>
      </w:r>
    </w:p>
    <w:p>
      <w:pPr>
        <w:spacing w:line="3276" w:lineRule="exact"/>
        <w:ind w:left="115"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527.15pt;height:163.8pt;mso-position-horizontal-relative:char;mso-position-vertical-relative:line" coordorigin="0,0" coordsize="10543,3276">
            <v:group style="position:absolute;left:29;top:15;width:10491;height:2" coordorigin="29,15" coordsize="10491,2">
              <v:shape style="position:absolute;left:29;top:15;width:10491;height:2" coordorigin="29,15" coordsize="10491,0" path="m29,15l10520,15e" filled="false" stroked="true" strokeweight="1.5pt" strokecolor="#000000">
                <v:path arrowok="t"/>
              </v:shape>
              <v:shape style="position:absolute;left:2231;top:11;width:6612;height:948" type="#_x0000_t75" stroked="false">
                <v:imagedata r:id="rId211" o:title=""/>
              </v:shape>
            </v:group>
            <v:group style="position:absolute;left:15;top:3261;width:2236;height:2" coordorigin="15,3261" coordsize="2236,2">
              <v:shape style="position:absolute;left:15;top:3261;width:2236;height:2" coordorigin="15,3261" coordsize="2236,0" path="m15,3261l2251,3261e" filled="false" stroked="true" strokeweight="1.5pt" strokecolor="#000000">
                <v:path arrowok="t"/>
              </v:shape>
            </v:group>
            <v:group style="position:absolute;left:2251;top:3261;width:1461;height:2" coordorigin="2251,3261" coordsize="1461,2">
              <v:shape style="position:absolute;left:2251;top:3261;width:1461;height:2" coordorigin="2251,3261" coordsize="1461,0" path="m2251,3261l3711,3261e" filled="false" stroked="true" strokeweight="1.5pt" strokecolor="#000000">
                <v:path arrowok="t"/>
              </v:shape>
            </v:group>
            <v:group style="position:absolute;left:3711;top:3261;width:710;height:2" coordorigin="3711,3261" coordsize="710,2">
              <v:shape style="position:absolute;left:3711;top:3261;width:710;height:2" coordorigin="3711,3261" coordsize="710,0" path="m3711,3261l4420,3261e" filled="false" stroked="true" strokeweight="1.5pt" strokecolor="#000000">
                <v:path arrowok="t"/>
              </v:shape>
            </v:group>
            <v:group style="position:absolute;left:4420;top:3261;width:568;height:2" coordorigin="4420,3261" coordsize="568,2">
              <v:shape style="position:absolute;left:4420;top:3261;width:568;height:2" coordorigin="4420,3261" coordsize="568,0" path="m4420,3261l4988,3261e" filled="false" stroked="true" strokeweight="1.5pt" strokecolor="#000000">
                <v:path arrowok="t"/>
              </v:shape>
            </v:group>
            <v:group style="position:absolute;left:4988;top:3261;width:1276;height:2" coordorigin="4988,3261" coordsize="1276,2">
              <v:shape style="position:absolute;left:4988;top:3261;width:1276;height:2" coordorigin="4988,3261" coordsize="1276,0" path="m4988,3261l6263,3261e" filled="false" stroked="true" strokeweight="1.5pt" strokecolor="#000000">
                <v:path arrowok="t"/>
              </v:shape>
            </v:group>
            <v:group style="position:absolute;left:6263;top:3261;width:1275;height:2" coordorigin="6263,3261" coordsize="1275,2">
              <v:shape style="position:absolute;left:6263;top:3261;width:1275;height:2" coordorigin="6263,3261" coordsize="1275,0" path="m6263,3261l7538,3261e" filled="false" stroked="true" strokeweight="1.5pt" strokecolor="#000000">
                <v:path arrowok="t"/>
              </v:shape>
            </v:group>
            <v:group style="position:absolute;left:7538;top:3261;width:1277;height:2" coordorigin="7538,3261" coordsize="1277,2">
              <v:shape style="position:absolute;left:7538;top:3261;width:1277;height:2" coordorigin="7538,3261" coordsize="1277,0" path="m7538,3261l8815,3261e" filled="false" stroked="true" strokeweight="1.5pt" strokecolor="#000000">
                <v:path arrowok="t"/>
              </v:shape>
              <v:shape style="position:absolute;left:10;top:920;width:10532;height:2326" type="#_x0000_t75" stroked="false">
                <v:imagedata r:id="rId212" o:title=""/>
              </v:shape>
            </v:group>
            <v:group style="position:absolute;left:8815;top:3261;width:1706;height:2" coordorigin="8815,3261" coordsize="1706,2">
              <v:shape style="position:absolute;left:8815;top:3261;width:1706;height:2" coordorigin="8815,3261" coordsize="1706,0" path="m8815,3261l10520,3261e" filled="false" stroked="true" strokeweight="1.5pt" strokecolor="#000000">
                <v:path arrowok="t"/>
              </v:shape>
              <v:shape style="position:absolute;left:5228;top:123;width:2082;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本期变动增（</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p>
                  </w:txbxContent>
                </v:textbox>
                <w10:wrap type="none"/>
              </v:shape>
              <v:shape style="position:absolute;left:963;top:4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2626;top:4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891;top:432;width:360;height:4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发行</w:t>
                      </w:r>
                    </w:p>
                    <w:p>
                      <w:pPr>
                        <w:spacing w:before="64"/>
                        <w:ind w:left="0" w:right="0" w:firstLine="0"/>
                        <w:jc w:val="left"/>
                        <w:rPr>
                          <w:rFonts w:ascii="宋体" w:hAnsi="宋体" w:cs="宋体" w:eastAsia="宋体" w:hint="default"/>
                          <w:sz w:val="18"/>
                          <w:szCs w:val="18"/>
                        </w:rPr>
                      </w:pPr>
                      <w:r>
                        <w:rPr>
                          <w:rFonts w:ascii="宋体" w:hAnsi="宋体" w:cs="宋体" w:eastAsia="宋体" w:hint="default"/>
                          <w:sz w:val="18"/>
                          <w:szCs w:val="18"/>
                        </w:rPr>
                        <w:t>新股</w:t>
                      </w:r>
                    </w:p>
                  </w:txbxContent>
                </v:textbox>
                <w10:wrap type="none"/>
              </v:shape>
              <v:shape style="position:absolute;left:4618;top:432;width:180;height:4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送</w:t>
                      </w:r>
                    </w:p>
                    <w:p>
                      <w:pPr>
                        <w:spacing w:before="64"/>
                        <w:ind w:left="0" w:right="0" w:firstLine="0"/>
                        <w:jc w:val="left"/>
                        <w:rPr>
                          <w:rFonts w:ascii="宋体" w:hAnsi="宋体" w:cs="宋体" w:eastAsia="宋体" w:hint="default"/>
                          <w:sz w:val="18"/>
                          <w:szCs w:val="18"/>
                        </w:rPr>
                      </w:pPr>
                      <w:r>
                        <w:rPr>
                          <w:rFonts w:ascii="宋体" w:hAnsi="宋体" w:cs="宋体" w:eastAsia="宋体" w:hint="default"/>
                          <w:sz w:val="18"/>
                          <w:szCs w:val="18"/>
                        </w:rPr>
                        <w:t>股</w:t>
                      </w:r>
                    </w:p>
                  </w:txbxContent>
                </v:textbox>
                <w10:wrap type="none"/>
              </v:shape>
              <v:shape style="position:absolute;left:9310;top:4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5180;top:58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公积金转股</w:t>
                      </w:r>
                    </w:p>
                  </w:txbxContent>
                </v:textbox>
                <w10:wrap type="none"/>
              </v:shape>
              <v:shape style="position:absolute;left:6725;top:58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8001;top:58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139;top:1047;width:1530;height:133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1．有限售条件股份</w:t>
                      </w:r>
                    </w:p>
                    <w:p>
                      <w:pPr>
                        <w:spacing w:before="149"/>
                        <w:ind w:left="0" w:right="0" w:firstLine="0"/>
                        <w:jc w:val="left"/>
                        <w:rPr>
                          <w:rFonts w:ascii="宋体" w:hAnsi="宋体" w:cs="宋体" w:eastAsia="宋体" w:hint="default"/>
                          <w:sz w:val="18"/>
                          <w:szCs w:val="18"/>
                        </w:rPr>
                      </w:pPr>
                      <w:r>
                        <w:rPr>
                          <w:rFonts w:ascii="宋体" w:hAnsi="宋体" w:cs="宋体" w:eastAsia="宋体" w:hint="default"/>
                          <w:sz w:val="18"/>
                          <w:szCs w:val="18"/>
                        </w:rPr>
                        <w:t>(1). 国家持股</w:t>
                      </w:r>
                    </w:p>
                    <w:p>
                      <w:pPr>
                        <w:spacing w:before="148"/>
                        <w:ind w:left="0" w:right="0" w:firstLine="0"/>
                        <w:jc w:val="left"/>
                        <w:rPr>
                          <w:rFonts w:ascii="宋体" w:hAnsi="宋体" w:cs="宋体" w:eastAsia="宋体" w:hint="default"/>
                          <w:sz w:val="18"/>
                          <w:szCs w:val="18"/>
                        </w:rPr>
                      </w:pPr>
                      <w:r>
                        <w:rPr>
                          <w:rFonts w:ascii="宋体" w:hAnsi="宋体" w:cs="宋体" w:eastAsia="宋体" w:hint="default"/>
                          <w:sz w:val="18"/>
                          <w:szCs w:val="18"/>
                        </w:rPr>
                        <w:t>(2). 国有法人持股</w:t>
                      </w:r>
                    </w:p>
                    <w:p>
                      <w:pPr>
                        <w:spacing w:before="148"/>
                        <w:ind w:left="0" w:right="0" w:firstLine="0"/>
                        <w:jc w:val="left"/>
                        <w:rPr>
                          <w:rFonts w:ascii="宋体" w:hAnsi="宋体" w:cs="宋体" w:eastAsia="宋体" w:hint="default"/>
                          <w:sz w:val="18"/>
                          <w:szCs w:val="18"/>
                        </w:rPr>
                      </w:pPr>
                      <w:r>
                        <w:rPr>
                          <w:rFonts w:ascii="宋体" w:hAnsi="宋体" w:cs="宋体" w:eastAsia="宋体" w:hint="default"/>
                          <w:sz w:val="18"/>
                          <w:szCs w:val="18"/>
                        </w:rPr>
                        <w:t>(3). 其他内资持股</w:t>
                      </w:r>
                    </w:p>
                  </w:txbxContent>
                </v:textbox>
                <w10:wrap type="none"/>
              </v:shape>
              <v:shape style="position:absolute;left:2423;top:2207;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108,471,049.00</w:t>
                      </w:r>
                    </w:p>
                  </w:txbxContent>
                </v:textbox>
                <w10:wrap type="none"/>
              </v:shape>
              <v:shape style="position:absolute;left:5113;top:2207;width:3587;height:180" type="#_x0000_t202" filled="false" stroked="false">
                <v:textbox inset="0,0,0,0">
                  <w:txbxContent>
                    <w:p>
                      <w:pPr>
                        <w:tabs>
                          <w:tab w:pos="1289" w:val="left" w:leader="none"/>
                          <w:tab w:pos="255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32,479,046.00</w:t>
                        <w:tab/>
                        <w:t>-1,617,417.00</w:t>
                        <w:tab/>
                        <w:t>30,861,629.00</w:t>
                      </w:r>
                    </w:p>
                  </w:txbxContent>
                </v:textbox>
                <w10:wrap type="none"/>
              </v:shape>
              <v:shape style="position:absolute;left:9107;top:2207;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139,332,678.00</w:t>
                      </w:r>
                    </w:p>
                  </w:txbxContent>
                </v:textbox>
                <w10:wrap type="none"/>
              </v:shape>
              <v:shape style="position:absolute;left:139;top:2585;width:1080;height:56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w:t>
                      </w:r>
                    </w:p>
                    <w:p>
                      <w:pPr>
                        <w:spacing w:before="148"/>
                        <w:ind w:left="0" w:right="0" w:firstLine="0"/>
                        <w:jc w:val="left"/>
                        <w:rPr>
                          <w:rFonts w:ascii="宋体" w:hAnsi="宋体" w:cs="宋体" w:eastAsia="宋体" w:hint="default"/>
                          <w:sz w:val="18"/>
                          <w:szCs w:val="18"/>
                        </w:rPr>
                      </w:pPr>
                      <w:r>
                        <w:rPr>
                          <w:rFonts w:ascii="宋体" w:hAnsi="宋体" w:cs="宋体" w:eastAsia="宋体" w:hint="default"/>
                          <w:sz w:val="18"/>
                          <w:szCs w:val="18"/>
                        </w:rPr>
                        <w:t>境内法人持股</w:t>
                      </w:r>
                    </w:p>
                  </w:txbxContent>
                </v:textbox>
                <w10:wrap type="none"/>
              </v:shape>
            </v:group>
          </v:group>
        </w:pict>
      </w:r>
      <w:r>
        <w:rPr>
          <w:rFonts w:ascii="宋体" w:hAnsi="宋体" w:cs="宋体" w:eastAsia="宋体" w:hint="default"/>
          <w:position w:val="-65"/>
          <w:sz w:val="20"/>
          <w:szCs w:val="20"/>
        </w:rPr>
      </w:r>
    </w:p>
    <w:p>
      <w:pPr>
        <w:spacing w:after="0" w:line="3276" w:lineRule="exact"/>
        <w:rPr>
          <w:rFonts w:ascii="宋体" w:hAnsi="宋体" w:cs="宋体" w:eastAsia="宋体" w:hint="default"/>
          <w:sz w:val="20"/>
          <w:szCs w:val="20"/>
        </w:rPr>
        <w:sectPr>
          <w:pgSz w:w="11910" w:h="16840"/>
          <w:pgMar w:header="0" w:footer="1256" w:top="1060" w:bottom="1440" w:left="580" w:right="560"/>
        </w:sect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8"/>
          <w:szCs w:val="18"/>
        </w:rPr>
      </w:pPr>
    </w:p>
    <w:tbl>
      <w:tblPr>
        <w:tblW w:w="0" w:type="auto"/>
        <w:jc w:val="left"/>
        <w:tblInd w:w="2503" w:type="dxa"/>
        <w:tblLayout w:type="fixed"/>
        <w:tblCellMar>
          <w:top w:w="0" w:type="dxa"/>
          <w:left w:w="0" w:type="dxa"/>
          <w:bottom w:w="0" w:type="dxa"/>
          <w:right w:w="0" w:type="dxa"/>
        </w:tblCellMar>
        <w:tblLook w:val="01E0"/>
      </w:tblPr>
      <w:tblGrid>
        <w:gridCol w:w="1942"/>
        <w:gridCol w:w="1945"/>
        <w:gridCol w:w="1261"/>
        <w:gridCol w:w="1435"/>
        <w:gridCol w:w="1466"/>
      </w:tblGrid>
      <w:tr>
        <w:trPr>
          <w:trHeight w:val="1051" w:hRule="exact"/>
        </w:trPr>
        <w:tc>
          <w:tcPr>
            <w:tcW w:w="1942" w:type="dxa"/>
            <w:tcBorders>
              <w:top w:val="nil" w:sz="6" w:space="0" w:color="auto"/>
              <w:left w:val="nil" w:sz="6" w:space="0" w:color="auto"/>
              <w:bottom w:val="nil" w:sz="6" w:space="0" w:color="auto"/>
              <w:right w:val="nil" w:sz="6" w:space="0" w:color="auto"/>
            </w:tcBorders>
          </w:tcPr>
          <w:p>
            <w:pPr>
              <w:pStyle w:val="TableParagraph"/>
              <w:spacing w:line="184" w:lineRule="exact"/>
              <w:ind w:left="35" w:right="0"/>
              <w:jc w:val="left"/>
              <w:rPr>
                <w:rFonts w:ascii="Times New Roman" w:hAnsi="Times New Roman" w:cs="Times New Roman" w:eastAsia="Times New Roman" w:hint="default"/>
                <w:sz w:val="18"/>
                <w:szCs w:val="18"/>
              </w:rPr>
            </w:pPr>
            <w:r>
              <w:rPr>
                <w:rFonts w:ascii="Times New Roman"/>
                <w:sz w:val="18"/>
              </w:rPr>
              <w:t>108,471,049.00</w:t>
            </w:r>
          </w:p>
        </w:tc>
        <w:tc>
          <w:tcPr>
            <w:tcW w:w="1945" w:type="dxa"/>
            <w:tcBorders>
              <w:top w:val="nil" w:sz="6" w:space="0" w:color="auto"/>
              <w:left w:val="nil" w:sz="6" w:space="0" w:color="auto"/>
              <w:bottom w:val="nil" w:sz="6" w:space="0" w:color="auto"/>
              <w:right w:val="nil" w:sz="6" w:space="0" w:color="auto"/>
            </w:tcBorders>
          </w:tcPr>
          <w:p>
            <w:pPr>
              <w:pStyle w:val="TableParagraph"/>
              <w:spacing w:line="184" w:lineRule="exact"/>
              <w:ind w:right="125"/>
              <w:jc w:val="right"/>
              <w:rPr>
                <w:rFonts w:ascii="Times New Roman" w:hAnsi="Times New Roman" w:cs="Times New Roman" w:eastAsia="Times New Roman" w:hint="default"/>
                <w:sz w:val="18"/>
                <w:szCs w:val="18"/>
              </w:rPr>
            </w:pPr>
            <w:r>
              <w:rPr>
                <w:rFonts w:ascii="Times New Roman"/>
                <w:spacing w:val="-1"/>
                <w:sz w:val="18"/>
              </w:rPr>
              <w:t>32,479,046.00</w:t>
            </w:r>
          </w:p>
        </w:tc>
        <w:tc>
          <w:tcPr>
            <w:tcW w:w="1261"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center"/>
              <w:rPr>
                <w:rFonts w:ascii="Times New Roman" w:hAnsi="Times New Roman" w:cs="Times New Roman" w:eastAsia="Times New Roman" w:hint="default"/>
                <w:sz w:val="18"/>
                <w:szCs w:val="18"/>
              </w:rPr>
            </w:pPr>
            <w:r>
              <w:rPr>
                <w:rFonts w:ascii="Times New Roman"/>
                <w:sz w:val="18"/>
              </w:rPr>
              <w:t>-1,617,417.00</w:t>
            </w:r>
          </w:p>
        </w:tc>
        <w:tc>
          <w:tcPr>
            <w:tcW w:w="1435" w:type="dxa"/>
            <w:tcBorders>
              <w:top w:val="nil" w:sz="6" w:space="0" w:color="auto"/>
              <w:left w:val="nil" w:sz="6" w:space="0" w:color="auto"/>
              <w:bottom w:val="nil" w:sz="6" w:space="0" w:color="auto"/>
              <w:right w:val="nil" w:sz="6" w:space="0" w:color="auto"/>
            </w:tcBorders>
          </w:tcPr>
          <w:p>
            <w:pPr>
              <w:pStyle w:val="TableParagraph"/>
              <w:spacing w:line="184" w:lineRule="exact"/>
              <w:ind w:left="127" w:right="0"/>
              <w:jc w:val="left"/>
              <w:rPr>
                <w:rFonts w:ascii="Times New Roman" w:hAnsi="Times New Roman" w:cs="Times New Roman" w:eastAsia="Times New Roman" w:hint="default"/>
                <w:sz w:val="18"/>
                <w:szCs w:val="18"/>
              </w:rPr>
            </w:pPr>
            <w:r>
              <w:rPr>
                <w:rFonts w:ascii="Times New Roman"/>
                <w:sz w:val="18"/>
              </w:rPr>
              <w:t>30,861,629.00</w:t>
            </w:r>
          </w:p>
        </w:tc>
        <w:tc>
          <w:tcPr>
            <w:tcW w:w="1466" w:type="dxa"/>
            <w:tcBorders>
              <w:top w:val="nil" w:sz="6" w:space="0" w:color="auto"/>
              <w:left w:val="nil" w:sz="6" w:space="0" w:color="auto"/>
              <w:bottom w:val="nil" w:sz="6" w:space="0" w:color="auto"/>
              <w:right w:val="nil" w:sz="6" w:space="0" w:color="auto"/>
            </w:tcBorders>
          </w:tcPr>
          <w:p>
            <w:pPr>
              <w:pStyle w:val="TableParagraph"/>
              <w:spacing w:line="184" w:lineRule="exact"/>
              <w:ind w:right="68"/>
              <w:jc w:val="right"/>
              <w:rPr>
                <w:rFonts w:ascii="Times New Roman" w:hAnsi="Times New Roman" w:cs="Times New Roman" w:eastAsia="Times New Roman" w:hint="default"/>
                <w:sz w:val="18"/>
                <w:szCs w:val="18"/>
              </w:rPr>
            </w:pPr>
            <w:r>
              <w:rPr>
                <w:rFonts w:ascii="Times New Roman"/>
                <w:spacing w:val="-1"/>
                <w:sz w:val="18"/>
              </w:rPr>
              <w:t>139,332,678.00</w:t>
            </w:r>
          </w:p>
        </w:tc>
      </w:tr>
      <w:tr>
        <w:trPr>
          <w:trHeight w:val="1345" w:hRule="exact"/>
        </w:trPr>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1"/>
              <w:ind w:left="35" w:right="0"/>
              <w:jc w:val="left"/>
              <w:rPr>
                <w:rFonts w:ascii="Times New Roman" w:hAnsi="Times New Roman" w:cs="Times New Roman" w:eastAsia="Times New Roman" w:hint="default"/>
                <w:sz w:val="18"/>
                <w:szCs w:val="18"/>
              </w:rPr>
            </w:pPr>
            <w:r>
              <w:rPr>
                <w:rFonts w:ascii="Times New Roman"/>
                <w:sz w:val="18"/>
              </w:rPr>
              <w:t>108,471,049.00</w:t>
            </w:r>
          </w:p>
        </w:tc>
        <w:tc>
          <w:tcPr>
            <w:tcW w:w="19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1"/>
              <w:ind w:right="125"/>
              <w:jc w:val="right"/>
              <w:rPr>
                <w:rFonts w:ascii="Times New Roman" w:hAnsi="Times New Roman" w:cs="Times New Roman" w:eastAsia="Times New Roman" w:hint="default"/>
                <w:sz w:val="18"/>
                <w:szCs w:val="18"/>
              </w:rPr>
            </w:pPr>
            <w:r>
              <w:rPr>
                <w:rFonts w:ascii="Times New Roman"/>
                <w:spacing w:val="-1"/>
                <w:sz w:val="18"/>
              </w:rPr>
              <w:t>32,479,046.00</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1"/>
              <w:ind w:right="0"/>
              <w:jc w:val="center"/>
              <w:rPr>
                <w:rFonts w:ascii="Times New Roman" w:hAnsi="Times New Roman" w:cs="Times New Roman" w:eastAsia="Times New Roman" w:hint="default"/>
                <w:sz w:val="18"/>
                <w:szCs w:val="18"/>
              </w:rPr>
            </w:pPr>
            <w:r>
              <w:rPr>
                <w:rFonts w:ascii="Times New Roman"/>
                <w:sz w:val="18"/>
              </w:rPr>
              <w:t>-1,617,417.00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1"/>
              <w:ind w:left="127" w:right="0"/>
              <w:jc w:val="left"/>
              <w:rPr>
                <w:rFonts w:ascii="Times New Roman" w:hAnsi="Times New Roman" w:cs="Times New Roman" w:eastAsia="Times New Roman" w:hint="default"/>
                <w:sz w:val="18"/>
                <w:szCs w:val="18"/>
              </w:rPr>
            </w:pPr>
            <w:r>
              <w:rPr>
                <w:rFonts w:ascii="Times New Roman"/>
                <w:sz w:val="18"/>
              </w:rPr>
              <w:t>30,861,629.00</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1"/>
              <w:ind w:right="68"/>
              <w:jc w:val="right"/>
              <w:rPr>
                <w:rFonts w:ascii="Times New Roman" w:hAnsi="Times New Roman" w:cs="Times New Roman" w:eastAsia="Times New Roman" w:hint="default"/>
                <w:sz w:val="18"/>
                <w:szCs w:val="18"/>
              </w:rPr>
            </w:pPr>
            <w:r>
              <w:rPr>
                <w:rFonts w:ascii="Times New Roman"/>
                <w:spacing w:val="-1"/>
                <w:sz w:val="18"/>
              </w:rPr>
              <w:t>139,332,678.00</w:t>
            </w:r>
          </w:p>
        </w:tc>
      </w:tr>
      <w:tr>
        <w:trPr>
          <w:trHeight w:val="1153" w:hRule="exact"/>
        </w:trPr>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156,475,451.00</w:t>
            </w:r>
          </w:p>
        </w:tc>
        <w:tc>
          <w:tcPr>
            <w:tcW w:w="194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125"/>
              <w:jc w:val="right"/>
              <w:rPr>
                <w:rFonts w:ascii="Times New Roman" w:hAnsi="Times New Roman" w:cs="Times New Roman" w:eastAsia="Times New Roman" w:hint="default"/>
                <w:sz w:val="18"/>
                <w:szCs w:val="18"/>
              </w:rPr>
            </w:pPr>
            <w:r>
              <w:rPr>
                <w:rFonts w:ascii="Times New Roman"/>
                <w:spacing w:val="-1"/>
                <w:sz w:val="18"/>
              </w:rPr>
              <w:t>47,004,904.00</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1,617,417.00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48,622,321.00</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68"/>
              <w:jc w:val="right"/>
              <w:rPr>
                <w:rFonts w:ascii="Times New Roman" w:hAnsi="Times New Roman" w:cs="Times New Roman" w:eastAsia="Times New Roman" w:hint="default"/>
                <w:sz w:val="18"/>
                <w:szCs w:val="18"/>
              </w:rPr>
            </w:pPr>
            <w:r>
              <w:rPr>
                <w:rFonts w:ascii="Times New Roman"/>
                <w:spacing w:val="-1"/>
                <w:sz w:val="18"/>
              </w:rPr>
              <w:t>205,097,772.00</w:t>
            </w:r>
          </w:p>
        </w:tc>
      </w:tr>
      <w:tr>
        <w:trPr>
          <w:trHeight w:val="961" w:hRule="exact"/>
        </w:trPr>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156,475,451.00</w:t>
            </w:r>
          </w:p>
        </w:tc>
        <w:tc>
          <w:tcPr>
            <w:tcW w:w="19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25"/>
              <w:jc w:val="right"/>
              <w:rPr>
                <w:rFonts w:ascii="Times New Roman" w:hAnsi="Times New Roman" w:cs="Times New Roman" w:eastAsia="Times New Roman" w:hint="default"/>
                <w:sz w:val="18"/>
                <w:szCs w:val="18"/>
              </w:rPr>
            </w:pPr>
            <w:r>
              <w:rPr>
                <w:rFonts w:ascii="Times New Roman"/>
                <w:spacing w:val="-1"/>
                <w:sz w:val="18"/>
              </w:rPr>
              <w:t>47,004,904.00</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1,617,417.00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48,622,321.00</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68"/>
              <w:jc w:val="right"/>
              <w:rPr>
                <w:rFonts w:ascii="Times New Roman" w:hAnsi="Times New Roman" w:cs="Times New Roman" w:eastAsia="Times New Roman" w:hint="default"/>
                <w:sz w:val="18"/>
                <w:szCs w:val="18"/>
              </w:rPr>
            </w:pPr>
            <w:r>
              <w:rPr>
                <w:rFonts w:ascii="Times New Roman"/>
                <w:spacing w:val="-1"/>
                <w:sz w:val="18"/>
              </w:rPr>
              <w:t>205,097,772.00</w:t>
            </w:r>
          </w:p>
        </w:tc>
      </w:tr>
      <w:tr>
        <w:trPr>
          <w:trHeight w:val="387" w:hRule="exact"/>
        </w:trPr>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before="78"/>
              <w:ind w:left="35" w:right="0"/>
              <w:jc w:val="left"/>
              <w:rPr>
                <w:rFonts w:ascii="Times New Roman" w:hAnsi="Times New Roman" w:cs="Times New Roman" w:eastAsia="Times New Roman" w:hint="default"/>
                <w:sz w:val="18"/>
                <w:szCs w:val="18"/>
              </w:rPr>
            </w:pPr>
            <w:r>
              <w:rPr>
                <w:rFonts w:ascii="Times New Roman"/>
                <w:sz w:val="18"/>
              </w:rPr>
              <w:t>264,946,500.00</w:t>
            </w:r>
          </w:p>
        </w:tc>
        <w:tc>
          <w:tcPr>
            <w:tcW w:w="194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25"/>
              <w:jc w:val="right"/>
              <w:rPr>
                <w:rFonts w:ascii="Times New Roman" w:hAnsi="Times New Roman" w:cs="Times New Roman" w:eastAsia="Times New Roman" w:hint="default"/>
                <w:sz w:val="18"/>
                <w:szCs w:val="18"/>
              </w:rPr>
            </w:pPr>
            <w:r>
              <w:rPr>
                <w:rFonts w:ascii="Times New Roman"/>
                <w:spacing w:val="-1"/>
                <w:sz w:val="18"/>
              </w:rPr>
              <w:t>79,483,950.00</w:t>
            </w:r>
          </w:p>
        </w:tc>
        <w:tc>
          <w:tcPr>
            <w:tcW w:w="1261"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27" w:right="0"/>
              <w:jc w:val="left"/>
              <w:rPr>
                <w:rFonts w:ascii="Times New Roman" w:hAnsi="Times New Roman" w:cs="Times New Roman" w:eastAsia="Times New Roman" w:hint="default"/>
                <w:sz w:val="18"/>
                <w:szCs w:val="18"/>
              </w:rPr>
            </w:pPr>
            <w:r>
              <w:rPr>
                <w:rFonts w:ascii="Times New Roman"/>
                <w:sz w:val="18"/>
              </w:rPr>
              <w:t>79,483,950.00</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68"/>
              <w:jc w:val="right"/>
              <w:rPr>
                <w:rFonts w:ascii="Times New Roman" w:hAnsi="Times New Roman" w:cs="Times New Roman" w:eastAsia="Times New Roman" w:hint="default"/>
                <w:sz w:val="18"/>
                <w:szCs w:val="18"/>
              </w:rPr>
            </w:pPr>
            <w:r>
              <w:rPr>
                <w:rFonts w:ascii="Times New Roman"/>
                <w:spacing w:val="-1"/>
                <w:sz w:val="18"/>
              </w:rPr>
              <w:t>344,430,450.00</w:t>
            </w:r>
          </w:p>
        </w:tc>
      </w:tr>
    </w:tbl>
    <w:p>
      <w:pPr>
        <w:spacing w:line="240" w:lineRule="auto" w:before="7"/>
        <w:rPr>
          <w:rFonts w:ascii="宋体" w:hAnsi="宋体" w:cs="宋体" w:eastAsia="宋体" w:hint="default"/>
          <w:b/>
          <w:bCs/>
          <w:sz w:val="5"/>
          <w:szCs w:val="5"/>
        </w:rPr>
      </w:pPr>
    </w:p>
    <w:p>
      <w:pPr>
        <w:spacing w:line="350" w:lineRule="auto" w:before="35"/>
        <w:ind w:left="1420" w:right="31" w:firstLine="9"/>
        <w:jc w:val="left"/>
        <w:rPr>
          <w:rFonts w:ascii="宋体" w:hAnsi="宋体" w:cs="宋体" w:eastAsia="宋体" w:hint="default"/>
          <w:sz w:val="21"/>
          <w:szCs w:val="21"/>
        </w:rPr>
      </w:pPr>
      <w:r>
        <w:rPr/>
        <w:pict>
          <v:group style="position:absolute;margin-left:34.770pt;margin-top:-255.266022pt;width:527.15pt;height:252.4pt;mso-position-horizontal-relative:page;mso-position-vertical-relative:paragraph;z-index:-811504" coordorigin="695,-5105" coordsize="10543,5048">
            <v:group style="position:absolute;left:725;top:-5090;width:10491;height:2" coordorigin="725,-5090" coordsize="10491,2">
              <v:shape style="position:absolute;left:725;top:-5090;width:10491;height:2" coordorigin="725,-5090" coordsize="10491,0" path="m725,-5090l11215,-5090e" filled="false" stroked="true" strokeweight="1.5pt" strokecolor="#000000">
                <v:path arrowok="t"/>
              </v:shape>
              <v:shape style="position:absolute;left:2917;top:-5104;width:6631;height:432" type="#_x0000_t75" stroked="false">
                <v:imagedata r:id="rId213" o:title=""/>
              </v:shape>
            </v:group>
            <v:group style="position:absolute;left:2843;top:-4691;width:104;height:375" coordorigin="2843,-4691" coordsize="104,375">
              <v:shape style="position:absolute;left:2843;top:-4691;width:104;height:375" coordorigin="2843,-4691" coordsize="104,375" path="m2843,-4317l2946,-4317,2946,-4691,2843,-4691,2843,-4317xe" filled="true" fillcolor="#ffffff" stroked="false">
                <v:path arrowok="t"/>
                <v:fill type="solid"/>
              </v:shape>
            </v:group>
            <v:group style="position:absolute;left:726;top:-4691;width:108;height:375" coordorigin="726,-4691" coordsize="108,375">
              <v:shape style="position:absolute;left:726;top:-4691;width:108;height:375" coordorigin="726,-4691" coordsize="108,375" path="m726,-4317l834,-4317,834,-4691,726,-4691,726,-4317xe" filled="true" fillcolor="#ffffff" stroked="false">
                <v:path arrowok="t"/>
                <v:fill type="solid"/>
              </v:shape>
            </v:group>
            <v:group style="position:absolute;left:4304;top:-4691;width:102;height:375" coordorigin="4304,-4691" coordsize="102,375">
              <v:shape style="position:absolute;left:4304;top:-4691;width:102;height:375" coordorigin="4304,-4691" coordsize="102,375" path="m4304,-4317l4406,-4317,4406,-4691,4304,-4691,4304,-4317xe" filled="true" fillcolor="#ffffff" stroked="false">
                <v:path arrowok="t"/>
                <v:fill type="solid"/>
              </v:shape>
            </v:group>
            <v:group style="position:absolute;left:2956;top:-4691;width:104;height:375" coordorigin="2956,-4691" coordsize="104,375">
              <v:shape style="position:absolute;left:2956;top:-4691;width:104;height:375" coordorigin="2956,-4691" coordsize="104,375" path="m2956,-4317l3059,-4317,3059,-4691,2956,-4691,2956,-4317xe" filled="true" fillcolor="#ffffff" stroked="false">
                <v:path arrowok="t"/>
                <v:fill type="solid"/>
              </v:shape>
            </v:group>
            <v:group style="position:absolute;left:3059;top:-4691;width:1246;height:375" coordorigin="3059,-4691" coordsize="1246,375">
              <v:shape style="position:absolute;left:3059;top:-4691;width:1246;height:375" coordorigin="3059,-4691" coordsize="1246,375" path="m3059,-4317l4304,-4317,4304,-4691,3059,-4691,3059,-4317xe" filled="true" fillcolor="#ffffff" stroked="false">
                <v:path arrowok="t"/>
                <v:fill type="solid"/>
              </v:shape>
            </v:group>
            <v:group style="position:absolute;left:5012;top:-4691;width:104;height:375" coordorigin="5012,-4691" coordsize="104,375">
              <v:shape style="position:absolute;left:5012;top:-4691;width:104;height:375" coordorigin="5012,-4691" coordsize="104,375" path="m5012,-4317l5116,-4317,5116,-4691,5012,-4691,5012,-4317xe" filled="true" fillcolor="#ffffff" stroked="false">
                <v:path arrowok="t"/>
                <v:fill type="solid"/>
              </v:shape>
            </v:group>
            <v:group style="position:absolute;left:4417;top:-4691;width:104;height:375" coordorigin="4417,-4691" coordsize="104,375">
              <v:shape style="position:absolute;left:4417;top:-4691;width:104;height:375" coordorigin="4417,-4691" coordsize="104,375" path="m4417,-4317l4520,-4317,4520,-4691,4417,-4691,4417,-4317xe" filled="true" fillcolor="#ffffff" stroked="false">
                <v:path arrowok="t"/>
                <v:fill type="solid"/>
              </v:shape>
            </v:group>
            <v:group style="position:absolute;left:4520;top:-4691;width:492;height:375" coordorigin="4520,-4691" coordsize="492,375">
              <v:shape style="position:absolute;left:4520;top:-4691;width:492;height:375" coordorigin="4520,-4691" coordsize="492,375" path="m4520,-4317l5012,-4317,5012,-4691,4520,-4691,4520,-4317xe" filled="true" fillcolor="#ffffff" stroked="false">
                <v:path arrowok="t"/>
                <v:fill type="solid"/>
              </v:shape>
            </v:group>
            <v:group style="position:absolute;left:5580;top:-4691;width:104;height:375" coordorigin="5580,-4691" coordsize="104,375">
              <v:shape style="position:absolute;left:5580;top:-4691;width:104;height:375" coordorigin="5580,-4691" coordsize="104,375" path="m5580,-4317l5683,-4317,5683,-4691,5580,-4691,5580,-4317xe" filled="true" fillcolor="#ffffff" stroked="false">
                <v:path arrowok="t"/>
                <v:fill type="solid"/>
              </v:shape>
            </v:group>
            <v:group style="position:absolute;left:5126;top:-4691;width:102;height:375" coordorigin="5126,-4691" coordsize="102,375">
              <v:shape style="position:absolute;left:5126;top:-4691;width:102;height:375" coordorigin="5126,-4691" coordsize="102,375" path="m5126,-4317l5228,-4317,5228,-4691,5126,-4691,5126,-4317xe" filled="true" fillcolor="#ffffff" stroked="false">
                <v:path arrowok="t"/>
                <v:fill type="solid"/>
              </v:shape>
            </v:group>
            <v:group style="position:absolute;left:5228;top:-4691;width:352;height:375" coordorigin="5228,-4691" coordsize="352,375">
              <v:shape style="position:absolute;left:5228;top:-4691;width:352;height:375" coordorigin="5228,-4691" coordsize="352,375" path="m5228,-4317l5580,-4317,5580,-4691,5228,-4691,5228,-4317xe" filled="true" fillcolor="#ffffff" stroked="false">
                <v:path arrowok="t"/>
                <v:fill type="solid"/>
              </v:shape>
            </v:group>
            <v:group style="position:absolute;left:6856;top:-4691;width:104;height:375" coordorigin="6856,-4691" coordsize="104,375">
              <v:shape style="position:absolute;left:6856;top:-4691;width:104;height:375" coordorigin="6856,-4691" coordsize="104,375" path="m6856,-4317l6959,-4317,6959,-4691,6856,-4691,6856,-4317xe" filled="true" fillcolor="#ffffff" stroked="false">
                <v:path arrowok="t"/>
                <v:fill type="solid"/>
              </v:shape>
            </v:group>
            <v:group style="position:absolute;left:5693;top:-4691;width:104;height:375" coordorigin="5693,-4691" coordsize="104,375">
              <v:shape style="position:absolute;left:5693;top:-4691;width:104;height:375" coordorigin="5693,-4691" coordsize="104,375" path="m5693,-4317l5796,-4317,5796,-4691,5693,-4691,5693,-4317xe" filled="true" fillcolor="#ffffff" stroked="false">
                <v:path arrowok="t"/>
                <v:fill type="solid"/>
              </v:shape>
            </v:group>
            <v:group style="position:absolute;left:5796;top:-4691;width:1060;height:375" coordorigin="5796,-4691" coordsize="1060,375">
              <v:shape style="position:absolute;left:5796;top:-4691;width:1060;height:375" coordorigin="5796,-4691" coordsize="1060,375" path="m5796,-4317l6856,-4317,6856,-4691,5796,-4691,5796,-4317xe" filled="true" fillcolor="#ffffff" stroked="false">
                <v:path arrowok="t"/>
                <v:fill type="solid"/>
              </v:shape>
            </v:group>
            <v:group style="position:absolute;left:8131;top:-4691;width:104;height:375" coordorigin="8131,-4691" coordsize="104,375">
              <v:shape style="position:absolute;left:8131;top:-4691;width:104;height:375" coordorigin="8131,-4691" coordsize="104,375" path="m8131,-4317l8234,-4317,8234,-4691,8131,-4691,8131,-4317xe" filled="true" fillcolor="#ffffff" stroked="false">
                <v:path arrowok="t"/>
                <v:fill type="solid"/>
              </v:shape>
            </v:group>
            <v:group style="position:absolute;left:6968;top:-4691;width:104;height:375" coordorigin="6968,-4691" coordsize="104,375">
              <v:shape style="position:absolute;left:6968;top:-4691;width:104;height:375" coordorigin="6968,-4691" coordsize="104,375" path="m6968,-4317l7072,-4317,7072,-4691,6968,-4691,6968,-4317xe" filled="true" fillcolor="#ffffff" stroked="false">
                <v:path arrowok="t"/>
                <v:fill type="solid"/>
              </v:shape>
            </v:group>
            <v:group style="position:absolute;left:7072;top:-4691;width:1060;height:375" coordorigin="7072,-4691" coordsize="1060,375">
              <v:shape style="position:absolute;left:7072;top:-4691;width:1060;height:375" coordorigin="7072,-4691" coordsize="1060,375" path="m7072,-4317l8131,-4317,8131,-4691,7072,-4691,7072,-4317xe" filled="true" fillcolor="#ffffff" stroked="false">
                <v:path arrowok="t"/>
                <v:fill type="solid"/>
              </v:shape>
            </v:group>
            <v:group style="position:absolute;left:9407;top:-4691;width:104;height:375" coordorigin="9407,-4691" coordsize="104,375">
              <v:shape style="position:absolute;left:9407;top:-4691;width:104;height:375" coordorigin="9407,-4691" coordsize="104,375" path="m9407,-4317l9510,-4317,9510,-4691,9407,-4691,9407,-4317xe" filled="true" fillcolor="#ffffff" stroked="false">
                <v:path arrowok="t"/>
                <v:fill type="solid"/>
              </v:shape>
            </v:group>
            <v:group style="position:absolute;left:8244;top:-4691;width:104;height:375" coordorigin="8244,-4691" coordsize="104,375">
              <v:shape style="position:absolute;left:8244;top:-4691;width:104;height:375" coordorigin="8244,-4691" coordsize="104,375" path="m8244,-4317l8347,-4317,8347,-4691,8244,-4691,8244,-4317xe" filled="true" fillcolor="#ffffff" stroked="false">
                <v:path arrowok="t"/>
                <v:fill type="solid"/>
              </v:shape>
            </v:group>
            <v:group style="position:absolute;left:8347;top:-4691;width:1060;height:375" coordorigin="8347,-4691" coordsize="1060,375">
              <v:shape style="position:absolute;left:8347;top:-4691;width:1060;height:375" coordorigin="8347,-4691" coordsize="1060,375" path="m8347,-4317l9407,-4317,9407,-4691,8347,-4691,8347,-4317xe" filled="true" fillcolor="#ffffff" stroked="false">
                <v:path arrowok="t"/>
                <v:fill type="solid"/>
              </v:shape>
            </v:group>
            <v:group style="position:absolute;left:11108;top:-4691;width:108;height:375" coordorigin="11108,-4691" coordsize="108,375">
              <v:shape style="position:absolute;left:11108;top:-4691;width:108;height:375" coordorigin="11108,-4691" coordsize="108,375" path="m11108,-4317l11216,-4317,11216,-4691,11108,-4691,11108,-4317xe" filled="true" fillcolor="#ffffff" stroked="false">
                <v:path arrowok="t"/>
                <v:fill type="solid"/>
              </v:shape>
            </v:group>
            <v:group style="position:absolute;left:9520;top:-4691;width:104;height:375" coordorigin="9520,-4691" coordsize="104,375">
              <v:shape style="position:absolute;left:9520;top:-4691;width:104;height:375" coordorigin="9520,-4691" coordsize="104,375" path="m9520,-4317l9623,-4317,9623,-4691,9520,-4691,9520,-4317xe" filled="true" fillcolor="#ffffff" stroked="false">
                <v:path arrowok="t"/>
                <v:fill type="solid"/>
              </v:shape>
            </v:group>
            <v:group style="position:absolute;left:710;top:-73;width:2236;height:2" coordorigin="710,-73" coordsize="2236,2">
              <v:shape style="position:absolute;left:710;top:-73;width:2236;height:2" coordorigin="710,-73" coordsize="2236,0" path="m710,-73l2946,-73e" filled="false" stroked="true" strokeweight="1.5pt" strokecolor="#000000">
                <v:path arrowok="t"/>
              </v:shape>
            </v:group>
            <v:group style="position:absolute;left:2946;top:-73;width:1461;height:2" coordorigin="2946,-73" coordsize="1461,2">
              <v:shape style="position:absolute;left:2946;top:-73;width:1461;height:2" coordorigin="2946,-73" coordsize="1461,0" path="m2946,-73l4406,-73e" filled="false" stroked="true" strokeweight="1.5pt" strokecolor="#000000">
                <v:path arrowok="t"/>
              </v:shape>
            </v:group>
            <v:group style="position:absolute;left:4406;top:-73;width:710;height:2" coordorigin="4406,-73" coordsize="710,2">
              <v:shape style="position:absolute;left:4406;top:-73;width:710;height:2" coordorigin="4406,-73" coordsize="710,0" path="m4406,-73l5116,-73e" filled="false" stroked="true" strokeweight="1.5pt" strokecolor="#000000">
                <v:path arrowok="t"/>
              </v:shape>
            </v:group>
            <v:group style="position:absolute;left:5116;top:-73;width:568;height:2" coordorigin="5116,-73" coordsize="568,2">
              <v:shape style="position:absolute;left:5116;top:-73;width:568;height:2" coordorigin="5116,-73" coordsize="568,0" path="m5116,-73l5683,-73e" filled="false" stroked="true" strokeweight="1.5pt" strokecolor="#000000">
                <v:path arrowok="t"/>
              </v:shape>
            </v:group>
            <v:group style="position:absolute;left:5683;top:-73;width:1276;height:2" coordorigin="5683,-73" coordsize="1276,2">
              <v:shape style="position:absolute;left:5683;top:-73;width:1276;height:2" coordorigin="5683,-73" coordsize="1276,0" path="m5683,-73l6959,-73e" filled="false" stroked="true" strokeweight="1.5pt" strokecolor="#000000">
                <v:path arrowok="t"/>
              </v:shape>
            </v:group>
            <v:group style="position:absolute;left:6959;top:-73;width:1275;height:2" coordorigin="6959,-73" coordsize="1275,2">
              <v:shape style="position:absolute;left:6959;top:-73;width:1275;height:2" coordorigin="6959,-73" coordsize="1275,0" path="m6959,-73l8233,-73e" filled="false" stroked="true" strokeweight="1.5pt" strokecolor="#000000">
                <v:path arrowok="t"/>
              </v:shape>
            </v:group>
            <v:group style="position:absolute;left:8233;top:-73;width:1277;height:2" coordorigin="8233,-73" coordsize="1277,2">
              <v:shape style="position:absolute;left:8233;top:-73;width:1277;height:2" coordorigin="8233,-73" coordsize="1277,0" path="m8233,-73l9510,-73e" filled="false" stroked="true" strokeweight="1.5pt" strokecolor="#000000">
                <v:path arrowok="t"/>
              </v:shape>
              <v:shape style="position:absolute;left:706;top:-4720;width:10532;height:4632" type="#_x0000_t75" stroked="false">
                <v:imagedata r:id="rId214" o:title=""/>
              </v:shape>
            </v:group>
            <v:group style="position:absolute;left:9510;top:-73;width:1706;height:2" coordorigin="9510,-73" coordsize="1706,2">
              <v:shape style="position:absolute;left:9510;top:-73;width:1706;height:2" coordorigin="9510,-73" coordsize="1706,0" path="m9510,-73l11215,-73e" filled="false" stroked="true" strokeweight="1.5pt" strokecolor="#000000">
                <v:path arrowok="t"/>
              </v:shape>
              <v:shape style="position:absolute;left:695;top:-5105;width:10543;height:5048" type="#_x0000_t202" filled="false" stroked="false">
                <v:textbox inset="0,0,0,0">
                  <w:txbxContent>
                    <w:p>
                      <w:pPr>
                        <w:spacing w:line="391" w:lineRule="auto" w:before="71"/>
                        <w:ind w:left="138" w:right="9143" w:firstLine="0"/>
                        <w:jc w:val="left"/>
                        <w:rPr>
                          <w:rFonts w:ascii="宋体" w:hAnsi="宋体" w:cs="宋体" w:eastAsia="宋体" w:hint="default"/>
                          <w:sz w:val="18"/>
                          <w:szCs w:val="18"/>
                        </w:rPr>
                      </w:pPr>
                      <w:r>
                        <w:rPr>
                          <w:rFonts w:ascii="宋体" w:hAnsi="宋体" w:cs="宋体" w:eastAsia="宋体" w:hint="default"/>
                          <w:sz w:val="18"/>
                          <w:szCs w:val="18"/>
                        </w:rPr>
                        <w:t>境内自然人持股 (4). 外资持股 其中： 境外法人持股 境外自然人持股</w:t>
                      </w:r>
                    </w:p>
                    <w:p>
                      <w:pPr>
                        <w:spacing w:line="391" w:lineRule="auto" w:before="36"/>
                        <w:ind w:left="138" w:right="8513" w:firstLine="0"/>
                        <w:jc w:val="left"/>
                        <w:rPr>
                          <w:rFonts w:ascii="宋体" w:hAnsi="宋体" w:cs="宋体" w:eastAsia="宋体" w:hint="default"/>
                          <w:sz w:val="18"/>
                          <w:szCs w:val="18"/>
                        </w:rPr>
                      </w:pPr>
                      <w:r>
                        <w:rPr>
                          <w:rFonts w:ascii="宋体" w:hAnsi="宋体" w:cs="宋体" w:eastAsia="宋体" w:hint="default"/>
                          <w:sz w:val="18"/>
                          <w:szCs w:val="18"/>
                        </w:rPr>
                        <w:t>有限售条件股份合计 2．无限售条件流通股份 (1). 人民币普通股</w:t>
                      </w:r>
                    </w:p>
                    <w:p>
                      <w:pPr>
                        <w:spacing w:before="36"/>
                        <w:ind w:left="138" w:right="0" w:firstLine="0"/>
                        <w:jc w:val="left"/>
                        <w:rPr>
                          <w:rFonts w:ascii="宋体" w:hAnsi="宋体" w:cs="宋体" w:eastAsia="宋体" w:hint="default"/>
                          <w:sz w:val="18"/>
                          <w:szCs w:val="18"/>
                        </w:rPr>
                      </w:pPr>
                      <w:r>
                        <w:rPr>
                          <w:rFonts w:ascii="宋体" w:hAnsi="宋体" w:cs="宋体" w:eastAsia="宋体" w:hint="default"/>
                          <w:sz w:val="18"/>
                          <w:szCs w:val="18"/>
                        </w:rPr>
                        <w:t>(2). 境内上市的外资股</w:t>
                      </w:r>
                    </w:p>
                    <w:p>
                      <w:pPr>
                        <w:spacing w:before="148"/>
                        <w:ind w:left="138" w:right="0" w:firstLine="0"/>
                        <w:jc w:val="left"/>
                        <w:rPr>
                          <w:rFonts w:ascii="宋体" w:hAnsi="宋体" w:cs="宋体" w:eastAsia="宋体" w:hint="default"/>
                          <w:sz w:val="18"/>
                          <w:szCs w:val="18"/>
                        </w:rPr>
                      </w:pPr>
                      <w:r>
                        <w:rPr>
                          <w:rFonts w:ascii="宋体" w:hAnsi="宋体" w:cs="宋体" w:eastAsia="宋体" w:hint="default"/>
                          <w:sz w:val="18"/>
                          <w:szCs w:val="18"/>
                        </w:rPr>
                        <w:t>(3). 境外上市的外资股</w:t>
                      </w:r>
                    </w:p>
                    <w:p>
                      <w:pPr>
                        <w:spacing w:line="393" w:lineRule="auto" w:before="148"/>
                        <w:ind w:left="138" w:right="8423" w:firstLine="0"/>
                        <w:jc w:val="left"/>
                        <w:rPr>
                          <w:rFonts w:ascii="宋体" w:hAnsi="宋体" w:cs="宋体" w:eastAsia="宋体" w:hint="default"/>
                          <w:sz w:val="18"/>
                          <w:szCs w:val="18"/>
                        </w:rPr>
                      </w:pPr>
                      <w:r>
                        <w:rPr>
                          <w:rFonts w:ascii="宋体" w:hAnsi="宋体" w:cs="宋体" w:eastAsia="宋体" w:hint="default"/>
                          <w:sz w:val="18"/>
                          <w:szCs w:val="18"/>
                        </w:rPr>
                        <w:t>(4). 其他 无限售条件流通股份合计</w:t>
                      </w:r>
                    </w:p>
                    <w:p>
                      <w:pPr>
                        <w:spacing w:before="33"/>
                        <w:ind w:left="0" w:right="8254"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rFonts w:ascii="宋体" w:hAnsi="宋体" w:cs="宋体" w:eastAsia="宋体" w:hint="default"/>
          <w:sz w:val="21"/>
          <w:szCs w:val="21"/>
        </w:rPr>
        <w:t>公司股本历史沿革详见附注一、公司基本情况。 </w:t>
      </w:r>
      <w:r>
        <w:rPr>
          <w:rFonts w:ascii="宋体" w:hAnsi="宋体" w:cs="宋体" w:eastAsia="宋体" w:hint="default"/>
          <w:spacing w:val="-3"/>
          <w:sz w:val="21"/>
          <w:szCs w:val="21"/>
        </w:rPr>
        <w:t>对本期股本发生变动执行验资的会计师事务所名称及验资报告文号：立信大华会计师事务</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所有限公司于</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日出具立信大华验字</w:t>
      </w:r>
      <w:r>
        <w:rPr>
          <w:rFonts w:ascii="Times New Roman" w:hAnsi="Times New Roman" w:cs="Times New Roman" w:eastAsia="Times New Roman" w:hint="default"/>
          <w:sz w:val="21"/>
          <w:szCs w:val="21"/>
        </w:rPr>
        <w:t>[2011]124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号验资报告。</w:t>
      </w:r>
    </w:p>
    <w:p>
      <w:pPr>
        <w:spacing w:after="0" w:line="350" w:lineRule="auto"/>
        <w:jc w:val="left"/>
        <w:rPr>
          <w:rFonts w:ascii="宋体" w:hAnsi="宋体" w:cs="宋体" w:eastAsia="宋体" w:hint="default"/>
          <w:sz w:val="21"/>
          <w:szCs w:val="21"/>
        </w:rPr>
        <w:sectPr>
          <w:pgSz w:w="11910" w:h="16840"/>
          <w:pgMar w:header="0" w:footer="1256" w:top="1060" w:bottom="1440" w:left="580" w:right="560"/>
        </w:sectPr>
      </w:pPr>
    </w:p>
    <w:p>
      <w:pPr>
        <w:spacing w:line="240" w:lineRule="auto" w:before="12"/>
        <w:rPr>
          <w:rFonts w:ascii="宋体" w:hAnsi="宋体" w:cs="宋体" w:eastAsia="宋体" w:hint="default"/>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2003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23"/>
          <w:szCs w:val="23"/>
        </w:rPr>
      </w:pPr>
    </w:p>
    <w:p>
      <w:pPr>
        <w:spacing w:before="35"/>
        <w:ind w:left="125" w:right="91" w:firstLine="0"/>
        <w:jc w:val="left"/>
        <w:rPr>
          <w:rFonts w:ascii="宋体" w:hAnsi="宋体" w:cs="宋体" w:eastAsia="宋体" w:hint="default"/>
          <w:sz w:val="21"/>
          <w:szCs w:val="21"/>
        </w:rPr>
      </w:pPr>
      <w:r>
        <w:rPr/>
        <w:pict>
          <v:group style="position:absolute;margin-left:119.040001pt;margin-top:17.613976pt;width:391pt;height:168.5pt;mso-position-horizontal-relative:page;mso-position-vertical-relative:paragraph;z-index:-811264" coordorigin="2381,352" coordsize="7820,3370">
            <v:shape style="position:absolute;left:4961;top:352;width:3886;height:338" type="#_x0000_t75" stroked="false">
              <v:imagedata r:id="rId216" o:title=""/>
            </v:shape>
            <v:shape style="position:absolute;left:2381;top:643;width:7819;height:3079" type="#_x0000_t75" stroked="false">
              <v:imagedata r:id="rId217"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资本公积</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749" w:type="dxa"/>
        <w:tblLayout w:type="fixed"/>
        <w:tblCellMar>
          <w:top w:w="0" w:type="dxa"/>
          <w:left w:w="0" w:type="dxa"/>
          <w:bottom w:w="0" w:type="dxa"/>
          <w:right w:w="0" w:type="dxa"/>
        </w:tblCellMar>
        <w:tblLook w:val="01E0"/>
      </w:tblPr>
      <w:tblGrid>
        <w:gridCol w:w="2521"/>
        <w:gridCol w:w="1396"/>
        <w:gridCol w:w="1154"/>
        <w:gridCol w:w="1342"/>
        <w:gridCol w:w="1339"/>
      </w:tblGrid>
      <w:tr>
        <w:trPr>
          <w:trHeight w:val="692" w:hRule="exact"/>
        </w:trPr>
        <w:tc>
          <w:tcPr>
            <w:tcW w:w="2521"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54" w:right="0"/>
              <w:jc w:val="center"/>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104"/>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资本溢价（股本溢价）</w:t>
            </w:r>
          </w:p>
        </w:tc>
        <w:tc>
          <w:tcPr>
            <w:tcW w:w="1396"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53" w:right="0"/>
              <w:jc w:val="center"/>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97"/>
              <w:ind w:left="61" w:right="0"/>
              <w:jc w:val="center"/>
              <w:rPr>
                <w:rFonts w:ascii="Times New Roman" w:hAnsi="Times New Roman" w:cs="Times New Roman" w:eastAsia="Times New Roman" w:hint="default"/>
                <w:sz w:val="18"/>
                <w:szCs w:val="18"/>
              </w:rPr>
            </w:pPr>
            <w:r>
              <w:rPr>
                <w:rFonts w:ascii="Times New Roman"/>
                <w:sz w:val="18"/>
              </w:rPr>
              <w:t>517,020,114.17</w:t>
            </w:r>
          </w:p>
        </w:tc>
        <w:tc>
          <w:tcPr>
            <w:tcW w:w="1154"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right="1"/>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1342"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right="1"/>
              <w:jc w:val="center"/>
              <w:rPr>
                <w:rFonts w:ascii="宋体" w:hAnsi="宋体" w:cs="宋体" w:eastAsia="宋体" w:hint="default"/>
                <w:sz w:val="18"/>
                <w:szCs w:val="18"/>
              </w:rPr>
            </w:pPr>
            <w:r>
              <w:rPr>
                <w:rFonts w:ascii="宋体" w:hAnsi="宋体" w:cs="宋体" w:eastAsia="宋体" w:hint="default"/>
                <w:sz w:val="18"/>
                <w:szCs w:val="18"/>
              </w:rPr>
              <w:t>本期减少</w:t>
            </w:r>
          </w:p>
          <w:p>
            <w:pPr>
              <w:pStyle w:val="TableParagraph"/>
              <w:spacing w:line="240" w:lineRule="auto" w:before="97"/>
              <w:ind w:left="90" w:right="0"/>
              <w:jc w:val="center"/>
              <w:rPr>
                <w:rFonts w:ascii="Times New Roman" w:hAnsi="Times New Roman" w:cs="Times New Roman" w:eastAsia="Times New Roman" w:hint="default"/>
                <w:sz w:val="18"/>
                <w:szCs w:val="18"/>
              </w:rPr>
            </w:pPr>
            <w:r>
              <w:rPr>
                <w:rFonts w:ascii="Times New Roman"/>
                <w:sz w:val="18"/>
              </w:rPr>
              <w:t>79,483,950.00</w:t>
            </w:r>
          </w:p>
        </w:tc>
        <w:tc>
          <w:tcPr>
            <w:tcW w:w="1339"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97"/>
              <w:ind w:left="2" w:right="0"/>
              <w:jc w:val="center"/>
              <w:rPr>
                <w:rFonts w:ascii="Times New Roman" w:hAnsi="Times New Roman" w:cs="Times New Roman" w:eastAsia="Times New Roman" w:hint="default"/>
                <w:sz w:val="18"/>
                <w:szCs w:val="18"/>
              </w:rPr>
            </w:pPr>
            <w:r>
              <w:rPr>
                <w:rFonts w:ascii="Times New Roman"/>
                <w:sz w:val="18"/>
              </w:rPr>
              <w:t>437,536,164.17</w:t>
            </w:r>
          </w:p>
        </w:tc>
      </w:tr>
      <w:tr>
        <w:trPr>
          <w:trHeight w:val="356" w:hRule="exact"/>
        </w:trPr>
        <w:tc>
          <w:tcPr>
            <w:tcW w:w="252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5"/>
              <w:jc w:val="right"/>
              <w:rPr>
                <w:rFonts w:ascii="Times New Roman" w:hAnsi="Times New Roman" w:cs="Times New Roman" w:eastAsia="Times New Roman" w:hint="default"/>
                <w:sz w:val="18"/>
                <w:szCs w:val="18"/>
              </w:rPr>
            </w:pPr>
            <w:r>
              <w:rPr>
                <w:rFonts w:ascii="Times New Roman"/>
                <w:spacing w:val="-1"/>
                <w:sz w:val="18"/>
              </w:rPr>
              <w:t>517,020,114.17</w:t>
            </w:r>
          </w:p>
        </w:tc>
        <w:tc>
          <w:tcPr>
            <w:tcW w:w="1154"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32"/>
              <w:ind w:left="90" w:right="0"/>
              <w:jc w:val="center"/>
              <w:rPr>
                <w:rFonts w:ascii="Times New Roman" w:hAnsi="Times New Roman" w:cs="Times New Roman" w:eastAsia="Times New Roman" w:hint="default"/>
                <w:sz w:val="18"/>
                <w:szCs w:val="18"/>
              </w:rPr>
            </w:pPr>
            <w:r>
              <w:rPr>
                <w:rFonts w:ascii="Times New Roman"/>
                <w:sz w:val="18"/>
              </w:rPr>
              <w:t>79,483,950.00</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3"/>
              <w:jc w:val="right"/>
              <w:rPr>
                <w:rFonts w:ascii="Times New Roman" w:hAnsi="Times New Roman" w:cs="Times New Roman" w:eastAsia="Times New Roman" w:hint="default"/>
                <w:sz w:val="18"/>
                <w:szCs w:val="18"/>
              </w:rPr>
            </w:pPr>
            <w:r>
              <w:rPr>
                <w:rFonts w:ascii="Times New Roman"/>
                <w:spacing w:val="-1"/>
                <w:sz w:val="18"/>
              </w:rPr>
              <w:t>437,536,164.17</w:t>
            </w:r>
          </w:p>
        </w:tc>
      </w:tr>
      <w:tr>
        <w:trPr>
          <w:trHeight w:val="325" w:hRule="exact"/>
        </w:trPr>
        <w:tc>
          <w:tcPr>
            <w:tcW w:w="252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其他资本公积</w:t>
            </w:r>
          </w:p>
        </w:tc>
        <w:tc>
          <w:tcPr>
            <w:tcW w:w="139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
        </w:tc>
        <w:tc>
          <w:tcPr>
            <w:tcW w:w="1339" w:type="dxa"/>
            <w:tcBorders>
              <w:top w:val="nil" w:sz="6" w:space="0" w:color="auto"/>
              <w:left w:val="nil" w:sz="6" w:space="0" w:color="auto"/>
              <w:bottom w:val="nil" w:sz="6" w:space="0" w:color="auto"/>
              <w:right w:val="nil" w:sz="6" w:space="0" w:color="auto"/>
            </w:tcBorders>
          </w:tcPr>
          <w:p>
            <w:pPr/>
          </w:p>
        </w:tc>
      </w:tr>
      <w:tr>
        <w:trPr>
          <w:trHeight w:val="422" w:hRule="exact"/>
        </w:trPr>
        <w:tc>
          <w:tcPr>
            <w:tcW w:w="252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）原制度资本公积转入</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5"/>
              <w:jc w:val="right"/>
              <w:rPr>
                <w:rFonts w:ascii="Times New Roman" w:hAnsi="Times New Roman" w:cs="Times New Roman" w:eastAsia="Times New Roman" w:hint="default"/>
                <w:sz w:val="18"/>
                <w:szCs w:val="18"/>
              </w:rPr>
            </w:pPr>
            <w:r>
              <w:rPr>
                <w:rFonts w:ascii="Times New Roman"/>
                <w:sz w:val="18"/>
              </w:rPr>
              <w:t>834,544.00</w:t>
            </w:r>
          </w:p>
        </w:tc>
        <w:tc>
          <w:tcPr>
            <w:tcW w:w="1154"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3"/>
              <w:jc w:val="right"/>
              <w:rPr>
                <w:rFonts w:ascii="Times New Roman" w:hAnsi="Times New Roman" w:cs="Times New Roman" w:eastAsia="Times New Roman" w:hint="default"/>
                <w:sz w:val="18"/>
                <w:szCs w:val="18"/>
              </w:rPr>
            </w:pPr>
            <w:r>
              <w:rPr>
                <w:rFonts w:ascii="Times New Roman"/>
                <w:sz w:val="18"/>
              </w:rPr>
              <w:t>834,544.00</w:t>
            </w:r>
          </w:p>
        </w:tc>
      </w:tr>
      <w:tr>
        <w:trPr>
          <w:trHeight w:val="582" w:hRule="exact"/>
        </w:trPr>
        <w:tc>
          <w:tcPr>
            <w:tcW w:w="2521" w:type="dxa"/>
            <w:tcBorders>
              <w:top w:val="nil" w:sz="6" w:space="0" w:color="auto"/>
              <w:left w:val="nil" w:sz="6" w:space="0" w:color="auto"/>
              <w:bottom w:val="nil" w:sz="6" w:space="0" w:color="auto"/>
              <w:right w:val="nil" w:sz="6" w:space="0" w:color="auto"/>
            </w:tcBorders>
          </w:tcPr>
          <w:p>
            <w:pPr>
              <w:pStyle w:val="TableParagraph"/>
              <w:spacing w:line="207" w:lineRule="exact"/>
              <w:ind w:left="107" w:right="0"/>
              <w:jc w:val="left"/>
              <w:rPr>
                <w:rFonts w:ascii="宋体" w:hAnsi="宋体" w:cs="宋体" w:eastAsia="宋体" w:hint="default"/>
                <w:sz w:val="18"/>
                <w:szCs w:val="18"/>
              </w:rPr>
            </w:pP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）可供出售金融资产公允价</w:t>
            </w:r>
          </w:p>
          <w:p>
            <w:pPr>
              <w:pStyle w:val="TableParagraph"/>
              <w:spacing w:line="240" w:lineRule="auto" w:before="81"/>
              <w:ind w:left="107" w:right="0"/>
              <w:jc w:val="left"/>
              <w:rPr>
                <w:rFonts w:ascii="宋体" w:hAnsi="宋体" w:cs="宋体" w:eastAsia="宋体" w:hint="default"/>
                <w:sz w:val="18"/>
                <w:szCs w:val="18"/>
              </w:rPr>
            </w:pPr>
            <w:r>
              <w:rPr>
                <w:rFonts w:ascii="宋体" w:hAnsi="宋体" w:cs="宋体" w:eastAsia="宋体" w:hint="default"/>
                <w:sz w:val="18"/>
                <w:szCs w:val="18"/>
              </w:rPr>
              <w:t>值变动产生的利得或损失</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5"/>
              <w:jc w:val="right"/>
              <w:rPr>
                <w:rFonts w:ascii="Times New Roman" w:hAnsi="Times New Roman" w:cs="Times New Roman" w:eastAsia="Times New Roman" w:hint="default"/>
                <w:sz w:val="18"/>
                <w:szCs w:val="18"/>
              </w:rPr>
            </w:pPr>
            <w:r>
              <w:rPr>
                <w:rFonts w:ascii="Times New Roman"/>
                <w:spacing w:val="-1"/>
                <w:sz w:val="18"/>
              </w:rPr>
              <w:t>168,244,750.00</w:t>
            </w:r>
          </w:p>
        </w:tc>
        <w:tc>
          <w:tcPr>
            <w:tcW w:w="1154"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0"/>
              <w:jc w:val="center"/>
              <w:rPr>
                <w:rFonts w:ascii="Times New Roman" w:hAnsi="Times New Roman" w:cs="Times New Roman" w:eastAsia="Times New Roman" w:hint="default"/>
                <w:sz w:val="18"/>
                <w:szCs w:val="18"/>
              </w:rPr>
            </w:pPr>
            <w:r>
              <w:rPr>
                <w:rFonts w:ascii="Times New Roman"/>
                <w:sz w:val="18"/>
              </w:rPr>
              <w:t>107,713,721.68</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3"/>
              <w:jc w:val="right"/>
              <w:rPr>
                <w:rFonts w:ascii="Times New Roman" w:hAnsi="Times New Roman" w:cs="Times New Roman" w:eastAsia="Times New Roman" w:hint="default"/>
                <w:sz w:val="18"/>
                <w:szCs w:val="18"/>
              </w:rPr>
            </w:pPr>
            <w:r>
              <w:rPr>
                <w:rFonts w:ascii="Times New Roman"/>
                <w:spacing w:val="-1"/>
                <w:sz w:val="18"/>
              </w:rPr>
              <w:t>60,531,028.32</w:t>
            </w:r>
          </w:p>
        </w:tc>
      </w:tr>
      <w:tr>
        <w:trPr>
          <w:trHeight w:val="345" w:hRule="exact"/>
        </w:trPr>
        <w:tc>
          <w:tcPr>
            <w:tcW w:w="252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）以权益结算的股份支付</w:t>
            </w:r>
          </w:p>
        </w:tc>
        <w:tc>
          <w:tcPr>
            <w:tcW w:w="1396"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
              <w:jc w:val="center"/>
              <w:rPr>
                <w:rFonts w:ascii="Times New Roman" w:hAnsi="Times New Roman" w:cs="Times New Roman" w:eastAsia="Times New Roman" w:hint="default"/>
                <w:sz w:val="18"/>
                <w:szCs w:val="18"/>
              </w:rPr>
            </w:pPr>
            <w:r>
              <w:rPr>
                <w:rFonts w:ascii="Times New Roman"/>
                <w:sz w:val="18"/>
              </w:rPr>
              <w:t>2,532,530.11</w:t>
            </w:r>
          </w:p>
        </w:tc>
        <w:tc>
          <w:tcPr>
            <w:tcW w:w="1342" w:type="dxa"/>
            <w:tcBorders>
              <w:top w:val="nil" w:sz="6" w:space="0" w:color="auto"/>
              <w:left w:val="nil" w:sz="6" w:space="0" w:color="auto"/>
              <w:bottom w:val="nil" w:sz="6" w:space="0" w:color="auto"/>
              <w:right w:val="nil" w:sz="6" w:space="0" w:color="auto"/>
            </w:tcBorders>
          </w:tcPr>
          <w:p>
            <w:pP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4"/>
              <w:jc w:val="right"/>
              <w:rPr>
                <w:rFonts w:ascii="Times New Roman" w:hAnsi="Times New Roman" w:cs="Times New Roman" w:eastAsia="Times New Roman" w:hint="default"/>
                <w:sz w:val="18"/>
                <w:szCs w:val="18"/>
              </w:rPr>
            </w:pPr>
            <w:r>
              <w:rPr>
                <w:rFonts w:ascii="Times New Roman"/>
                <w:spacing w:val="-1"/>
                <w:sz w:val="18"/>
              </w:rPr>
              <w:t>2,532,530.11</w:t>
            </w:r>
          </w:p>
        </w:tc>
      </w:tr>
      <w:tr>
        <w:trPr>
          <w:trHeight w:val="335" w:hRule="exact"/>
        </w:trPr>
        <w:tc>
          <w:tcPr>
            <w:tcW w:w="252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7"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5"/>
              <w:jc w:val="right"/>
              <w:rPr>
                <w:rFonts w:ascii="Times New Roman" w:hAnsi="Times New Roman" w:cs="Times New Roman" w:eastAsia="Times New Roman" w:hint="default"/>
                <w:sz w:val="18"/>
                <w:szCs w:val="18"/>
              </w:rPr>
            </w:pPr>
            <w:r>
              <w:rPr>
                <w:rFonts w:ascii="Times New Roman"/>
                <w:spacing w:val="-1"/>
                <w:sz w:val="18"/>
              </w:rPr>
              <w:t>169,079,294.00</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
              <w:jc w:val="center"/>
              <w:rPr>
                <w:rFonts w:ascii="Times New Roman" w:hAnsi="Times New Roman" w:cs="Times New Roman" w:eastAsia="Times New Roman" w:hint="default"/>
                <w:sz w:val="18"/>
                <w:szCs w:val="18"/>
              </w:rPr>
            </w:pPr>
            <w:r>
              <w:rPr>
                <w:rFonts w:ascii="Times New Roman"/>
                <w:sz w:val="18"/>
              </w:rPr>
              <w:t>2,532,530.11</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0"/>
              <w:jc w:val="center"/>
              <w:rPr>
                <w:rFonts w:ascii="Times New Roman" w:hAnsi="Times New Roman" w:cs="Times New Roman" w:eastAsia="Times New Roman" w:hint="default"/>
                <w:sz w:val="18"/>
                <w:szCs w:val="18"/>
              </w:rPr>
            </w:pPr>
            <w:r>
              <w:rPr>
                <w:rFonts w:ascii="Times New Roman"/>
                <w:sz w:val="18"/>
              </w:rPr>
              <w:t>107,713,721.68</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3"/>
              <w:jc w:val="right"/>
              <w:rPr>
                <w:rFonts w:ascii="Times New Roman" w:hAnsi="Times New Roman" w:cs="Times New Roman" w:eastAsia="Times New Roman" w:hint="default"/>
                <w:sz w:val="18"/>
                <w:szCs w:val="18"/>
              </w:rPr>
            </w:pPr>
            <w:r>
              <w:rPr>
                <w:rFonts w:ascii="Times New Roman"/>
                <w:spacing w:val="-1"/>
                <w:sz w:val="18"/>
              </w:rPr>
              <w:t>63,898,102.43</w:t>
            </w:r>
          </w:p>
        </w:tc>
      </w:tr>
      <w:tr>
        <w:trPr>
          <w:trHeight w:val="323" w:hRule="exact"/>
        </w:trPr>
        <w:tc>
          <w:tcPr>
            <w:tcW w:w="2521"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left="5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96"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105"/>
              <w:jc w:val="right"/>
              <w:rPr>
                <w:rFonts w:ascii="Times New Roman" w:hAnsi="Times New Roman" w:cs="Times New Roman" w:eastAsia="Times New Roman" w:hint="default"/>
                <w:sz w:val="18"/>
                <w:szCs w:val="18"/>
              </w:rPr>
            </w:pPr>
            <w:r>
              <w:rPr>
                <w:rFonts w:ascii="Times New Roman"/>
                <w:spacing w:val="-1"/>
                <w:sz w:val="18"/>
              </w:rPr>
              <w:t>686,099,408.17</w:t>
            </w:r>
          </w:p>
        </w:tc>
        <w:tc>
          <w:tcPr>
            <w:tcW w:w="1154"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1"/>
              <w:jc w:val="center"/>
              <w:rPr>
                <w:rFonts w:ascii="Times New Roman" w:hAnsi="Times New Roman" w:cs="Times New Roman" w:eastAsia="Times New Roman" w:hint="default"/>
                <w:sz w:val="18"/>
                <w:szCs w:val="18"/>
              </w:rPr>
            </w:pPr>
            <w:r>
              <w:rPr>
                <w:rFonts w:ascii="Times New Roman"/>
                <w:sz w:val="18"/>
              </w:rPr>
              <w:t>2,532,530.11</w:t>
            </w:r>
          </w:p>
        </w:tc>
        <w:tc>
          <w:tcPr>
            <w:tcW w:w="1342"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0"/>
              <w:jc w:val="center"/>
              <w:rPr>
                <w:rFonts w:ascii="Times New Roman" w:hAnsi="Times New Roman" w:cs="Times New Roman" w:eastAsia="Times New Roman" w:hint="default"/>
                <w:sz w:val="18"/>
                <w:szCs w:val="18"/>
              </w:rPr>
            </w:pPr>
            <w:r>
              <w:rPr>
                <w:rFonts w:ascii="Times New Roman"/>
                <w:sz w:val="18"/>
              </w:rPr>
              <w:t>187,197,671.68</w:t>
            </w:r>
          </w:p>
        </w:tc>
        <w:tc>
          <w:tcPr>
            <w:tcW w:w="1339"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103"/>
              <w:jc w:val="right"/>
              <w:rPr>
                <w:rFonts w:ascii="Times New Roman" w:hAnsi="Times New Roman" w:cs="Times New Roman" w:eastAsia="Times New Roman" w:hint="default"/>
                <w:sz w:val="18"/>
                <w:szCs w:val="18"/>
              </w:rPr>
            </w:pPr>
            <w:r>
              <w:rPr>
                <w:rFonts w:ascii="Times New Roman"/>
                <w:spacing w:val="-1"/>
                <w:sz w:val="18"/>
              </w:rPr>
              <w:t>501,434,266.60</w:t>
            </w:r>
          </w:p>
        </w:tc>
      </w:tr>
    </w:tbl>
    <w:p>
      <w:pPr>
        <w:spacing w:line="273" w:lineRule="exact" w:before="0"/>
        <w:ind w:left="848" w:right="91" w:firstLine="0"/>
        <w:jc w:val="left"/>
        <w:rPr>
          <w:rFonts w:ascii="宋体" w:hAnsi="宋体" w:cs="宋体" w:eastAsia="宋体" w:hint="default"/>
          <w:sz w:val="21"/>
          <w:szCs w:val="21"/>
        </w:rPr>
      </w:pPr>
      <w:r>
        <w:rPr>
          <w:rFonts w:ascii="宋体" w:hAnsi="宋体" w:cs="宋体" w:eastAsia="宋体" w:hint="default"/>
          <w:b/>
          <w:bCs/>
          <w:sz w:val="21"/>
          <w:szCs w:val="21"/>
        </w:rPr>
        <w:t>资本公积的说明：</w:t>
      </w:r>
      <w:r>
        <w:rPr>
          <w:rFonts w:ascii="宋体" w:hAnsi="宋体" w:cs="宋体" w:eastAsia="宋体" w:hint="default"/>
          <w:sz w:val="21"/>
          <w:szCs w:val="21"/>
        </w:rPr>
      </w:r>
    </w:p>
    <w:p>
      <w:pPr>
        <w:spacing w:line="240" w:lineRule="auto" w:before="11"/>
        <w:rPr>
          <w:rFonts w:ascii="宋体" w:hAnsi="宋体" w:cs="宋体" w:eastAsia="宋体" w:hint="default"/>
          <w:b/>
          <w:bCs/>
          <w:sz w:val="24"/>
          <w:szCs w:val="24"/>
        </w:rPr>
      </w:pPr>
    </w:p>
    <w:p>
      <w:pPr>
        <w:spacing w:before="0"/>
        <w:ind w:left="963"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7"/>
          <w:sz w:val="21"/>
          <w:szCs w:val="21"/>
        </w:rPr>
        <w:t> </w:t>
      </w:r>
      <w:r>
        <w:rPr>
          <w:rFonts w:ascii="宋体" w:hAnsi="宋体" w:cs="宋体" w:eastAsia="宋体" w:hint="default"/>
          <w:sz w:val="21"/>
          <w:szCs w:val="21"/>
        </w:rPr>
        <w:t>经本公司</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年度股东大会审议通过，本公司于</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日以资本公积</w:t>
      </w:r>
    </w:p>
    <w:p>
      <w:pPr>
        <w:spacing w:before="29"/>
        <w:ind w:left="857" w:right="91" w:firstLine="0"/>
        <w:jc w:val="left"/>
        <w:rPr>
          <w:rFonts w:ascii="宋体" w:hAnsi="宋体" w:cs="宋体" w:eastAsia="宋体" w:hint="default"/>
          <w:sz w:val="21"/>
          <w:szCs w:val="21"/>
        </w:rPr>
      </w:pPr>
      <w:r>
        <w:rPr>
          <w:rFonts w:ascii="宋体" w:hAnsi="宋体" w:cs="宋体" w:eastAsia="宋体" w:hint="default"/>
          <w:sz w:val="21"/>
          <w:szCs w:val="21"/>
        </w:rPr>
        <w:t>人民币</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79,483,950.00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元转增股本。</w:t>
      </w:r>
    </w:p>
    <w:p>
      <w:pPr>
        <w:spacing w:line="240" w:lineRule="auto" w:before="7"/>
        <w:rPr>
          <w:rFonts w:ascii="宋体" w:hAnsi="宋体" w:cs="宋体" w:eastAsia="宋体" w:hint="default"/>
          <w:sz w:val="23"/>
          <w:szCs w:val="23"/>
        </w:rPr>
      </w:pPr>
    </w:p>
    <w:p>
      <w:pPr>
        <w:spacing w:before="0"/>
        <w:ind w:left="963"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股份支付详见附注八、股份支付。</w:t>
      </w:r>
    </w:p>
    <w:p>
      <w:pPr>
        <w:spacing w:line="240" w:lineRule="auto" w:before="8"/>
        <w:rPr>
          <w:rFonts w:ascii="宋体" w:hAnsi="宋体" w:cs="宋体" w:eastAsia="宋体" w:hint="default"/>
          <w:sz w:val="30"/>
          <w:szCs w:val="30"/>
        </w:rPr>
      </w:pPr>
    </w:p>
    <w:p>
      <w:pPr>
        <w:spacing w:before="0"/>
        <w:ind w:left="125" w:right="91" w:firstLine="0"/>
        <w:jc w:val="left"/>
        <w:rPr>
          <w:rFonts w:ascii="宋体" w:hAnsi="宋体" w:cs="宋体" w:eastAsia="宋体" w:hint="default"/>
          <w:sz w:val="21"/>
          <w:szCs w:val="21"/>
        </w:rPr>
      </w:pPr>
      <w:r>
        <w:rPr/>
        <w:pict>
          <v:group style="position:absolute;margin-left:119.040001pt;margin-top:15.324127pt;width:388.6pt;height:120pt;mso-position-horizontal-relative:page;mso-position-vertical-relative:paragraph;z-index:-811240" coordorigin="2381,306" coordsize="7772,2400">
            <v:group style="position:absolute;left:2410;top:321;width:7713;height:2" coordorigin="2410,321" coordsize="7713,2">
              <v:shape style="position:absolute;left:2410;top:321;width:7713;height:2" coordorigin="2410,321" coordsize="7713,0" path="m2410,321l10122,321e" filled="false" stroked="true" strokeweight="1.5pt" strokecolor="#000000">
                <v:path arrowok="t"/>
              </v:shape>
              <v:shape style="position:absolute;left:3751;top:308;width:4462;height:388" type="#_x0000_t75" stroked="false">
                <v:imagedata r:id="rId218" o:title=""/>
              </v:shape>
              <v:shape style="position:absolute;left:2381;top:638;width:7771;height:2069" type="#_x0000_t75" stroked="false">
                <v:imagedata r:id="rId219" o:titl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二十七</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盈余公积</w:t>
      </w:r>
      <w:r>
        <w:rPr>
          <w:rFonts w:ascii="宋体" w:hAnsi="宋体" w:cs="宋体" w:eastAsia="宋体" w:hint="default"/>
          <w:sz w:val="21"/>
          <w:szCs w:val="21"/>
        </w:rPr>
      </w:r>
    </w:p>
    <w:p>
      <w:pPr>
        <w:spacing w:line="240" w:lineRule="auto" w:before="3"/>
        <w:rPr>
          <w:rFonts w:ascii="宋体" w:hAnsi="宋体" w:cs="宋体" w:eastAsia="宋体" w:hint="default"/>
          <w:b/>
          <w:bCs/>
          <w:sz w:val="5"/>
          <w:szCs w:val="5"/>
        </w:rPr>
      </w:pPr>
    </w:p>
    <w:tbl>
      <w:tblPr>
        <w:tblW w:w="0" w:type="auto"/>
        <w:jc w:val="left"/>
        <w:tblInd w:w="735" w:type="dxa"/>
        <w:tblLayout w:type="fixed"/>
        <w:tblCellMar>
          <w:top w:w="0" w:type="dxa"/>
          <w:left w:w="0" w:type="dxa"/>
          <w:bottom w:w="0" w:type="dxa"/>
          <w:right w:w="0" w:type="dxa"/>
        </w:tblCellMar>
        <w:tblLook w:val="01E0"/>
      </w:tblPr>
      <w:tblGrid>
        <w:gridCol w:w="1505"/>
        <w:gridCol w:w="1565"/>
        <w:gridCol w:w="1417"/>
        <w:gridCol w:w="1427"/>
        <w:gridCol w:w="1812"/>
      </w:tblGrid>
      <w:tr>
        <w:trPr>
          <w:trHeight w:val="68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345" w:lineRule="auto" w:before="44"/>
              <w:ind w:left="122" w:right="300" w:firstLine="399"/>
              <w:jc w:val="left"/>
              <w:rPr>
                <w:rFonts w:ascii="宋体" w:hAnsi="宋体" w:cs="宋体" w:eastAsia="宋体" w:hint="default"/>
                <w:sz w:val="18"/>
                <w:szCs w:val="18"/>
              </w:rPr>
            </w:pPr>
            <w:r>
              <w:rPr>
                <w:rFonts w:ascii="宋体" w:hAnsi="宋体" w:cs="宋体" w:eastAsia="宋体" w:hint="default"/>
                <w:sz w:val="18"/>
                <w:szCs w:val="18"/>
              </w:rPr>
              <w:t>项目 法定盈余公积</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4"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97"/>
              <w:ind w:left="302" w:right="0"/>
              <w:jc w:val="left"/>
              <w:rPr>
                <w:rFonts w:ascii="Times New Roman" w:hAnsi="Times New Roman" w:cs="Times New Roman" w:eastAsia="Times New Roman" w:hint="default"/>
                <w:sz w:val="18"/>
                <w:szCs w:val="18"/>
              </w:rPr>
            </w:pPr>
            <w:r>
              <w:rPr>
                <w:rFonts w:ascii="Times New Roman"/>
                <w:sz w:val="18"/>
              </w:rPr>
              <w:t>25,905,036.44</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7" w:right="0"/>
              <w:jc w:val="left"/>
              <w:rPr>
                <w:rFonts w:ascii="宋体" w:hAnsi="宋体" w:cs="宋体" w:eastAsia="宋体" w:hint="default"/>
                <w:sz w:val="18"/>
                <w:szCs w:val="18"/>
              </w:rPr>
            </w:pPr>
            <w:r>
              <w:rPr>
                <w:rFonts w:ascii="宋体" w:hAnsi="宋体" w:cs="宋体" w:eastAsia="宋体" w:hint="default"/>
                <w:sz w:val="18"/>
                <w:szCs w:val="18"/>
              </w:rPr>
              <w:t>本期增加</w:t>
            </w:r>
          </w:p>
          <w:p>
            <w:pPr>
              <w:pStyle w:val="TableParagraph"/>
              <w:spacing w:line="240" w:lineRule="auto" w:before="97"/>
              <w:ind w:left="244" w:right="0"/>
              <w:jc w:val="left"/>
              <w:rPr>
                <w:rFonts w:ascii="Times New Roman" w:hAnsi="Times New Roman" w:cs="Times New Roman" w:eastAsia="Times New Roman" w:hint="default"/>
                <w:sz w:val="18"/>
                <w:szCs w:val="18"/>
              </w:rPr>
            </w:pPr>
            <w:r>
              <w:rPr>
                <w:rFonts w:ascii="Times New Roman"/>
                <w:sz w:val="18"/>
              </w:rPr>
              <w:t>6,604,255.08</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79"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97"/>
              <w:ind w:left="669" w:right="0"/>
              <w:jc w:val="left"/>
              <w:rPr>
                <w:rFonts w:ascii="Times New Roman" w:hAnsi="Times New Roman" w:cs="Times New Roman" w:eastAsia="Times New Roman" w:hint="default"/>
                <w:sz w:val="18"/>
                <w:szCs w:val="18"/>
              </w:rPr>
            </w:pPr>
            <w:r>
              <w:rPr>
                <w:rFonts w:ascii="Times New Roman"/>
                <w:sz w:val="18"/>
              </w:rPr>
              <w:t>32,509,291.52</w:t>
            </w:r>
          </w:p>
        </w:tc>
      </w:tr>
      <w:tr>
        <w:trPr>
          <w:trHeight w:val="36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2" w:right="0"/>
              <w:jc w:val="left"/>
              <w:rPr>
                <w:rFonts w:ascii="宋体" w:hAnsi="宋体" w:cs="宋体" w:eastAsia="宋体" w:hint="default"/>
                <w:sz w:val="18"/>
                <w:szCs w:val="18"/>
              </w:rPr>
            </w:pPr>
            <w:r>
              <w:rPr>
                <w:rFonts w:ascii="宋体" w:hAnsi="宋体" w:cs="宋体" w:eastAsia="宋体" w:hint="default"/>
                <w:sz w:val="18"/>
                <w:szCs w:val="18"/>
              </w:rPr>
              <w:t>任意盈余公积</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25"/>
              <w:jc w:val="right"/>
              <w:rPr>
                <w:rFonts w:ascii="Times New Roman" w:hAnsi="Times New Roman" w:cs="Times New Roman" w:eastAsia="Times New Roman" w:hint="default"/>
                <w:sz w:val="18"/>
                <w:szCs w:val="18"/>
              </w:rPr>
            </w:pPr>
            <w:r>
              <w:rPr>
                <w:rFonts w:ascii="Times New Roman"/>
                <w:spacing w:val="-1"/>
                <w:sz w:val="18"/>
              </w:rPr>
              <w:t>1,322,286.97</w:t>
            </w:r>
          </w:p>
        </w:tc>
        <w:tc>
          <w:tcPr>
            <w:tcW w:w="1417" w:type="dxa"/>
            <w:tcBorders>
              <w:top w:val="nil" w:sz="6" w:space="0" w:color="auto"/>
              <w:left w:val="nil" w:sz="6" w:space="0" w:color="auto"/>
              <w:bottom w:val="nil" w:sz="6" w:space="0" w:color="auto"/>
              <w:right w:val="nil" w:sz="6" w:space="0" w:color="auto"/>
            </w:tcBorders>
          </w:tcPr>
          <w:p>
            <w:pPr/>
          </w:p>
        </w:tc>
        <w:tc>
          <w:tcPr>
            <w:tcW w:w="1427" w:type="dxa"/>
            <w:tcBorders>
              <w:top w:val="nil" w:sz="6" w:space="0" w:color="auto"/>
              <w:left w:val="nil" w:sz="6" w:space="0" w:color="auto"/>
              <w:bottom w:val="nil" w:sz="6" w:space="0" w:color="auto"/>
              <w:right w:val="nil" w:sz="6" w:space="0" w:color="auto"/>
            </w:tcBorders>
          </w:tcPr>
          <w:p>
            <w:pPr/>
          </w:p>
        </w:tc>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4"/>
              <w:jc w:val="right"/>
              <w:rPr>
                <w:rFonts w:ascii="Times New Roman" w:hAnsi="Times New Roman" w:cs="Times New Roman" w:eastAsia="Times New Roman" w:hint="default"/>
                <w:sz w:val="18"/>
                <w:szCs w:val="18"/>
              </w:rPr>
            </w:pPr>
            <w:r>
              <w:rPr>
                <w:rFonts w:ascii="Times New Roman"/>
                <w:spacing w:val="-1"/>
                <w:sz w:val="18"/>
              </w:rPr>
              <w:t>1,322,286.97</w:t>
            </w:r>
          </w:p>
        </w:tc>
      </w:tr>
      <w:tr>
        <w:trPr>
          <w:trHeight w:val="34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储备基金</w:t>
            </w:r>
          </w:p>
        </w:tc>
        <w:tc>
          <w:tcPr>
            <w:tcW w:w="1565"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427" w:type="dxa"/>
            <w:tcBorders>
              <w:top w:val="nil" w:sz="6" w:space="0" w:color="auto"/>
              <w:left w:val="nil" w:sz="6" w:space="0" w:color="auto"/>
              <w:bottom w:val="nil" w:sz="6" w:space="0" w:color="auto"/>
              <w:right w:val="nil" w:sz="6" w:space="0" w:color="auto"/>
            </w:tcBorders>
          </w:tcPr>
          <w:p>
            <w:pPr/>
          </w:p>
        </w:tc>
        <w:tc>
          <w:tcPr>
            <w:tcW w:w="1812" w:type="dxa"/>
            <w:tcBorders>
              <w:top w:val="nil" w:sz="6" w:space="0" w:color="auto"/>
              <w:left w:val="nil" w:sz="6" w:space="0" w:color="auto"/>
              <w:bottom w:val="nil" w:sz="6" w:space="0" w:color="auto"/>
              <w:right w:val="nil" w:sz="6" w:space="0" w:color="auto"/>
            </w:tcBorders>
          </w:tcPr>
          <w:p>
            <w:pPr/>
          </w:p>
        </w:tc>
      </w:tr>
      <w:tr>
        <w:trPr>
          <w:trHeight w:val="34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企业发展基金</w:t>
            </w:r>
          </w:p>
        </w:tc>
        <w:tc>
          <w:tcPr>
            <w:tcW w:w="1565"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427" w:type="dxa"/>
            <w:tcBorders>
              <w:top w:val="nil" w:sz="6" w:space="0" w:color="auto"/>
              <w:left w:val="nil" w:sz="6" w:space="0" w:color="auto"/>
              <w:bottom w:val="nil" w:sz="6" w:space="0" w:color="auto"/>
              <w:right w:val="nil" w:sz="6" w:space="0" w:color="auto"/>
            </w:tcBorders>
          </w:tcPr>
          <w:p>
            <w:pPr/>
          </w:p>
        </w:tc>
        <w:tc>
          <w:tcPr>
            <w:tcW w:w="1812" w:type="dxa"/>
            <w:tcBorders>
              <w:top w:val="nil" w:sz="6" w:space="0" w:color="auto"/>
              <w:left w:val="nil" w:sz="6" w:space="0" w:color="auto"/>
              <w:bottom w:val="nil" w:sz="6" w:space="0" w:color="auto"/>
              <w:right w:val="nil" w:sz="6" w:space="0" w:color="auto"/>
            </w:tcBorders>
          </w:tcPr>
          <w:p>
            <w:pPr/>
          </w:p>
        </w:tc>
      </w:tr>
      <w:tr>
        <w:trPr>
          <w:trHeight w:val="642" w:hRule="exact"/>
        </w:trPr>
        <w:tc>
          <w:tcPr>
            <w:tcW w:w="1505"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其他</w:t>
            </w:r>
          </w:p>
          <w:p>
            <w:pPr>
              <w:pStyle w:val="TableParagraph"/>
              <w:spacing w:line="240" w:lineRule="auto" w:before="104"/>
              <w:ind w:left="432"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565"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0"/>
              <w:ind w:right="225"/>
              <w:jc w:val="right"/>
              <w:rPr>
                <w:rFonts w:ascii="Times New Roman" w:hAnsi="Times New Roman" w:cs="Times New Roman" w:eastAsia="Times New Roman" w:hint="default"/>
                <w:sz w:val="18"/>
                <w:szCs w:val="18"/>
              </w:rPr>
            </w:pPr>
            <w:r>
              <w:rPr>
                <w:rFonts w:ascii="Times New Roman"/>
                <w:spacing w:val="-1"/>
                <w:sz w:val="18"/>
              </w:rPr>
              <w:t>27,227,323.41</w:t>
            </w:r>
          </w:p>
        </w:tc>
        <w:tc>
          <w:tcPr>
            <w:tcW w:w="1417"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0"/>
              <w:ind w:left="244" w:right="0"/>
              <w:jc w:val="left"/>
              <w:rPr>
                <w:rFonts w:ascii="Times New Roman" w:hAnsi="Times New Roman" w:cs="Times New Roman" w:eastAsia="Times New Roman" w:hint="default"/>
                <w:sz w:val="18"/>
                <w:szCs w:val="18"/>
              </w:rPr>
            </w:pPr>
            <w:r>
              <w:rPr>
                <w:rFonts w:ascii="Times New Roman"/>
                <w:sz w:val="18"/>
              </w:rPr>
              <w:t>6,604,255.08</w:t>
            </w:r>
          </w:p>
        </w:tc>
        <w:tc>
          <w:tcPr>
            <w:tcW w:w="1427" w:type="dxa"/>
            <w:tcBorders>
              <w:top w:val="nil" w:sz="6" w:space="0" w:color="auto"/>
              <w:left w:val="nil" w:sz="6" w:space="0" w:color="auto"/>
              <w:bottom w:val="single" w:sz="12" w:space="0" w:color="000000"/>
              <w:right w:val="nil" w:sz="6" w:space="0" w:color="auto"/>
            </w:tcBorders>
          </w:tcPr>
          <w:p>
            <w:pPr/>
          </w:p>
        </w:tc>
        <w:tc>
          <w:tcPr>
            <w:tcW w:w="1812"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0"/>
              <w:ind w:right="105"/>
              <w:jc w:val="right"/>
              <w:rPr>
                <w:rFonts w:ascii="Times New Roman" w:hAnsi="Times New Roman" w:cs="Times New Roman" w:eastAsia="Times New Roman" w:hint="default"/>
                <w:sz w:val="18"/>
                <w:szCs w:val="18"/>
              </w:rPr>
            </w:pPr>
            <w:r>
              <w:rPr>
                <w:rFonts w:ascii="Times New Roman"/>
                <w:spacing w:val="-1"/>
                <w:sz w:val="18"/>
              </w:rPr>
              <w:t>33,831,578.49</w:t>
            </w:r>
          </w:p>
        </w:tc>
      </w:tr>
    </w:tbl>
    <w:p>
      <w:pPr>
        <w:spacing w:line="240" w:lineRule="auto" w:before="6"/>
        <w:rPr>
          <w:rFonts w:ascii="宋体" w:hAnsi="宋体" w:cs="宋体" w:eastAsia="宋体" w:hint="default"/>
          <w:b/>
          <w:bCs/>
          <w:sz w:val="25"/>
          <w:szCs w:val="25"/>
        </w:rPr>
      </w:pPr>
    </w:p>
    <w:p>
      <w:pPr>
        <w:spacing w:before="35"/>
        <w:ind w:left="125" w:right="9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二十八</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6"/>
          <w:sz w:val="21"/>
          <w:szCs w:val="21"/>
        </w:rPr>
        <w:t> </w:t>
      </w:r>
      <w:r>
        <w:rPr>
          <w:rFonts w:ascii="宋体" w:hAnsi="宋体" w:cs="宋体" w:eastAsia="宋体" w:hint="default"/>
          <w:b/>
          <w:bCs/>
          <w:sz w:val="21"/>
          <w:szCs w:val="21"/>
        </w:rPr>
        <w:t>未分配利润</w:t>
      </w:r>
      <w:r>
        <w:rPr>
          <w:rFonts w:ascii="宋体" w:hAnsi="宋体" w:cs="宋体" w:eastAsia="宋体" w:hint="default"/>
          <w:sz w:val="21"/>
          <w:szCs w:val="21"/>
        </w:rPr>
      </w:r>
    </w:p>
    <w:p>
      <w:pPr>
        <w:spacing w:line="4479" w:lineRule="exact"/>
        <w:ind w:left="720" w:right="0" w:firstLine="0"/>
        <w:rPr>
          <w:rFonts w:ascii="宋体" w:hAnsi="宋体" w:cs="宋体" w:eastAsia="宋体" w:hint="default"/>
          <w:sz w:val="20"/>
          <w:szCs w:val="20"/>
        </w:rPr>
      </w:pPr>
      <w:r>
        <w:rPr>
          <w:rFonts w:ascii="宋体" w:hAnsi="宋体" w:cs="宋体" w:eastAsia="宋体" w:hint="default"/>
          <w:position w:val="-89"/>
          <w:sz w:val="20"/>
          <w:szCs w:val="20"/>
        </w:rPr>
        <w:pict>
          <v:group style="width:390.7pt;height:224pt;mso-position-horizontal-relative:char;mso-position-vertical-relative:line" coordorigin="0,0" coordsize="7814,4480">
            <v:group style="position:absolute;left:29;top:15;width:5928;height:2" coordorigin="29,15" coordsize="5928,2">
              <v:shape style="position:absolute;left:29;top:15;width:5928;height:2" coordorigin="29,15" coordsize="5928,0" path="m29,15l5957,15e" filled="false" stroked="true" strokeweight="1.5pt" strokecolor="#000000">
                <v:path arrowok="t"/>
              </v:shape>
            </v:group>
            <v:group style="position:absolute;left:5957;top:15;width:1826;height:2" coordorigin="5957,15" coordsize="1826,2">
              <v:shape style="position:absolute;left:5957;top:15;width:1826;height:2" coordorigin="5957,15" coordsize="1826,0" path="m5957,15l7783,15e" filled="false" stroked="true" strokeweight="1.5pt" strokecolor="#000000">
                <v:path arrowok="t"/>
              </v:shape>
              <v:shape style="position:absolute;left:3248;top:8;width:2711;height:403" type="#_x0000_t75" stroked="false">
                <v:imagedata r:id="rId220" o:title=""/>
              </v:shape>
            </v:group>
            <v:group style="position:absolute;left:15;top:4465;width:3255;height:2" coordorigin="15,4465" coordsize="3255,2">
              <v:shape style="position:absolute;left:15;top:4465;width:3255;height:2" coordorigin="15,4465" coordsize="3255,0" path="m15,4465l3269,4465e" filled="false" stroked="true" strokeweight="1.5pt" strokecolor="#000000">
                <v:path arrowok="t"/>
              </v:shape>
            </v:group>
            <v:group style="position:absolute;left:3269;top:4465;width:2658;height:2" coordorigin="3269,4465" coordsize="2658,2">
              <v:shape style="position:absolute;left:3269;top:4465;width:2658;height:2" coordorigin="3269,4465" coordsize="2658,0" path="m3269,4465l5927,4465e" filled="false" stroked="true" strokeweight="1.5pt" strokecolor="#000000">
                <v:path arrowok="t"/>
              </v:shape>
              <v:shape style="position:absolute;left:1;top:368;width:7813;height:4081" type="#_x0000_t75" stroked="false">
                <v:imagedata r:id="rId221" o:title=""/>
              </v:shape>
            </v:group>
            <v:group style="position:absolute;left:5927;top:4465;width:30;height:2" coordorigin="5927,4465" coordsize="30,2">
              <v:shape style="position:absolute;left:5927;top:4465;width:30;height:2" coordorigin="5927,4465" coordsize="30,0" path="m5927,4465l5957,4465e" filled="false" stroked="true" strokeweight="1.5pt" strokecolor="#000000">
                <v:path arrowok="t"/>
              </v:shape>
            </v:group>
            <v:group style="position:absolute;left:5957;top:4465;width:1826;height:2" coordorigin="5957,4465" coordsize="1826,2">
              <v:shape style="position:absolute;left:5957;top:4465;width:1826;height:2" coordorigin="5957,4465" coordsize="1826,0" path="m5957,4465l7783,4465e" filled="false" stroked="true" strokeweight="1.5pt" strokecolor="#000000">
                <v:path arrowok="t"/>
              </v:shape>
              <v:shape style="position:absolute;left:137;top:183;width:1334;height:550" type="#_x0000_t202" filled="false" stroked="false">
                <v:textbox inset="0,0,0,0">
                  <w:txbxContent>
                    <w:p>
                      <w:pPr>
                        <w:spacing w:line="180" w:lineRule="exact" w:before="0"/>
                        <w:ind w:left="1153" w:right="0" w:firstLine="0"/>
                        <w:jc w:val="left"/>
                        <w:rPr>
                          <w:rFonts w:ascii="宋体" w:hAnsi="宋体" w:cs="宋体" w:eastAsia="宋体" w:hint="default"/>
                          <w:sz w:val="18"/>
                          <w:szCs w:val="18"/>
                        </w:rPr>
                      </w:pPr>
                      <w:r>
                        <w:rPr>
                          <w:rFonts w:ascii="宋体" w:hAnsi="宋体" w:cs="宋体" w:eastAsia="宋体" w:hint="default"/>
                          <w:sz w:val="18"/>
                          <w:szCs w:val="18"/>
                        </w:rPr>
                        <w:t>项</w:t>
                      </w:r>
                    </w:p>
                    <w:p>
                      <w:pPr>
                        <w:spacing w:before="134"/>
                        <w:ind w:left="0" w:right="0" w:firstLine="0"/>
                        <w:jc w:val="left"/>
                        <w:rPr>
                          <w:rFonts w:ascii="宋体" w:hAnsi="宋体" w:cs="宋体" w:eastAsia="宋体" w:hint="default"/>
                          <w:sz w:val="18"/>
                          <w:szCs w:val="18"/>
                        </w:rPr>
                      </w:pPr>
                      <w:r>
                        <w:rPr>
                          <w:rFonts w:ascii="宋体" w:hAnsi="宋体" w:cs="宋体" w:eastAsia="宋体" w:hint="default"/>
                          <w:sz w:val="18"/>
                          <w:szCs w:val="18"/>
                        </w:rPr>
                        <w:t>年初未分配利润</w:t>
                      </w:r>
                    </w:p>
                  </w:txbxContent>
                </v:textbox>
                <w10:wrap type="none"/>
              </v:shape>
              <v:shape style="position:absolute;left:1831;top:18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4333;top:183;width:1493;height:49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p>
                      <w:pPr>
                        <w:spacing w:line="203" w:lineRule="exact" w:before="111"/>
                        <w:ind w:left="367" w:right="0" w:firstLine="0"/>
                        <w:jc w:val="left"/>
                        <w:rPr>
                          <w:rFonts w:ascii="Times New Roman" w:hAnsi="Times New Roman" w:cs="Times New Roman" w:eastAsia="Times New Roman" w:hint="default"/>
                          <w:sz w:val="18"/>
                          <w:szCs w:val="18"/>
                        </w:rPr>
                      </w:pPr>
                      <w:r>
                        <w:rPr>
                          <w:rFonts w:ascii="Times New Roman"/>
                          <w:sz w:val="18"/>
                        </w:rPr>
                        <w:t>262,502,641.33</w:t>
                      </w:r>
                    </w:p>
                  </w:txbxContent>
                </v:textbox>
                <w10:wrap type="none"/>
              </v:shape>
              <v:shape style="position:absolute;left:6227;top:18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提取或分配比例</w:t>
                      </w:r>
                    </w:p>
                  </w:txbxContent>
                </v:textbox>
                <w10:wrap type="none"/>
              </v:shape>
              <v:shape style="position:absolute;left:137;top:923;width:3032;height:91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w:t>
                      </w:r>
                      <w:r>
                        <w:rPr>
                          <w:rFonts w:ascii="宋体" w:hAnsi="宋体" w:cs="宋体" w:eastAsia="宋体" w:hint="default"/>
                          <w:spacing w:val="50"/>
                          <w:sz w:val="18"/>
                          <w:szCs w:val="18"/>
                        </w:rPr>
                        <w:t> </w:t>
                      </w:r>
                      <w:r>
                        <w:rPr>
                          <w:rFonts w:ascii="宋体" w:hAnsi="宋体" w:cs="宋体" w:eastAsia="宋体" w:hint="default"/>
                          <w:sz w:val="18"/>
                          <w:szCs w:val="18"/>
                        </w:rPr>
                        <w:t>本期归属于母公司所有者的净利</w:t>
                      </w:r>
                    </w:p>
                    <w:p>
                      <w:pPr>
                        <w:spacing w:line="370" w:lineRule="exact" w:before="38"/>
                        <w:ind w:left="0" w:right="1229" w:firstLine="0"/>
                        <w:jc w:val="left"/>
                        <w:rPr>
                          <w:rFonts w:ascii="宋体" w:hAnsi="宋体" w:cs="宋体" w:eastAsia="宋体" w:hint="default"/>
                          <w:sz w:val="18"/>
                          <w:szCs w:val="18"/>
                        </w:rPr>
                      </w:pPr>
                      <w:r>
                        <w:rPr>
                          <w:rFonts w:ascii="宋体" w:hAnsi="宋体" w:cs="宋体" w:eastAsia="宋体" w:hint="default"/>
                          <w:sz w:val="18"/>
                          <w:szCs w:val="18"/>
                        </w:rPr>
                        <w:t>润 减：提取法定盈余公积</w:t>
                      </w:r>
                    </w:p>
                  </w:txbxContent>
                </v:textbox>
                <w10:wrap type="none"/>
              </v:shape>
              <v:shape style="position:absolute;left:4700;top:1048;width:2975;height:732"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178,809,583.01</w:t>
                      </w:r>
                    </w:p>
                    <w:p>
                      <w:pPr>
                        <w:spacing w:line="240" w:lineRule="auto" w:before="2"/>
                        <w:rPr>
                          <w:rFonts w:ascii="宋体" w:hAnsi="宋体" w:cs="宋体" w:eastAsia="宋体" w:hint="default"/>
                          <w:b/>
                          <w:bCs/>
                          <w:sz w:val="23"/>
                          <w:szCs w:val="23"/>
                        </w:rPr>
                      </w:pPr>
                    </w:p>
                    <w:p>
                      <w:pPr>
                        <w:tabs>
                          <w:tab w:pos="1340" w:val="left" w:leader="none"/>
                        </w:tabs>
                        <w:spacing w:line="245" w:lineRule="exact" w:before="0"/>
                        <w:ind w:left="18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6,604,255.08</w:t>
                        <w:tab/>
                      </w:r>
                      <w:r>
                        <w:rPr>
                          <w:rFonts w:ascii="宋体" w:hAnsi="宋体" w:cs="宋体" w:eastAsia="宋体" w:hint="default"/>
                          <w:sz w:val="18"/>
                          <w:szCs w:val="18"/>
                        </w:rPr>
                        <w:t>母公司净利润的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p>
                  </w:txbxContent>
                </v:textbox>
                <w10:wrap type="none"/>
              </v:shape>
              <v:shape style="position:absolute;left:497;top:2022;width:1800;height:240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提取任意盈余公积</w:t>
                      </w:r>
                    </w:p>
                    <w:p>
                      <w:pPr>
                        <w:spacing w:line="376" w:lineRule="auto" w:before="135"/>
                        <w:ind w:left="0" w:right="0" w:firstLine="0"/>
                        <w:jc w:val="left"/>
                        <w:rPr>
                          <w:rFonts w:ascii="宋体" w:hAnsi="宋体" w:cs="宋体" w:eastAsia="宋体" w:hint="default"/>
                          <w:sz w:val="18"/>
                          <w:szCs w:val="18"/>
                        </w:rPr>
                      </w:pPr>
                      <w:r>
                        <w:rPr>
                          <w:rFonts w:ascii="宋体" w:hAnsi="宋体" w:cs="宋体" w:eastAsia="宋体" w:hint="default"/>
                          <w:sz w:val="18"/>
                          <w:szCs w:val="18"/>
                        </w:rPr>
                        <w:t>提取储备基金 提取企业发展基金 提取职工奖福基金 提取一般风险准备 应付普通股股利</w:t>
                      </w:r>
                    </w:p>
                    <w:p>
                      <w:pPr>
                        <w:spacing w:before="31"/>
                        <w:ind w:left="0" w:right="0" w:firstLine="0"/>
                        <w:jc w:val="left"/>
                        <w:rPr>
                          <w:rFonts w:ascii="宋体" w:hAnsi="宋体" w:cs="宋体" w:eastAsia="宋体" w:hint="default"/>
                          <w:sz w:val="18"/>
                          <w:szCs w:val="18"/>
                        </w:rPr>
                      </w:pPr>
                      <w:r>
                        <w:rPr>
                          <w:rFonts w:ascii="宋体" w:hAnsi="宋体" w:cs="宋体" w:eastAsia="宋体" w:hint="default"/>
                          <w:sz w:val="18"/>
                          <w:szCs w:val="18"/>
                        </w:rPr>
                        <w:t>转作股本的普通股股利</w:t>
                      </w:r>
                    </w:p>
                  </w:txbxContent>
                </v:textbox>
                <w10:wrap type="none"/>
              </v:shape>
            </v:group>
          </v:group>
        </w:pict>
      </w:r>
      <w:r>
        <w:rPr>
          <w:rFonts w:ascii="宋体" w:hAnsi="宋体" w:cs="宋体" w:eastAsia="宋体" w:hint="default"/>
          <w:position w:val="-89"/>
          <w:sz w:val="20"/>
          <w:szCs w:val="20"/>
        </w:rPr>
      </w:r>
    </w:p>
    <w:p>
      <w:pPr>
        <w:spacing w:line="240" w:lineRule="auto" w:before="12"/>
        <w:rPr>
          <w:rFonts w:ascii="宋体" w:hAnsi="宋体" w:cs="宋体" w:eastAsia="宋体" w:hint="default"/>
          <w:b/>
          <w:bCs/>
          <w:sz w:val="6"/>
          <w:szCs w:val="6"/>
        </w:rPr>
      </w:pPr>
    </w:p>
    <w:p>
      <w:pPr>
        <w:spacing w:line="251" w:lineRule="exact"/>
        <w:ind w:left="140" w:right="0" w:firstLine="0"/>
        <w:rPr>
          <w:rFonts w:ascii="宋体" w:hAnsi="宋体" w:cs="宋体" w:eastAsia="宋体" w:hint="default"/>
          <w:sz w:val="20"/>
          <w:szCs w:val="20"/>
        </w:rPr>
      </w:pPr>
      <w:r>
        <w:rPr>
          <w:rFonts w:ascii="宋体" w:hAnsi="宋体" w:cs="宋体" w:eastAsia="宋体" w:hint="default"/>
          <w:position w:val="-4"/>
          <w:sz w:val="20"/>
          <w:szCs w:val="20"/>
        </w:rPr>
        <w:drawing>
          <wp:inline distT="0" distB="0" distL="0" distR="0">
            <wp:extent cx="901786" cy="159448"/>
            <wp:effectExtent l="0" t="0" r="0" b="0"/>
            <wp:docPr id="13" name="image1.jpeg" descr=""/>
            <wp:cNvGraphicFramePr>
              <a:graphicFrameLocks noChangeAspect="1"/>
            </wp:cNvGraphicFramePr>
            <a:graphic>
              <a:graphicData uri="http://schemas.openxmlformats.org/drawingml/2006/picture">
                <pic:pic>
                  <pic:nvPicPr>
                    <pic:cNvPr id="14" name="image1.jpeg"/>
                    <pic:cNvPicPr/>
                  </pic:nvPicPr>
                  <pic:blipFill>
                    <a:blip r:embed="rId222" cstate="print"/>
                    <a:stretch>
                      <a:fillRect/>
                    </a:stretch>
                  </pic:blipFill>
                  <pic:spPr>
                    <a:xfrm>
                      <a:off x="0" y="0"/>
                      <a:ext cx="901786" cy="159448"/>
                    </a:xfrm>
                    <a:prstGeom prst="rect">
                      <a:avLst/>
                    </a:prstGeom>
                  </pic:spPr>
                </pic:pic>
              </a:graphicData>
            </a:graphic>
          </wp:inline>
        </w:drawing>
      </w:r>
      <w:r>
        <w:rPr>
          <w:rFonts w:ascii="宋体" w:hAnsi="宋体" w:cs="宋体" w:eastAsia="宋体" w:hint="default"/>
          <w:position w:val="-4"/>
          <w:sz w:val="20"/>
          <w:szCs w:val="20"/>
        </w:rPr>
      </w:r>
    </w:p>
    <w:p>
      <w:pPr>
        <w:spacing w:after="0" w:line="251" w:lineRule="exact"/>
        <w:rPr>
          <w:rFonts w:ascii="宋体" w:hAnsi="宋体" w:cs="宋体" w:eastAsia="宋体" w:hint="default"/>
          <w:sz w:val="20"/>
          <w:szCs w:val="20"/>
        </w:rPr>
        <w:sectPr>
          <w:footerReference w:type="default" r:id="rId215"/>
          <w:pgSz w:w="11910" w:h="16840"/>
          <w:pgMar w:footer="982" w:header="0" w:top="1060" w:bottom="1180" w:left="1660" w:right="1600"/>
        </w:sectPr>
      </w:pPr>
    </w:p>
    <w:p>
      <w:pPr>
        <w:spacing w:line="240" w:lineRule="auto" w:before="6"/>
        <w:rPr>
          <w:rFonts w:ascii="宋体" w:hAnsi="宋体" w:cs="宋体" w:eastAsia="宋体" w:hint="default"/>
          <w:b/>
          <w:bCs/>
          <w:sz w:val="28"/>
          <w:szCs w:val="28"/>
        </w:rPr>
      </w:pPr>
    </w:p>
    <w:p>
      <w:pPr>
        <w:spacing w:line="420" w:lineRule="exact"/>
        <w:ind w:left="720"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389.9pt;height:21pt;mso-position-horizontal-relative:char;mso-position-vertical-relative:line" coordorigin="0,0" coordsize="7798,420">
            <v:group style="position:absolute;left:29;top:15;width:5928;height:2" coordorigin="29,15" coordsize="5928,2">
              <v:shape style="position:absolute;left:29;top:15;width:5928;height:2" coordorigin="29,15" coordsize="5928,0" path="m29,15l5957,15e" filled="false" stroked="true" strokeweight="1.5pt" strokecolor="#000000">
                <v:path arrowok="t"/>
              </v:shape>
            </v:group>
            <v:group style="position:absolute;left:5957;top:15;width:1826;height:2" coordorigin="5957,15" coordsize="1826,2">
              <v:shape style="position:absolute;left:5957;top:15;width:1826;height:2" coordorigin="5957,15" coordsize="1826,0" path="m5957,15l7783,15e" filled="false" stroked="true" strokeweight="1.5pt" strokecolor="#000000">
                <v:path arrowok="t"/>
              </v:shape>
            </v:group>
            <v:group style="position:absolute;left:15;top:405;width:3255;height:2" coordorigin="15,405" coordsize="3255,2">
              <v:shape style="position:absolute;left:15;top:405;width:3255;height:2" coordorigin="15,405" coordsize="3255,0" path="m15,405l3269,405e" filled="false" stroked="true" strokeweight="1.5pt" strokecolor="#000000">
                <v:path arrowok="t"/>
              </v:shape>
              <v:shape style="position:absolute;left:3269;top:30;width:10;height:360" type="#_x0000_t75" stroked="false">
                <v:imagedata r:id="rId224" o:title=""/>
              </v:shape>
            </v:group>
            <v:group style="position:absolute;left:3269;top:405;width:2658;height:2" coordorigin="3269,405" coordsize="2658,2">
              <v:shape style="position:absolute;left:3269;top:405;width:2658;height:2" coordorigin="3269,405" coordsize="2658,0" path="m3269,405l5927,405e" filled="false" stroked="true" strokeweight="1.5pt" strokecolor="#000000">
                <v:path arrowok="t"/>
              </v:shape>
              <v:shape style="position:absolute;left:5927;top:30;width:10;height:360" type="#_x0000_t75" stroked="false">
                <v:imagedata r:id="rId224" o:title=""/>
              </v:shape>
            </v:group>
            <v:group style="position:absolute;left:5927;top:405;width:30;height:2" coordorigin="5927,405" coordsize="30,2">
              <v:shape style="position:absolute;left:5927;top:405;width:30;height:2" coordorigin="5927,405" coordsize="30,0" path="m5927,405l5957,405e" filled="false" stroked="true" strokeweight="1.5pt" strokecolor="#000000">
                <v:path arrowok="t"/>
              </v:shape>
            </v:group>
            <v:group style="position:absolute;left:5957;top:405;width:1826;height:2" coordorigin="5957,405" coordsize="1826,2">
              <v:shape style="position:absolute;left:5957;top:405;width:1826;height:2" coordorigin="5957,405" coordsize="1826,0" path="m5957,405l7783,405e" filled="false" stroked="true" strokeweight="1.5pt" strokecolor="#000000">
                <v:path arrowok="t"/>
              </v:shape>
              <v:shape style="position:absolute;left:137;top:18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期末未分配利润</w:t>
                      </w:r>
                    </w:p>
                  </w:txbxContent>
                </v:textbox>
                <w10:wrap type="none"/>
              </v:shape>
              <v:shape style="position:absolute;left:4700;top:128;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434,707,969.26</w:t>
                      </w:r>
                    </w:p>
                  </w:txbxContent>
                </v:textbox>
                <w10:wrap type="none"/>
              </v:shape>
            </v:group>
          </v:group>
        </w:pict>
      </w:r>
      <w:r>
        <w:rPr>
          <w:rFonts w:ascii="宋体" w:hAnsi="宋体" w:cs="宋体" w:eastAsia="宋体" w:hint="default"/>
          <w:position w:val="-7"/>
          <w:sz w:val="20"/>
          <w:szCs w:val="20"/>
        </w:rPr>
      </w:r>
    </w:p>
    <w:p>
      <w:pPr>
        <w:spacing w:before="72"/>
        <w:ind w:left="125" w:right="9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二十九</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7"/>
          <w:sz w:val="21"/>
          <w:szCs w:val="21"/>
        </w:rPr>
        <w:t> </w:t>
      </w:r>
      <w:r>
        <w:rPr>
          <w:rFonts w:ascii="宋体" w:hAnsi="宋体" w:cs="宋体" w:eastAsia="宋体" w:hint="default"/>
          <w:b/>
          <w:bCs/>
          <w:sz w:val="21"/>
          <w:szCs w:val="21"/>
        </w:rPr>
        <w:t>营业收入和营业成本</w:t>
      </w:r>
      <w:r>
        <w:rPr>
          <w:rFonts w:ascii="宋体" w:hAnsi="宋体" w:cs="宋体" w:eastAsia="宋体" w:hint="default"/>
          <w:sz w:val="21"/>
          <w:szCs w:val="21"/>
        </w:rPr>
      </w:r>
    </w:p>
    <w:p>
      <w:pPr>
        <w:tabs>
          <w:tab w:pos="1396" w:val="left" w:leader="none"/>
        </w:tabs>
        <w:spacing w:before="89"/>
        <w:ind w:left="857" w:right="9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营业收入、营业成本</w:t>
      </w:r>
      <w:r>
        <w:rPr>
          <w:rFonts w:ascii="宋体" w:hAnsi="宋体" w:cs="宋体" w:eastAsia="宋体" w:hint="default"/>
          <w:sz w:val="21"/>
          <w:szCs w:val="21"/>
        </w:rPr>
      </w:r>
    </w:p>
    <w:p>
      <w:pPr>
        <w:spacing w:line="1610" w:lineRule="exact"/>
        <w:ind w:left="720"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390.5pt;height:80.55pt;mso-position-horizontal-relative:char;mso-position-vertical-relative:line" coordorigin="0,0" coordsize="7810,1611">
            <v:group style="position:absolute;left:29;top:15;width:7755;height:2" coordorigin="29,15" coordsize="7755,2">
              <v:shape style="position:absolute;left:29;top:15;width:7755;height:2" coordorigin="29,15" coordsize="7755,0" path="m29,15l7784,15e" filled="false" stroked="true" strokeweight="1.5pt" strokecolor="#000000">
                <v:path arrowok="t"/>
              </v:shape>
              <v:shape style="position:absolute;left:3172;top:7;width:2372;height:427" type="#_x0000_t75" stroked="false">
                <v:imagedata r:id="rId225" o:title=""/>
              </v:shape>
            </v:group>
            <v:group style="position:absolute;left:15;top:1595;width:3180;height:2" coordorigin="15,1595" coordsize="3180,2">
              <v:shape style="position:absolute;left:15;top:1595;width:3180;height:2" coordorigin="15,1595" coordsize="3180,0" path="m15,1595l3195,1595e" filled="false" stroked="true" strokeweight="1.5pt" strokecolor="#000000">
                <v:path arrowok="t"/>
              </v:shape>
            </v:group>
            <v:group style="position:absolute;left:3195;top:1595;width:2316;height:2" coordorigin="3195,1595" coordsize="2316,2">
              <v:shape style="position:absolute;left:3195;top:1595;width:2316;height:2" coordorigin="3195,1595" coordsize="2316,0" path="m3195,1595l5511,1595e" filled="false" stroked="true" strokeweight="1.5pt" strokecolor="#000000">
                <v:path arrowok="t"/>
              </v:shape>
              <v:shape style="position:absolute;left:1;top:387;width:7809;height:1193" type="#_x0000_t75" stroked="false">
                <v:imagedata r:id="rId226" o:title=""/>
              </v:shape>
            </v:group>
            <v:group style="position:absolute;left:5511;top:1595;width:2273;height:2" coordorigin="5511,1595" coordsize="2273,2">
              <v:shape style="position:absolute;left:5511;top:1595;width:2273;height:2" coordorigin="5511,1595" coordsize="2273,0" path="m5511,1595l7784,1595e" filled="false" stroked="true" strokeweight="1.5pt" strokecolor="#000000">
                <v:path arrowok="t"/>
              </v:shape>
              <v:shape style="position:absolute;left:1255;top:202;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137;top:59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主营业务收入</w:t>
                      </w:r>
                    </w:p>
                  </w:txbxContent>
                </v:textbox>
                <w10:wrap type="none"/>
              </v:shape>
              <v:shape style="position:absolute;left:3998;top:202;width:1412;height:50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line="203" w:lineRule="exact" w:before="123"/>
                        <w:ind w:left="285" w:right="0" w:firstLine="0"/>
                        <w:jc w:val="left"/>
                        <w:rPr>
                          <w:rFonts w:ascii="Times New Roman" w:hAnsi="Times New Roman" w:cs="Times New Roman" w:eastAsia="Times New Roman" w:hint="default"/>
                          <w:sz w:val="18"/>
                          <w:szCs w:val="18"/>
                        </w:rPr>
                      </w:pPr>
                      <w:r>
                        <w:rPr>
                          <w:rFonts w:ascii="Times New Roman"/>
                          <w:sz w:val="18"/>
                        </w:rPr>
                        <w:t>736,720,370.48</w:t>
                      </w:r>
                    </w:p>
                  </w:txbxContent>
                </v:textbox>
                <w10:wrap type="none"/>
              </v:shape>
              <v:shape style="position:absolute;left:6290;top:202;width:1388;height:50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line="203" w:lineRule="exact" w:before="123"/>
                        <w:ind w:left="261" w:right="0" w:firstLine="0"/>
                        <w:jc w:val="left"/>
                        <w:rPr>
                          <w:rFonts w:ascii="Times New Roman" w:hAnsi="Times New Roman" w:cs="Times New Roman" w:eastAsia="Times New Roman" w:hint="default"/>
                          <w:sz w:val="18"/>
                          <w:szCs w:val="18"/>
                        </w:rPr>
                      </w:pPr>
                      <w:r>
                        <w:rPr>
                          <w:rFonts w:ascii="Times New Roman"/>
                          <w:sz w:val="18"/>
                        </w:rPr>
                        <w:t>464,806,167.85</w:t>
                      </w:r>
                    </w:p>
                  </w:txbxContent>
                </v:textbox>
                <w10:wrap type="none"/>
              </v:shape>
              <v:shape style="position:absolute;left:137;top:98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其他业务收入</w:t>
                      </w:r>
                    </w:p>
                  </w:txbxContent>
                </v:textbox>
                <w10:wrap type="none"/>
              </v:shape>
              <v:shape style="position:absolute;left:4463;top:91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4,737,441.58</w:t>
                      </w:r>
                    </w:p>
                  </w:txbxContent>
                </v:textbox>
                <w10:wrap type="none"/>
              </v:shape>
              <v:shape style="position:absolute;left:6731;top:91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3,393,290.20</w:t>
                      </w:r>
                    </w:p>
                  </w:txbxContent>
                </v:textbox>
                <w10:wrap type="none"/>
              </v:shape>
              <v:shape style="position:absolute;left:137;top:137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4283;top:1308;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353,299,726.98</w:t>
                      </w:r>
                    </w:p>
                  </w:txbxContent>
                </v:textbox>
                <w10:wrap type="none"/>
              </v:shape>
              <v:shape style="position:absolute;left:6551;top:1308;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214,914,606.88</w:t>
                      </w:r>
                    </w:p>
                  </w:txbxContent>
                </v:textbox>
                <w10:wrap type="none"/>
              </v:shape>
            </v:group>
          </v:group>
        </w:pict>
      </w:r>
      <w:r>
        <w:rPr>
          <w:rFonts w:ascii="宋体" w:hAnsi="宋体" w:cs="宋体" w:eastAsia="宋体" w:hint="default"/>
          <w:position w:val="-31"/>
          <w:sz w:val="20"/>
          <w:szCs w:val="2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5"/>
          <w:szCs w:val="15"/>
        </w:rPr>
      </w:pPr>
    </w:p>
    <w:p>
      <w:pPr>
        <w:tabs>
          <w:tab w:pos="1396" w:val="left" w:leader="none"/>
        </w:tabs>
        <w:spacing w:before="0"/>
        <w:ind w:left="857" w:right="9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主营业务（分行业）</w:t>
      </w:r>
      <w:r>
        <w:rPr>
          <w:rFonts w:ascii="宋体" w:hAnsi="宋体" w:cs="宋体" w:eastAsia="宋体" w:hint="default"/>
          <w:sz w:val="21"/>
          <w:szCs w:val="21"/>
        </w:rPr>
      </w:r>
    </w:p>
    <w:p>
      <w:pPr>
        <w:spacing w:line="1610" w:lineRule="exact"/>
        <w:ind w:left="720"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390.45pt;height:80.55pt;mso-position-horizontal-relative:char;mso-position-vertical-relative:line" coordorigin="0,0" coordsize="7809,1611">
            <v:group style="position:absolute;left:29;top:15;width:7755;height:2" coordorigin="29,15" coordsize="7755,2">
              <v:shape style="position:absolute;left:29;top:15;width:7755;height:2" coordorigin="29,15" coordsize="7755,0" path="m29,15l7784,15e" filled="false" stroked="true" strokeweight="1.5pt" strokecolor="#000000">
                <v:path arrowok="t"/>
              </v:shape>
              <v:shape style="position:absolute;left:2086;top:7;width:2940;height:427" type="#_x0000_t75" stroked="false">
                <v:imagedata r:id="rId227" o:title=""/>
              </v:shape>
              <v:shape style="position:absolute;left:2086;top:387;width:5723;height:437" type="#_x0000_t75" stroked="false">
                <v:imagedata r:id="rId228" o:title=""/>
              </v:shape>
            </v:group>
            <v:group style="position:absolute;left:15;top:1595;width:2094;height:2" coordorigin="15,1595" coordsize="2094,2">
              <v:shape style="position:absolute;left:15;top:1595;width:2094;height:2" coordorigin="15,1595" coordsize="2094,0" path="m15,1595l2109,1595e" filled="false" stroked="true" strokeweight="1.5pt" strokecolor="#000000">
                <v:path arrowok="t"/>
              </v:shape>
            </v:group>
            <v:group style="position:absolute;left:2109;top:1595;width:1450;height:2" coordorigin="2109,1595" coordsize="1450,2">
              <v:shape style="position:absolute;left:2109;top:1595;width:1450;height:2" coordorigin="2109,1595" coordsize="1450,0" path="m2109,1595l3559,1595e" filled="false" stroked="true" strokeweight="1.5pt" strokecolor="#000000">
                <v:path arrowok="t"/>
              </v:shape>
            </v:group>
            <v:group style="position:absolute;left:3559;top:1595;width:1434;height:2" coordorigin="3559,1595" coordsize="1434,2">
              <v:shape style="position:absolute;left:3559;top:1595;width:1434;height:2" coordorigin="3559,1595" coordsize="1434,0" path="m3559,1595l4993,1595e" filled="false" stroked="true" strokeweight="1.5pt" strokecolor="#000000">
                <v:path arrowok="t"/>
              </v:shape>
            </v:group>
            <v:group style="position:absolute;left:4993;top:1595;width:1401;height:2" coordorigin="4993,1595" coordsize="1401,2">
              <v:shape style="position:absolute;left:4993;top:1595;width:1401;height:2" coordorigin="4993,1595" coordsize="1401,0" path="m4993,1595l6393,1595e" filled="false" stroked="true" strokeweight="1.5pt" strokecolor="#000000">
                <v:path arrowok="t"/>
              </v:shape>
              <v:shape style="position:absolute;left:1;top:777;width:7808;height:803" type="#_x0000_t75" stroked="false">
                <v:imagedata r:id="rId229" o:title=""/>
              </v:shape>
            </v:group>
            <v:group style="position:absolute;left:6393;top:1595;width:1391;height:2" coordorigin="6393,1595" coordsize="1391,2">
              <v:shape style="position:absolute;left:6393;top:1595;width:1391;height:2" coordorigin="6393,1595" coordsize="1391,0" path="m6393,1595l7784,1595e" filled="false" stroked="true" strokeweight="1.5pt" strokecolor="#000000">
                <v:path arrowok="t"/>
              </v:shape>
              <v:shape style="position:absolute;left:3195;top:20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6031;top:20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711;top:39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行业名称</w:t>
                      </w:r>
                    </w:p>
                  </w:txbxContent>
                </v:textbox>
                <w10:wrap type="none"/>
              </v:shape>
              <v:shape style="position:absolute;left:2477;top:5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137;top:98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工</w:t>
                      </w:r>
                    </w:p>
                  </w:txbxContent>
                </v:textbox>
                <w10:wrap type="none"/>
              </v:shape>
              <v:shape style="position:absolute;left:677;top:98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w:t>
                      </w:r>
                    </w:p>
                  </w:txbxContent>
                </v:textbox>
                <w10:wrap type="none"/>
              </v:shape>
              <v:shape style="position:absolute;left:2330;top:592;width:5348;height:507" type="#_x0000_t202" filled="false" stroked="false">
                <v:textbox inset="0,0,0,0">
                  <w:txbxContent>
                    <w:p>
                      <w:pPr>
                        <w:tabs>
                          <w:tab w:pos="3008" w:val="left" w:leader="none"/>
                          <w:tab w:pos="4400" w:val="left" w:leader="none"/>
                        </w:tabs>
                        <w:spacing w:line="180" w:lineRule="exact" w:before="0"/>
                        <w:ind w:left="1588" w:right="0" w:firstLine="0"/>
                        <w:jc w:val="left"/>
                        <w:rPr>
                          <w:rFonts w:ascii="宋体" w:hAnsi="宋体" w:cs="宋体" w:eastAsia="宋体" w:hint="default"/>
                          <w:sz w:val="18"/>
                          <w:szCs w:val="18"/>
                        </w:rPr>
                      </w:pPr>
                      <w:r>
                        <w:rPr>
                          <w:rFonts w:ascii="宋体" w:hAnsi="宋体" w:cs="宋体" w:eastAsia="宋体" w:hint="default"/>
                          <w:sz w:val="18"/>
                          <w:szCs w:val="18"/>
                        </w:rPr>
                        <w:t>营业成本</w:t>
                        <w:tab/>
                        <w:t>营业收入</w:t>
                        <w:tab/>
                        <w:t>营业成本</w:t>
                      </w:r>
                    </w:p>
                    <w:p>
                      <w:pPr>
                        <w:tabs>
                          <w:tab w:pos="1433" w:val="left" w:leader="none"/>
                          <w:tab w:pos="2836" w:val="left" w:leader="none"/>
                          <w:tab w:pos="4221" w:val="left" w:leader="none"/>
                        </w:tabs>
                        <w:spacing w:line="203" w:lineRule="exact" w:before="123"/>
                        <w:ind w:left="0" w:right="0" w:firstLine="0"/>
                        <w:jc w:val="left"/>
                        <w:rPr>
                          <w:rFonts w:ascii="Times New Roman" w:hAnsi="Times New Roman" w:cs="Times New Roman" w:eastAsia="Times New Roman" w:hint="default"/>
                          <w:sz w:val="18"/>
                          <w:szCs w:val="18"/>
                        </w:rPr>
                      </w:pPr>
                      <w:r>
                        <w:rPr>
                          <w:rFonts w:ascii="Times New Roman"/>
                          <w:spacing w:val="-1"/>
                          <w:sz w:val="18"/>
                        </w:rPr>
                        <w:t>736,720,370.48</w:t>
                        <w:tab/>
                        <w:t>349,982,661.01</w:t>
                        <w:tab/>
                        <w:t>464,806,167.85</w:t>
                        <w:tab/>
                        <w:t>213,339,998.22</w:t>
                      </w:r>
                    </w:p>
                  </w:txbxContent>
                </v:textbox>
                <w10:wrap type="none"/>
              </v:shape>
              <v:shape style="position:absolute;left:757;top:137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1207;top:137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2330;top:1308;width:5348;height:180" type="#_x0000_t202" filled="false" stroked="false">
                <v:textbox inset="0,0,0,0">
                  <w:txbxContent>
                    <w:p>
                      <w:pPr>
                        <w:tabs>
                          <w:tab w:pos="1433" w:val="left" w:leader="none"/>
                          <w:tab w:pos="2836" w:val="left" w:leader="none"/>
                          <w:tab w:pos="422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736,720,370.48</w:t>
                        <w:tab/>
                        <w:t>349,982,661.01</w:t>
                        <w:tab/>
                        <w:t>464,806,167.85</w:t>
                        <w:tab/>
                        <w:t>213,339,998.22</w:t>
                      </w:r>
                    </w:p>
                  </w:txbxContent>
                </v:textbox>
                <w10:wrap type="none"/>
              </v:shape>
            </v:group>
          </v:group>
        </w:pict>
      </w:r>
      <w:r>
        <w:rPr>
          <w:rFonts w:ascii="宋体" w:hAnsi="宋体" w:cs="宋体" w:eastAsia="宋体" w:hint="default"/>
          <w:position w:val="-31"/>
          <w:sz w:val="20"/>
          <w:szCs w:val="2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5"/>
          <w:szCs w:val="15"/>
        </w:rPr>
      </w:pPr>
    </w:p>
    <w:p>
      <w:pPr>
        <w:tabs>
          <w:tab w:pos="1396" w:val="left" w:leader="none"/>
        </w:tabs>
        <w:spacing w:before="0"/>
        <w:ind w:left="857" w:right="91" w:firstLine="0"/>
        <w:jc w:val="left"/>
        <w:rPr>
          <w:rFonts w:ascii="宋体" w:hAnsi="宋体" w:cs="宋体" w:eastAsia="宋体" w:hint="default"/>
          <w:sz w:val="21"/>
          <w:szCs w:val="21"/>
        </w:rPr>
      </w:pPr>
      <w:r>
        <w:rPr/>
        <w:pict>
          <v:group style="position:absolute;margin-left:119.010002pt;margin-top:15.323536pt;width:390.7pt;height:140.9pt;mso-position-horizontal-relative:page;mso-position-vertical-relative:paragraph;z-index:-810616" coordorigin="2380,306" coordsize="7814,2818">
            <v:group style="position:absolute;left:2410;top:321;width:7755;height:2" coordorigin="2410,321" coordsize="7755,2">
              <v:shape style="position:absolute;left:2410;top:321;width:7755;height:2" coordorigin="2410,321" coordsize="7755,0" path="m2410,321l10164,321e" filled="false" stroked="true" strokeweight="1.5pt" strokecolor="#000000">
                <v:path arrowok="t"/>
              </v:shape>
              <v:shape style="position:absolute;left:4466;top:313;width:2923;height:427" type="#_x0000_t75" stroked="false">
                <v:imagedata r:id="rId230" o:title=""/>
              </v:shape>
              <v:shape style="position:absolute;left:4466;top:693;width:5723;height:437" type="#_x0000_t75" stroked="false">
                <v:imagedata r:id="rId231" o:title=""/>
              </v:shape>
              <v:shape style="position:absolute;left:2381;top:1078;width:7813;height:457" type="#_x0000_t75" stroked="false">
                <v:imagedata r:id="rId232" o:title=""/>
              </v:shape>
            </v:group>
            <v:group style="position:absolute;left:4386;top:1516;width:104;height:390" coordorigin="4386,1516" coordsize="104,390">
              <v:shape style="position:absolute;left:4386;top:1516;width:104;height:390" coordorigin="4386,1516" coordsize="104,390" path="m4386,1906l4489,1906,4489,1516,4386,1516,4386,1906xe" filled="true" fillcolor="#ffffff" stroked="false">
                <v:path arrowok="t"/>
                <v:fill type="solid"/>
              </v:shape>
            </v:group>
            <v:group style="position:absolute;left:2410;top:1516;width:108;height:390" coordorigin="2410,1516" coordsize="108,390">
              <v:shape style="position:absolute;left:2410;top:1516;width:108;height:390" coordorigin="2410,1516" coordsize="108,390" path="m2410,1906l2518,1906,2518,1516,2410,1516,2410,1906xe" filled="true" fillcolor="#ffffff" stroked="false">
                <v:path arrowok="t"/>
                <v:fill type="solid"/>
              </v:shape>
            </v:group>
            <v:group style="position:absolute;left:2518;top:1516;width:1869;height:390" coordorigin="2518,1516" coordsize="1869,390">
              <v:shape style="position:absolute;left:2518;top:1516;width:1869;height:390" coordorigin="2518,1516" coordsize="1869,390" path="m2518,1906l4386,1906,4386,1516,2518,1516,2518,1906xe" filled="true" fillcolor="#ffffff" stroked="false">
                <v:path arrowok="t"/>
                <v:fill type="solid"/>
              </v:shape>
            </v:group>
            <v:group style="position:absolute;left:4499;top:1516;width:1439;height:390" coordorigin="4499,1516" coordsize="1439,390">
              <v:shape style="position:absolute;left:4499;top:1516;width:1439;height:390" coordorigin="4499,1516" coordsize="1439,390" path="m4499,1906l5938,1906,5938,1516,4499,1516,4499,1906xe" filled="true" fillcolor="#ffffff" stroked="false">
                <v:path arrowok="t"/>
                <v:fill type="solid"/>
              </v:shape>
            </v:group>
            <v:group style="position:absolute;left:4602;top:1554;width:1233;height:312" coordorigin="4602,1554" coordsize="1233,312">
              <v:shape style="position:absolute;left:4602;top:1554;width:1233;height:312" coordorigin="4602,1554" coordsize="1233,312" path="m4602,1866l5834,1866,5834,1554,4602,1554,4602,1866xe" filled="true" fillcolor="#ffffff" stroked="false">
                <v:path arrowok="t"/>
                <v:fill type="solid"/>
              </v:shape>
            </v:group>
            <v:group style="position:absolute;left:5948;top:1516;width:1408;height:390" coordorigin="5948,1516" coordsize="1408,390">
              <v:shape style="position:absolute;left:5948;top:1516;width:1408;height:390" coordorigin="5948,1516" coordsize="1408,390" path="m5948,1906l7356,1906,7356,1516,5948,1516,5948,1906xe" filled="true" fillcolor="#ffffff" stroked="false">
                <v:path arrowok="t"/>
                <v:fill type="solid"/>
              </v:shape>
            </v:group>
            <v:group style="position:absolute;left:6050;top:1554;width:1203;height:312" coordorigin="6050,1554" coordsize="1203,312">
              <v:shape style="position:absolute;left:6050;top:1554;width:1203;height:312" coordorigin="6050,1554" coordsize="1203,312" path="m6050,1866l7253,1866,7253,1554,6050,1554,6050,1866xe" filled="true" fillcolor="#ffffff" stroked="false">
                <v:path arrowok="t"/>
                <v:fill type="solid"/>
              </v:shape>
            </v:group>
            <v:group style="position:absolute;left:7366;top:1516;width:1408;height:390" coordorigin="7366,1516" coordsize="1408,390">
              <v:shape style="position:absolute;left:7366;top:1516;width:1408;height:390" coordorigin="7366,1516" coordsize="1408,390" path="m7366,1906l8773,1906,8773,1516,7366,1516,7366,1906xe" filled="true" fillcolor="#ffffff" stroked="false">
                <v:path arrowok="t"/>
                <v:fill type="solid"/>
              </v:shape>
            </v:group>
            <v:group style="position:absolute;left:7469;top:1554;width:1202;height:312" coordorigin="7469,1554" coordsize="1202,312">
              <v:shape style="position:absolute;left:7469;top:1554;width:1202;height:312" coordorigin="7469,1554" coordsize="1202,312" path="m7469,1866l8670,1866,8670,1554,7469,1554,7469,1866xe" filled="true" fillcolor="#ffffff" stroked="false">
                <v:path arrowok="t"/>
                <v:fill type="solid"/>
              </v:shape>
            </v:group>
            <v:group style="position:absolute;left:8783;top:1516;width:1382;height:390" coordorigin="8783,1516" coordsize="1382,390">
              <v:shape style="position:absolute;left:8783;top:1516;width:1382;height:390" coordorigin="8783,1516" coordsize="1382,390" path="m8783,1906l10164,1906,10164,1516,8783,1516,8783,1906xe" filled="true" fillcolor="#ffffff" stroked="false">
                <v:path arrowok="t"/>
                <v:fill type="solid"/>
              </v:shape>
            </v:group>
            <v:group style="position:absolute;left:8886;top:1554;width:1170;height:312" coordorigin="8886,1554" coordsize="1170,312">
              <v:shape style="position:absolute;left:8886;top:1554;width:1170;height:312" coordorigin="8886,1554" coordsize="1170,312" path="m8886,1866l10056,1866,10056,1554,8886,1554,8886,1866xe" filled="true" fillcolor="#ffffff" stroked="false">
                <v:path arrowok="t"/>
                <v:fill type="solid"/>
              </v:shape>
              <v:shape style="position:absolute;left:2381;top:1478;width:7813;height:457" type="#_x0000_t75" stroked="false">
                <v:imagedata r:id="rId233" o:title=""/>
              </v:shape>
            </v:group>
            <v:group style="position:absolute;left:4386;top:1916;width:104;height:390" coordorigin="4386,1916" coordsize="104,390">
              <v:shape style="position:absolute;left:4386;top:1916;width:104;height:390" coordorigin="4386,1916" coordsize="104,390" path="m4386,2306l4489,2306,4489,1916,4386,1916,4386,2306xe" filled="true" fillcolor="#ffffff" stroked="false">
                <v:path arrowok="t"/>
                <v:fill type="solid"/>
              </v:shape>
            </v:group>
            <v:group style="position:absolute;left:2410;top:1916;width:108;height:390" coordorigin="2410,1916" coordsize="108,390">
              <v:shape style="position:absolute;left:2410;top:1916;width:108;height:390" coordorigin="2410,1916" coordsize="108,390" path="m2410,2306l2518,2306,2518,1916,2410,1916,2410,2306xe" filled="true" fillcolor="#ffffff" stroked="false">
                <v:path arrowok="t"/>
                <v:fill type="solid"/>
              </v:shape>
            </v:group>
            <v:group style="position:absolute;left:2518;top:1916;width:1869;height:390" coordorigin="2518,1916" coordsize="1869,390">
              <v:shape style="position:absolute;left:2518;top:1916;width:1869;height:390" coordorigin="2518,1916" coordsize="1869,390" path="m2518,2306l4386,2306,4386,1916,2518,1916,2518,2306xe" filled="true" fillcolor="#ffffff" stroked="false">
                <v:path arrowok="t"/>
                <v:fill type="solid"/>
              </v:shape>
            </v:group>
            <v:group style="position:absolute;left:4499;top:1916;width:1439;height:390" coordorigin="4499,1916" coordsize="1439,390">
              <v:shape style="position:absolute;left:4499;top:1916;width:1439;height:390" coordorigin="4499,1916" coordsize="1439,390" path="m4499,2306l5938,2306,5938,1916,4499,1916,4499,2306xe" filled="true" fillcolor="#ffffff" stroked="false">
                <v:path arrowok="t"/>
                <v:fill type="solid"/>
              </v:shape>
            </v:group>
            <v:group style="position:absolute;left:4602;top:1954;width:1233;height:312" coordorigin="4602,1954" coordsize="1233,312">
              <v:shape style="position:absolute;left:4602;top:1954;width:1233;height:312" coordorigin="4602,1954" coordsize="1233,312" path="m4602,2266l5834,2266,5834,1954,4602,1954,4602,2266xe" filled="true" fillcolor="#ffffff" stroked="false">
                <v:path arrowok="t"/>
                <v:fill type="solid"/>
              </v:shape>
            </v:group>
            <v:group style="position:absolute;left:5948;top:1916;width:1408;height:390" coordorigin="5948,1916" coordsize="1408,390">
              <v:shape style="position:absolute;left:5948;top:1916;width:1408;height:390" coordorigin="5948,1916" coordsize="1408,390" path="m5948,2306l7356,2306,7356,1916,5948,1916,5948,2306xe" filled="true" fillcolor="#ffffff" stroked="false">
                <v:path arrowok="t"/>
                <v:fill type="solid"/>
              </v:shape>
            </v:group>
            <v:group style="position:absolute;left:6050;top:1954;width:1203;height:312" coordorigin="6050,1954" coordsize="1203,312">
              <v:shape style="position:absolute;left:6050;top:1954;width:1203;height:312" coordorigin="6050,1954" coordsize="1203,312" path="m6050,2266l7253,2266,7253,1954,6050,1954,6050,2266xe" filled="true" fillcolor="#ffffff" stroked="false">
                <v:path arrowok="t"/>
                <v:fill type="solid"/>
              </v:shape>
            </v:group>
            <v:group style="position:absolute;left:7366;top:1916;width:1408;height:390" coordorigin="7366,1916" coordsize="1408,390">
              <v:shape style="position:absolute;left:7366;top:1916;width:1408;height:390" coordorigin="7366,1916" coordsize="1408,390" path="m7366,2306l8773,2306,8773,1916,7366,1916,7366,2306xe" filled="true" fillcolor="#ffffff" stroked="false">
                <v:path arrowok="t"/>
                <v:fill type="solid"/>
              </v:shape>
            </v:group>
            <v:group style="position:absolute;left:7469;top:1954;width:1202;height:312" coordorigin="7469,1954" coordsize="1202,312">
              <v:shape style="position:absolute;left:7469;top:1954;width:1202;height:312" coordorigin="7469,1954" coordsize="1202,312" path="m7469,2266l8670,2266,8670,1954,7469,1954,7469,2266xe" filled="true" fillcolor="#ffffff" stroked="false">
                <v:path arrowok="t"/>
                <v:fill type="solid"/>
              </v:shape>
            </v:group>
            <v:group style="position:absolute;left:8783;top:1916;width:1382;height:390" coordorigin="8783,1916" coordsize="1382,390">
              <v:shape style="position:absolute;left:8783;top:1916;width:1382;height:390" coordorigin="8783,1916" coordsize="1382,390" path="m8783,2306l10164,2306,10164,1916,8783,1916,8783,2306xe" filled="true" fillcolor="#ffffff" stroked="false">
                <v:path arrowok="t"/>
                <v:fill type="solid"/>
              </v:shape>
            </v:group>
            <v:group style="position:absolute;left:8886;top:1954;width:1170;height:312" coordorigin="8886,1954" coordsize="1170,312">
              <v:shape style="position:absolute;left:8886;top:1954;width:1170;height:312" coordorigin="8886,1954" coordsize="1170,312" path="m8886,2266l10056,2266,10056,1954,8886,1954,8886,2266xe" filled="true" fillcolor="#ffffff" stroked="false">
                <v:path arrowok="t"/>
                <v:fill type="solid"/>
              </v:shape>
              <v:shape style="position:absolute;left:2381;top:1877;width:7813;height:457" type="#_x0000_t75" stroked="false">
                <v:imagedata r:id="rId234" o:title=""/>
              </v:shape>
            </v:group>
            <v:group style="position:absolute;left:4386;top:2315;width:104;height:389" coordorigin="4386,2315" coordsize="104,389">
              <v:shape style="position:absolute;left:4386;top:2315;width:104;height:389" coordorigin="4386,2315" coordsize="104,389" path="m4386,2704l4489,2704,4489,2315,4386,2315,4386,2704xe" filled="true" fillcolor="#ffffff" stroked="false">
                <v:path arrowok="t"/>
                <v:fill type="solid"/>
              </v:shape>
            </v:group>
            <v:group style="position:absolute;left:2410;top:2315;width:108;height:389" coordorigin="2410,2315" coordsize="108,389">
              <v:shape style="position:absolute;left:2410;top:2315;width:108;height:389" coordorigin="2410,2315" coordsize="108,389" path="m2410,2704l2518,2704,2518,2315,2410,2315,2410,2704xe" filled="true" fillcolor="#ffffff" stroked="false">
                <v:path arrowok="t"/>
                <v:fill type="solid"/>
              </v:shape>
            </v:group>
            <v:group style="position:absolute;left:2518;top:2315;width:1869;height:389" coordorigin="2518,2315" coordsize="1869,389">
              <v:shape style="position:absolute;left:2518;top:2315;width:1869;height:389" coordorigin="2518,2315" coordsize="1869,389" path="m2518,2704l4386,2704,4386,2315,2518,2315,2518,2704xe" filled="true" fillcolor="#ffffff" stroked="false">
                <v:path arrowok="t"/>
                <v:fill type="solid"/>
              </v:shape>
            </v:group>
            <v:group style="position:absolute;left:4499;top:2315;width:1439;height:389" coordorigin="4499,2315" coordsize="1439,389">
              <v:shape style="position:absolute;left:4499;top:2315;width:1439;height:389" coordorigin="4499,2315" coordsize="1439,389" path="m4499,2704l5938,2704,5938,2315,4499,2315,4499,2704xe" filled="true" fillcolor="#ffffff" stroked="false">
                <v:path arrowok="t"/>
                <v:fill type="solid"/>
              </v:shape>
            </v:group>
            <v:group style="position:absolute;left:4602;top:2354;width:1233;height:312" coordorigin="4602,2354" coordsize="1233,312">
              <v:shape style="position:absolute;left:4602;top:2354;width:1233;height:312" coordorigin="4602,2354" coordsize="1233,312" path="m4602,2666l5834,2666,5834,2354,4602,2354,4602,2666xe" filled="true" fillcolor="#ffffff" stroked="false">
                <v:path arrowok="t"/>
                <v:fill type="solid"/>
              </v:shape>
            </v:group>
            <v:group style="position:absolute;left:5948;top:2315;width:1408;height:389" coordorigin="5948,2315" coordsize="1408,389">
              <v:shape style="position:absolute;left:5948;top:2315;width:1408;height:389" coordorigin="5948,2315" coordsize="1408,389" path="m5948,2704l7356,2704,7356,2315,5948,2315,5948,2704xe" filled="true" fillcolor="#ffffff" stroked="false">
                <v:path arrowok="t"/>
                <v:fill type="solid"/>
              </v:shape>
            </v:group>
            <v:group style="position:absolute;left:6050;top:2354;width:1203;height:312" coordorigin="6050,2354" coordsize="1203,312">
              <v:shape style="position:absolute;left:6050;top:2354;width:1203;height:312" coordorigin="6050,2354" coordsize="1203,312" path="m6050,2666l7253,2666,7253,2354,6050,2354,6050,2666xe" filled="true" fillcolor="#ffffff" stroked="false">
                <v:path arrowok="t"/>
                <v:fill type="solid"/>
              </v:shape>
            </v:group>
            <v:group style="position:absolute;left:7366;top:2315;width:1408;height:389" coordorigin="7366,2315" coordsize="1408,389">
              <v:shape style="position:absolute;left:7366;top:2315;width:1408;height:389" coordorigin="7366,2315" coordsize="1408,389" path="m7366,2704l8773,2704,8773,2315,7366,2315,7366,2704xe" filled="true" fillcolor="#ffffff" stroked="false">
                <v:path arrowok="t"/>
                <v:fill type="solid"/>
              </v:shape>
            </v:group>
            <v:group style="position:absolute;left:7469;top:2354;width:1202;height:312" coordorigin="7469,2354" coordsize="1202,312">
              <v:shape style="position:absolute;left:7469;top:2354;width:1202;height:312" coordorigin="7469,2354" coordsize="1202,312" path="m7469,2666l8670,2666,8670,2354,7469,2354,7469,2666xe" filled="true" fillcolor="#ffffff" stroked="false">
                <v:path arrowok="t"/>
                <v:fill type="solid"/>
              </v:shape>
            </v:group>
            <v:group style="position:absolute;left:8783;top:2315;width:1382;height:389" coordorigin="8783,2315" coordsize="1382,389">
              <v:shape style="position:absolute;left:8783;top:2315;width:1382;height:389" coordorigin="8783,2315" coordsize="1382,389" path="m8783,2704l10164,2704,10164,2315,8783,2315,8783,2704xe" filled="true" fillcolor="#ffffff" stroked="false">
                <v:path arrowok="t"/>
                <v:fill type="solid"/>
              </v:shape>
            </v:group>
            <v:group style="position:absolute;left:8886;top:2354;width:1170;height:312" coordorigin="8886,2354" coordsize="1170,312">
              <v:shape style="position:absolute;left:8886;top:2354;width:1170;height:312" coordorigin="8886,2354" coordsize="1170,312" path="m8886,2666l10056,2666,10056,2354,8886,2354,8886,2666xe" filled="true" fillcolor="#ffffff" stroked="false">
                <v:path arrowok="t"/>
                <v:fill type="solid"/>
              </v:shape>
            </v:group>
            <v:group style="position:absolute;left:2395;top:3109;width:2094;height:2" coordorigin="2395,3109" coordsize="2094,2">
              <v:shape style="position:absolute;left:2395;top:3109;width:2094;height:2" coordorigin="2395,3109" coordsize="2094,0" path="m2395,3109l4489,3109e" filled="false" stroked="true" strokeweight="1.5pt" strokecolor="#000000">
                <v:path arrowok="t"/>
              </v:shape>
            </v:group>
            <v:group style="position:absolute;left:4489;top:3109;width:1450;height:2" coordorigin="4489,3109" coordsize="1450,2">
              <v:shape style="position:absolute;left:4489;top:3109;width:1450;height:2" coordorigin="4489,3109" coordsize="1450,0" path="m4489,3109l5939,3109e" filled="false" stroked="true" strokeweight="1.5pt" strokecolor="#000000">
                <v:path arrowok="t"/>
              </v:shape>
            </v:group>
            <v:group style="position:absolute;left:5939;top:3109;width:1418;height:2" coordorigin="5939,3109" coordsize="1418,2">
              <v:shape style="position:absolute;left:5939;top:3109;width:1418;height:2" coordorigin="5939,3109" coordsize="1418,0" path="m5939,3109l7356,3109e" filled="false" stroked="true" strokeweight="1.5pt" strokecolor="#000000">
                <v:path arrowok="t"/>
              </v:shape>
            </v:group>
            <v:group style="position:absolute;left:7356;top:3109;width:1418;height:2" coordorigin="7356,3109" coordsize="1418,2">
              <v:shape style="position:absolute;left:7356;top:3109;width:1418;height:2" coordorigin="7356,3109" coordsize="1418,0" path="m7356,3109l8773,3109e" filled="false" stroked="true" strokeweight="1.5pt" strokecolor="#000000">
                <v:path arrowok="t"/>
              </v:shape>
              <v:shape style="position:absolute;left:2381;top:2277;width:7813;height:817" type="#_x0000_t75" stroked="false">
                <v:imagedata r:id="rId235" o:title=""/>
              </v:shape>
            </v:group>
            <v:group style="position:absolute;left:8773;top:3109;width:1391;height:2" coordorigin="8773,3109" coordsize="1391,2">
              <v:shape style="position:absolute;left:8773;top:3109;width:1391;height:2" coordorigin="8773,3109" coordsize="1391,0" path="m8773,3109l10164,3109e" filled="false" stroked="true" strokeweight="1.5pt" strokecolor="#000000">
                <v:path arrowok="t"/>
              </v:shape>
            </v:group>
            <w10:wrap type="none"/>
          </v:group>
        </w:pict>
      </w:r>
      <w:r>
        <w:rPr/>
        <w:pict>
          <v:shape style="position:absolute;margin-left:120.480003pt;margin-top:75.563538pt;width:387.75pt;height:59.65pt;mso-position-horizontal-relative:page;mso-position-vertical-relative:paragraph;z-index:18088" type="#_x0000_t202" filled="false" stroked="false">
            <v:textbox inset="0,0,0,0">
              <w:txbxContent>
                <w:tbl>
                  <w:tblPr>
                    <w:tblCellSpacing w:w="4" w:type="dxa"/>
                    <w:tblW w:w="0" w:type="auto"/>
                    <w:jc w:val="left"/>
                    <w:tblLayout w:type="fixed"/>
                    <w:tblCellMar>
                      <w:top w:w="0" w:type="dxa"/>
                      <w:left w:w="0" w:type="dxa"/>
                      <w:bottom w:w="0" w:type="dxa"/>
                      <w:right w:w="0" w:type="dxa"/>
                    </w:tblCellMar>
                    <w:tblLook w:val="01E0"/>
                  </w:tblPr>
                  <w:tblGrid>
                    <w:gridCol w:w="2084"/>
                    <w:gridCol w:w="1449"/>
                    <w:gridCol w:w="1418"/>
                    <w:gridCol w:w="1417"/>
                    <w:gridCol w:w="1386"/>
                  </w:tblGrid>
                  <w:tr>
                    <w:trPr>
                      <w:trHeight w:val="390" w:hRule="exact"/>
                    </w:trPr>
                    <w:tc>
                      <w:tcPr>
                        <w:tcW w:w="2084" w:type="dxa"/>
                        <w:tcBorders>
                          <w:top w:val="nil" w:sz="4" w:space="0" w:color="auto"/>
                          <w:left w:val="nil" w:sz="6" w:space="0" w:color="auto"/>
                          <w:bottom w:val="nil" w:sz="4" w:space="0" w:color="auto"/>
                          <w:right w:val="nil" w:sz="4" w:space="0" w:color="auto"/>
                        </w:tcBorders>
                      </w:tcPr>
                      <w:p>
                        <w:pPr>
                          <w:pStyle w:val="TableParagraph"/>
                          <w:spacing w:line="240" w:lineRule="auto" w:before="125"/>
                          <w:ind w:left="123" w:right="0"/>
                          <w:jc w:val="left"/>
                          <w:rPr>
                            <w:rFonts w:ascii="宋体" w:hAnsi="宋体" w:cs="宋体" w:eastAsia="宋体" w:hint="default"/>
                            <w:sz w:val="18"/>
                            <w:szCs w:val="18"/>
                          </w:rPr>
                        </w:pPr>
                        <w:r>
                          <w:rPr>
                            <w:rFonts w:ascii="宋体" w:hAnsi="宋体" w:cs="宋体" w:eastAsia="宋体" w:hint="default"/>
                            <w:sz w:val="18"/>
                            <w:szCs w:val="18"/>
                          </w:rPr>
                          <w:t>ATM</w:t>
                        </w:r>
                        <w:r>
                          <w:rPr>
                            <w:rFonts w:ascii="宋体" w:hAnsi="宋体" w:cs="宋体" w:eastAsia="宋体" w:hint="default"/>
                            <w:spacing w:val="-46"/>
                            <w:sz w:val="18"/>
                            <w:szCs w:val="18"/>
                          </w:rPr>
                          <w:t> </w:t>
                        </w:r>
                        <w:r>
                          <w:rPr>
                            <w:rFonts w:ascii="宋体" w:hAnsi="宋体" w:cs="宋体" w:eastAsia="宋体" w:hint="default"/>
                            <w:sz w:val="18"/>
                            <w:szCs w:val="18"/>
                          </w:rPr>
                          <w:t>融资租赁</w:t>
                        </w:r>
                      </w:p>
                    </w:tc>
                    <w:tc>
                      <w:tcPr>
                        <w:tcW w:w="1449" w:type="dxa"/>
                        <w:tcBorders>
                          <w:top w:val="nil" w:sz="4" w:space="0" w:color="auto"/>
                          <w:left w:val="nil" w:sz="4" w:space="0" w:color="auto"/>
                          <w:bottom w:val="nil" w:sz="4" w:space="0" w:color="auto"/>
                          <w:right w:val="nil" w:sz="4" w:space="0" w:color="auto"/>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199,574,598.36</w:t>
                        </w:r>
                      </w:p>
                    </w:tc>
                    <w:tc>
                      <w:tcPr>
                        <w:tcW w:w="1418" w:type="dxa"/>
                        <w:tcBorders>
                          <w:top w:val="nil" w:sz="4" w:space="0" w:color="auto"/>
                          <w:left w:val="nil" w:sz="4" w:space="0" w:color="auto"/>
                          <w:bottom w:val="nil" w:sz="4" w:space="0" w:color="auto"/>
                          <w:right w:val="nil" w:sz="4" w:space="0" w:color="auto"/>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95,295,800.11</w:t>
                        </w:r>
                      </w:p>
                    </w:tc>
                    <w:tc>
                      <w:tcPr>
                        <w:tcW w:w="1417" w:type="dxa"/>
                        <w:tcBorders>
                          <w:top w:val="nil" w:sz="4" w:space="0" w:color="auto"/>
                          <w:left w:val="nil" w:sz="4" w:space="0" w:color="auto"/>
                          <w:bottom w:val="nil" w:sz="4" w:space="0" w:color="auto"/>
                          <w:right w:val="nil" w:sz="4" w:space="0" w:color="auto"/>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78,986,073.62</w:t>
                        </w:r>
                      </w:p>
                    </w:tc>
                    <w:tc>
                      <w:tcPr>
                        <w:tcW w:w="1386" w:type="dxa"/>
                        <w:tcBorders>
                          <w:top w:val="nil" w:sz="4" w:space="0" w:color="auto"/>
                          <w:left w:val="nil" w:sz="4" w:space="0" w:color="auto"/>
                          <w:bottom w:val="nil" w:sz="4" w:space="0" w:color="auto"/>
                          <w:right w:val="nil" w:sz="6" w:space="0" w:color="auto"/>
                        </w:tcBorders>
                      </w:tcPr>
                      <w:p>
                        <w:pPr>
                          <w:pStyle w:val="TableParagraph"/>
                          <w:spacing w:line="240" w:lineRule="auto" w:before="88"/>
                          <w:ind w:right="104"/>
                          <w:jc w:val="right"/>
                          <w:rPr>
                            <w:rFonts w:ascii="Times New Roman" w:hAnsi="Times New Roman" w:cs="Times New Roman" w:eastAsia="Times New Roman" w:hint="default"/>
                            <w:sz w:val="18"/>
                            <w:szCs w:val="18"/>
                          </w:rPr>
                        </w:pPr>
                        <w:r>
                          <w:rPr>
                            <w:rFonts w:ascii="Times New Roman"/>
                            <w:spacing w:val="-1"/>
                            <w:sz w:val="18"/>
                          </w:rPr>
                          <w:t>31,336,458.10</w:t>
                        </w:r>
                      </w:p>
                    </w:tc>
                  </w:tr>
                  <w:tr>
                    <w:trPr>
                      <w:trHeight w:val="384" w:hRule="exact"/>
                    </w:trPr>
                    <w:tc>
                      <w:tcPr>
                        <w:tcW w:w="2084" w:type="dxa"/>
                        <w:tcBorders>
                          <w:top w:val="nil" w:sz="4" w:space="0" w:color="auto"/>
                          <w:left w:val="nil" w:sz="6" w:space="0" w:color="auto"/>
                          <w:bottom w:val="nil" w:sz="6" w:space="0" w:color="auto"/>
                          <w:right w:val="nil" w:sz="4" w:space="0" w:color="auto"/>
                        </w:tcBorders>
                      </w:tcPr>
                      <w:p>
                        <w:pPr>
                          <w:pStyle w:val="TableParagraph"/>
                          <w:spacing w:line="240" w:lineRule="auto" w:before="125"/>
                          <w:ind w:left="123" w:right="0"/>
                          <w:jc w:val="left"/>
                          <w:rPr>
                            <w:rFonts w:ascii="宋体" w:hAnsi="宋体" w:cs="宋体" w:eastAsia="宋体" w:hint="default"/>
                            <w:sz w:val="18"/>
                            <w:szCs w:val="18"/>
                          </w:rPr>
                        </w:pPr>
                        <w:r>
                          <w:rPr>
                            <w:rFonts w:ascii="宋体" w:hAnsi="宋体" w:cs="宋体" w:eastAsia="宋体" w:hint="default"/>
                            <w:sz w:val="18"/>
                            <w:szCs w:val="18"/>
                          </w:rPr>
                          <w:t>ATM</w:t>
                        </w:r>
                        <w:r>
                          <w:rPr>
                            <w:rFonts w:ascii="宋体" w:hAnsi="宋体" w:cs="宋体" w:eastAsia="宋体" w:hint="default"/>
                            <w:spacing w:val="-46"/>
                            <w:sz w:val="18"/>
                            <w:szCs w:val="18"/>
                          </w:rPr>
                          <w:t> </w:t>
                        </w:r>
                        <w:r>
                          <w:rPr>
                            <w:rFonts w:ascii="宋体" w:hAnsi="宋体" w:cs="宋体" w:eastAsia="宋体" w:hint="default"/>
                            <w:sz w:val="18"/>
                            <w:szCs w:val="18"/>
                          </w:rPr>
                          <w:t>技术、金融服务</w:t>
                        </w:r>
                      </w:p>
                    </w:tc>
                    <w:tc>
                      <w:tcPr>
                        <w:tcW w:w="1449" w:type="dxa"/>
                        <w:tcBorders>
                          <w:top w:val="nil" w:sz="4" w:space="0" w:color="auto"/>
                          <w:left w:val="nil" w:sz="4" w:space="0" w:color="auto"/>
                          <w:bottom w:val="nil" w:sz="6" w:space="0" w:color="auto"/>
                          <w:right w:val="nil" w:sz="4" w:space="0" w:color="auto"/>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15,568,883.85</w:t>
                        </w:r>
                      </w:p>
                    </w:tc>
                    <w:tc>
                      <w:tcPr>
                        <w:tcW w:w="1418" w:type="dxa"/>
                        <w:tcBorders>
                          <w:top w:val="nil" w:sz="4" w:space="0" w:color="auto"/>
                          <w:left w:val="nil" w:sz="4" w:space="0" w:color="auto"/>
                          <w:bottom w:val="nil" w:sz="6" w:space="0" w:color="auto"/>
                          <w:right w:val="nil" w:sz="4" w:space="0" w:color="auto"/>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3,256,922.32</w:t>
                        </w:r>
                      </w:p>
                    </w:tc>
                    <w:tc>
                      <w:tcPr>
                        <w:tcW w:w="1417" w:type="dxa"/>
                        <w:tcBorders>
                          <w:top w:val="nil" w:sz="4" w:space="0" w:color="auto"/>
                          <w:left w:val="nil" w:sz="4" w:space="0" w:color="auto"/>
                          <w:bottom w:val="nil" w:sz="6" w:space="0" w:color="auto"/>
                          <w:right w:val="nil" w:sz="4" w:space="0" w:color="auto"/>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8,524,402.44</w:t>
                        </w:r>
                      </w:p>
                    </w:tc>
                    <w:tc>
                      <w:tcPr>
                        <w:tcW w:w="1386" w:type="dxa"/>
                        <w:tcBorders>
                          <w:top w:val="nil" w:sz="4" w:space="0" w:color="auto"/>
                          <w:left w:val="nil" w:sz="4" w:space="0" w:color="auto"/>
                          <w:bottom w:val="nil" w:sz="6" w:space="0" w:color="auto"/>
                          <w:right w:val="nil" w:sz="6" w:space="0" w:color="auto"/>
                        </w:tcBorders>
                      </w:tcPr>
                      <w:p>
                        <w:pPr>
                          <w:pStyle w:val="TableParagraph"/>
                          <w:spacing w:line="240" w:lineRule="auto" w:before="88"/>
                          <w:ind w:right="104"/>
                          <w:jc w:val="right"/>
                          <w:rPr>
                            <w:rFonts w:ascii="Times New Roman" w:hAnsi="Times New Roman" w:cs="Times New Roman" w:eastAsia="Times New Roman" w:hint="default"/>
                            <w:sz w:val="18"/>
                            <w:szCs w:val="18"/>
                          </w:rPr>
                        </w:pPr>
                        <w:r>
                          <w:rPr>
                            <w:rFonts w:ascii="Times New Roman"/>
                            <w:sz w:val="18"/>
                          </w:rPr>
                          <w:t>910,052.34</w:t>
                        </w:r>
                      </w:p>
                    </w:tc>
                  </w:tr>
                </w:tbl>
                <w:p>
                  <w:pPr/>
                </w:p>
              </w:txbxContent>
            </v:textbox>
            <w10:wrap type="none"/>
          </v:shape>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主营业务（分产品）</w:t>
      </w:r>
      <w:r>
        <w:rPr>
          <w:rFonts w:ascii="宋体" w:hAnsi="宋体" w:cs="宋体" w:eastAsia="宋体" w:hint="default"/>
          <w:sz w:val="21"/>
          <w:szCs w:val="21"/>
        </w:rPr>
      </w:r>
    </w:p>
    <w:p>
      <w:pPr>
        <w:spacing w:line="240" w:lineRule="auto" w:before="13"/>
        <w:rPr>
          <w:rFonts w:ascii="宋体" w:hAnsi="宋体" w:cs="宋体" w:eastAsia="宋体" w:hint="default"/>
          <w:b/>
          <w:bCs/>
          <w:sz w:val="8"/>
          <w:szCs w:val="8"/>
        </w:rPr>
      </w:pPr>
    </w:p>
    <w:tbl>
      <w:tblPr>
        <w:tblW w:w="0" w:type="auto"/>
        <w:jc w:val="left"/>
        <w:tblInd w:w="857" w:type="dxa"/>
        <w:tblLayout w:type="fixed"/>
        <w:tblCellMar>
          <w:top w:w="0" w:type="dxa"/>
          <w:left w:w="0" w:type="dxa"/>
          <w:bottom w:w="0" w:type="dxa"/>
          <w:right w:w="0" w:type="dxa"/>
        </w:tblCellMar>
        <w:tblLook w:val="01E0"/>
      </w:tblPr>
      <w:tblGrid>
        <w:gridCol w:w="2142"/>
        <w:gridCol w:w="1307"/>
        <w:gridCol w:w="1417"/>
        <w:gridCol w:w="1418"/>
        <w:gridCol w:w="1291"/>
      </w:tblGrid>
      <w:tr>
        <w:trPr>
          <w:trHeight w:val="821" w:hRule="exact"/>
        </w:trPr>
        <w:tc>
          <w:tcPr>
            <w:tcW w:w="7575" w:type="dxa"/>
            <w:gridSpan w:val="5"/>
            <w:tcBorders>
              <w:top w:val="nil" w:sz="6" w:space="0" w:color="auto"/>
              <w:left w:val="nil" w:sz="6" w:space="0" w:color="auto"/>
              <w:bottom w:val="nil" w:sz="6" w:space="0" w:color="auto"/>
              <w:right w:val="nil" w:sz="6" w:space="0" w:color="auto"/>
            </w:tcBorders>
          </w:tcPr>
          <w:p>
            <w:pPr>
              <w:pStyle w:val="TableParagraph"/>
              <w:tabs>
                <w:tab w:pos="4914" w:val="left" w:leader="none"/>
              </w:tabs>
              <w:spacing w:line="216" w:lineRule="exact" w:before="44"/>
              <w:ind w:left="2079" w:right="0"/>
              <w:jc w:val="center"/>
              <w:rPr>
                <w:rFonts w:ascii="宋体" w:hAnsi="宋体" w:cs="宋体" w:eastAsia="宋体" w:hint="default"/>
                <w:sz w:val="18"/>
                <w:szCs w:val="18"/>
              </w:rPr>
            </w:pPr>
            <w:r>
              <w:rPr>
                <w:rFonts w:ascii="宋体" w:hAnsi="宋体" w:cs="宋体" w:eastAsia="宋体" w:hint="default"/>
                <w:sz w:val="18"/>
                <w:szCs w:val="18"/>
              </w:rPr>
              <w:t>本期金额</w:t>
              <w:tab/>
              <w:t>上期金额</w:t>
            </w:r>
          </w:p>
          <w:p>
            <w:pPr>
              <w:pStyle w:val="TableParagraph"/>
              <w:spacing w:line="195" w:lineRule="exact"/>
              <w:ind w:left="573" w:right="0"/>
              <w:jc w:val="left"/>
              <w:rPr>
                <w:rFonts w:ascii="宋体" w:hAnsi="宋体" w:cs="宋体" w:eastAsia="宋体" w:hint="default"/>
                <w:sz w:val="18"/>
                <w:szCs w:val="18"/>
              </w:rPr>
            </w:pPr>
            <w:r>
              <w:rPr>
                <w:rFonts w:ascii="宋体" w:hAnsi="宋体" w:cs="宋体" w:eastAsia="宋体" w:hint="default"/>
                <w:sz w:val="18"/>
                <w:szCs w:val="18"/>
              </w:rPr>
              <w:t>产品名称</w:t>
            </w:r>
          </w:p>
          <w:p>
            <w:pPr>
              <w:pStyle w:val="TableParagraph"/>
              <w:tabs>
                <w:tab w:pos="3512" w:val="left" w:leader="none"/>
                <w:tab w:pos="4929" w:val="left" w:leader="none"/>
                <w:tab w:pos="6330" w:val="left" w:leader="none"/>
              </w:tabs>
              <w:spacing w:line="215" w:lineRule="exact"/>
              <w:ind w:left="2078" w:right="0"/>
              <w:jc w:val="center"/>
              <w:rPr>
                <w:rFonts w:ascii="宋体" w:hAnsi="宋体" w:cs="宋体" w:eastAsia="宋体" w:hint="default"/>
                <w:sz w:val="18"/>
                <w:szCs w:val="18"/>
              </w:rPr>
            </w:pPr>
            <w:r>
              <w:rPr>
                <w:rFonts w:ascii="宋体" w:hAnsi="宋体" w:cs="宋体" w:eastAsia="宋体" w:hint="default"/>
                <w:sz w:val="18"/>
                <w:szCs w:val="18"/>
              </w:rPr>
              <w:t>营业收入</w:t>
              <w:tab/>
              <w:t>营业成本</w:t>
              <w:tab/>
              <w:t>营业收入</w:t>
              <w:tab/>
              <w:t>营业成本</w:t>
            </w:r>
          </w:p>
        </w:tc>
      </w:tr>
      <w:tr>
        <w:trPr>
          <w:trHeight w:val="289" w:hRule="exact"/>
        </w:trPr>
        <w:tc>
          <w:tcPr>
            <w:tcW w:w="3449" w:type="dxa"/>
            <w:gridSpan w:val="2"/>
            <w:tcBorders>
              <w:top w:val="nil" w:sz="6" w:space="0" w:color="auto"/>
              <w:left w:val="nil" w:sz="6" w:space="0" w:color="auto"/>
              <w:bottom w:val="nil" w:sz="6" w:space="0" w:color="auto"/>
              <w:right w:val="nil" w:sz="6" w:space="0" w:color="auto"/>
            </w:tcBorders>
          </w:tcPr>
          <w:p>
            <w:pPr>
              <w:pStyle w:val="TableParagraph"/>
              <w:tabs>
                <w:tab w:pos="2192" w:val="left" w:leader="none"/>
              </w:tabs>
              <w:spacing w:line="250" w:lineRule="exact"/>
              <w:ind w:left="15" w:right="0"/>
              <w:jc w:val="left"/>
              <w:rPr>
                <w:rFonts w:ascii="Times New Roman" w:hAnsi="Times New Roman" w:cs="Times New Roman" w:eastAsia="Times New Roman" w:hint="default"/>
                <w:sz w:val="18"/>
                <w:szCs w:val="18"/>
              </w:rPr>
            </w:pPr>
            <w:r>
              <w:rPr>
                <w:rFonts w:ascii="宋体" w:hAnsi="宋体" w:cs="宋体" w:eastAsia="宋体" w:hint="default"/>
                <w:position w:val="-7"/>
                <w:sz w:val="18"/>
                <w:szCs w:val="18"/>
              </w:rPr>
              <w:t>ATM</w:t>
            </w:r>
            <w:r>
              <w:rPr>
                <w:rFonts w:ascii="宋体" w:hAnsi="宋体" w:cs="宋体" w:eastAsia="宋体" w:hint="default"/>
                <w:spacing w:val="-46"/>
                <w:position w:val="-7"/>
                <w:sz w:val="18"/>
                <w:szCs w:val="18"/>
              </w:rPr>
              <w:t> </w:t>
            </w:r>
            <w:r>
              <w:rPr>
                <w:rFonts w:ascii="宋体" w:hAnsi="宋体" w:cs="宋体" w:eastAsia="宋体" w:hint="default"/>
                <w:position w:val="-7"/>
                <w:sz w:val="18"/>
                <w:szCs w:val="18"/>
              </w:rPr>
              <w:t>销售</w:t>
              <w:tab/>
            </w:r>
            <w:r>
              <w:rPr>
                <w:rFonts w:ascii="Times New Roman" w:hAnsi="Times New Roman" w:cs="Times New Roman" w:eastAsia="Times New Roman" w:hint="default"/>
                <w:sz w:val="18"/>
                <w:szCs w:val="18"/>
              </w:rPr>
              <w:t>354,205,999.66</w:t>
            </w:r>
          </w:p>
        </w:tc>
        <w:tc>
          <w:tcPr>
            <w:tcW w:w="1417" w:type="dxa"/>
            <w:tcBorders>
              <w:top w:val="nil" w:sz="6" w:space="0" w:color="auto"/>
              <w:left w:val="nil" w:sz="6" w:space="0" w:color="auto"/>
              <w:bottom w:val="nil" w:sz="6" w:space="0" w:color="auto"/>
              <w:right w:val="nil" w:sz="6" w:space="0" w:color="auto"/>
            </w:tcBorders>
          </w:tcPr>
          <w:p>
            <w:pPr>
              <w:pStyle w:val="TableParagraph"/>
              <w:spacing w:line="184" w:lineRule="exact"/>
              <w:ind w:right="127"/>
              <w:jc w:val="right"/>
              <w:rPr>
                <w:rFonts w:ascii="Times New Roman" w:hAnsi="Times New Roman" w:cs="Times New Roman" w:eastAsia="Times New Roman" w:hint="default"/>
                <w:sz w:val="18"/>
                <w:szCs w:val="18"/>
              </w:rPr>
            </w:pPr>
            <w:r>
              <w:rPr>
                <w:rFonts w:ascii="Times New Roman"/>
                <w:spacing w:val="-1"/>
                <w:sz w:val="18"/>
              </w:rPr>
              <w:t>166,713,903.52</w:t>
            </w:r>
          </w:p>
        </w:tc>
        <w:tc>
          <w:tcPr>
            <w:tcW w:w="1418" w:type="dxa"/>
            <w:tcBorders>
              <w:top w:val="nil" w:sz="6" w:space="0" w:color="auto"/>
              <w:left w:val="nil" w:sz="6" w:space="0" w:color="auto"/>
              <w:bottom w:val="nil" w:sz="6" w:space="0" w:color="auto"/>
              <w:right w:val="nil" w:sz="6" w:space="0" w:color="auto"/>
            </w:tcBorders>
          </w:tcPr>
          <w:p>
            <w:pPr>
              <w:pStyle w:val="TableParagraph"/>
              <w:spacing w:line="184" w:lineRule="exact"/>
              <w:ind w:right="128"/>
              <w:jc w:val="right"/>
              <w:rPr>
                <w:rFonts w:ascii="Times New Roman" w:hAnsi="Times New Roman" w:cs="Times New Roman" w:eastAsia="Times New Roman" w:hint="default"/>
                <w:sz w:val="18"/>
                <w:szCs w:val="18"/>
              </w:rPr>
            </w:pPr>
            <w:r>
              <w:rPr>
                <w:rFonts w:ascii="Times New Roman"/>
                <w:spacing w:val="-1"/>
                <w:sz w:val="18"/>
              </w:rPr>
              <w:t>226,383,056.02</w:t>
            </w:r>
          </w:p>
        </w:tc>
        <w:tc>
          <w:tcPr>
            <w:tcW w:w="1291"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Times New Roman" w:hAnsi="Times New Roman" w:cs="Times New Roman" w:eastAsia="Times New Roman" w:hint="default"/>
                <w:sz w:val="18"/>
                <w:szCs w:val="18"/>
              </w:rPr>
            </w:pPr>
            <w:r>
              <w:rPr>
                <w:rFonts w:ascii="Times New Roman"/>
                <w:spacing w:val="-1"/>
                <w:sz w:val="18"/>
              </w:rPr>
              <w:t>103,327,548.98</w:t>
            </w:r>
          </w:p>
        </w:tc>
      </w:tr>
      <w:tr>
        <w:trPr>
          <w:trHeight w:val="1244" w:hRule="exact"/>
        </w:trPr>
        <w:tc>
          <w:tcPr>
            <w:tcW w:w="3449" w:type="dxa"/>
            <w:gridSpan w:val="2"/>
            <w:tcBorders>
              <w:top w:val="nil" w:sz="6" w:space="0" w:color="auto"/>
              <w:left w:val="nil" w:sz="6" w:space="0" w:color="auto"/>
              <w:bottom w:val="nil" w:sz="6" w:space="0" w:color="auto"/>
              <w:right w:val="nil" w:sz="6" w:space="0" w:color="auto"/>
            </w:tcBorders>
          </w:tcPr>
          <w:p>
            <w:pPr>
              <w:pStyle w:val="TableParagraph"/>
              <w:tabs>
                <w:tab w:pos="2192" w:val="left" w:leader="none"/>
              </w:tabs>
              <w:spacing w:line="240" w:lineRule="auto" w:before="86"/>
              <w:ind w:left="15" w:right="0"/>
              <w:jc w:val="left"/>
              <w:rPr>
                <w:rFonts w:ascii="Times New Roman" w:hAnsi="Times New Roman" w:cs="Times New Roman" w:eastAsia="Times New Roman" w:hint="default"/>
                <w:sz w:val="18"/>
                <w:szCs w:val="18"/>
              </w:rPr>
            </w:pPr>
            <w:r>
              <w:rPr>
                <w:rFonts w:ascii="宋体" w:hAnsi="宋体" w:cs="宋体" w:eastAsia="宋体" w:hint="default"/>
                <w:position w:val="-7"/>
                <w:sz w:val="18"/>
                <w:szCs w:val="18"/>
              </w:rPr>
              <w:t>ATM</w:t>
            </w:r>
            <w:r>
              <w:rPr>
                <w:rFonts w:ascii="宋体" w:hAnsi="宋体" w:cs="宋体" w:eastAsia="宋体" w:hint="default"/>
                <w:spacing w:val="-46"/>
                <w:position w:val="-7"/>
                <w:sz w:val="18"/>
                <w:szCs w:val="18"/>
              </w:rPr>
              <w:t> </w:t>
            </w:r>
            <w:r>
              <w:rPr>
                <w:rFonts w:ascii="宋体" w:hAnsi="宋体" w:cs="宋体" w:eastAsia="宋体" w:hint="default"/>
                <w:position w:val="-7"/>
                <w:sz w:val="18"/>
                <w:szCs w:val="18"/>
              </w:rPr>
              <w:t>合作运营</w:t>
              <w:tab/>
            </w:r>
            <w:r>
              <w:rPr>
                <w:rFonts w:ascii="Times New Roman" w:hAnsi="Times New Roman" w:cs="Times New Roman" w:eastAsia="Times New Roman" w:hint="default"/>
                <w:sz w:val="18"/>
                <w:szCs w:val="18"/>
              </w:rPr>
              <w:t>167,370,888.61</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27"/>
              <w:jc w:val="right"/>
              <w:rPr>
                <w:rFonts w:ascii="Times New Roman" w:hAnsi="Times New Roman" w:cs="Times New Roman" w:eastAsia="Times New Roman" w:hint="default"/>
                <w:sz w:val="18"/>
                <w:szCs w:val="18"/>
              </w:rPr>
            </w:pPr>
            <w:r>
              <w:rPr>
                <w:rFonts w:ascii="Times New Roman"/>
                <w:spacing w:val="-1"/>
                <w:sz w:val="18"/>
              </w:rPr>
              <w:t>84,716,035.06</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28"/>
              <w:jc w:val="right"/>
              <w:rPr>
                <w:rFonts w:ascii="Times New Roman" w:hAnsi="Times New Roman" w:cs="Times New Roman" w:eastAsia="Times New Roman" w:hint="default"/>
                <w:sz w:val="18"/>
                <w:szCs w:val="18"/>
              </w:rPr>
            </w:pPr>
            <w:r>
              <w:rPr>
                <w:rFonts w:ascii="Times New Roman"/>
                <w:spacing w:val="-1"/>
                <w:sz w:val="18"/>
              </w:rPr>
              <w:t>150,912,635.77</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18"/>
                <w:szCs w:val="18"/>
              </w:rPr>
            </w:pPr>
            <w:r>
              <w:rPr>
                <w:rFonts w:ascii="Times New Roman"/>
                <w:spacing w:val="-1"/>
                <w:sz w:val="18"/>
              </w:rPr>
              <w:t>77,765,938.80</w:t>
            </w:r>
          </w:p>
        </w:tc>
      </w:tr>
      <w:tr>
        <w:trPr>
          <w:trHeight w:val="346" w:hRule="exact"/>
        </w:trPr>
        <w:tc>
          <w:tcPr>
            <w:tcW w:w="3449" w:type="dxa"/>
            <w:gridSpan w:val="2"/>
            <w:tcBorders>
              <w:top w:val="nil" w:sz="6" w:space="0" w:color="auto"/>
              <w:left w:val="nil" w:sz="6" w:space="0" w:color="auto"/>
              <w:bottom w:val="nil" w:sz="6" w:space="0" w:color="auto"/>
              <w:right w:val="nil" w:sz="6" w:space="0" w:color="auto"/>
            </w:tcBorders>
          </w:tcPr>
          <w:p>
            <w:pPr>
              <w:pStyle w:val="TableParagraph"/>
              <w:tabs>
                <w:tab w:pos="1069" w:val="left" w:leader="none"/>
                <w:tab w:pos="2192" w:val="left" w:leader="none"/>
              </w:tabs>
              <w:spacing w:line="240" w:lineRule="auto" w:before="35"/>
              <w:ind w:left="619" w:right="0"/>
              <w:jc w:val="left"/>
              <w:rPr>
                <w:rFonts w:ascii="Times New Roman" w:hAnsi="Times New Roman" w:cs="Times New Roman" w:eastAsia="Times New Roman" w:hint="default"/>
                <w:sz w:val="18"/>
                <w:szCs w:val="18"/>
              </w:rPr>
            </w:pPr>
            <w:r>
              <w:rPr>
                <w:rFonts w:ascii="宋体" w:hAnsi="宋体" w:cs="宋体" w:eastAsia="宋体" w:hint="default"/>
                <w:position w:val="-6"/>
                <w:sz w:val="18"/>
                <w:szCs w:val="18"/>
              </w:rPr>
              <w:t>合</w:t>
              <w:tab/>
              <w:t>计</w:t>
              <w:tab/>
            </w:r>
            <w:r>
              <w:rPr>
                <w:rFonts w:ascii="Times New Roman" w:hAnsi="Times New Roman" w:cs="Times New Roman" w:eastAsia="Times New Roman" w:hint="default"/>
                <w:sz w:val="18"/>
                <w:szCs w:val="18"/>
              </w:rPr>
              <w:t>736,720,370.48</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27"/>
              <w:jc w:val="right"/>
              <w:rPr>
                <w:rFonts w:ascii="Times New Roman" w:hAnsi="Times New Roman" w:cs="Times New Roman" w:eastAsia="Times New Roman" w:hint="default"/>
                <w:sz w:val="18"/>
                <w:szCs w:val="18"/>
              </w:rPr>
            </w:pPr>
            <w:r>
              <w:rPr>
                <w:rFonts w:ascii="Times New Roman"/>
                <w:spacing w:val="-1"/>
                <w:sz w:val="18"/>
              </w:rPr>
              <w:t>349,982,661.01</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28"/>
              <w:jc w:val="right"/>
              <w:rPr>
                <w:rFonts w:ascii="Times New Roman" w:hAnsi="Times New Roman" w:cs="Times New Roman" w:eastAsia="Times New Roman" w:hint="default"/>
                <w:sz w:val="18"/>
                <w:szCs w:val="18"/>
              </w:rPr>
            </w:pPr>
            <w:r>
              <w:rPr>
                <w:rFonts w:ascii="Times New Roman"/>
                <w:spacing w:val="-1"/>
                <w:sz w:val="18"/>
              </w:rPr>
              <w:t>464,806,167.85</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Times New Roman" w:hAnsi="Times New Roman" w:cs="Times New Roman" w:eastAsia="Times New Roman" w:hint="default"/>
                <w:sz w:val="18"/>
                <w:szCs w:val="18"/>
              </w:rPr>
            </w:pPr>
            <w:r>
              <w:rPr>
                <w:rFonts w:ascii="Times New Roman"/>
                <w:spacing w:val="-1"/>
                <w:sz w:val="18"/>
              </w:rPr>
              <w:t>213,339,998.22</w:t>
            </w:r>
          </w:p>
        </w:tc>
      </w:tr>
      <w:tr>
        <w:trPr>
          <w:trHeight w:val="1158" w:hRule="exact"/>
        </w:trPr>
        <w:tc>
          <w:tcPr>
            <w:tcW w:w="4866" w:type="dxa"/>
            <w:gridSpan w:val="3"/>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2"/>
                <w:szCs w:val="22"/>
              </w:rPr>
            </w:pPr>
          </w:p>
          <w:p>
            <w:pPr>
              <w:pStyle w:val="TableParagraph"/>
              <w:tabs>
                <w:tab w:pos="538" w:val="left" w:leader="none"/>
              </w:tabs>
              <w:spacing w:line="240" w:lineRule="auto" w:before="180"/>
              <w:ind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主营业务（分地区）</w:t>
            </w:r>
            <w:r>
              <w:rPr>
                <w:rFonts w:ascii="宋体" w:hAnsi="宋体" w:cs="宋体" w:eastAsia="宋体" w:hint="default"/>
                <w:sz w:val="21"/>
                <w:szCs w:val="21"/>
              </w:rPr>
            </w:r>
          </w:p>
          <w:p>
            <w:pPr>
              <w:pStyle w:val="TableParagraph"/>
              <w:spacing w:line="240" w:lineRule="auto" w:before="163"/>
              <w:ind w:left="3033"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270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15"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202" w:hRule="exact"/>
        </w:trPr>
        <w:tc>
          <w:tcPr>
            <w:tcW w:w="2142" w:type="dxa"/>
            <w:tcBorders>
              <w:top w:val="nil" w:sz="6" w:space="0" w:color="auto"/>
              <w:left w:val="nil" w:sz="6" w:space="0" w:color="auto"/>
              <w:bottom w:val="nil" w:sz="6" w:space="0" w:color="auto"/>
              <w:right w:val="nil" w:sz="6" w:space="0" w:color="auto"/>
            </w:tcBorders>
          </w:tcPr>
          <w:p>
            <w:pPr>
              <w:pStyle w:val="TableParagraph"/>
              <w:spacing w:line="180" w:lineRule="exact"/>
              <w:ind w:left="573" w:right="0"/>
              <w:jc w:val="left"/>
              <w:rPr>
                <w:rFonts w:ascii="宋体" w:hAnsi="宋体" w:cs="宋体" w:eastAsia="宋体" w:hint="default"/>
                <w:sz w:val="18"/>
                <w:szCs w:val="18"/>
              </w:rPr>
            </w:pPr>
            <w:r>
              <w:rPr>
                <w:rFonts w:ascii="宋体" w:hAnsi="宋体" w:cs="宋体" w:eastAsia="宋体" w:hint="default"/>
                <w:sz w:val="18"/>
                <w:szCs w:val="18"/>
              </w:rPr>
              <w:t>地区名称</w:t>
            </w:r>
          </w:p>
        </w:tc>
        <w:tc>
          <w:tcPr>
            <w:tcW w:w="1307"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
        </w:tc>
        <w:tc>
          <w:tcPr>
            <w:tcW w:w="1291" w:type="dxa"/>
            <w:tcBorders>
              <w:top w:val="nil" w:sz="6" w:space="0" w:color="auto"/>
              <w:left w:val="nil" w:sz="6" w:space="0" w:color="auto"/>
              <w:bottom w:val="nil" w:sz="6" w:space="0" w:color="auto"/>
              <w:right w:val="nil" w:sz="6" w:space="0" w:color="auto"/>
            </w:tcBorders>
          </w:tcPr>
          <w:p>
            <w:pPr/>
          </w:p>
        </w:tc>
      </w:tr>
      <w:tr>
        <w:trPr>
          <w:trHeight w:val="240" w:hRule="exact"/>
        </w:trPr>
        <w:tc>
          <w:tcPr>
            <w:tcW w:w="2142" w:type="dxa"/>
            <w:tcBorders>
              <w:top w:val="nil" w:sz="6" w:space="0" w:color="auto"/>
              <w:left w:val="nil" w:sz="6" w:space="0" w:color="auto"/>
              <w:bottom w:val="nil" w:sz="6" w:space="0" w:color="auto"/>
              <w:right w:val="nil" w:sz="6" w:space="0" w:color="auto"/>
            </w:tcBorders>
          </w:tcPr>
          <w:p>
            <w:pPr/>
          </w:p>
        </w:tc>
        <w:tc>
          <w:tcPr>
            <w:tcW w:w="1307" w:type="dxa"/>
            <w:tcBorders>
              <w:top w:val="nil" w:sz="6" w:space="0" w:color="auto"/>
              <w:left w:val="nil" w:sz="6" w:space="0" w:color="auto"/>
              <w:bottom w:val="nil" w:sz="6" w:space="0" w:color="auto"/>
              <w:right w:val="nil" w:sz="6" w:space="0" w:color="auto"/>
            </w:tcBorders>
          </w:tcPr>
          <w:p>
            <w:pPr>
              <w:pStyle w:val="TableParagraph"/>
              <w:spacing w:line="188" w:lineRule="exact"/>
              <w:ind w:left="18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17" w:type="dxa"/>
            <w:tcBorders>
              <w:top w:val="nil" w:sz="6" w:space="0" w:color="auto"/>
              <w:left w:val="nil" w:sz="6" w:space="0" w:color="auto"/>
              <w:bottom w:val="nil" w:sz="6" w:space="0" w:color="auto"/>
              <w:right w:val="nil" w:sz="6" w:space="0" w:color="auto"/>
            </w:tcBorders>
          </w:tcPr>
          <w:p>
            <w:pPr>
              <w:pStyle w:val="TableParagraph"/>
              <w:spacing w:line="188" w:lineRule="exact"/>
              <w:ind w:left="29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418" w:type="dxa"/>
            <w:tcBorders>
              <w:top w:val="nil" w:sz="6" w:space="0" w:color="auto"/>
              <w:left w:val="nil" w:sz="6" w:space="0" w:color="auto"/>
              <w:bottom w:val="nil" w:sz="6" w:space="0" w:color="auto"/>
              <w:right w:val="nil" w:sz="6" w:space="0" w:color="auto"/>
            </w:tcBorders>
          </w:tcPr>
          <w:p>
            <w:pPr>
              <w:pStyle w:val="TableParagraph"/>
              <w:spacing w:line="188" w:lineRule="exact"/>
              <w:ind w:left="29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91" w:type="dxa"/>
            <w:tcBorders>
              <w:top w:val="nil" w:sz="6" w:space="0" w:color="auto"/>
              <w:left w:val="nil" w:sz="6" w:space="0" w:color="auto"/>
              <w:bottom w:val="nil" w:sz="6" w:space="0" w:color="auto"/>
              <w:right w:val="nil" w:sz="6" w:space="0" w:color="auto"/>
            </w:tcBorders>
          </w:tcPr>
          <w:p>
            <w:pPr>
              <w:pStyle w:val="TableParagraph"/>
              <w:spacing w:line="188" w:lineRule="exact"/>
              <w:ind w:left="293"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07" w:hRule="exact"/>
        </w:trPr>
        <w:tc>
          <w:tcPr>
            <w:tcW w:w="2142" w:type="dxa"/>
            <w:tcBorders>
              <w:top w:val="nil" w:sz="6" w:space="0" w:color="auto"/>
              <w:left w:val="nil" w:sz="6" w:space="0" w:color="auto"/>
              <w:bottom w:val="nil" w:sz="6" w:space="0" w:color="auto"/>
              <w:right w:val="nil" w:sz="6" w:space="0" w:color="auto"/>
            </w:tcBorders>
          </w:tcPr>
          <w:p>
            <w:pPr>
              <w:pStyle w:val="TableParagraph"/>
              <w:spacing w:line="232" w:lineRule="exact"/>
              <w:ind w:left="90" w:right="0"/>
              <w:jc w:val="left"/>
              <w:rPr>
                <w:rFonts w:ascii="宋体" w:hAnsi="宋体" w:cs="宋体" w:eastAsia="宋体" w:hint="default"/>
                <w:sz w:val="18"/>
                <w:szCs w:val="18"/>
              </w:rPr>
            </w:pPr>
            <w:r>
              <w:rPr>
                <w:rFonts w:ascii="宋体" w:hAnsi="宋体" w:cs="宋体" w:eastAsia="宋体" w:hint="default"/>
                <w:sz w:val="18"/>
                <w:szCs w:val="18"/>
              </w:rPr>
              <w:t>广州地区</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60"/>
              <w:jc w:val="right"/>
              <w:rPr>
                <w:rFonts w:ascii="Times New Roman" w:hAnsi="Times New Roman" w:cs="Times New Roman" w:eastAsia="Times New Roman" w:hint="default"/>
                <w:sz w:val="18"/>
                <w:szCs w:val="18"/>
              </w:rPr>
            </w:pPr>
            <w:r>
              <w:rPr>
                <w:rFonts w:ascii="Times New Roman"/>
                <w:spacing w:val="-1"/>
                <w:sz w:val="18"/>
              </w:rPr>
              <w:t>94,596,865.70</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58"/>
              <w:jc w:val="right"/>
              <w:rPr>
                <w:rFonts w:ascii="Times New Roman" w:hAnsi="Times New Roman" w:cs="Times New Roman" w:eastAsia="Times New Roman" w:hint="default"/>
                <w:sz w:val="18"/>
                <w:szCs w:val="18"/>
              </w:rPr>
            </w:pPr>
            <w:r>
              <w:rPr>
                <w:rFonts w:ascii="Times New Roman"/>
                <w:spacing w:val="-1"/>
                <w:sz w:val="18"/>
              </w:rPr>
              <w:t>46,382,762.69</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60"/>
              <w:jc w:val="right"/>
              <w:rPr>
                <w:rFonts w:ascii="Times New Roman" w:hAnsi="Times New Roman" w:cs="Times New Roman" w:eastAsia="Times New Roman" w:hint="default"/>
                <w:sz w:val="18"/>
                <w:szCs w:val="18"/>
              </w:rPr>
            </w:pPr>
            <w:r>
              <w:rPr>
                <w:rFonts w:ascii="Times New Roman"/>
                <w:spacing w:val="-1"/>
                <w:sz w:val="18"/>
              </w:rPr>
              <w:t>63,706,697.43</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3"/>
              <w:jc w:val="right"/>
              <w:rPr>
                <w:rFonts w:ascii="Times New Roman" w:hAnsi="Times New Roman" w:cs="Times New Roman" w:eastAsia="Times New Roman" w:hint="default"/>
                <w:sz w:val="18"/>
                <w:szCs w:val="18"/>
              </w:rPr>
            </w:pPr>
            <w:r>
              <w:rPr>
                <w:rFonts w:ascii="Times New Roman"/>
                <w:spacing w:val="-1"/>
                <w:sz w:val="18"/>
              </w:rPr>
              <w:t>29,569,225.82</w:t>
            </w:r>
          </w:p>
        </w:tc>
      </w:tr>
      <w:tr>
        <w:trPr>
          <w:trHeight w:val="323" w:hRule="exact"/>
        </w:trPr>
        <w:tc>
          <w:tcPr>
            <w:tcW w:w="214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90" w:right="0"/>
              <w:jc w:val="left"/>
              <w:rPr>
                <w:rFonts w:ascii="宋体" w:hAnsi="宋体" w:cs="宋体" w:eastAsia="宋体" w:hint="default"/>
                <w:sz w:val="18"/>
                <w:szCs w:val="18"/>
              </w:rPr>
            </w:pPr>
            <w:r>
              <w:rPr>
                <w:rFonts w:ascii="宋体" w:hAnsi="宋体" w:cs="宋体" w:eastAsia="宋体" w:hint="default"/>
                <w:sz w:val="18"/>
                <w:szCs w:val="18"/>
              </w:rPr>
              <w:t>广东省</w:t>
            </w:r>
            <w:r>
              <w:rPr>
                <w:rFonts w:ascii="Times New Roman" w:hAnsi="Times New Roman" w:cs="Times New Roman" w:eastAsia="Times New Roman" w:hint="default"/>
                <w:sz w:val="18"/>
                <w:szCs w:val="18"/>
              </w:rPr>
              <w:t>(</w:t>
            </w:r>
            <w:r>
              <w:rPr>
                <w:rFonts w:ascii="宋体" w:hAnsi="宋体" w:cs="宋体" w:eastAsia="宋体" w:hint="default"/>
                <w:sz w:val="18"/>
                <w:szCs w:val="18"/>
              </w:rPr>
              <w:t>除广州</w:t>
            </w:r>
            <w:r>
              <w:rPr>
                <w:rFonts w:ascii="Times New Roman" w:hAnsi="Times New Roman" w:cs="Times New Roman" w:eastAsia="Times New Roman" w:hint="default"/>
                <w:sz w:val="18"/>
                <w:szCs w:val="18"/>
              </w:rPr>
              <w:t>)</w:t>
            </w:r>
            <w:r>
              <w:rPr>
                <w:rFonts w:ascii="宋体" w:hAnsi="宋体" w:cs="宋体" w:eastAsia="宋体" w:hint="default"/>
                <w:sz w:val="18"/>
                <w:szCs w:val="18"/>
              </w:rPr>
              <w:t>地区</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9"/>
              <w:jc w:val="right"/>
              <w:rPr>
                <w:rFonts w:ascii="Times New Roman" w:hAnsi="Times New Roman" w:cs="Times New Roman" w:eastAsia="Times New Roman" w:hint="default"/>
                <w:sz w:val="18"/>
                <w:szCs w:val="18"/>
              </w:rPr>
            </w:pPr>
            <w:r>
              <w:rPr>
                <w:rFonts w:ascii="Times New Roman"/>
                <w:spacing w:val="-1"/>
                <w:sz w:val="18"/>
              </w:rPr>
              <w:t>226,699,966.36</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58"/>
              <w:jc w:val="right"/>
              <w:rPr>
                <w:rFonts w:ascii="Times New Roman" w:hAnsi="Times New Roman" w:cs="Times New Roman" w:eastAsia="Times New Roman" w:hint="default"/>
                <w:sz w:val="18"/>
                <w:szCs w:val="18"/>
              </w:rPr>
            </w:pPr>
            <w:r>
              <w:rPr>
                <w:rFonts w:ascii="Times New Roman"/>
                <w:spacing w:val="-1"/>
                <w:sz w:val="18"/>
              </w:rPr>
              <w:t>97,785,223.46</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60"/>
              <w:jc w:val="right"/>
              <w:rPr>
                <w:rFonts w:ascii="Times New Roman" w:hAnsi="Times New Roman" w:cs="Times New Roman" w:eastAsia="Times New Roman" w:hint="default"/>
                <w:sz w:val="18"/>
                <w:szCs w:val="18"/>
              </w:rPr>
            </w:pPr>
            <w:r>
              <w:rPr>
                <w:rFonts w:ascii="Times New Roman"/>
                <w:spacing w:val="-1"/>
                <w:sz w:val="18"/>
              </w:rPr>
              <w:t>141,885,947.58</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pacing w:val="-1"/>
                <w:sz w:val="18"/>
              </w:rPr>
              <w:t>59,569,311.96</w:t>
            </w:r>
          </w:p>
        </w:tc>
      </w:tr>
      <w:tr>
        <w:trPr>
          <w:trHeight w:val="353" w:hRule="exact"/>
        </w:trPr>
        <w:tc>
          <w:tcPr>
            <w:tcW w:w="214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90" w:right="0"/>
              <w:jc w:val="left"/>
              <w:rPr>
                <w:rFonts w:ascii="宋体" w:hAnsi="宋体" w:cs="宋体" w:eastAsia="宋体" w:hint="default"/>
                <w:sz w:val="18"/>
                <w:szCs w:val="18"/>
              </w:rPr>
            </w:pPr>
            <w:r>
              <w:rPr>
                <w:rFonts w:ascii="宋体" w:hAnsi="宋体" w:cs="宋体" w:eastAsia="宋体" w:hint="default"/>
                <w:sz w:val="18"/>
                <w:szCs w:val="18"/>
              </w:rPr>
              <w:t>广东省外地区</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59"/>
              <w:jc w:val="right"/>
              <w:rPr>
                <w:rFonts w:ascii="Times New Roman" w:hAnsi="Times New Roman" w:cs="Times New Roman" w:eastAsia="Times New Roman" w:hint="default"/>
                <w:sz w:val="18"/>
                <w:szCs w:val="18"/>
              </w:rPr>
            </w:pPr>
            <w:r>
              <w:rPr>
                <w:rFonts w:ascii="Times New Roman"/>
                <w:spacing w:val="-1"/>
                <w:sz w:val="18"/>
              </w:rPr>
              <w:t>415,423,538.42</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58"/>
              <w:jc w:val="right"/>
              <w:rPr>
                <w:rFonts w:ascii="Times New Roman" w:hAnsi="Times New Roman" w:cs="Times New Roman" w:eastAsia="Times New Roman" w:hint="default"/>
                <w:sz w:val="18"/>
                <w:szCs w:val="18"/>
              </w:rPr>
            </w:pPr>
            <w:r>
              <w:rPr>
                <w:rFonts w:ascii="Times New Roman"/>
                <w:spacing w:val="-1"/>
                <w:sz w:val="18"/>
              </w:rPr>
              <w:t>205,814,674.86</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0"/>
              <w:jc w:val="right"/>
              <w:rPr>
                <w:rFonts w:ascii="Times New Roman" w:hAnsi="Times New Roman" w:cs="Times New Roman" w:eastAsia="Times New Roman" w:hint="default"/>
                <w:sz w:val="18"/>
                <w:szCs w:val="18"/>
              </w:rPr>
            </w:pPr>
            <w:r>
              <w:rPr>
                <w:rFonts w:ascii="Times New Roman"/>
                <w:spacing w:val="-1"/>
                <w:sz w:val="18"/>
              </w:rPr>
              <w:t>259,213,522.84</w:t>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spacing w:val="-1"/>
                <w:sz w:val="18"/>
              </w:rPr>
              <w:t>124,201,460.44</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3"/>
          <w:szCs w:val="23"/>
        </w:rPr>
      </w:pPr>
    </w:p>
    <w:p>
      <w:pPr>
        <w:tabs>
          <w:tab w:pos="1396" w:val="left" w:leader="none"/>
        </w:tabs>
        <w:spacing w:before="35"/>
        <w:ind w:left="857" w:right="91" w:firstLine="0"/>
        <w:jc w:val="left"/>
        <w:rPr>
          <w:rFonts w:ascii="宋体" w:hAnsi="宋体" w:cs="宋体" w:eastAsia="宋体" w:hint="default"/>
          <w:sz w:val="21"/>
          <w:szCs w:val="21"/>
        </w:rPr>
      </w:pPr>
      <w:r>
        <w:rPr/>
        <w:pict>
          <v:group style="position:absolute;margin-left:119.010002pt;margin-top:-132.206177pt;width:391pt;height:109.3pt;mso-position-horizontal-relative:page;mso-position-vertical-relative:paragraph;z-index:-810520" coordorigin="2380,-2644" coordsize="7820,2186">
            <v:group style="position:absolute;left:2410;top:-2629;width:7755;height:2" coordorigin="2410,-2629" coordsize="7755,2">
              <v:shape style="position:absolute;left:2410;top:-2629;width:7755;height:2" coordorigin="2410,-2629" coordsize="7755,0" path="m2410,-2629l10164,-2629e" filled="false" stroked="true" strokeweight="1.5pt" strokecolor="#000000">
                <v:path arrowok="t"/>
              </v:shape>
              <v:shape style="position:absolute;left:4468;top:-2636;width:2888;height:422" type="#_x0000_t75" stroked="false">
                <v:imagedata r:id="rId236" o:title=""/>
              </v:shape>
              <v:shape style="position:absolute;left:4466;top:-2258;width:5729;height:437" type="#_x0000_t75" stroked="false">
                <v:imagedata r:id="rId237" o:title=""/>
              </v:shape>
              <v:shape style="position:absolute;left:2381;top:-1874;width:7819;height:380" type="#_x0000_t75" stroked="false">
                <v:imagedata r:id="rId238" o:title=""/>
              </v:shape>
              <v:shape style="position:absolute;left:2381;top:-1551;width:7819;height:379" type="#_x0000_t75" stroked="false">
                <v:imagedata r:id="rId239" o:title=""/>
              </v:shape>
              <v:shape style="position:absolute;left:2381;top:-1229;width:7819;height:379" type="#_x0000_t75" stroked="false">
                <v:imagedata r:id="rId240" o:title=""/>
              </v:shape>
            </v:group>
            <v:group style="position:absolute;left:4386;top:-868;width:104;height:380" coordorigin="4386,-868" coordsize="104,380">
              <v:shape style="position:absolute;left:4386;top:-868;width:104;height:380" coordorigin="4386,-868" coordsize="104,380" path="m4386,-489l4489,-489,4489,-868,4386,-868,4386,-489xe" filled="true" fillcolor="#ffffff" stroked="false">
                <v:path arrowok="t"/>
                <v:fill type="solid"/>
              </v:shape>
            </v:group>
            <v:group style="position:absolute;left:2410;top:-868;width:108;height:380" coordorigin="2410,-868" coordsize="108,380">
              <v:shape style="position:absolute;left:2410;top:-868;width:108;height:380" coordorigin="2410,-868" coordsize="108,380" path="m2410,-489l2518,-489,2518,-868,2410,-868,2410,-489xe" filled="true" fillcolor="#ffffff" stroked="false">
                <v:path arrowok="t"/>
                <v:fill type="solid"/>
              </v:shape>
            </v:group>
            <v:group style="position:absolute;left:2518;top:-868;width:1869;height:380" coordorigin="2518,-868" coordsize="1869,380">
              <v:shape style="position:absolute;left:2518;top:-868;width:1869;height:380" coordorigin="2518,-868" coordsize="1869,380" path="m2518,-489l4386,-489,4386,-868,2518,-868,2518,-489xe" filled="true" fillcolor="#ffffff" stroked="false">
                <v:path arrowok="t"/>
                <v:fill type="solid"/>
              </v:shape>
            </v:group>
            <v:group style="position:absolute;left:4499;top:-868;width:1408;height:380" coordorigin="4499,-868" coordsize="1408,380">
              <v:shape style="position:absolute;left:4499;top:-868;width:1408;height:380" coordorigin="4499,-868" coordsize="1408,380" path="m4499,-489l5906,-489,5906,-868,4499,-868,4499,-489xe" filled="true" fillcolor="#ffffff" stroked="false">
                <v:path arrowok="t"/>
                <v:fill type="solid"/>
              </v:shape>
            </v:group>
            <v:group style="position:absolute;left:4602;top:-835;width:1202;height:312" coordorigin="4602,-835" coordsize="1202,312">
              <v:shape style="position:absolute;left:4602;top:-835;width:1202;height:312" coordorigin="4602,-835" coordsize="1202,312" path="m4602,-523l5803,-523,5803,-835,4602,-835,4602,-523xe" filled="true" fillcolor="#ffffff" stroked="false">
                <v:path arrowok="t"/>
                <v:fill type="solid"/>
              </v:shape>
            </v:group>
            <v:group style="position:absolute;left:5916;top:-868;width:1408;height:380" coordorigin="5916,-868" coordsize="1408,380">
              <v:shape style="position:absolute;left:5916;top:-868;width:1408;height:380" coordorigin="5916,-868" coordsize="1408,380" path="m5916,-489l7324,-489,7324,-868,5916,-868,5916,-489xe" filled="true" fillcolor="#ffffff" stroked="false">
                <v:path arrowok="t"/>
                <v:fill type="solid"/>
              </v:shape>
            </v:group>
            <v:group style="position:absolute;left:6019;top:-835;width:1203;height:312" coordorigin="6019,-835" coordsize="1203,312">
              <v:shape style="position:absolute;left:6019;top:-835;width:1203;height:312" coordorigin="6019,-835" coordsize="1203,312" path="m6019,-523l7222,-523,7222,-835,6019,-835,6019,-523xe" filled="true" fillcolor="#ffffff" stroked="false">
                <v:path arrowok="t"/>
                <v:fill type="solid"/>
              </v:shape>
            </v:group>
            <v:group style="position:absolute;left:7334;top:-868;width:1407;height:380" coordorigin="7334,-868" coordsize="1407,380">
              <v:shape style="position:absolute;left:7334;top:-868;width:1407;height:380" coordorigin="7334,-868" coordsize="1407,380" path="m7334,-489l8741,-489,8741,-868,7334,-868,7334,-489xe" filled="true" fillcolor="#ffffff" stroked="false">
                <v:path arrowok="t"/>
                <v:fill type="solid"/>
              </v:shape>
            </v:group>
            <v:group style="position:absolute;left:7436;top:-835;width:1202;height:312" coordorigin="7436,-835" coordsize="1202,312">
              <v:shape style="position:absolute;left:7436;top:-835;width:1202;height:312" coordorigin="7436,-835" coordsize="1202,312" path="m7436,-523l8638,-523,8638,-835,7436,-835,7436,-523xe" filled="true" fillcolor="#ffffff" stroked="false">
                <v:path arrowok="t"/>
                <v:fill type="solid"/>
              </v:shape>
            </v:group>
            <v:group style="position:absolute;left:8752;top:-868;width:1413;height:380" coordorigin="8752,-868" coordsize="1413,380">
              <v:shape style="position:absolute;left:8752;top:-868;width:1413;height:380" coordorigin="8752,-868" coordsize="1413,380" path="m8752,-489l10164,-489,10164,-868,8752,-868,8752,-489xe" filled="true" fillcolor="#ffffff" stroked="false">
                <v:path arrowok="t"/>
                <v:fill type="solid"/>
              </v:shape>
            </v:group>
            <v:group style="position:absolute;left:8854;top:-835;width:1203;height:312" coordorigin="8854,-835" coordsize="1203,312">
              <v:shape style="position:absolute;left:8854;top:-835;width:1203;height:312" coordorigin="8854,-835" coordsize="1203,312" path="m8854,-523l10056,-523,10056,-835,8854,-835,8854,-523xe" filled="true" fillcolor="#ffffff" stroked="false">
                <v:path arrowok="t"/>
                <v:fill type="solid"/>
              </v:shape>
            </v:group>
            <v:group style="position:absolute;left:2395;top:-474;width:2094;height:2" coordorigin="2395,-474" coordsize="2094,2">
              <v:shape style="position:absolute;left:2395;top:-474;width:2094;height:2" coordorigin="2395,-474" coordsize="2094,0" path="m2395,-474l4489,-474e" filled="false" stroked="true" strokeweight="1.5pt" strokecolor="#000000">
                <v:path arrowok="t"/>
              </v:shape>
            </v:group>
            <v:group style="position:absolute;left:4489;top:-474;width:1418;height:2" coordorigin="4489,-474" coordsize="1418,2">
              <v:shape style="position:absolute;left:4489;top:-474;width:1418;height:2" coordorigin="4489,-474" coordsize="1418,0" path="m4489,-474l5906,-474e" filled="false" stroked="true" strokeweight="1.5pt" strokecolor="#000000">
                <v:path arrowok="t"/>
              </v:shape>
            </v:group>
            <v:group style="position:absolute;left:5906;top:-474;width:1419;height:2" coordorigin="5906,-474" coordsize="1419,2">
              <v:shape style="position:absolute;left:5906;top:-474;width:1419;height:2" coordorigin="5906,-474" coordsize="1419,0" path="m5906,-474l7325,-474e" filled="false" stroked="true" strokeweight="1.5pt" strokecolor="#000000">
                <v:path arrowok="t"/>
              </v:shape>
            </v:group>
            <v:group style="position:absolute;left:7325;top:-474;width:1416;height:2" coordorigin="7325,-474" coordsize="1416,2">
              <v:shape style="position:absolute;left:7325;top:-474;width:1416;height:2" coordorigin="7325,-474" coordsize="1416,0" path="m7325,-474l8741,-474e" filled="false" stroked="true" strokeweight="1.5pt" strokecolor="#000000">
                <v:path arrowok="t"/>
              </v:shape>
              <v:shape style="position:absolute;left:2381;top:-908;width:7800;height:419" type="#_x0000_t75" stroked="false">
                <v:imagedata r:id="rId241" o:title=""/>
              </v:shape>
            </v:group>
            <v:group style="position:absolute;left:8741;top:-474;width:1424;height:2" coordorigin="8741,-474" coordsize="1424,2">
              <v:shape style="position:absolute;left:8741;top:-474;width:1424;height:2" coordorigin="8741,-474" coordsize="1424,0" path="m8741,-474l10164,-474e" filled="false" stroked="true" strokeweight="1.5pt" strokecolor="#000000">
                <v:path arrowok="t"/>
              </v:shape>
              <v:shape style="position:absolute;left:3137;top:-69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3587;top:-69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4679;top:-761;width:5379;height:180" type="#_x0000_t202" filled="false" stroked="false">
                <v:textbox inset="0,0,0,0">
                  <w:txbxContent>
                    <w:p>
                      <w:pPr>
                        <w:tabs>
                          <w:tab w:pos="1418" w:val="left" w:leader="none"/>
                          <w:tab w:pos="2834" w:val="left" w:leader="none"/>
                          <w:tab w:pos="425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736,720,370.48</w:t>
                        <w:tab/>
                        <w:t>349,982,661.01</w:t>
                        <w:tab/>
                        <w:t>464,806,167.85</w:t>
                        <w:tab/>
                        <w:t>213,339,998.22</w:t>
                      </w:r>
                    </w:p>
                  </w:txbxContent>
                </v:textbox>
                <w10:wrap type="none"/>
              </v:shape>
            </v:group>
            <w10:wrap type="none"/>
          </v:group>
        </w:pict>
      </w:r>
      <w:r>
        <w:rPr/>
        <w:pict>
          <v:group style="position:absolute;margin-left:119.040001pt;margin-top:17.133829pt;width:386.4pt;height:58.65pt;mso-position-horizontal-relative:page;mso-position-vertical-relative:paragraph;z-index:-810496" coordorigin="2381,343" coordsize="7728,1173">
            <v:shape style="position:absolute;left:5453;top:343;width:1910;height:432" type="#_x0000_t75" stroked="false">
              <v:imagedata r:id="rId242" o:title=""/>
            </v:shape>
            <v:shape style="position:absolute;left:2381;top:717;width:7728;height:798" type="#_x0000_t75" stroked="false">
              <v:imagedata r:id="rId243" o:title=""/>
            </v:shape>
            <w10:wrap type="none"/>
          </v:group>
        </w:pict>
      </w: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公司前五名客户的营业收入情况</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822" w:type="dxa"/>
        <w:tblLayout w:type="fixed"/>
        <w:tblCellMar>
          <w:top w:w="0" w:type="dxa"/>
          <w:left w:w="0" w:type="dxa"/>
          <w:bottom w:w="0" w:type="dxa"/>
          <w:right w:w="0" w:type="dxa"/>
        </w:tblCellMar>
        <w:tblLook w:val="01E0"/>
      </w:tblPr>
      <w:tblGrid>
        <w:gridCol w:w="2790"/>
        <w:gridCol w:w="2081"/>
        <w:gridCol w:w="2643"/>
      </w:tblGrid>
      <w:tr>
        <w:trPr>
          <w:trHeight w:val="798" w:hRule="exact"/>
        </w:trPr>
        <w:tc>
          <w:tcPr>
            <w:tcW w:w="279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104" w:right="0"/>
              <w:jc w:val="left"/>
              <w:rPr>
                <w:rFonts w:ascii="宋体" w:hAnsi="宋体" w:cs="宋体" w:eastAsia="宋体" w:hint="default"/>
                <w:sz w:val="18"/>
                <w:szCs w:val="18"/>
              </w:rPr>
            </w:pPr>
            <w:r>
              <w:rPr>
                <w:rFonts w:ascii="宋体" w:hAnsi="宋体" w:cs="宋体" w:eastAsia="宋体" w:hint="default"/>
                <w:sz w:val="18"/>
                <w:szCs w:val="18"/>
              </w:rPr>
              <w:t>客户名称</w:t>
            </w:r>
          </w:p>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天津滨河创新科技有限公司</w:t>
            </w:r>
          </w:p>
        </w:tc>
        <w:tc>
          <w:tcPr>
            <w:tcW w:w="208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595" w:right="0"/>
              <w:jc w:val="left"/>
              <w:rPr>
                <w:rFonts w:ascii="宋体" w:hAnsi="宋体" w:cs="宋体" w:eastAsia="宋体" w:hint="default"/>
                <w:sz w:val="18"/>
                <w:szCs w:val="18"/>
              </w:rPr>
            </w:pPr>
            <w:r>
              <w:rPr>
                <w:rFonts w:ascii="宋体" w:hAnsi="宋体" w:cs="宋体" w:eastAsia="宋体" w:hint="default"/>
                <w:sz w:val="18"/>
                <w:szCs w:val="18"/>
              </w:rPr>
              <w:t>营业收入总额</w:t>
            </w: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914" w:right="0"/>
              <w:jc w:val="left"/>
              <w:rPr>
                <w:rFonts w:ascii="Times New Roman" w:hAnsi="Times New Roman" w:cs="Times New Roman" w:eastAsia="Times New Roman" w:hint="default"/>
                <w:sz w:val="18"/>
                <w:szCs w:val="18"/>
              </w:rPr>
            </w:pPr>
            <w:r>
              <w:rPr>
                <w:rFonts w:ascii="Times New Roman"/>
                <w:sz w:val="18"/>
              </w:rPr>
              <w:t>75,700,855.97</w:t>
            </w:r>
          </w:p>
        </w:tc>
        <w:tc>
          <w:tcPr>
            <w:tcW w:w="264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80"/>
              <w:jc w:val="right"/>
              <w:rPr>
                <w:rFonts w:ascii="Times New Roman" w:hAnsi="Times New Roman" w:cs="Times New Roman" w:eastAsia="Times New Roman" w:hint="default"/>
                <w:sz w:val="18"/>
                <w:szCs w:val="18"/>
              </w:rPr>
            </w:pPr>
            <w:r>
              <w:rPr>
                <w:rFonts w:ascii="宋体" w:hAnsi="宋体" w:cs="宋体" w:eastAsia="宋体" w:hint="default"/>
                <w:sz w:val="18"/>
                <w:szCs w:val="18"/>
              </w:rPr>
              <w:t>占公司全部营业收入的比例</w:t>
            </w:r>
            <w:r>
              <w:rPr>
                <w:rFonts w:ascii="Times New Roman" w:hAnsi="Times New Roman" w:cs="Times New Roman" w:eastAsia="Times New Roman" w:hint="default"/>
                <w:sz w:val="18"/>
                <w:szCs w:val="18"/>
              </w:rPr>
              <w:t>(%)</w:t>
            </w:r>
          </w:p>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10.21</w:t>
            </w:r>
          </w:p>
        </w:tc>
      </w:tr>
      <w:tr>
        <w:trPr>
          <w:trHeight w:val="375" w:hRule="exact"/>
        </w:trPr>
        <w:tc>
          <w:tcPr>
            <w:tcW w:w="2790" w:type="dxa"/>
            <w:tcBorders>
              <w:top w:val="nil" w:sz="6" w:space="0" w:color="auto"/>
              <w:left w:val="nil" w:sz="6" w:space="0" w:color="auto"/>
              <w:bottom w:val="single" w:sz="12" w:space="0" w:color="000000"/>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广东东莞邮政</w:t>
            </w:r>
          </w:p>
        </w:tc>
        <w:tc>
          <w:tcPr>
            <w:tcW w:w="2081"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left="914" w:right="0"/>
              <w:jc w:val="left"/>
              <w:rPr>
                <w:rFonts w:ascii="Times New Roman" w:hAnsi="Times New Roman" w:cs="Times New Roman" w:eastAsia="Times New Roman" w:hint="default"/>
                <w:sz w:val="18"/>
                <w:szCs w:val="18"/>
              </w:rPr>
            </w:pPr>
            <w:r>
              <w:rPr>
                <w:rFonts w:ascii="Times New Roman"/>
                <w:sz w:val="18"/>
              </w:rPr>
              <w:t>65,590,004.41</w:t>
            </w:r>
          </w:p>
        </w:tc>
        <w:tc>
          <w:tcPr>
            <w:tcW w:w="2643"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z w:val="18"/>
              </w:rPr>
              <w:t>8.85</w:t>
            </w:r>
          </w:p>
        </w:tc>
      </w:tr>
    </w:tbl>
    <w:p>
      <w:pPr>
        <w:spacing w:after="0" w:line="240" w:lineRule="auto"/>
        <w:jc w:val="right"/>
        <w:rPr>
          <w:rFonts w:ascii="Times New Roman" w:hAnsi="Times New Roman" w:cs="Times New Roman" w:eastAsia="Times New Roman" w:hint="default"/>
          <w:sz w:val="18"/>
          <w:szCs w:val="18"/>
        </w:rPr>
        <w:sectPr>
          <w:footerReference w:type="default" r:id="rId223"/>
          <w:pgSz w:w="11910" w:h="16840"/>
          <w:pgMar w:footer="1256" w:header="0" w:top="1060" w:bottom="1440" w:left="1660" w:right="1600"/>
          <w:pgNumType w:start="144"/>
        </w:sectPr>
      </w:pPr>
    </w:p>
    <w:p>
      <w:pPr>
        <w:spacing w:line="240" w:lineRule="auto" w:before="6"/>
        <w:rPr>
          <w:rFonts w:ascii="宋体" w:hAnsi="宋体" w:cs="宋体" w:eastAsia="宋体" w:hint="default"/>
          <w:b/>
          <w:bCs/>
          <w:sz w:val="28"/>
          <w:szCs w:val="28"/>
        </w:rPr>
      </w:pPr>
      <w:r>
        <w:rPr/>
        <w:pict>
          <v:group style="position:absolute;margin-left:119.040001pt;margin-top:620.219971pt;width:390.6pt;height:132.85pt;mso-position-horizontal-relative:page;mso-position-vertical-relative:page;z-index:-810280" coordorigin="2381,12404" coordsize="7812,2657">
            <v:shape style="position:absolute;left:5736;top:12404;width:2335;height:432" type="#_x0000_t75" stroked="false">
              <v:imagedata r:id="rId244" o:title=""/>
            </v:shape>
            <v:shape style="position:absolute;left:2381;top:12779;width:7812;height:2282" type="#_x0000_t75" stroked="false">
              <v:imagedata r:id="rId245" o:title=""/>
            </v:shape>
            <w10:wrap type="none"/>
          </v:group>
        </w:pict>
      </w:r>
    </w:p>
    <w:p>
      <w:pPr>
        <w:spacing w:line="1807" w:lineRule="exact"/>
        <w:ind w:left="740"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386.4pt;height:90.4pt;mso-position-horizontal-relative:char;mso-position-vertical-relative:line" coordorigin="0,0" coordsize="7728,1808">
            <v:group style="position:absolute;left:29;top:15;width:7662;height:2" coordorigin="29,15" coordsize="7662,2">
              <v:shape style="position:absolute;left:29;top:15;width:7662;height:2" coordorigin="29,15" coordsize="7662,0" path="m29,15l7691,15e" filled="false" stroked="true" strokeweight="1.5pt" strokecolor="#000000">
                <v:path arrowok="t"/>
              </v:shape>
              <v:shape style="position:absolute;left:3072;top:1;width:1910;height:432" type="#_x0000_t75" stroked="false">
                <v:imagedata r:id="rId246" o:title=""/>
              </v:shape>
              <v:shape style="position:absolute;left:0;top:376;width:7728;height:1432" type="#_x0000_t75" stroked="false">
                <v:imagedata r:id="rId247" o:title=""/>
              </v:shape>
              <v:shape style="position:absolute;left:137;top:159;width:2873;height:50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广东广州邮政</w:t>
                      </w:r>
                    </w:p>
                    <w:p>
                      <w:pPr>
                        <w:spacing w:before="86"/>
                        <w:ind w:left="0" w:right="0" w:firstLine="0"/>
                        <w:jc w:val="left"/>
                        <w:rPr>
                          <w:rFonts w:ascii="宋体" w:hAnsi="宋体" w:cs="宋体" w:eastAsia="宋体" w:hint="default"/>
                          <w:sz w:val="18"/>
                          <w:szCs w:val="18"/>
                        </w:rPr>
                      </w:pPr>
                      <w:r>
                        <w:rPr>
                          <w:rFonts w:ascii="宋体" w:hAnsi="宋体" w:cs="宋体" w:eastAsia="宋体" w:hint="default"/>
                          <w:spacing w:val="11"/>
                          <w:sz w:val="18"/>
                          <w:szCs w:val="18"/>
                        </w:rPr>
                        <w:t>中国邮政储蓄银行有限责任公司深</w:t>
                      </w:r>
                      <w:r>
                        <w:rPr>
                          <w:rFonts w:ascii="宋体" w:hAnsi="宋体" w:cs="宋体" w:eastAsia="宋体" w:hint="default"/>
                          <w:sz w:val="18"/>
                          <w:szCs w:val="18"/>
                        </w:rPr>
                      </w:r>
                    </w:p>
                  </w:txbxContent>
                </v:textbox>
                <w10:wrap type="none"/>
              </v:shape>
              <v:shape style="position:absolute;left:3806;top:13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52,742,544.63</w:t>
                      </w:r>
                    </w:p>
                  </w:txbxContent>
                </v:textbox>
                <w10:wrap type="none"/>
              </v:shape>
              <v:shape style="position:absolute;left:7273;top:135;width:308;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2"/>
                          <w:sz w:val="18"/>
                        </w:rPr>
                        <w:t>7.11</w:t>
                      </w:r>
                    </w:p>
                  </w:txbxContent>
                </v:textbox>
                <w10:wrap type="none"/>
              </v:shape>
              <v:shape style="position:absolute;left:3806;top:644;width:3775;height:180" type="#_x0000_t202" filled="false" stroked="false">
                <v:textbox inset="0,0,0,0">
                  <w:txbxContent>
                    <w:p>
                      <w:pPr>
                        <w:tabs>
                          <w:tab w:pos="3459"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50,790,858.62</w:t>
                        <w:tab/>
                      </w:r>
                      <w:r>
                        <w:rPr>
                          <w:rFonts w:ascii="Times New Roman"/>
                          <w:sz w:val="18"/>
                        </w:rPr>
                        <w:t>6.85</w:t>
                      </w:r>
                    </w:p>
                  </w:txbxContent>
                </v:textbox>
                <w10:wrap type="none"/>
              </v:shape>
            </v:group>
          </v:group>
        </w:pict>
      </w:r>
      <w:r>
        <w:rPr>
          <w:rFonts w:ascii="宋体" w:hAnsi="宋体" w:cs="宋体" w:eastAsia="宋体" w:hint="default"/>
          <w:position w:val="-35"/>
          <w:sz w:val="20"/>
          <w:szCs w:val="20"/>
        </w:rPr>
      </w:r>
    </w:p>
    <w:p>
      <w:pPr>
        <w:spacing w:line="240" w:lineRule="auto" w:before="7"/>
        <w:rPr>
          <w:rFonts w:ascii="宋体" w:hAnsi="宋体" w:cs="宋体" w:eastAsia="宋体" w:hint="default"/>
          <w:b/>
          <w:bCs/>
          <w:sz w:val="27"/>
          <w:szCs w:val="27"/>
        </w:rPr>
      </w:pPr>
    </w:p>
    <w:p>
      <w:pPr>
        <w:spacing w:before="35"/>
        <w:ind w:left="145" w:right="2389" w:firstLine="0"/>
        <w:jc w:val="left"/>
        <w:rPr>
          <w:rFonts w:ascii="Times New Roman" w:hAnsi="Times New Roman" w:cs="Times New Roman" w:eastAsia="Times New Roman" w:hint="default"/>
          <w:sz w:val="21"/>
          <w:szCs w:val="21"/>
        </w:rPr>
      </w:pPr>
      <w:r>
        <w:rPr/>
        <w:pict>
          <v:shape style="position:absolute;margin-left:124.129997pt;margin-top:-68.781448pt;width:380.4pt;height:211.25pt;mso-position-horizontal-relative:page;mso-position-vertical-relative:paragraph;z-index:183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289"/>
                    <w:gridCol w:w="1800"/>
                    <w:gridCol w:w="1411"/>
                    <w:gridCol w:w="2015"/>
                    <w:gridCol w:w="93"/>
                  </w:tblGrid>
                  <w:tr>
                    <w:trPr>
                      <w:trHeight w:val="652"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圳分行</w:t>
                        </w:r>
                      </w:p>
                      <w:p>
                        <w:pPr>
                          <w:pStyle w:val="TableParagraph"/>
                          <w:spacing w:line="240" w:lineRule="auto" w:before="149"/>
                          <w:ind w:left="35" w:right="0"/>
                          <w:jc w:val="left"/>
                          <w:rPr>
                            <w:rFonts w:ascii="宋体" w:hAnsi="宋体" w:cs="宋体" w:eastAsia="宋体" w:hint="default"/>
                            <w:sz w:val="18"/>
                            <w:szCs w:val="18"/>
                          </w:rPr>
                        </w:pPr>
                        <w:r>
                          <w:rPr>
                            <w:rFonts w:ascii="宋体" w:hAnsi="宋体" w:cs="宋体" w:eastAsia="宋体" w:hint="default"/>
                            <w:sz w:val="18"/>
                            <w:szCs w:val="18"/>
                          </w:rPr>
                          <w:t>新世纪国际租赁有限公司</w:t>
                        </w:r>
                      </w:p>
                    </w:tc>
                    <w:tc>
                      <w:tcPr>
                        <w:tcW w:w="32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5"/>
                            <w:szCs w:val="25"/>
                          </w:rPr>
                        </w:pPr>
                      </w:p>
                      <w:p>
                        <w:pPr>
                          <w:pStyle w:val="TableParagraph"/>
                          <w:spacing w:line="240" w:lineRule="auto"/>
                          <w:ind w:left="1416" w:right="0"/>
                          <w:jc w:val="left"/>
                          <w:rPr>
                            <w:rFonts w:ascii="Times New Roman" w:hAnsi="Times New Roman" w:cs="Times New Roman" w:eastAsia="Times New Roman" w:hint="default"/>
                            <w:sz w:val="18"/>
                            <w:szCs w:val="18"/>
                          </w:rPr>
                        </w:pPr>
                        <w:r>
                          <w:rPr>
                            <w:rFonts w:ascii="Times New Roman"/>
                            <w:sz w:val="18"/>
                          </w:rPr>
                          <w:t>36,422,307.81</w:t>
                        </w: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5"/>
                            <w:szCs w:val="2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4.91</w:t>
                        </w:r>
                      </w:p>
                    </w:tc>
                    <w:tc>
                      <w:tcPr>
                        <w:tcW w:w="93" w:type="dxa"/>
                        <w:vMerge w:val="restart"/>
                        <w:tcBorders>
                          <w:top w:val="nil" w:sz="6" w:space="0" w:color="auto"/>
                          <w:left w:val="nil" w:sz="6" w:space="0" w:color="auto"/>
                          <w:right w:val="nil" w:sz="6" w:space="0" w:color="auto"/>
                        </w:tcBorders>
                      </w:tcPr>
                      <w:p>
                        <w:pPr/>
                      </w:p>
                    </w:tc>
                  </w:tr>
                  <w:tr>
                    <w:trPr>
                      <w:trHeight w:val="378" w:hRule="exact"/>
                    </w:trPr>
                    <w:tc>
                      <w:tcPr>
                        <w:tcW w:w="2289" w:type="dxa"/>
                        <w:tcBorders>
                          <w:top w:val="nil" w:sz="6" w:space="0" w:color="auto"/>
                          <w:left w:val="nil" w:sz="6" w:space="0" w:color="auto"/>
                          <w:bottom w:val="single" w:sz="12" w:space="0" w:color="000000"/>
                          <w:right w:val="nil" w:sz="6" w:space="0" w:color="auto"/>
                        </w:tcBorders>
                      </w:tcPr>
                      <w:p>
                        <w:pPr>
                          <w:pStyle w:val="TableParagraph"/>
                          <w:tabs>
                            <w:tab w:pos="1599" w:val="left" w:leader="none"/>
                          </w:tabs>
                          <w:spacing w:line="240" w:lineRule="auto" w:before="31"/>
                          <w:ind w:left="1149"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3211"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70"/>
                          <w:ind w:left="1325" w:right="0"/>
                          <w:jc w:val="left"/>
                          <w:rPr>
                            <w:rFonts w:ascii="Times New Roman" w:hAnsi="Times New Roman" w:cs="Times New Roman" w:eastAsia="Times New Roman" w:hint="default"/>
                            <w:sz w:val="18"/>
                            <w:szCs w:val="18"/>
                          </w:rPr>
                        </w:pPr>
                        <w:r>
                          <w:rPr>
                            <w:rFonts w:ascii="Times New Roman"/>
                            <w:sz w:val="18"/>
                          </w:rPr>
                          <w:t>281,246,571.44</w:t>
                        </w:r>
                      </w:p>
                    </w:tc>
                    <w:tc>
                      <w:tcPr>
                        <w:tcW w:w="2015" w:type="dxa"/>
                        <w:tcBorders>
                          <w:top w:val="nil" w:sz="6" w:space="0" w:color="auto"/>
                          <w:left w:val="nil" w:sz="6" w:space="0" w:color="auto"/>
                          <w:bottom w:val="single" w:sz="12" w:space="0" w:color="000000"/>
                          <w:right w:val="nil" w:sz="6" w:space="0" w:color="auto"/>
                        </w:tcBorders>
                      </w:tcPr>
                      <w:p>
                        <w:pPr>
                          <w:pStyle w:val="TableParagraph"/>
                          <w:spacing w:line="240" w:lineRule="auto" w:before="70"/>
                          <w:ind w:right="33"/>
                          <w:jc w:val="right"/>
                          <w:rPr>
                            <w:rFonts w:ascii="Times New Roman" w:hAnsi="Times New Roman" w:cs="Times New Roman" w:eastAsia="Times New Roman" w:hint="default"/>
                            <w:sz w:val="18"/>
                            <w:szCs w:val="18"/>
                          </w:rPr>
                        </w:pPr>
                        <w:r>
                          <w:rPr>
                            <w:rFonts w:ascii="Times New Roman"/>
                            <w:sz w:val="18"/>
                          </w:rPr>
                          <w:t>37.93</w:t>
                        </w:r>
                      </w:p>
                    </w:tc>
                    <w:tc>
                      <w:tcPr>
                        <w:tcW w:w="93" w:type="dxa"/>
                        <w:vMerge/>
                        <w:tcBorders>
                          <w:left w:val="nil" w:sz="6" w:space="0" w:color="auto"/>
                          <w:right w:val="nil" w:sz="6" w:space="0" w:color="auto"/>
                        </w:tcBorders>
                      </w:tcPr>
                      <w:p>
                        <w:pPr/>
                      </w:p>
                    </w:tc>
                  </w:tr>
                  <w:tr>
                    <w:trPr>
                      <w:trHeight w:val="839"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9"/>
                            <w:szCs w:val="29"/>
                          </w:rPr>
                        </w:pPr>
                      </w:p>
                      <w:p>
                        <w:pPr>
                          <w:pStyle w:val="TableParagraph"/>
                          <w:spacing w:line="240" w:lineRule="auto"/>
                          <w:ind w:left="31" w:right="0"/>
                          <w:jc w:val="left"/>
                          <w:rPr>
                            <w:rFonts w:ascii="宋体" w:hAnsi="宋体" w:cs="宋体" w:eastAsia="宋体" w:hint="default"/>
                            <w:sz w:val="21"/>
                            <w:szCs w:val="21"/>
                          </w:rPr>
                        </w:pPr>
                        <w:r>
                          <w:rPr>
                            <w:rFonts w:ascii="宋体" w:hAnsi="宋体" w:cs="宋体" w:eastAsia="宋体" w:hint="default"/>
                            <w:b/>
                            <w:bCs/>
                            <w:sz w:val="21"/>
                            <w:szCs w:val="21"/>
                          </w:rPr>
                          <w:t>营业税金及附加</w:t>
                        </w:r>
                        <w:r>
                          <w:rPr>
                            <w:rFonts w:ascii="宋体" w:hAnsi="宋体" w:cs="宋体" w:eastAsia="宋体" w:hint="default"/>
                            <w:sz w:val="21"/>
                            <w:szCs w:val="21"/>
                          </w:rPr>
                        </w:r>
                      </w:p>
                    </w:tc>
                    <w:tc>
                      <w:tcPr>
                        <w:tcW w:w="3211" w:type="dxa"/>
                        <w:gridSpan w:val="2"/>
                        <w:tcBorders>
                          <w:top w:val="nil" w:sz="6" w:space="0" w:color="auto"/>
                          <w:left w:val="nil" w:sz="6" w:space="0" w:color="auto"/>
                          <w:bottom w:val="nil" w:sz="6" w:space="0" w:color="auto"/>
                          <w:right w:val="nil" w:sz="6" w:space="0" w:color="auto"/>
                        </w:tcBorders>
                      </w:tcPr>
                      <w:p>
                        <w:pPr/>
                      </w:p>
                    </w:tc>
                    <w:tc>
                      <w:tcPr>
                        <w:tcW w:w="2015" w:type="dxa"/>
                        <w:tcBorders>
                          <w:top w:val="nil" w:sz="6" w:space="0" w:color="auto"/>
                          <w:left w:val="nil" w:sz="6" w:space="0" w:color="auto"/>
                          <w:bottom w:val="nil" w:sz="6" w:space="0" w:color="auto"/>
                          <w:right w:val="nil" w:sz="6" w:space="0" w:color="auto"/>
                        </w:tcBorders>
                      </w:tcPr>
                      <w:p>
                        <w:pPr/>
                      </w:p>
                    </w:tc>
                    <w:tc>
                      <w:tcPr>
                        <w:tcW w:w="93" w:type="dxa"/>
                        <w:vMerge/>
                        <w:tcBorders>
                          <w:left w:val="nil" w:sz="6" w:space="0" w:color="auto"/>
                          <w:bottom w:val="nil" w:sz="6" w:space="0" w:color="auto"/>
                          <w:right w:val="nil" w:sz="6" w:space="0" w:color="auto"/>
                        </w:tcBorders>
                      </w:tcPr>
                      <w:p>
                        <w:pPr/>
                      </w:p>
                    </w:tc>
                  </w:tr>
                  <w:tr>
                    <w:trPr>
                      <w:trHeight w:val="394" w:hRule="exact"/>
                    </w:trPr>
                    <w:tc>
                      <w:tcPr>
                        <w:tcW w:w="228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74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80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73"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41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5"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210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1"/>
                          <w:ind w:left="730" w:right="0"/>
                          <w:jc w:val="left"/>
                          <w:rPr>
                            <w:rFonts w:ascii="宋体" w:hAnsi="宋体" w:cs="宋体" w:eastAsia="宋体" w:hint="default"/>
                            <w:sz w:val="18"/>
                            <w:szCs w:val="18"/>
                          </w:rPr>
                        </w:pPr>
                        <w:r>
                          <w:rPr>
                            <w:rFonts w:ascii="宋体" w:hAnsi="宋体" w:cs="宋体" w:eastAsia="宋体" w:hint="default"/>
                            <w:sz w:val="18"/>
                            <w:szCs w:val="18"/>
                          </w:rPr>
                          <w:t>计缴标准</w:t>
                        </w:r>
                      </w:p>
                    </w:tc>
                  </w:tr>
                  <w:tr>
                    <w:trPr>
                      <w:trHeight w:val="389"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64"/>
                          <w:jc w:val="right"/>
                          <w:rPr>
                            <w:rFonts w:ascii="Times New Roman" w:hAnsi="Times New Roman" w:cs="Times New Roman" w:eastAsia="Times New Roman" w:hint="default"/>
                            <w:sz w:val="18"/>
                            <w:szCs w:val="18"/>
                          </w:rPr>
                        </w:pPr>
                        <w:r>
                          <w:rPr>
                            <w:rFonts w:ascii="Times New Roman"/>
                            <w:spacing w:val="-1"/>
                            <w:sz w:val="18"/>
                          </w:rPr>
                          <w:t>18,801,376.39</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pacing w:val="-2"/>
                            <w:sz w:val="18"/>
                          </w:rPr>
                          <w:t>11,240,701.11</w:t>
                        </w:r>
                      </w:p>
                    </w:tc>
                    <w:tc>
                      <w:tcPr>
                        <w:tcW w:w="210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6"/>
                          <w:ind w:left="49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应税收入的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p>
                    </w:tc>
                  </w:tr>
                  <w:tr>
                    <w:trPr>
                      <w:trHeight w:val="385"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4"/>
                          <w:jc w:val="right"/>
                          <w:rPr>
                            <w:rFonts w:ascii="Times New Roman" w:hAnsi="Times New Roman" w:cs="Times New Roman" w:eastAsia="Times New Roman" w:hint="default"/>
                            <w:sz w:val="18"/>
                            <w:szCs w:val="18"/>
                          </w:rPr>
                        </w:pPr>
                        <w:r>
                          <w:rPr>
                            <w:rFonts w:ascii="Times New Roman"/>
                            <w:spacing w:val="-1"/>
                            <w:sz w:val="18"/>
                          </w:rPr>
                          <w:t>3,199,154.63</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spacing w:val="-1"/>
                            <w:sz w:val="18"/>
                          </w:rPr>
                          <w:t>2,344,137.18</w:t>
                        </w:r>
                      </w:p>
                    </w:tc>
                    <w:tc>
                      <w:tcPr>
                        <w:tcW w:w="210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1"/>
                          <w:ind w:left="31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应交流转税额的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p>
                    </w:tc>
                  </w:tr>
                  <w:tr>
                    <w:trPr>
                      <w:trHeight w:val="385"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4"/>
                          <w:jc w:val="right"/>
                          <w:rPr>
                            <w:rFonts w:ascii="Times New Roman" w:hAnsi="Times New Roman" w:cs="Times New Roman" w:eastAsia="Times New Roman" w:hint="default"/>
                            <w:sz w:val="18"/>
                            <w:szCs w:val="18"/>
                          </w:rPr>
                        </w:pPr>
                        <w:r>
                          <w:rPr>
                            <w:rFonts w:ascii="Times New Roman"/>
                            <w:spacing w:val="-1"/>
                            <w:sz w:val="18"/>
                          </w:rPr>
                          <w:t>2,304,701.07</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z w:val="18"/>
                          </w:rPr>
                          <w:t>998,320.09</w:t>
                        </w:r>
                      </w:p>
                    </w:tc>
                    <w:tc>
                      <w:tcPr>
                        <w:tcW w:w="210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2"/>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应交流转税额的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p>
                    </w:tc>
                  </w:tr>
                  <w:tr>
                    <w:trPr>
                      <w:trHeight w:val="384" w:hRule="exact"/>
                    </w:trPr>
                    <w:tc>
                      <w:tcPr>
                        <w:tcW w:w="228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防洪费</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3"/>
                          <w:jc w:val="right"/>
                          <w:rPr>
                            <w:rFonts w:ascii="Times New Roman" w:hAnsi="Times New Roman" w:cs="Times New Roman" w:eastAsia="Times New Roman" w:hint="default"/>
                            <w:sz w:val="18"/>
                            <w:szCs w:val="18"/>
                          </w:rPr>
                        </w:pPr>
                        <w:r>
                          <w:rPr>
                            <w:rFonts w:ascii="Times New Roman"/>
                            <w:sz w:val="18"/>
                          </w:rPr>
                          <w:t>781,550.59</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sz w:val="18"/>
                          </w:rPr>
                          <w:t>573,220.64</w:t>
                        </w:r>
                      </w:p>
                    </w:tc>
                    <w:tc>
                      <w:tcPr>
                        <w:tcW w:w="210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1"/>
                          <w:ind w:left="52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应税收入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p>
                    </w:tc>
                  </w:tr>
                  <w:tr>
                    <w:trPr>
                      <w:trHeight w:val="389" w:hRule="exact"/>
                    </w:trPr>
                    <w:tc>
                      <w:tcPr>
                        <w:tcW w:w="2289"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left="74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00"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64"/>
                          <w:jc w:val="right"/>
                          <w:rPr>
                            <w:rFonts w:ascii="Times New Roman" w:hAnsi="Times New Roman" w:cs="Times New Roman" w:eastAsia="Times New Roman" w:hint="default"/>
                            <w:sz w:val="18"/>
                            <w:szCs w:val="18"/>
                          </w:rPr>
                        </w:pPr>
                        <w:r>
                          <w:rPr>
                            <w:rFonts w:ascii="Times New Roman"/>
                            <w:spacing w:val="-1"/>
                            <w:sz w:val="18"/>
                          </w:rPr>
                          <w:t>25,086,782.68</w:t>
                        </w:r>
                      </w:p>
                    </w:tc>
                    <w:tc>
                      <w:tcPr>
                        <w:tcW w:w="1411"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spacing w:val="-1"/>
                            <w:sz w:val="18"/>
                          </w:rPr>
                          <w:t>15,156,379.02</w:t>
                        </w:r>
                      </w:p>
                    </w:tc>
                    <w:tc>
                      <w:tcPr>
                        <w:tcW w:w="2107" w:type="dxa"/>
                        <w:gridSpan w:val="2"/>
                        <w:tcBorders>
                          <w:top w:val="nil" w:sz="6" w:space="0" w:color="auto"/>
                          <w:left w:val="nil" w:sz="6" w:space="0" w:color="auto"/>
                          <w:bottom w:val="single" w:sz="12" w:space="0" w:color="000000"/>
                          <w:right w:val="nil" w:sz="6" w:space="0" w:color="auto"/>
                        </w:tcBorders>
                      </w:tcPr>
                      <w:p>
                        <w:pPr/>
                      </w:p>
                    </w:tc>
                  </w:tr>
                </w:tbl>
                <w:p>
                  <w:pPr/>
                </w:p>
              </w:txbxContent>
            </v:textbox>
            <w10:wrap type="non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p>
      <w:pPr>
        <w:spacing w:line="240" w:lineRule="auto" w:before="4"/>
        <w:rPr>
          <w:rFonts w:ascii="Times New Roman" w:hAnsi="Times New Roman" w:cs="Times New Roman" w:eastAsia="Times New Roman" w:hint="default"/>
          <w:b/>
          <w:bCs/>
          <w:sz w:val="13"/>
          <w:szCs w:val="13"/>
        </w:rPr>
      </w:pPr>
    </w:p>
    <w:p>
      <w:pPr>
        <w:spacing w:line="2324" w:lineRule="exact"/>
        <w:ind w:left="74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5"/>
          <w:sz w:val="20"/>
          <w:szCs w:val="20"/>
        </w:rPr>
        <w:pict>
          <v:group style="width:390.75pt;height:116.25pt;mso-position-horizontal-relative:char;mso-position-vertical-relative:line" coordorigin="0,0" coordsize="7815,2325">
            <v:shape style="position:absolute;left:1982;top:0;width:3653;height:432" type="#_x0000_t75" stroked="false">
              <v:imagedata r:id="rId248" o:title=""/>
            </v:shape>
            <v:shape style="position:absolute;left:0;top:374;width:7814;height:1950" type="#_x0000_t75" stroked="false">
              <v:imagedata r:id="rId249" o:title=""/>
            </v:shape>
          </v:group>
        </w:pict>
      </w:r>
      <w:r>
        <w:rPr>
          <w:rFonts w:ascii="Times New Roman" w:hAnsi="Times New Roman" w:cs="Times New Roman" w:eastAsia="Times New Roman" w:hint="default"/>
          <w:position w:val="-45"/>
          <w:sz w:val="20"/>
          <w:szCs w:val="20"/>
        </w:rPr>
      </w:r>
    </w:p>
    <w:p>
      <w:pPr>
        <w:spacing w:line="240" w:lineRule="auto" w:before="0"/>
        <w:rPr>
          <w:rFonts w:ascii="Times New Roman" w:hAnsi="Times New Roman" w:cs="Times New Roman" w:eastAsia="Times New Roman" w:hint="default"/>
          <w:b/>
          <w:bCs/>
          <w:sz w:val="20"/>
          <w:szCs w:val="20"/>
        </w:rPr>
      </w:pPr>
    </w:p>
    <w:p>
      <w:pPr>
        <w:spacing w:line="240" w:lineRule="auto" w:before="6"/>
        <w:rPr>
          <w:rFonts w:ascii="Times New Roman" w:hAnsi="Times New Roman" w:cs="Times New Roman" w:eastAsia="Times New Roman" w:hint="default"/>
          <w:b/>
          <w:bCs/>
          <w:sz w:val="22"/>
          <w:szCs w:val="22"/>
        </w:rPr>
      </w:pPr>
    </w:p>
    <w:p>
      <w:pPr>
        <w:spacing w:before="35"/>
        <w:ind w:left="145" w:right="2389" w:firstLine="0"/>
        <w:jc w:val="left"/>
        <w:rPr>
          <w:rFonts w:ascii="宋体" w:hAnsi="宋体" w:cs="宋体" w:eastAsia="宋体" w:hint="default"/>
          <w:sz w:val="21"/>
          <w:szCs w:val="21"/>
        </w:rPr>
      </w:pPr>
      <w:r>
        <w:rPr/>
        <w:pict>
          <v:group style="position:absolute;margin-left:119.010002pt;margin-top:17.073969pt;width:390.65pt;height:218.05pt;mso-position-horizontal-relative:page;mso-position-vertical-relative:paragraph;z-index:-810304" coordorigin="2380,341" coordsize="7813,4361">
            <v:group style="position:absolute;left:2410;top:356;width:7754;height:2" coordorigin="2410,356" coordsize="7754,2">
              <v:shape style="position:absolute;left:2410;top:356;width:7754;height:2" coordorigin="2410,356" coordsize="7754,0" path="m2410,356l10163,356e" filled="false" stroked="true" strokeweight="1.5pt" strokecolor="#000000">
                <v:path arrowok="t"/>
              </v:shape>
              <v:shape style="position:absolute;left:5750;top:343;width:2321;height:432" type="#_x0000_t75" stroked="false">
                <v:imagedata r:id="rId250" o:title=""/>
              </v:shape>
            </v:group>
            <v:group style="position:absolute;left:2395;top:4687;width:3384;height:2" coordorigin="2395,4687" coordsize="3384,2">
              <v:shape style="position:absolute;left:2395;top:4687;width:3384;height:2" coordorigin="2395,4687" coordsize="3384,0" path="m2395,4687l5779,4687e" filled="false" stroked="true" strokeweight="1.5pt" strokecolor="#000000">
                <v:path arrowok="t"/>
              </v:shape>
            </v:group>
            <v:group style="position:absolute;left:5779;top:4687;width:2254;height:2" coordorigin="5779,4687" coordsize="2254,2">
              <v:shape style="position:absolute;left:5779;top:4687;width:2254;height:2" coordorigin="5779,4687" coordsize="2254,0" path="m5779,4687l8033,4687e" filled="false" stroked="true" strokeweight="1.5pt" strokecolor="#000000">
                <v:path arrowok="t"/>
              </v:shape>
              <v:shape style="position:absolute;left:2381;top:717;width:7812;height:3955" type="#_x0000_t75" stroked="false">
                <v:imagedata r:id="rId251" o:title=""/>
              </v:shape>
            </v:group>
            <v:group style="position:absolute;left:8033;top:4687;width:2130;height:2" coordorigin="8033,4687" coordsize="2130,2">
              <v:shape style="position:absolute;left:8033;top:4687;width:2130;height:2" coordorigin="8033,4687" coordsize="2130,0" path="m8033,4687l10163,4687e" filled="false" stroked="true" strokeweight="1.5pt" strokecolor="#000000">
                <v:path arrowok="t"/>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销售费用</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932" w:type="dxa"/>
        <w:tblLayout w:type="fixed"/>
        <w:tblCellMar>
          <w:top w:w="0" w:type="dxa"/>
          <w:left w:w="0" w:type="dxa"/>
          <w:bottom w:w="0" w:type="dxa"/>
          <w:right w:w="0" w:type="dxa"/>
        </w:tblCellMar>
        <w:tblLook w:val="01E0"/>
      </w:tblPr>
      <w:tblGrid>
        <w:gridCol w:w="1140"/>
        <w:gridCol w:w="1702"/>
        <w:gridCol w:w="2922"/>
        <w:gridCol w:w="1756"/>
      </w:tblGrid>
      <w:tr>
        <w:trPr>
          <w:trHeight w:val="720" w:hRule="exact"/>
        </w:trPr>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工资福利费</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04"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922" w:type="dxa"/>
            <w:tcBorders>
              <w:top w:val="nil" w:sz="6" w:space="0" w:color="auto"/>
              <w:left w:val="nil" w:sz="6" w:space="0" w:color="auto"/>
              <w:bottom w:val="nil" w:sz="6" w:space="0" w:color="auto"/>
              <w:right w:val="nil" w:sz="6" w:space="0" w:color="auto"/>
            </w:tcBorders>
          </w:tcPr>
          <w:p>
            <w:pPr>
              <w:pStyle w:val="TableParagraph"/>
              <w:spacing w:line="240" w:lineRule="auto" w:before="56"/>
              <w:ind w:left="72" w:right="0"/>
              <w:jc w:val="center"/>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157"/>
              <w:ind w:left="1487" w:right="0"/>
              <w:jc w:val="left"/>
              <w:rPr>
                <w:rFonts w:ascii="Times New Roman" w:hAnsi="Times New Roman" w:cs="Times New Roman" w:eastAsia="Times New Roman" w:hint="default"/>
                <w:sz w:val="18"/>
                <w:szCs w:val="18"/>
              </w:rPr>
            </w:pPr>
            <w:r>
              <w:rPr>
                <w:rFonts w:ascii="Times New Roman"/>
                <w:sz w:val="18"/>
              </w:rPr>
              <w:t>11,646,010.27</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05"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157"/>
              <w:ind w:left="775" w:right="0"/>
              <w:jc w:val="left"/>
              <w:rPr>
                <w:rFonts w:ascii="Times New Roman" w:hAnsi="Times New Roman" w:cs="Times New Roman" w:eastAsia="Times New Roman" w:hint="default"/>
                <w:sz w:val="18"/>
                <w:szCs w:val="18"/>
              </w:rPr>
            </w:pPr>
            <w:r>
              <w:rPr>
                <w:rFonts w:ascii="Times New Roman"/>
                <w:sz w:val="18"/>
              </w:rPr>
              <w:t>9,692,161.15</w:t>
            </w:r>
          </w:p>
        </w:tc>
      </w:tr>
      <w:tr>
        <w:trPr>
          <w:trHeight w:val="322" w:hRule="exact"/>
        </w:trPr>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1702" w:type="dxa"/>
            <w:tcBorders>
              <w:top w:val="nil" w:sz="6" w:space="0" w:color="auto"/>
              <w:left w:val="nil" w:sz="6" w:space="0" w:color="auto"/>
              <w:bottom w:val="nil" w:sz="6" w:space="0" w:color="auto"/>
              <w:right w:val="nil" w:sz="6" w:space="0" w:color="auto"/>
            </w:tcBorders>
          </w:tcPr>
          <w:p>
            <w:pPr/>
          </w:p>
        </w:tc>
        <w:tc>
          <w:tcPr>
            <w:tcW w:w="292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03"/>
              <w:jc w:val="right"/>
              <w:rPr>
                <w:rFonts w:ascii="Times New Roman" w:hAnsi="Times New Roman" w:cs="Times New Roman" w:eastAsia="Times New Roman" w:hint="default"/>
                <w:sz w:val="18"/>
                <w:szCs w:val="18"/>
              </w:rPr>
            </w:pPr>
            <w:r>
              <w:rPr>
                <w:rFonts w:ascii="Times New Roman"/>
                <w:spacing w:val="-1"/>
                <w:sz w:val="18"/>
              </w:rPr>
              <w:t>4,908,795.04</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Times New Roman" w:hAnsi="Times New Roman" w:cs="Times New Roman" w:eastAsia="Times New Roman" w:hint="default"/>
                <w:sz w:val="18"/>
                <w:szCs w:val="18"/>
              </w:rPr>
            </w:pPr>
            <w:r>
              <w:rPr>
                <w:rFonts w:ascii="Times New Roman"/>
                <w:spacing w:val="-1"/>
                <w:sz w:val="18"/>
              </w:rPr>
              <w:t>4,844,133.72</w:t>
            </w:r>
          </w:p>
        </w:tc>
      </w:tr>
      <w:tr>
        <w:trPr>
          <w:trHeight w:val="322" w:hRule="exact"/>
        </w:trPr>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1702" w:type="dxa"/>
            <w:tcBorders>
              <w:top w:val="nil" w:sz="6" w:space="0" w:color="auto"/>
              <w:left w:val="nil" w:sz="6" w:space="0" w:color="auto"/>
              <w:bottom w:val="nil" w:sz="6" w:space="0" w:color="auto"/>
              <w:right w:val="nil" w:sz="6" w:space="0" w:color="auto"/>
            </w:tcBorders>
          </w:tcPr>
          <w:p>
            <w:pPr/>
          </w:p>
        </w:tc>
        <w:tc>
          <w:tcPr>
            <w:tcW w:w="292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03"/>
              <w:jc w:val="right"/>
              <w:rPr>
                <w:rFonts w:ascii="Times New Roman" w:hAnsi="Times New Roman" w:cs="Times New Roman" w:eastAsia="Times New Roman" w:hint="default"/>
                <w:sz w:val="18"/>
                <w:szCs w:val="18"/>
              </w:rPr>
            </w:pPr>
            <w:r>
              <w:rPr>
                <w:rFonts w:ascii="Times New Roman"/>
                <w:spacing w:val="-1"/>
                <w:sz w:val="18"/>
              </w:rPr>
              <w:t>2,989,595.35</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pacing w:val="-1"/>
                <w:sz w:val="18"/>
              </w:rPr>
              <w:t>1,692,536.44</w:t>
            </w:r>
          </w:p>
        </w:tc>
      </w:tr>
      <w:tr>
        <w:trPr>
          <w:trHeight w:val="322" w:hRule="exact"/>
        </w:trPr>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市场服务费</w:t>
            </w:r>
          </w:p>
        </w:tc>
        <w:tc>
          <w:tcPr>
            <w:tcW w:w="1702" w:type="dxa"/>
            <w:tcBorders>
              <w:top w:val="nil" w:sz="6" w:space="0" w:color="auto"/>
              <w:left w:val="nil" w:sz="6" w:space="0" w:color="auto"/>
              <w:bottom w:val="nil" w:sz="6" w:space="0" w:color="auto"/>
              <w:right w:val="nil" w:sz="6" w:space="0" w:color="auto"/>
            </w:tcBorders>
          </w:tcPr>
          <w:p>
            <w:pPr/>
          </w:p>
        </w:tc>
        <w:tc>
          <w:tcPr>
            <w:tcW w:w="292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03"/>
              <w:jc w:val="right"/>
              <w:rPr>
                <w:rFonts w:ascii="Times New Roman" w:hAnsi="Times New Roman" w:cs="Times New Roman" w:eastAsia="Times New Roman" w:hint="default"/>
                <w:sz w:val="18"/>
                <w:szCs w:val="18"/>
              </w:rPr>
            </w:pPr>
            <w:r>
              <w:rPr>
                <w:rFonts w:ascii="Times New Roman"/>
                <w:spacing w:val="-1"/>
                <w:sz w:val="18"/>
              </w:rPr>
              <w:t>20,591,005.69</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pacing w:val="-1"/>
                <w:sz w:val="18"/>
              </w:rPr>
              <w:t>25,040,732.44</w:t>
            </w:r>
          </w:p>
        </w:tc>
      </w:tr>
      <w:tr>
        <w:trPr>
          <w:trHeight w:val="322" w:hRule="exact"/>
        </w:trPr>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1702" w:type="dxa"/>
            <w:tcBorders>
              <w:top w:val="nil" w:sz="6" w:space="0" w:color="auto"/>
              <w:left w:val="nil" w:sz="6" w:space="0" w:color="auto"/>
              <w:bottom w:val="nil" w:sz="6" w:space="0" w:color="auto"/>
              <w:right w:val="nil" w:sz="6" w:space="0" w:color="auto"/>
            </w:tcBorders>
          </w:tcPr>
          <w:p>
            <w:pPr/>
          </w:p>
        </w:tc>
        <w:tc>
          <w:tcPr>
            <w:tcW w:w="292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03"/>
              <w:jc w:val="right"/>
              <w:rPr>
                <w:rFonts w:ascii="Times New Roman" w:hAnsi="Times New Roman" w:cs="Times New Roman" w:eastAsia="Times New Roman" w:hint="default"/>
                <w:sz w:val="18"/>
                <w:szCs w:val="18"/>
              </w:rPr>
            </w:pPr>
            <w:r>
              <w:rPr>
                <w:rFonts w:ascii="Times New Roman"/>
                <w:spacing w:val="-1"/>
                <w:sz w:val="18"/>
              </w:rPr>
              <w:t>4,194,728.05</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Times New Roman" w:hAnsi="Times New Roman" w:cs="Times New Roman" w:eastAsia="Times New Roman" w:hint="default"/>
                <w:sz w:val="18"/>
                <w:szCs w:val="18"/>
              </w:rPr>
            </w:pPr>
            <w:r>
              <w:rPr>
                <w:rFonts w:ascii="Times New Roman"/>
                <w:spacing w:val="-1"/>
                <w:sz w:val="18"/>
              </w:rPr>
              <w:t>4,768,138.20</w:t>
            </w:r>
          </w:p>
        </w:tc>
      </w:tr>
      <w:tr>
        <w:trPr>
          <w:trHeight w:val="322" w:hRule="exact"/>
        </w:trPr>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维护费</w:t>
            </w:r>
          </w:p>
        </w:tc>
        <w:tc>
          <w:tcPr>
            <w:tcW w:w="1702" w:type="dxa"/>
            <w:tcBorders>
              <w:top w:val="nil" w:sz="6" w:space="0" w:color="auto"/>
              <w:left w:val="nil" w:sz="6" w:space="0" w:color="auto"/>
              <w:bottom w:val="nil" w:sz="6" w:space="0" w:color="auto"/>
              <w:right w:val="nil" w:sz="6" w:space="0" w:color="auto"/>
            </w:tcBorders>
          </w:tcPr>
          <w:p>
            <w:pPr/>
          </w:p>
        </w:tc>
        <w:tc>
          <w:tcPr>
            <w:tcW w:w="292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03"/>
              <w:jc w:val="right"/>
              <w:rPr>
                <w:rFonts w:ascii="Times New Roman" w:hAnsi="Times New Roman" w:cs="Times New Roman" w:eastAsia="Times New Roman" w:hint="default"/>
                <w:sz w:val="18"/>
                <w:szCs w:val="18"/>
              </w:rPr>
            </w:pPr>
            <w:r>
              <w:rPr>
                <w:rFonts w:ascii="Times New Roman"/>
                <w:spacing w:val="-1"/>
                <w:sz w:val="18"/>
              </w:rPr>
              <w:t>11,968,194.95</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pacing w:val="-1"/>
                <w:sz w:val="18"/>
              </w:rPr>
              <w:t>1,981,060.00</w:t>
            </w:r>
          </w:p>
        </w:tc>
      </w:tr>
      <w:tr>
        <w:trPr>
          <w:trHeight w:val="322" w:hRule="exact"/>
        </w:trPr>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1702" w:type="dxa"/>
            <w:tcBorders>
              <w:top w:val="nil" w:sz="6" w:space="0" w:color="auto"/>
              <w:left w:val="nil" w:sz="6" w:space="0" w:color="auto"/>
              <w:bottom w:val="nil" w:sz="6" w:space="0" w:color="auto"/>
              <w:right w:val="nil" w:sz="6" w:space="0" w:color="auto"/>
            </w:tcBorders>
          </w:tcPr>
          <w:p>
            <w:pPr/>
          </w:p>
        </w:tc>
        <w:tc>
          <w:tcPr>
            <w:tcW w:w="292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03"/>
              <w:jc w:val="right"/>
              <w:rPr>
                <w:rFonts w:ascii="Times New Roman" w:hAnsi="Times New Roman" w:cs="Times New Roman" w:eastAsia="Times New Roman" w:hint="default"/>
                <w:sz w:val="18"/>
                <w:szCs w:val="18"/>
              </w:rPr>
            </w:pPr>
            <w:r>
              <w:rPr>
                <w:rFonts w:ascii="Times New Roman"/>
                <w:spacing w:val="-1"/>
                <w:sz w:val="18"/>
              </w:rPr>
              <w:t>1,015,713.84</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pacing w:val="-1"/>
                <w:sz w:val="18"/>
              </w:rPr>
              <w:t>1,142,134.42</w:t>
            </w:r>
          </w:p>
        </w:tc>
      </w:tr>
      <w:tr>
        <w:trPr>
          <w:trHeight w:val="322" w:hRule="exact"/>
        </w:trPr>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1702" w:type="dxa"/>
            <w:tcBorders>
              <w:top w:val="nil" w:sz="6" w:space="0" w:color="auto"/>
              <w:left w:val="nil" w:sz="6" w:space="0" w:color="auto"/>
              <w:bottom w:val="nil" w:sz="6" w:space="0" w:color="auto"/>
              <w:right w:val="nil" w:sz="6" w:space="0" w:color="auto"/>
            </w:tcBorders>
          </w:tcPr>
          <w:p>
            <w:pPr/>
          </w:p>
        </w:tc>
        <w:tc>
          <w:tcPr>
            <w:tcW w:w="292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03"/>
              <w:jc w:val="right"/>
              <w:rPr>
                <w:rFonts w:ascii="Times New Roman" w:hAnsi="Times New Roman" w:cs="Times New Roman" w:eastAsia="Times New Roman" w:hint="default"/>
                <w:sz w:val="18"/>
                <w:szCs w:val="18"/>
              </w:rPr>
            </w:pPr>
            <w:r>
              <w:rPr>
                <w:rFonts w:ascii="Times New Roman"/>
                <w:spacing w:val="-1"/>
                <w:sz w:val="18"/>
              </w:rPr>
              <w:t>5,385,304.90</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Times New Roman" w:hAnsi="Times New Roman" w:cs="Times New Roman" w:eastAsia="Times New Roman" w:hint="default"/>
                <w:sz w:val="18"/>
                <w:szCs w:val="18"/>
              </w:rPr>
            </w:pPr>
            <w:r>
              <w:rPr>
                <w:rFonts w:ascii="Times New Roman"/>
                <w:spacing w:val="-1"/>
                <w:sz w:val="18"/>
              </w:rPr>
              <w:t>3,604,389.03</w:t>
            </w:r>
          </w:p>
        </w:tc>
      </w:tr>
      <w:tr>
        <w:trPr>
          <w:trHeight w:val="322" w:hRule="exact"/>
        </w:trPr>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招待费</w:t>
            </w:r>
          </w:p>
        </w:tc>
        <w:tc>
          <w:tcPr>
            <w:tcW w:w="1702" w:type="dxa"/>
            <w:tcBorders>
              <w:top w:val="nil" w:sz="6" w:space="0" w:color="auto"/>
              <w:left w:val="nil" w:sz="6" w:space="0" w:color="auto"/>
              <w:bottom w:val="nil" w:sz="6" w:space="0" w:color="auto"/>
              <w:right w:val="nil" w:sz="6" w:space="0" w:color="auto"/>
            </w:tcBorders>
          </w:tcPr>
          <w:p>
            <w:pPr/>
          </w:p>
        </w:tc>
        <w:tc>
          <w:tcPr>
            <w:tcW w:w="292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03"/>
              <w:jc w:val="right"/>
              <w:rPr>
                <w:rFonts w:ascii="Times New Roman" w:hAnsi="Times New Roman" w:cs="Times New Roman" w:eastAsia="Times New Roman" w:hint="default"/>
                <w:sz w:val="18"/>
                <w:szCs w:val="18"/>
              </w:rPr>
            </w:pPr>
            <w:r>
              <w:rPr>
                <w:rFonts w:ascii="Times New Roman"/>
                <w:spacing w:val="-1"/>
                <w:sz w:val="18"/>
              </w:rPr>
              <w:t>5,788,800.07</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pacing w:val="-1"/>
                <w:sz w:val="18"/>
              </w:rPr>
              <w:t>5,400,103.66</w:t>
            </w:r>
          </w:p>
        </w:tc>
      </w:tr>
      <w:tr>
        <w:trPr>
          <w:trHeight w:val="322" w:hRule="exact"/>
        </w:trPr>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劳务费</w:t>
            </w:r>
          </w:p>
        </w:tc>
        <w:tc>
          <w:tcPr>
            <w:tcW w:w="1702" w:type="dxa"/>
            <w:tcBorders>
              <w:top w:val="nil" w:sz="6" w:space="0" w:color="auto"/>
              <w:left w:val="nil" w:sz="6" w:space="0" w:color="auto"/>
              <w:bottom w:val="nil" w:sz="6" w:space="0" w:color="auto"/>
              <w:right w:val="nil" w:sz="6" w:space="0" w:color="auto"/>
            </w:tcBorders>
          </w:tcPr>
          <w:p>
            <w:pPr/>
          </w:p>
        </w:tc>
        <w:tc>
          <w:tcPr>
            <w:tcW w:w="292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03"/>
              <w:jc w:val="right"/>
              <w:rPr>
                <w:rFonts w:ascii="Times New Roman" w:hAnsi="Times New Roman" w:cs="Times New Roman" w:eastAsia="Times New Roman" w:hint="default"/>
                <w:sz w:val="18"/>
                <w:szCs w:val="18"/>
              </w:rPr>
            </w:pPr>
            <w:r>
              <w:rPr>
                <w:rFonts w:ascii="Times New Roman"/>
                <w:spacing w:val="-1"/>
                <w:sz w:val="18"/>
              </w:rPr>
              <w:t>4,710,875.94</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pacing w:val="-1"/>
                <w:sz w:val="18"/>
              </w:rPr>
              <w:t>2,879,740.51</w:t>
            </w:r>
          </w:p>
        </w:tc>
      </w:tr>
      <w:tr>
        <w:trPr>
          <w:trHeight w:val="338" w:hRule="exact"/>
        </w:trPr>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18"/>
                <w:szCs w:val="18"/>
              </w:rPr>
            </w:pPr>
            <w:r>
              <w:rPr>
                <w:rFonts w:ascii="宋体" w:hAnsi="宋体" w:cs="宋体" w:eastAsia="宋体" w:hint="default"/>
                <w:sz w:val="18"/>
                <w:szCs w:val="18"/>
              </w:rPr>
              <w:t>其它</w:t>
            </w:r>
          </w:p>
        </w:tc>
        <w:tc>
          <w:tcPr>
            <w:tcW w:w="1702" w:type="dxa"/>
            <w:tcBorders>
              <w:top w:val="nil" w:sz="6" w:space="0" w:color="auto"/>
              <w:left w:val="nil" w:sz="6" w:space="0" w:color="auto"/>
              <w:bottom w:val="nil" w:sz="6" w:space="0" w:color="auto"/>
              <w:right w:val="nil" w:sz="6" w:space="0" w:color="auto"/>
            </w:tcBorders>
          </w:tcPr>
          <w:p>
            <w:pPr/>
          </w:p>
        </w:tc>
        <w:tc>
          <w:tcPr>
            <w:tcW w:w="292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03"/>
              <w:jc w:val="right"/>
              <w:rPr>
                <w:rFonts w:ascii="Times New Roman" w:hAnsi="Times New Roman" w:cs="Times New Roman" w:eastAsia="Times New Roman" w:hint="default"/>
                <w:sz w:val="18"/>
                <w:szCs w:val="18"/>
              </w:rPr>
            </w:pPr>
            <w:r>
              <w:rPr>
                <w:rFonts w:ascii="Times New Roman"/>
                <w:spacing w:val="-1"/>
                <w:sz w:val="18"/>
              </w:rPr>
              <w:t>8,295,524.63</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Times New Roman" w:hAnsi="Times New Roman" w:cs="Times New Roman" w:eastAsia="Times New Roman" w:hint="default"/>
                <w:sz w:val="18"/>
                <w:szCs w:val="18"/>
              </w:rPr>
            </w:pPr>
            <w:r>
              <w:rPr>
                <w:rFonts w:ascii="Times New Roman"/>
                <w:spacing w:val="-1"/>
                <w:sz w:val="18"/>
              </w:rPr>
              <w:t>4,990,038.27</w:t>
            </w:r>
          </w:p>
        </w:tc>
      </w:tr>
      <w:tr>
        <w:trPr>
          <w:trHeight w:val="375" w:hRule="exact"/>
        </w:trPr>
        <w:tc>
          <w:tcPr>
            <w:tcW w:w="1140"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27"/>
              <w:ind w:left="2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922"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403"/>
              <w:jc w:val="right"/>
              <w:rPr>
                <w:rFonts w:ascii="Times New Roman" w:hAnsi="Times New Roman" w:cs="Times New Roman" w:eastAsia="Times New Roman" w:hint="default"/>
                <w:sz w:val="18"/>
                <w:szCs w:val="18"/>
              </w:rPr>
            </w:pPr>
            <w:r>
              <w:rPr>
                <w:rFonts w:ascii="Times New Roman"/>
                <w:spacing w:val="-1"/>
                <w:sz w:val="18"/>
              </w:rPr>
              <w:t>81,494,548.73</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pacing w:val="-1"/>
                <w:sz w:val="18"/>
              </w:rPr>
              <w:t>66,035,167.84</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tbl>
      <w:tblPr>
        <w:tblW w:w="0" w:type="auto"/>
        <w:jc w:val="left"/>
        <w:tblInd w:w="110" w:type="dxa"/>
        <w:tblLayout w:type="fixed"/>
        <w:tblCellMar>
          <w:top w:w="0" w:type="dxa"/>
          <w:left w:w="0" w:type="dxa"/>
          <w:bottom w:w="0" w:type="dxa"/>
          <w:right w:w="0" w:type="dxa"/>
        </w:tblCellMar>
        <w:tblLook w:val="01E0"/>
      </w:tblPr>
      <w:tblGrid>
        <w:gridCol w:w="833"/>
        <w:gridCol w:w="1125"/>
        <w:gridCol w:w="1697"/>
        <w:gridCol w:w="2930"/>
        <w:gridCol w:w="1829"/>
      </w:tblGrid>
      <w:tr>
        <w:trPr>
          <w:trHeight w:val="358" w:hRule="exact"/>
        </w:trPr>
        <w:tc>
          <w:tcPr>
            <w:tcW w:w="833"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125"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56" w:right="0"/>
              <w:jc w:val="left"/>
              <w:rPr>
                <w:rFonts w:ascii="宋体" w:hAnsi="宋体" w:cs="宋体" w:eastAsia="宋体" w:hint="default"/>
                <w:sz w:val="21"/>
                <w:szCs w:val="21"/>
              </w:rPr>
            </w:pPr>
            <w:r>
              <w:rPr>
                <w:rFonts w:ascii="宋体" w:hAnsi="宋体" w:cs="宋体" w:eastAsia="宋体" w:hint="default"/>
                <w:b/>
                <w:bCs/>
                <w:sz w:val="21"/>
                <w:szCs w:val="21"/>
              </w:rPr>
              <w:t>管理费用</w:t>
            </w:r>
            <w:r>
              <w:rPr>
                <w:rFonts w:ascii="宋体" w:hAnsi="宋体" w:cs="宋体" w:eastAsia="宋体" w:hint="default"/>
                <w:sz w:val="21"/>
                <w:szCs w:val="21"/>
              </w:rPr>
            </w:r>
          </w:p>
        </w:tc>
        <w:tc>
          <w:tcPr>
            <w:tcW w:w="6456" w:type="dxa"/>
            <w:gridSpan w:val="3"/>
            <w:tcBorders>
              <w:top w:val="nil" w:sz="6" w:space="0" w:color="auto"/>
              <w:left w:val="nil" w:sz="6" w:space="0" w:color="auto"/>
              <w:bottom w:val="single" w:sz="12" w:space="0" w:color="000000"/>
              <w:right w:val="nil" w:sz="6" w:space="0" w:color="auto"/>
            </w:tcBorders>
          </w:tcPr>
          <w:p>
            <w:pPr/>
          </w:p>
        </w:tc>
      </w:tr>
      <w:tr>
        <w:trPr>
          <w:trHeight w:val="379" w:hRule="exact"/>
        </w:trPr>
        <w:tc>
          <w:tcPr>
            <w:tcW w:w="833" w:type="dxa"/>
            <w:tcBorders>
              <w:top w:val="single" w:sz="12" w:space="0" w:color="000000"/>
              <w:left w:val="nil" w:sz="6" w:space="0" w:color="auto"/>
              <w:bottom w:val="nil" w:sz="6" w:space="0" w:color="auto"/>
              <w:right w:val="nil" w:sz="6" w:space="0" w:color="auto"/>
            </w:tcBorders>
          </w:tcPr>
          <w:p>
            <w:pPr/>
          </w:p>
        </w:tc>
        <w:tc>
          <w:tcPr>
            <w:tcW w:w="1125" w:type="dxa"/>
            <w:tcBorders>
              <w:top w:val="single" w:sz="12" w:space="0" w:color="000000"/>
              <w:left w:val="nil" w:sz="6" w:space="0" w:color="auto"/>
              <w:bottom w:val="nil" w:sz="6" w:space="0" w:color="auto"/>
              <w:right w:val="nil" w:sz="6" w:space="0" w:color="auto"/>
            </w:tcBorders>
          </w:tcPr>
          <w:p>
            <w:pPr/>
          </w:p>
        </w:tc>
        <w:tc>
          <w:tcPr>
            <w:tcW w:w="169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0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93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64"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182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05"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41" w:hRule="exact"/>
        </w:trPr>
        <w:tc>
          <w:tcPr>
            <w:tcW w:w="833"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24" w:right="0"/>
              <w:jc w:val="left"/>
              <w:rPr>
                <w:rFonts w:ascii="宋体" w:hAnsi="宋体" w:cs="宋体" w:eastAsia="宋体" w:hint="default"/>
                <w:sz w:val="18"/>
                <w:szCs w:val="18"/>
              </w:rPr>
            </w:pPr>
            <w:r>
              <w:rPr>
                <w:rFonts w:ascii="宋体" w:hAnsi="宋体" w:cs="宋体" w:eastAsia="宋体" w:hint="default"/>
                <w:sz w:val="18"/>
                <w:szCs w:val="18"/>
              </w:rPr>
              <w:t>劳务费</w:t>
            </w:r>
          </w:p>
        </w:tc>
        <w:tc>
          <w:tcPr>
            <w:tcW w:w="1697" w:type="dxa"/>
            <w:tcBorders>
              <w:top w:val="nil" w:sz="6" w:space="0" w:color="auto"/>
              <w:left w:val="nil" w:sz="6" w:space="0" w:color="auto"/>
              <w:bottom w:val="nil" w:sz="6" w:space="0" w:color="auto"/>
              <w:right w:val="nil" w:sz="6" w:space="0" w:color="auto"/>
            </w:tcBorders>
          </w:tcPr>
          <w:p>
            <w:pPr/>
          </w:p>
        </w:tc>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03"/>
              <w:jc w:val="right"/>
              <w:rPr>
                <w:rFonts w:ascii="Times New Roman" w:hAnsi="Times New Roman" w:cs="Times New Roman" w:eastAsia="Times New Roman" w:hint="default"/>
                <w:sz w:val="18"/>
                <w:szCs w:val="18"/>
              </w:rPr>
            </w:pPr>
            <w:r>
              <w:rPr>
                <w:rFonts w:ascii="Times New Roman"/>
                <w:spacing w:val="-1"/>
                <w:sz w:val="18"/>
              </w:rPr>
              <w:t>27,388,556.45</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3"/>
              <w:jc w:val="right"/>
              <w:rPr>
                <w:rFonts w:ascii="Times New Roman" w:hAnsi="Times New Roman" w:cs="Times New Roman" w:eastAsia="Times New Roman" w:hint="default"/>
                <w:sz w:val="18"/>
                <w:szCs w:val="18"/>
              </w:rPr>
            </w:pPr>
            <w:r>
              <w:rPr>
                <w:rFonts w:ascii="Times New Roman"/>
                <w:spacing w:val="-1"/>
                <w:sz w:val="18"/>
              </w:rPr>
              <w:t>20,873,163.37</w:t>
            </w:r>
          </w:p>
        </w:tc>
      </w:tr>
      <w:tr>
        <w:trPr>
          <w:trHeight w:val="322" w:hRule="exact"/>
        </w:trPr>
        <w:tc>
          <w:tcPr>
            <w:tcW w:w="833"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697" w:type="dxa"/>
            <w:tcBorders>
              <w:top w:val="nil" w:sz="6" w:space="0" w:color="auto"/>
              <w:left w:val="nil" w:sz="6" w:space="0" w:color="auto"/>
              <w:bottom w:val="nil" w:sz="6" w:space="0" w:color="auto"/>
              <w:right w:val="nil" w:sz="6" w:space="0" w:color="auto"/>
            </w:tcBorders>
          </w:tcPr>
          <w:p>
            <w:pPr/>
          </w:p>
        </w:tc>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03"/>
              <w:jc w:val="right"/>
              <w:rPr>
                <w:rFonts w:ascii="Times New Roman" w:hAnsi="Times New Roman" w:cs="Times New Roman" w:eastAsia="Times New Roman" w:hint="default"/>
                <w:sz w:val="18"/>
                <w:szCs w:val="18"/>
              </w:rPr>
            </w:pPr>
            <w:r>
              <w:rPr>
                <w:rFonts w:ascii="Times New Roman"/>
                <w:spacing w:val="-1"/>
                <w:sz w:val="18"/>
              </w:rPr>
              <w:t>16,342,393.24</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3"/>
              <w:jc w:val="right"/>
              <w:rPr>
                <w:rFonts w:ascii="Times New Roman" w:hAnsi="Times New Roman" w:cs="Times New Roman" w:eastAsia="Times New Roman" w:hint="default"/>
                <w:sz w:val="18"/>
                <w:szCs w:val="18"/>
              </w:rPr>
            </w:pPr>
            <w:r>
              <w:rPr>
                <w:rFonts w:ascii="Times New Roman"/>
                <w:spacing w:val="-1"/>
                <w:sz w:val="18"/>
              </w:rPr>
              <w:t>17,045,117.56</w:t>
            </w:r>
          </w:p>
        </w:tc>
      </w:tr>
      <w:tr>
        <w:trPr>
          <w:trHeight w:val="322" w:hRule="exact"/>
        </w:trPr>
        <w:tc>
          <w:tcPr>
            <w:tcW w:w="833"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4" w:right="0"/>
              <w:jc w:val="left"/>
              <w:rPr>
                <w:rFonts w:ascii="宋体" w:hAnsi="宋体" w:cs="宋体" w:eastAsia="宋体" w:hint="default"/>
                <w:sz w:val="18"/>
                <w:szCs w:val="18"/>
              </w:rPr>
            </w:pPr>
            <w:r>
              <w:rPr>
                <w:rFonts w:ascii="宋体" w:hAnsi="宋体" w:cs="宋体" w:eastAsia="宋体" w:hint="default"/>
                <w:sz w:val="18"/>
                <w:szCs w:val="18"/>
              </w:rPr>
              <w:t>工资福利费</w:t>
            </w:r>
          </w:p>
        </w:tc>
        <w:tc>
          <w:tcPr>
            <w:tcW w:w="1697" w:type="dxa"/>
            <w:tcBorders>
              <w:top w:val="nil" w:sz="6" w:space="0" w:color="auto"/>
              <w:left w:val="nil" w:sz="6" w:space="0" w:color="auto"/>
              <w:bottom w:val="nil" w:sz="6" w:space="0" w:color="auto"/>
              <w:right w:val="nil" w:sz="6" w:space="0" w:color="auto"/>
            </w:tcBorders>
          </w:tcPr>
          <w:p>
            <w:pPr/>
          </w:p>
        </w:tc>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03"/>
              <w:jc w:val="right"/>
              <w:rPr>
                <w:rFonts w:ascii="Times New Roman" w:hAnsi="Times New Roman" w:cs="Times New Roman" w:eastAsia="Times New Roman" w:hint="default"/>
                <w:sz w:val="18"/>
                <w:szCs w:val="18"/>
              </w:rPr>
            </w:pPr>
            <w:r>
              <w:rPr>
                <w:rFonts w:ascii="Times New Roman"/>
                <w:spacing w:val="-1"/>
                <w:sz w:val="18"/>
              </w:rPr>
              <w:t>11,553,210.78</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10,967,575.32</w:t>
            </w:r>
          </w:p>
        </w:tc>
      </w:tr>
      <w:tr>
        <w:trPr>
          <w:trHeight w:val="322" w:hRule="exact"/>
        </w:trPr>
        <w:tc>
          <w:tcPr>
            <w:tcW w:w="833"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交通费</w:t>
            </w:r>
          </w:p>
        </w:tc>
        <w:tc>
          <w:tcPr>
            <w:tcW w:w="1697" w:type="dxa"/>
            <w:tcBorders>
              <w:top w:val="nil" w:sz="6" w:space="0" w:color="auto"/>
              <w:left w:val="nil" w:sz="6" w:space="0" w:color="auto"/>
              <w:bottom w:val="nil" w:sz="6" w:space="0" w:color="auto"/>
              <w:right w:val="nil" w:sz="6" w:space="0" w:color="auto"/>
            </w:tcBorders>
          </w:tcPr>
          <w:p>
            <w:pPr/>
          </w:p>
        </w:tc>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03"/>
              <w:jc w:val="right"/>
              <w:rPr>
                <w:rFonts w:ascii="Times New Roman" w:hAnsi="Times New Roman" w:cs="Times New Roman" w:eastAsia="Times New Roman" w:hint="default"/>
                <w:sz w:val="18"/>
                <w:szCs w:val="18"/>
              </w:rPr>
            </w:pPr>
            <w:r>
              <w:rPr>
                <w:rFonts w:ascii="Times New Roman"/>
                <w:spacing w:val="-1"/>
                <w:sz w:val="18"/>
              </w:rPr>
              <w:t>4,713,090.94</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3,575,102.34</w:t>
            </w:r>
          </w:p>
        </w:tc>
      </w:tr>
      <w:tr>
        <w:trPr>
          <w:trHeight w:val="322" w:hRule="exact"/>
        </w:trPr>
        <w:tc>
          <w:tcPr>
            <w:tcW w:w="833"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1697" w:type="dxa"/>
            <w:tcBorders>
              <w:top w:val="nil" w:sz="6" w:space="0" w:color="auto"/>
              <w:left w:val="nil" w:sz="6" w:space="0" w:color="auto"/>
              <w:bottom w:val="nil" w:sz="6" w:space="0" w:color="auto"/>
              <w:right w:val="nil" w:sz="6" w:space="0" w:color="auto"/>
            </w:tcBorders>
          </w:tcPr>
          <w:p>
            <w:pPr/>
          </w:p>
        </w:tc>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03"/>
              <w:jc w:val="right"/>
              <w:rPr>
                <w:rFonts w:ascii="Times New Roman" w:hAnsi="Times New Roman" w:cs="Times New Roman" w:eastAsia="Times New Roman" w:hint="default"/>
                <w:sz w:val="18"/>
                <w:szCs w:val="18"/>
              </w:rPr>
            </w:pPr>
            <w:r>
              <w:rPr>
                <w:rFonts w:ascii="Times New Roman"/>
                <w:spacing w:val="-1"/>
                <w:sz w:val="18"/>
              </w:rPr>
              <w:t>5,227,316.39</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2,884,140.89</w:t>
            </w:r>
          </w:p>
        </w:tc>
      </w:tr>
      <w:tr>
        <w:trPr>
          <w:trHeight w:val="322" w:hRule="exact"/>
        </w:trPr>
        <w:tc>
          <w:tcPr>
            <w:tcW w:w="833"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4"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1697" w:type="dxa"/>
            <w:tcBorders>
              <w:top w:val="nil" w:sz="6" w:space="0" w:color="auto"/>
              <w:left w:val="nil" w:sz="6" w:space="0" w:color="auto"/>
              <w:bottom w:val="nil" w:sz="6" w:space="0" w:color="auto"/>
              <w:right w:val="nil" w:sz="6" w:space="0" w:color="auto"/>
            </w:tcBorders>
          </w:tcPr>
          <w:p>
            <w:pPr/>
          </w:p>
        </w:tc>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03"/>
              <w:jc w:val="right"/>
              <w:rPr>
                <w:rFonts w:ascii="Times New Roman" w:hAnsi="Times New Roman" w:cs="Times New Roman" w:eastAsia="Times New Roman" w:hint="default"/>
                <w:sz w:val="18"/>
                <w:szCs w:val="18"/>
              </w:rPr>
            </w:pPr>
            <w:r>
              <w:rPr>
                <w:rFonts w:ascii="Times New Roman"/>
                <w:spacing w:val="-1"/>
                <w:sz w:val="18"/>
              </w:rPr>
              <w:t>3,606,256.76</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2,751,023.16</w:t>
            </w:r>
          </w:p>
        </w:tc>
      </w:tr>
      <w:tr>
        <w:trPr>
          <w:trHeight w:val="328" w:hRule="exact"/>
        </w:trPr>
        <w:tc>
          <w:tcPr>
            <w:tcW w:w="833" w:type="dxa"/>
            <w:tcBorders>
              <w:top w:val="nil" w:sz="6" w:space="0" w:color="auto"/>
              <w:left w:val="nil" w:sz="6" w:space="0" w:color="auto"/>
              <w:bottom w:val="single" w:sz="12" w:space="0" w:color="000000"/>
              <w:right w:val="nil" w:sz="6" w:space="0" w:color="auto"/>
            </w:tcBorders>
          </w:tcPr>
          <w:p>
            <w:pPr/>
          </w:p>
        </w:tc>
        <w:tc>
          <w:tcPr>
            <w:tcW w:w="1125"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招待费</w:t>
            </w:r>
          </w:p>
        </w:tc>
        <w:tc>
          <w:tcPr>
            <w:tcW w:w="1697" w:type="dxa"/>
            <w:tcBorders>
              <w:top w:val="nil" w:sz="6" w:space="0" w:color="auto"/>
              <w:left w:val="nil" w:sz="6" w:space="0" w:color="auto"/>
              <w:bottom w:val="single" w:sz="12" w:space="0" w:color="000000"/>
              <w:right w:val="nil" w:sz="6" w:space="0" w:color="auto"/>
            </w:tcBorders>
          </w:tcPr>
          <w:p>
            <w:pPr/>
          </w:p>
        </w:tc>
        <w:tc>
          <w:tcPr>
            <w:tcW w:w="2930"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403"/>
              <w:jc w:val="right"/>
              <w:rPr>
                <w:rFonts w:ascii="Times New Roman" w:hAnsi="Times New Roman" w:cs="Times New Roman" w:eastAsia="Times New Roman" w:hint="default"/>
                <w:sz w:val="18"/>
                <w:szCs w:val="18"/>
              </w:rPr>
            </w:pPr>
            <w:r>
              <w:rPr>
                <w:rFonts w:ascii="Times New Roman"/>
                <w:spacing w:val="-1"/>
                <w:sz w:val="18"/>
              </w:rPr>
              <w:t>1,354,210.23</w:t>
            </w:r>
          </w:p>
        </w:tc>
        <w:tc>
          <w:tcPr>
            <w:tcW w:w="1829"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1,637,062.96</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256" w:top="1060" w:bottom="1440" w:left="1640" w:right="1600"/>
        </w:sectPr>
      </w:pPr>
    </w:p>
    <w:p>
      <w:pPr>
        <w:spacing w:line="240" w:lineRule="auto" w:before="8"/>
        <w:rPr>
          <w:rFonts w:ascii="宋体" w:hAnsi="宋体" w:cs="宋体" w:eastAsia="宋体" w:hint="default"/>
          <w:b/>
          <w:bCs/>
          <w:sz w:val="29"/>
          <w:szCs w:val="29"/>
        </w:rPr>
      </w:pPr>
      <w:r>
        <w:rPr/>
        <w:pict>
          <v:group style="position:absolute;margin-left:119.040001pt;margin-top:72.059998pt;width:390.6pt;height:116.8pt;mso-position-horizontal-relative:page;mso-position-vertical-relative:page;z-index:-809728" coordorigin="2381,1441" coordsize="7812,2336">
            <v:shape style="position:absolute;left:5736;top:1441;width:2335;height:370" type="#_x0000_t75" stroked="false">
              <v:imagedata r:id="rId252" o:title=""/>
            </v:shape>
            <v:shape style="position:absolute;left:2381;top:1753;width:7812;height:2023" type="#_x0000_t75" stroked="false">
              <v:imagedata r:id="rId253" o:title=""/>
            </v:shape>
            <w10:wrap type="none"/>
          </v:group>
        </w:pict>
      </w:r>
    </w:p>
    <w:tbl>
      <w:tblPr>
        <w:tblW w:w="0" w:type="auto"/>
        <w:jc w:val="left"/>
        <w:tblInd w:w="769" w:type="dxa"/>
        <w:tblLayout w:type="fixed"/>
        <w:tblCellMar>
          <w:top w:w="0" w:type="dxa"/>
          <w:left w:w="0" w:type="dxa"/>
          <w:bottom w:w="0" w:type="dxa"/>
          <w:right w:w="0" w:type="dxa"/>
        </w:tblCellMar>
        <w:tblLook w:val="01E0"/>
      </w:tblPr>
      <w:tblGrid>
        <w:gridCol w:w="1298"/>
        <w:gridCol w:w="1873"/>
        <w:gridCol w:w="2895"/>
        <w:gridCol w:w="1688"/>
      </w:tblGrid>
      <w:tr>
        <w:trPr>
          <w:trHeight w:val="336" w:hRule="exact"/>
        </w:trPr>
        <w:tc>
          <w:tcPr>
            <w:tcW w:w="1298"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97" w:right="0"/>
              <w:jc w:val="left"/>
              <w:rPr>
                <w:rFonts w:ascii="宋体" w:hAnsi="宋体" w:cs="宋体" w:eastAsia="宋体" w:hint="default"/>
                <w:sz w:val="18"/>
                <w:szCs w:val="18"/>
              </w:rPr>
            </w:pPr>
            <w:r>
              <w:rPr>
                <w:rFonts w:ascii="宋体" w:hAnsi="宋体" w:cs="宋体" w:eastAsia="宋体" w:hint="default"/>
                <w:sz w:val="18"/>
                <w:szCs w:val="18"/>
              </w:rPr>
              <w:t>咨询费</w:t>
            </w:r>
          </w:p>
        </w:tc>
        <w:tc>
          <w:tcPr>
            <w:tcW w:w="1873" w:type="dxa"/>
            <w:tcBorders>
              <w:top w:val="single" w:sz="12" w:space="0" w:color="000000"/>
              <w:left w:val="nil" w:sz="6" w:space="0" w:color="auto"/>
              <w:bottom w:val="nil" w:sz="6" w:space="0" w:color="auto"/>
              <w:right w:val="nil" w:sz="6" w:space="0" w:color="auto"/>
            </w:tcBorders>
          </w:tcPr>
          <w:p>
            <w:pPr/>
          </w:p>
        </w:tc>
        <w:tc>
          <w:tcPr>
            <w:tcW w:w="2895"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right="544"/>
              <w:jc w:val="right"/>
              <w:rPr>
                <w:rFonts w:ascii="Times New Roman" w:hAnsi="Times New Roman" w:cs="Times New Roman" w:eastAsia="Times New Roman" w:hint="default"/>
                <w:sz w:val="18"/>
                <w:szCs w:val="18"/>
              </w:rPr>
            </w:pPr>
            <w:r>
              <w:rPr>
                <w:rFonts w:ascii="Times New Roman"/>
                <w:spacing w:val="-1"/>
                <w:sz w:val="18"/>
              </w:rPr>
              <w:t>3,861,902.95</w:t>
            </w:r>
          </w:p>
        </w:tc>
        <w:tc>
          <w:tcPr>
            <w:tcW w:w="1688" w:type="dxa"/>
            <w:tcBorders>
              <w:top w:val="single" w:sz="12" w:space="0" w:color="000000"/>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2,424,940.00</w:t>
            </w:r>
          </w:p>
        </w:tc>
      </w:tr>
      <w:tr>
        <w:trPr>
          <w:trHeight w:val="322" w:hRule="exact"/>
        </w:trPr>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7" w:right="0"/>
              <w:jc w:val="left"/>
              <w:rPr>
                <w:rFonts w:ascii="宋体" w:hAnsi="宋体" w:cs="宋体" w:eastAsia="宋体" w:hint="default"/>
                <w:sz w:val="18"/>
                <w:szCs w:val="18"/>
              </w:rPr>
            </w:pPr>
            <w:r>
              <w:rPr>
                <w:rFonts w:ascii="宋体" w:hAnsi="宋体" w:cs="宋体" w:eastAsia="宋体" w:hint="default"/>
                <w:sz w:val="18"/>
                <w:szCs w:val="18"/>
              </w:rPr>
              <w:t>股权激励费</w:t>
            </w:r>
          </w:p>
        </w:tc>
        <w:tc>
          <w:tcPr>
            <w:tcW w:w="1873" w:type="dxa"/>
            <w:tcBorders>
              <w:top w:val="nil" w:sz="6" w:space="0" w:color="auto"/>
              <w:left w:val="nil" w:sz="6" w:space="0" w:color="auto"/>
              <w:bottom w:val="nil" w:sz="6" w:space="0" w:color="auto"/>
              <w:right w:val="nil" w:sz="6" w:space="0" w:color="auto"/>
            </w:tcBorders>
          </w:tcPr>
          <w:p>
            <w:pP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545"/>
              <w:jc w:val="right"/>
              <w:rPr>
                <w:rFonts w:ascii="Times New Roman" w:hAnsi="Times New Roman" w:cs="Times New Roman" w:eastAsia="Times New Roman" w:hint="default"/>
                <w:sz w:val="18"/>
                <w:szCs w:val="18"/>
              </w:rPr>
            </w:pPr>
            <w:r>
              <w:rPr>
                <w:rFonts w:ascii="Times New Roman"/>
                <w:spacing w:val="-1"/>
                <w:sz w:val="18"/>
              </w:rPr>
              <w:t>2,532,530.11</w:t>
            </w:r>
          </w:p>
        </w:tc>
        <w:tc>
          <w:tcPr>
            <w:tcW w:w="1688" w:type="dxa"/>
            <w:tcBorders>
              <w:top w:val="nil" w:sz="6" w:space="0" w:color="auto"/>
              <w:left w:val="nil" w:sz="6" w:space="0" w:color="auto"/>
              <w:bottom w:val="nil" w:sz="6" w:space="0" w:color="auto"/>
              <w:right w:val="nil" w:sz="6" w:space="0" w:color="auto"/>
            </w:tcBorders>
          </w:tcPr>
          <w:p>
            <w:pPr/>
          </w:p>
        </w:tc>
      </w:tr>
      <w:tr>
        <w:trPr>
          <w:trHeight w:val="322" w:hRule="exact"/>
        </w:trPr>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97"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1873" w:type="dxa"/>
            <w:tcBorders>
              <w:top w:val="nil" w:sz="6" w:space="0" w:color="auto"/>
              <w:left w:val="nil" w:sz="6" w:space="0" w:color="auto"/>
              <w:bottom w:val="nil" w:sz="6" w:space="0" w:color="auto"/>
              <w:right w:val="nil" w:sz="6" w:space="0" w:color="auto"/>
            </w:tcBorders>
          </w:tcPr>
          <w:p>
            <w:pP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544"/>
              <w:jc w:val="right"/>
              <w:rPr>
                <w:rFonts w:ascii="Times New Roman" w:hAnsi="Times New Roman" w:cs="Times New Roman" w:eastAsia="Times New Roman" w:hint="default"/>
                <w:sz w:val="18"/>
                <w:szCs w:val="18"/>
              </w:rPr>
            </w:pPr>
            <w:r>
              <w:rPr>
                <w:rFonts w:ascii="Times New Roman"/>
                <w:spacing w:val="-1"/>
                <w:sz w:val="18"/>
              </w:rPr>
              <w:t>1,968,269.47</w:t>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1,518,931.09</w:t>
            </w:r>
          </w:p>
        </w:tc>
      </w:tr>
      <w:tr>
        <w:trPr>
          <w:trHeight w:val="322" w:hRule="exact"/>
        </w:trPr>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7"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1873" w:type="dxa"/>
            <w:tcBorders>
              <w:top w:val="nil" w:sz="6" w:space="0" w:color="auto"/>
              <w:left w:val="nil" w:sz="6" w:space="0" w:color="auto"/>
              <w:bottom w:val="nil" w:sz="6" w:space="0" w:color="auto"/>
              <w:right w:val="nil" w:sz="6" w:space="0" w:color="auto"/>
            </w:tcBorders>
          </w:tcPr>
          <w:p>
            <w:pP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544"/>
              <w:jc w:val="right"/>
              <w:rPr>
                <w:rFonts w:ascii="Times New Roman" w:hAnsi="Times New Roman" w:cs="Times New Roman" w:eastAsia="Times New Roman" w:hint="default"/>
                <w:sz w:val="18"/>
                <w:szCs w:val="18"/>
              </w:rPr>
            </w:pPr>
            <w:r>
              <w:rPr>
                <w:rFonts w:ascii="Times New Roman"/>
                <w:spacing w:val="-1"/>
                <w:sz w:val="18"/>
              </w:rPr>
              <w:t>2,002,377.30</w:t>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3"/>
              <w:jc w:val="right"/>
              <w:rPr>
                <w:rFonts w:ascii="Times New Roman" w:hAnsi="Times New Roman" w:cs="Times New Roman" w:eastAsia="Times New Roman" w:hint="default"/>
                <w:sz w:val="18"/>
                <w:szCs w:val="18"/>
              </w:rPr>
            </w:pPr>
            <w:r>
              <w:rPr>
                <w:rFonts w:ascii="Times New Roman"/>
                <w:spacing w:val="-1"/>
                <w:sz w:val="18"/>
              </w:rPr>
              <w:t>2,014,411.14</w:t>
            </w:r>
          </w:p>
        </w:tc>
      </w:tr>
      <w:tr>
        <w:trPr>
          <w:trHeight w:val="322" w:hRule="exact"/>
        </w:trPr>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7"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1873" w:type="dxa"/>
            <w:tcBorders>
              <w:top w:val="nil" w:sz="6" w:space="0" w:color="auto"/>
              <w:left w:val="nil" w:sz="6" w:space="0" w:color="auto"/>
              <w:bottom w:val="nil" w:sz="6" w:space="0" w:color="auto"/>
              <w:right w:val="nil" w:sz="6" w:space="0" w:color="auto"/>
            </w:tcBorders>
          </w:tcPr>
          <w:p>
            <w:pP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544"/>
              <w:jc w:val="right"/>
              <w:rPr>
                <w:rFonts w:ascii="Times New Roman" w:hAnsi="Times New Roman" w:cs="Times New Roman" w:eastAsia="Times New Roman" w:hint="default"/>
                <w:sz w:val="18"/>
                <w:szCs w:val="18"/>
              </w:rPr>
            </w:pPr>
            <w:r>
              <w:rPr>
                <w:rFonts w:ascii="Times New Roman"/>
                <w:spacing w:val="-1"/>
                <w:sz w:val="18"/>
              </w:rPr>
              <w:t>1,539,695.23</w:t>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1,022,676.89</w:t>
            </w:r>
          </w:p>
        </w:tc>
      </w:tr>
      <w:tr>
        <w:trPr>
          <w:trHeight w:val="338" w:hRule="exact"/>
        </w:trPr>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97" w:right="0"/>
              <w:jc w:val="left"/>
              <w:rPr>
                <w:rFonts w:ascii="宋体" w:hAnsi="宋体" w:cs="宋体" w:eastAsia="宋体" w:hint="default"/>
                <w:sz w:val="18"/>
                <w:szCs w:val="18"/>
              </w:rPr>
            </w:pPr>
            <w:r>
              <w:rPr>
                <w:rFonts w:ascii="宋体" w:hAnsi="宋体" w:cs="宋体" w:eastAsia="宋体" w:hint="default"/>
                <w:sz w:val="18"/>
                <w:szCs w:val="18"/>
              </w:rPr>
              <w:t>其它</w:t>
            </w:r>
          </w:p>
        </w:tc>
        <w:tc>
          <w:tcPr>
            <w:tcW w:w="1873" w:type="dxa"/>
            <w:tcBorders>
              <w:top w:val="nil" w:sz="6" w:space="0" w:color="auto"/>
              <w:left w:val="nil" w:sz="6" w:space="0" w:color="auto"/>
              <w:bottom w:val="nil" w:sz="6" w:space="0" w:color="auto"/>
              <w:right w:val="nil" w:sz="6" w:space="0" w:color="auto"/>
            </w:tcBorders>
          </w:tcPr>
          <w:p>
            <w:pPr/>
          </w:p>
        </w:tc>
        <w:tc>
          <w:tcPr>
            <w:tcW w:w="289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544"/>
              <w:jc w:val="right"/>
              <w:rPr>
                <w:rFonts w:ascii="Times New Roman" w:hAnsi="Times New Roman" w:cs="Times New Roman" w:eastAsia="Times New Roman" w:hint="default"/>
                <w:sz w:val="18"/>
                <w:szCs w:val="18"/>
              </w:rPr>
            </w:pPr>
            <w:r>
              <w:rPr>
                <w:rFonts w:ascii="Times New Roman"/>
                <w:spacing w:val="-1"/>
                <w:sz w:val="18"/>
              </w:rPr>
              <w:t>9,480,859.06</w:t>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6,763,842.34</w:t>
            </w:r>
          </w:p>
        </w:tc>
      </w:tr>
      <w:tr>
        <w:trPr>
          <w:trHeight w:val="375" w:hRule="exact"/>
        </w:trPr>
        <w:tc>
          <w:tcPr>
            <w:tcW w:w="1298" w:type="dxa"/>
            <w:tcBorders>
              <w:top w:val="nil" w:sz="6" w:space="0" w:color="auto"/>
              <w:left w:val="nil" w:sz="6" w:space="0" w:color="auto"/>
              <w:bottom w:val="single" w:sz="12" w:space="0" w:color="000000"/>
              <w:right w:val="nil" w:sz="6" w:space="0" w:color="auto"/>
            </w:tcBorders>
          </w:tcPr>
          <w:p>
            <w:pPr/>
          </w:p>
        </w:tc>
        <w:tc>
          <w:tcPr>
            <w:tcW w:w="1873"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left="20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895"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right="544"/>
              <w:jc w:val="right"/>
              <w:rPr>
                <w:rFonts w:ascii="Times New Roman" w:hAnsi="Times New Roman" w:cs="Times New Roman" w:eastAsia="Times New Roman" w:hint="default"/>
                <w:sz w:val="18"/>
                <w:szCs w:val="18"/>
              </w:rPr>
            </w:pPr>
            <w:r>
              <w:rPr>
                <w:rFonts w:ascii="Times New Roman"/>
                <w:spacing w:val="-1"/>
                <w:sz w:val="18"/>
              </w:rPr>
              <w:t>91,570,668.91</w:t>
            </w:r>
          </w:p>
        </w:tc>
        <w:tc>
          <w:tcPr>
            <w:tcW w:w="1688"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103"/>
              <w:jc w:val="right"/>
              <w:rPr>
                <w:rFonts w:ascii="Times New Roman" w:hAnsi="Times New Roman" w:cs="Times New Roman" w:eastAsia="Times New Roman" w:hint="default"/>
                <w:sz w:val="18"/>
                <w:szCs w:val="18"/>
              </w:rPr>
            </w:pPr>
            <w:r>
              <w:rPr>
                <w:rFonts w:ascii="Times New Roman"/>
                <w:spacing w:val="-1"/>
                <w:sz w:val="18"/>
              </w:rPr>
              <w:t>73,477,987.06</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tbl>
      <w:tblPr>
        <w:tblW w:w="0" w:type="auto"/>
        <w:jc w:val="left"/>
        <w:tblInd w:w="110" w:type="dxa"/>
        <w:tblLayout w:type="fixed"/>
        <w:tblCellMar>
          <w:top w:w="0" w:type="dxa"/>
          <w:left w:w="0" w:type="dxa"/>
          <w:bottom w:w="0" w:type="dxa"/>
          <w:right w:w="0" w:type="dxa"/>
        </w:tblCellMar>
        <w:tblLook w:val="01E0"/>
      </w:tblPr>
      <w:tblGrid>
        <w:gridCol w:w="2092"/>
        <w:gridCol w:w="1562"/>
        <w:gridCol w:w="2930"/>
        <w:gridCol w:w="1829"/>
      </w:tblGrid>
      <w:tr>
        <w:trPr>
          <w:trHeight w:val="358" w:hRule="exact"/>
        </w:trPr>
        <w:tc>
          <w:tcPr>
            <w:tcW w:w="2092"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三十三</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财务费用</w:t>
            </w:r>
            <w:r>
              <w:rPr>
                <w:rFonts w:ascii="宋体" w:hAnsi="宋体" w:cs="宋体" w:eastAsia="宋体" w:hint="default"/>
                <w:sz w:val="21"/>
                <w:szCs w:val="21"/>
              </w:rPr>
            </w:r>
          </w:p>
        </w:tc>
        <w:tc>
          <w:tcPr>
            <w:tcW w:w="6321" w:type="dxa"/>
            <w:gridSpan w:val="3"/>
            <w:tcBorders>
              <w:top w:val="nil" w:sz="6" w:space="0" w:color="auto"/>
              <w:left w:val="nil" w:sz="6" w:space="0" w:color="auto"/>
              <w:bottom w:val="single" w:sz="12" w:space="0" w:color="000000"/>
              <w:right w:val="nil" w:sz="6" w:space="0" w:color="auto"/>
            </w:tcBorders>
          </w:tcPr>
          <w:p>
            <w:pPr/>
          </w:p>
        </w:tc>
      </w:tr>
      <w:tr>
        <w:trPr>
          <w:trHeight w:val="394" w:hRule="exact"/>
        </w:trPr>
        <w:tc>
          <w:tcPr>
            <w:tcW w:w="2092" w:type="dxa"/>
            <w:tcBorders>
              <w:top w:val="single" w:sz="12" w:space="0" w:color="000000"/>
              <w:left w:val="nil" w:sz="6" w:space="0" w:color="auto"/>
              <w:bottom w:val="nil" w:sz="6" w:space="0" w:color="auto"/>
              <w:right w:val="nil" w:sz="6" w:space="0" w:color="auto"/>
            </w:tcBorders>
          </w:tcPr>
          <w:p>
            <w:pPr/>
          </w:p>
        </w:tc>
        <w:tc>
          <w:tcPr>
            <w:tcW w:w="156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65" w:right="0"/>
              <w:jc w:val="left"/>
              <w:rPr>
                <w:rFonts w:ascii="宋体" w:hAnsi="宋体" w:cs="宋体" w:eastAsia="宋体" w:hint="default"/>
                <w:sz w:val="18"/>
                <w:szCs w:val="18"/>
              </w:rPr>
            </w:pPr>
            <w:r>
              <w:rPr>
                <w:rFonts w:ascii="宋体" w:hAnsi="宋体" w:cs="宋体" w:eastAsia="宋体" w:hint="default"/>
                <w:sz w:val="18"/>
                <w:szCs w:val="18"/>
              </w:rPr>
              <w:t>类别</w:t>
            </w:r>
          </w:p>
        </w:tc>
        <w:tc>
          <w:tcPr>
            <w:tcW w:w="293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64"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182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05"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88" w:hRule="exact"/>
        </w:trPr>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46"/>
              <w:ind w:left="767"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562" w:type="dxa"/>
            <w:tcBorders>
              <w:top w:val="nil" w:sz="6" w:space="0" w:color="auto"/>
              <w:left w:val="nil" w:sz="6" w:space="0" w:color="auto"/>
              <w:bottom w:val="nil" w:sz="6" w:space="0" w:color="auto"/>
              <w:right w:val="nil" w:sz="6" w:space="0" w:color="auto"/>
            </w:tcBorders>
          </w:tcPr>
          <w:p>
            <w:pPr/>
          </w:p>
        </w:tc>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03"/>
              <w:jc w:val="right"/>
              <w:rPr>
                <w:rFonts w:ascii="Times New Roman" w:hAnsi="Times New Roman" w:cs="Times New Roman" w:eastAsia="Times New Roman" w:hint="default"/>
                <w:sz w:val="18"/>
                <w:szCs w:val="18"/>
              </w:rPr>
            </w:pPr>
            <w:r>
              <w:rPr>
                <w:rFonts w:ascii="Times New Roman"/>
                <w:spacing w:val="-1"/>
                <w:sz w:val="18"/>
              </w:rPr>
              <w:t>7,292,340.45</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3"/>
              <w:jc w:val="right"/>
              <w:rPr>
                <w:rFonts w:ascii="Times New Roman" w:hAnsi="Times New Roman" w:cs="Times New Roman" w:eastAsia="Times New Roman" w:hint="default"/>
                <w:sz w:val="18"/>
                <w:szCs w:val="18"/>
              </w:rPr>
            </w:pPr>
            <w:r>
              <w:rPr>
                <w:rFonts w:ascii="Times New Roman"/>
                <w:spacing w:val="-1"/>
                <w:sz w:val="18"/>
              </w:rPr>
              <w:t>2,240,228.67</w:t>
            </w:r>
          </w:p>
        </w:tc>
      </w:tr>
      <w:tr>
        <w:trPr>
          <w:trHeight w:val="385" w:hRule="exact"/>
        </w:trPr>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947"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1562" w:type="dxa"/>
            <w:tcBorders>
              <w:top w:val="nil" w:sz="6" w:space="0" w:color="auto"/>
              <w:left w:val="nil" w:sz="6" w:space="0" w:color="auto"/>
              <w:bottom w:val="nil" w:sz="6" w:space="0" w:color="auto"/>
              <w:right w:val="nil" w:sz="6" w:space="0" w:color="auto"/>
            </w:tcBorders>
          </w:tcPr>
          <w:p>
            <w:pPr/>
          </w:p>
        </w:tc>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3"/>
              <w:jc w:val="right"/>
              <w:rPr>
                <w:rFonts w:ascii="Times New Roman" w:hAnsi="Times New Roman" w:cs="Times New Roman" w:eastAsia="Times New Roman" w:hint="default"/>
                <w:sz w:val="18"/>
                <w:szCs w:val="18"/>
              </w:rPr>
            </w:pPr>
            <w:r>
              <w:rPr>
                <w:rFonts w:ascii="Times New Roman"/>
                <w:sz w:val="18"/>
              </w:rPr>
              <w:t>903,363.61</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3"/>
              <w:jc w:val="right"/>
              <w:rPr>
                <w:rFonts w:ascii="Times New Roman" w:hAnsi="Times New Roman" w:cs="Times New Roman" w:eastAsia="Times New Roman" w:hint="default"/>
                <w:sz w:val="18"/>
                <w:szCs w:val="18"/>
              </w:rPr>
            </w:pPr>
            <w:r>
              <w:rPr>
                <w:rFonts w:ascii="Times New Roman"/>
                <w:spacing w:val="-1"/>
                <w:sz w:val="18"/>
              </w:rPr>
              <w:t>3,765,808.65</w:t>
            </w:r>
          </w:p>
        </w:tc>
      </w:tr>
      <w:tr>
        <w:trPr>
          <w:trHeight w:val="385" w:hRule="exact"/>
        </w:trPr>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767"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1562" w:type="dxa"/>
            <w:tcBorders>
              <w:top w:val="nil" w:sz="6" w:space="0" w:color="auto"/>
              <w:left w:val="nil" w:sz="6" w:space="0" w:color="auto"/>
              <w:bottom w:val="nil" w:sz="6" w:space="0" w:color="auto"/>
              <w:right w:val="nil" w:sz="6" w:space="0" w:color="auto"/>
            </w:tcBorders>
          </w:tcPr>
          <w:p>
            <w:pPr/>
          </w:p>
        </w:tc>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03"/>
              <w:jc w:val="right"/>
              <w:rPr>
                <w:rFonts w:ascii="Times New Roman" w:hAnsi="Times New Roman" w:cs="Times New Roman" w:eastAsia="Times New Roman" w:hint="default"/>
                <w:sz w:val="18"/>
                <w:szCs w:val="18"/>
              </w:rPr>
            </w:pPr>
            <w:r>
              <w:rPr>
                <w:rFonts w:ascii="Times New Roman"/>
                <w:sz w:val="18"/>
              </w:rPr>
              <w:t>-998,184.02</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z w:val="18"/>
              </w:rPr>
              <w:t>92,533.27</w:t>
            </w:r>
          </w:p>
        </w:tc>
      </w:tr>
      <w:tr>
        <w:trPr>
          <w:trHeight w:val="384" w:hRule="exact"/>
        </w:trPr>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96"/>
              <w:jc w:val="center"/>
              <w:rPr>
                <w:rFonts w:ascii="宋体" w:hAnsi="宋体" w:cs="宋体" w:eastAsia="宋体" w:hint="default"/>
                <w:sz w:val="18"/>
                <w:szCs w:val="18"/>
              </w:rPr>
            </w:pPr>
            <w:r>
              <w:rPr>
                <w:rFonts w:ascii="宋体" w:hAnsi="宋体" w:cs="宋体" w:eastAsia="宋体" w:hint="default"/>
                <w:sz w:val="18"/>
                <w:szCs w:val="18"/>
              </w:rPr>
              <w:t>其他</w:t>
            </w:r>
          </w:p>
        </w:tc>
        <w:tc>
          <w:tcPr>
            <w:tcW w:w="1562" w:type="dxa"/>
            <w:tcBorders>
              <w:top w:val="nil" w:sz="6" w:space="0" w:color="auto"/>
              <w:left w:val="nil" w:sz="6" w:space="0" w:color="auto"/>
              <w:bottom w:val="nil" w:sz="6" w:space="0" w:color="auto"/>
              <w:right w:val="nil" w:sz="6" w:space="0" w:color="auto"/>
            </w:tcBorders>
          </w:tcPr>
          <w:p>
            <w:pPr/>
          </w:p>
        </w:tc>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3"/>
              <w:jc w:val="right"/>
              <w:rPr>
                <w:rFonts w:ascii="Times New Roman" w:hAnsi="Times New Roman" w:cs="Times New Roman" w:eastAsia="Times New Roman" w:hint="default"/>
                <w:sz w:val="18"/>
                <w:szCs w:val="18"/>
              </w:rPr>
            </w:pPr>
            <w:r>
              <w:rPr>
                <w:rFonts w:ascii="Times New Roman"/>
                <w:spacing w:val="-1"/>
                <w:sz w:val="18"/>
              </w:rPr>
              <w:t>1,773,589.30</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3"/>
              <w:jc w:val="right"/>
              <w:rPr>
                <w:rFonts w:ascii="Times New Roman" w:hAnsi="Times New Roman" w:cs="Times New Roman" w:eastAsia="Times New Roman" w:hint="default"/>
                <w:sz w:val="18"/>
                <w:szCs w:val="18"/>
              </w:rPr>
            </w:pPr>
            <w:r>
              <w:rPr>
                <w:rFonts w:ascii="Times New Roman"/>
                <w:sz w:val="18"/>
              </w:rPr>
              <w:t>700,402.94</w:t>
            </w:r>
          </w:p>
        </w:tc>
      </w:tr>
      <w:tr>
        <w:trPr>
          <w:trHeight w:val="390" w:hRule="exact"/>
        </w:trPr>
        <w:tc>
          <w:tcPr>
            <w:tcW w:w="2092" w:type="dxa"/>
            <w:tcBorders>
              <w:top w:val="nil" w:sz="6" w:space="0" w:color="auto"/>
              <w:left w:val="nil" w:sz="6" w:space="0" w:color="auto"/>
              <w:bottom w:val="single" w:sz="12" w:space="0" w:color="000000"/>
              <w:right w:val="nil" w:sz="6" w:space="0" w:color="auto"/>
            </w:tcBorders>
          </w:tcPr>
          <w:p>
            <w:pPr/>
          </w:p>
        </w:tc>
        <w:tc>
          <w:tcPr>
            <w:tcW w:w="1562"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6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930"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403"/>
              <w:jc w:val="right"/>
              <w:rPr>
                <w:rFonts w:ascii="Times New Roman" w:hAnsi="Times New Roman" w:cs="Times New Roman" w:eastAsia="Times New Roman" w:hint="default"/>
                <w:sz w:val="18"/>
                <w:szCs w:val="18"/>
              </w:rPr>
            </w:pPr>
            <w:r>
              <w:rPr>
                <w:rFonts w:ascii="Times New Roman"/>
                <w:spacing w:val="-1"/>
                <w:sz w:val="18"/>
              </w:rPr>
              <w:t>7,164,382.12</w:t>
            </w:r>
          </w:p>
        </w:tc>
        <w:tc>
          <w:tcPr>
            <w:tcW w:w="1829"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3"/>
              <w:jc w:val="right"/>
              <w:rPr>
                <w:rFonts w:ascii="Times New Roman" w:hAnsi="Times New Roman" w:cs="Times New Roman" w:eastAsia="Times New Roman" w:hint="default"/>
                <w:sz w:val="18"/>
                <w:szCs w:val="18"/>
              </w:rPr>
            </w:pPr>
            <w:r>
              <w:rPr>
                <w:rFonts w:ascii="Times New Roman"/>
                <w:w w:val="95"/>
                <w:sz w:val="18"/>
              </w:rPr>
              <w:t>-732,643.77</w:t>
            </w:r>
            <w:r>
              <w:rPr>
                <w:rFonts w:ascii="Times New Roman"/>
                <w:sz w:val="18"/>
              </w:rPr>
            </w:r>
          </w:p>
        </w:tc>
      </w:tr>
    </w:tbl>
    <w:p>
      <w:pPr>
        <w:spacing w:line="240" w:lineRule="auto" w:before="4"/>
        <w:rPr>
          <w:rFonts w:ascii="宋体" w:hAnsi="宋体" w:cs="宋体" w:eastAsia="宋体" w:hint="default"/>
          <w:b/>
          <w:bCs/>
          <w:sz w:val="29"/>
          <w:szCs w:val="29"/>
        </w:rPr>
      </w:pPr>
    </w:p>
    <w:p>
      <w:pPr>
        <w:spacing w:before="35"/>
        <w:ind w:left="145" w:right="2389" w:firstLine="0"/>
        <w:jc w:val="left"/>
        <w:rPr>
          <w:rFonts w:ascii="宋体" w:hAnsi="宋体" w:cs="宋体" w:eastAsia="宋体" w:hint="default"/>
          <w:sz w:val="21"/>
          <w:szCs w:val="21"/>
        </w:rPr>
      </w:pPr>
      <w:r>
        <w:rPr/>
        <w:pict>
          <v:group style="position:absolute;margin-left:119.040001pt;margin-top:-137.666321pt;width:390.6pt;height:116.25pt;mso-position-horizontal-relative:page;mso-position-vertical-relative:paragraph;z-index:-809704" coordorigin="2381,-2753" coordsize="7812,2325">
            <v:shape style="position:absolute;left:5736;top:-2753;width:2335;height:432" type="#_x0000_t75" stroked="false">
              <v:imagedata r:id="rId254" o:title=""/>
            </v:shape>
            <v:shape style="position:absolute;left:2381;top:-2379;width:7812;height:1950" type="#_x0000_t75" stroked="false">
              <v:imagedata r:id="rId255"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投资收益</w:t>
      </w:r>
      <w:r>
        <w:rPr>
          <w:rFonts w:ascii="宋体" w:hAnsi="宋体" w:cs="宋体" w:eastAsia="宋体" w:hint="default"/>
          <w:sz w:val="21"/>
          <w:szCs w:val="21"/>
        </w:rPr>
      </w:r>
    </w:p>
    <w:p>
      <w:pPr>
        <w:tabs>
          <w:tab w:pos="1416" w:val="left" w:leader="none"/>
        </w:tabs>
        <w:spacing w:before="49"/>
        <w:ind w:left="877" w:right="238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投资收益明细情况</w:t>
      </w:r>
      <w:r>
        <w:rPr>
          <w:rFonts w:ascii="宋体" w:hAnsi="宋体" w:cs="宋体" w:eastAsia="宋体" w:hint="default"/>
          <w:sz w:val="21"/>
          <w:szCs w:val="21"/>
        </w:rPr>
      </w:r>
    </w:p>
    <w:p>
      <w:pPr>
        <w:spacing w:line="4628" w:lineRule="exact"/>
        <w:ind w:left="740" w:right="0" w:firstLine="0"/>
        <w:rPr>
          <w:rFonts w:ascii="宋体" w:hAnsi="宋体" w:cs="宋体" w:eastAsia="宋体" w:hint="default"/>
          <w:sz w:val="20"/>
          <w:szCs w:val="20"/>
        </w:rPr>
      </w:pPr>
      <w:r>
        <w:rPr>
          <w:rFonts w:ascii="宋体" w:hAnsi="宋体" w:cs="宋体" w:eastAsia="宋体" w:hint="default"/>
          <w:position w:val="-92"/>
          <w:sz w:val="20"/>
          <w:szCs w:val="20"/>
        </w:rPr>
        <w:pict>
          <v:group style="width:390.35pt;height:231.45pt;mso-position-horizontal-relative:char;mso-position-vertical-relative:line" coordorigin="0,0" coordsize="7807,4629">
            <v:group style="position:absolute;left:29;top:15;width:7755;height:2" coordorigin="29,15" coordsize="7755,2">
              <v:shape style="position:absolute;left:29;top:15;width:7755;height:2" coordorigin="29,15" coordsize="7755,0" path="m29,15l7784,15e" filled="false" stroked="true" strokeweight="1.5pt" strokecolor="#000000">
                <v:path arrowok="t"/>
              </v:shape>
              <v:shape style="position:absolute;left:4433;top:8;width:1676;height:384" type="#_x0000_t75" stroked="false">
                <v:imagedata r:id="rId256" o:title=""/>
              </v:shape>
            </v:group>
            <v:group style="position:absolute;left:15;top:4613;width:4440;height:2" coordorigin="15,4613" coordsize="4440,2">
              <v:shape style="position:absolute;left:15;top:4613;width:4440;height:2" coordorigin="15,4613" coordsize="4440,0" path="m15,4613l4455,4613e" filled="false" stroked="true" strokeweight="1.5pt" strokecolor="#000000">
                <v:path arrowok="t"/>
              </v:shape>
            </v:group>
            <v:group style="position:absolute;left:4455;top:4613;width:1624;height:2" coordorigin="4455,4613" coordsize="1624,2">
              <v:shape style="position:absolute;left:4455;top:4613;width:1624;height:2" coordorigin="4455,4613" coordsize="1624,0" path="m4455,4613l6079,4613e" filled="false" stroked="true" strokeweight="1.5pt" strokecolor="#000000">
                <v:path arrowok="t"/>
              </v:shape>
              <v:shape style="position:absolute;left:10;top:352;width:7796;height:4247" type="#_x0000_t75" stroked="false">
                <v:imagedata r:id="rId257" o:title=""/>
              </v:shape>
            </v:group>
            <v:group style="position:absolute;left:6079;top:4613;width:1706;height:2" coordorigin="6079,4613" coordsize="1706,2">
              <v:shape style="position:absolute;left:6079;top:4613;width:1706;height:2" coordorigin="6079,4613" coordsize="1706,0" path="m6079,4613l7784,4613e" filled="false" stroked="true" strokeweight="1.5pt" strokecolor="#000000">
                <v:path arrowok="t"/>
              </v:shape>
              <v:shape style="position:absolute;left:137;top:162;width:2520;height:548" type="#_x0000_t202" filled="false" stroked="false">
                <v:textbox inset="0,0,0,0">
                  <w:txbxContent>
                    <w:p>
                      <w:pPr>
                        <w:spacing w:line="180" w:lineRule="exact" w:before="0"/>
                        <w:ind w:left="1927" w:right="0" w:firstLine="0"/>
                        <w:jc w:val="left"/>
                        <w:rPr>
                          <w:rFonts w:ascii="宋体" w:hAnsi="宋体" w:cs="宋体" w:eastAsia="宋体" w:hint="default"/>
                          <w:sz w:val="18"/>
                          <w:szCs w:val="18"/>
                        </w:rPr>
                      </w:pPr>
                      <w:r>
                        <w:rPr>
                          <w:rFonts w:ascii="宋体" w:hAnsi="宋体" w:cs="宋体" w:eastAsia="宋体" w:hint="default"/>
                          <w:sz w:val="18"/>
                          <w:szCs w:val="18"/>
                        </w:rPr>
                        <w:t>项目</w:t>
                      </w:r>
                    </w:p>
                    <w:p>
                      <w:pPr>
                        <w:spacing w:before="131"/>
                        <w:ind w:left="0" w:right="0" w:firstLine="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xbxContent>
                </v:textbox>
                <w10:wrap type="none"/>
              </v:shape>
              <v:shape style="position:absolute;left:4911;top:162;width:1066;height:5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line="203" w:lineRule="exact" w:before="120"/>
                        <w:ind w:left="434" w:right="0" w:firstLine="0"/>
                        <w:jc w:val="left"/>
                        <w:rPr>
                          <w:rFonts w:ascii="Times New Roman" w:hAnsi="Times New Roman" w:cs="Times New Roman" w:eastAsia="Times New Roman" w:hint="default"/>
                          <w:sz w:val="18"/>
                          <w:szCs w:val="18"/>
                        </w:rPr>
                      </w:pPr>
                      <w:r>
                        <w:rPr>
                          <w:rFonts w:ascii="Times New Roman"/>
                          <w:sz w:val="18"/>
                        </w:rPr>
                        <w:t>7,308.00</w:t>
                      </w:r>
                    </w:p>
                  </w:txbxContent>
                </v:textbox>
                <w10:wrap type="none"/>
              </v:shape>
              <v:shape style="position:absolute;left:6573;top:162;width:1104;height:5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line="203" w:lineRule="exact" w:before="120"/>
                        <w:ind w:left="472" w:right="0" w:firstLine="0"/>
                        <w:jc w:val="left"/>
                        <w:rPr>
                          <w:rFonts w:ascii="Times New Roman" w:hAnsi="Times New Roman" w:cs="Times New Roman" w:eastAsia="Times New Roman" w:hint="default"/>
                          <w:sz w:val="18"/>
                          <w:szCs w:val="18"/>
                        </w:rPr>
                      </w:pPr>
                      <w:r>
                        <w:rPr>
                          <w:rFonts w:ascii="Times New Roman"/>
                          <w:sz w:val="18"/>
                        </w:rPr>
                        <w:t>6,072.00</w:t>
                      </w:r>
                    </w:p>
                  </w:txbxContent>
                </v:textbox>
                <w10:wrap type="none"/>
              </v:shape>
              <v:shape style="position:absolute;left:137;top:915;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xbxContent>
                </v:textbox>
                <w10:wrap type="none"/>
              </v:shape>
              <v:shape style="position:absolute;left:5195;top:869;width:78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-56,960.14</w:t>
                      </w:r>
                    </w:p>
                  </w:txbxContent>
                </v:textbox>
                <w10:wrap type="none"/>
              </v:shape>
              <v:shape style="position:absolute;left:137;top:1299;width:4140;height:133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p>
                      <w:pPr>
                        <w:spacing w:before="148"/>
                        <w:ind w:left="0" w:right="0" w:firstLine="0"/>
                        <w:jc w:val="left"/>
                        <w:rPr>
                          <w:rFonts w:ascii="宋体" w:hAnsi="宋体" w:cs="宋体" w:eastAsia="宋体" w:hint="default"/>
                          <w:sz w:val="18"/>
                          <w:szCs w:val="18"/>
                        </w:rPr>
                      </w:pPr>
                      <w:r>
                        <w:rPr>
                          <w:rFonts w:ascii="宋体" w:hAnsi="宋体" w:cs="宋体" w:eastAsia="宋体" w:hint="default"/>
                          <w:sz w:val="18"/>
                          <w:szCs w:val="18"/>
                        </w:rPr>
                        <w:t>持有交易性金融资产期间取得的投资收益</w:t>
                      </w:r>
                    </w:p>
                    <w:p>
                      <w:pPr>
                        <w:spacing w:line="380" w:lineRule="atLeast" w:before="5"/>
                        <w:ind w:left="0" w:right="0" w:firstLine="0"/>
                        <w:jc w:val="left"/>
                        <w:rPr>
                          <w:rFonts w:ascii="宋体" w:hAnsi="宋体" w:cs="宋体" w:eastAsia="宋体" w:hint="default"/>
                          <w:sz w:val="18"/>
                          <w:szCs w:val="18"/>
                        </w:rPr>
                      </w:pPr>
                      <w:r>
                        <w:rPr>
                          <w:rFonts w:ascii="宋体" w:hAnsi="宋体" w:cs="宋体" w:eastAsia="宋体" w:hint="default"/>
                          <w:sz w:val="18"/>
                          <w:szCs w:val="18"/>
                        </w:rPr>
                        <w:t>持有至到期投资取得的投资收益期间取得的投资收益 持有可供出售金融资产等期间取得的投资收益</w:t>
                      </w:r>
                    </w:p>
                  </w:txbxContent>
                </v:textbox>
                <w10:wrap type="none"/>
              </v:shape>
              <v:shape style="position:absolute;left:5031;top:240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4,057,376.71</w:t>
                      </w:r>
                    </w:p>
                  </w:txbxContent>
                </v:textbox>
                <w10:wrap type="none"/>
              </v:shape>
              <v:shape style="position:absolute;left:137;top:2836;width:3240;height:133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处置交易性金融资产取得的投资收益</w:t>
                      </w:r>
                    </w:p>
                    <w:p>
                      <w:pPr>
                        <w:spacing w:line="380" w:lineRule="atLeast" w:before="5"/>
                        <w:ind w:left="0" w:right="0" w:firstLine="0"/>
                        <w:jc w:val="left"/>
                        <w:rPr>
                          <w:rFonts w:ascii="宋体" w:hAnsi="宋体" w:cs="宋体" w:eastAsia="宋体" w:hint="default"/>
                          <w:sz w:val="18"/>
                          <w:szCs w:val="18"/>
                        </w:rPr>
                      </w:pPr>
                      <w:r>
                        <w:rPr>
                          <w:rFonts w:ascii="宋体" w:hAnsi="宋体" w:cs="宋体" w:eastAsia="宋体" w:hint="default"/>
                          <w:sz w:val="18"/>
                          <w:szCs w:val="18"/>
                        </w:rPr>
                        <w:t>处置持有至到期投资取得的投资收益 处置可供出售金融资产等取得的投资收益 其他</w:t>
                      </w:r>
                    </w:p>
                  </w:txbxContent>
                </v:textbox>
                <w10:wrap type="none"/>
              </v:shape>
              <v:shape style="position:absolute;left:1885;top:4374;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2425;top:4374;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5031;top:432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4,007,724.57</w:t>
                      </w:r>
                    </w:p>
                  </w:txbxContent>
                </v:textbox>
                <w10:wrap type="none"/>
              </v:shape>
              <v:shape style="position:absolute;left:7046;top:4329;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6,072.00</w:t>
                      </w:r>
                    </w:p>
                  </w:txbxContent>
                </v:textbox>
                <w10:wrap type="none"/>
              </v:shape>
            </v:group>
          </v:group>
        </w:pict>
      </w:r>
      <w:r>
        <w:rPr>
          <w:rFonts w:ascii="宋体" w:hAnsi="宋体" w:cs="宋体" w:eastAsia="宋体" w:hint="default"/>
          <w:position w:val="-92"/>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5"/>
          <w:szCs w:val="15"/>
        </w:rPr>
      </w:pPr>
    </w:p>
    <w:p>
      <w:pPr>
        <w:tabs>
          <w:tab w:pos="1417" w:val="left" w:leader="none"/>
        </w:tabs>
        <w:spacing w:before="0"/>
        <w:ind w:left="877" w:right="238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按成本法核算的长期股权投资收益：</w:t>
      </w:r>
      <w:r>
        <w:rPr>
          <w:rFonts w:ascii="宋体" w:hAnsi="宋体" w:cs="宋体" w:eastAsia="宋体" w:hint="default"/>
          <w:sz w:val="21"/>
          <w:szCs w:val="21"/>
        </w:rPr>
      </w:r>
    </w:p>
    <w:p>
      <w:pPr>
        <w:spacing w:line="1184" w:lineRule="exact"/>
        <w:ind w:left="740"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390.7pt;height:59.25pt;mso-position-horizontal-relative:char;mso-position-vertical-relative:line" coordorigin="0,0" coordsize="7814,1185">
            <v:group style="position:absolute;left:29;top:15;width:7755;height:2" coordorigin="29,15" coordsize="7755,2">
              <v:shape style="position:absolute;left:29;top:15;width:7755;height:2" coordorigin="29,15" coordsize="7755,0" path="m29,15l7784,15e" filled="false" stroked="true" strokeweight="1.5pt" strokecolor="#000000">
                <v:path arrowok="t"/>
              </v:shape>
              <v:shape style="position:absolute;left:2512;top:8;width:2827;height:384" type="#_x0000_t75" stroked="false">
                <v:imagedata r:id="rId258" o:title=""/>
              </v:shape>
            </v:group>
            <v:group style="position:absolute;left:15;top:1169;width:2519;height:2" coordorigin="15,1169" coordsize="2519,2">
              <v:shape style="position:absolute;left:15;top:1169;width:2519;height:2" coordorigin="15,1169" coordsize="2519,0" path="m15,1169l2534,1169e" filled="false" stroked="true" strokeweight="1.5pt" strokecolor="#000000">
                <v:path arrowok="t"/>
              </v:shape>
            </v:group>
            <v:group style="position:absolute;left:2534;top:1169;width:1418;height:2" coordorigin="2534,1169" coordsize="1418,2">
              <v:shape style="position:absolute;left:2534;top:1169;width:1418;height:2" coordorigin="2534,1169" coordsize="1418,0" path="m2534,1169l3951,1169e" filled="false" stroked="true" strokeweight="1.5pt" strokecolor="#000000">
                <v:path arrowok="t"/>
              </v:shape>
            </v:group>
            <v:group style="position:absolute;left:3951;top:1169;width:1358;height:2" coordorigin="3951,1169" coordsize="1358,2">
              <v:shape style="position:absolute;left:3951;top:1169;width:1358;height:2" coordorigin="3951,1169" coordsize="1358,0" path="m3951,1169l5308,1169e" filled="false" stroked="true" strokeweight="1.5pt" strokecolor="#000000">
                <v:path arrowok="t"/>
              </v:shape>
              <v:shape style="position:absolute;left:1;top:342;width:7813;height:812" type="#_x0000_t75" stroked="false">
                <v:imagedata r:id="rId259" o:title=""/>
              </v:shape>
            </v:group>
            <v:group style="position:absolute;left:5308;top:1169;width:2476;height:2" coordorigin="5308,1169" coordsize="2476,2">
              <v:shape style="position:absolute;left:5308;top:1169;width:2476;height:2" coordorigin="5308,1169" coordsize="2476,0" path="m5308,1169l7784,1169e" filled="false" stroked="true" strokeweight="1.5pt" strokecolor="#000000">
                <v:path arrowok="t"/>
              </v:shape>
              <v:shape style="position:absolute;left:137;top:162;width:1980;height:580" type="#_x0000_t202" filled="false" stroked="false">
                <v:textbox inset="0,0,0,0">
                  <w:txbxContent>
                    <w:p>
                      <w:pPr>
                        <w:spacing w:line="180" w:lineRule="exact" w:before="0"/>
                        <w:ind w:left="696"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p>
                      <w:pPr>
                        <w:spacing w:line="240" w:lineRule="auto" w:before="7"/>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广州市农村信用合作联社</w:t>
                      </w:r>
                    </w:p>
                  </w:txbxContent>
                </v:textbox>
                <w10:wrap type="none"/>
              </v:shape>
              <v:shape style="position:absolute;left:2887;top:162;width:963;height:51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line="203" w:lineRule="exact" w:before="127"/>
                        <w:ind w:left="331" w:right="0" w:firstLine="0"/>
                        <w:jc w:val="left"/>
                        <w:rPr>
                          <w:rFonts w:ascii="Times New Roman" w:hAnsi="Times New Roman" w:cs="Times New Roman" w:eastAsia="Times New Roman" w:hint="default"/>
                          <w:sz w:val="18"/>
                          <w:szCs w:val="18"/>
                        </w:rPr>
                      </w:pPr>
                      <w:r>
                        <w:rPr>
                          <w:rFonts w:ascii="Times New Roman"/>
                          <w:sz w:val="18"/>
                        </w:rPr>
                        <w:t>7,308.00</w:t>
                      </w:r>
                    </w:p>
                  </w:txbxContent>
                </v:textbox>
                <w10:wrap type="none"/>
              </v:shape>
              <v:shape style="position:absolute;left:4274;top:162;width:3354;height:511" type="#_x0000_t202" filled="false" stroked="false">
                <v:textbox inset="0,0,0,0">
                  <w:txbxContent>
                    <w:p>
                      <w:pPr>
                        <w:tabs>
                          <w:tab w:pos="119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tab/>
                        <w:t>本期比上期增减变动的原因</w:t>
                      </w:r>
                    </w:p>
                    <w:p>
                      <w:pPr>
                        <w:spacing w:line="203" w:lineRule="exact" w:before="127"/>
                        <w:ind w:left="301" w:right="0" w:firstLine="0"/>
                        <w:jc w:val="left"/>
                        <w:rPr>
                          <w:rFonts w:ascii="Times New Roman" w:hAnsi="Times New Roman" w:cs="Times New Roman" w:eastAsia="Times New Roman" w:hint="default"/>
                          <w:sz w:val="18"/>
                          <w:szCs w:val="18"/>
                        </w:rPr>
                      </w:pPr>
                      <w:r>
                        <w:rPr>
                          <w:rFonts w:ascii="Times New Roman"/>
                          <w:sz w:val="18"/>
                        </w:rPr>
                        <w:t>6,072.00</w:t>
                      </w:r>
                    </w:p>
                  </w:txbxContent>
                </v:textbox>
                <w10:wrap type="none"/>
              </v:shape>
              <v:shape style="position:absolute;left:923;top:92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1463;top:92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3218;top:885;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7,308.00</w:t>
                      </w:r>
                    </w:p>
                  </w:txbxContent>
                </v:textbox>
                <w10:wrap type="none"/>
              </v:shape>
              <v:shape style="position:absolute;left:4575;top:885;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6,072.00</w:t>
                      </w:r>
                    </w:p>
                  </w:txbxContent>
                </v:textbox>
                <w10:wrap type="none"/>
              </v:shape>
            </v:group>
          </v:group>
        </w:pict>
      </w:r>
      <w:r>
        <w:rPr>
          <w:rFonts w:ascii="宋体" w:hAnsi="宋体" w:cs="宋体" w:eastAsia="宋体" w:hint="default"/>
          <w:position w:val="-23"/>
          <w:sz w:val="20"/>
          <w:szCs w:val="20"/>
        </w:rPr>
      </w:r>
    </w:p>
    <w:p>
      <w:pPr>
        <w:spacing w:after="0" w:line="1184" w:lineRule="exact"/>
        <w:rPr>
          <w:rFonts w:ascii="宋体" w:hAnsi="宋体" w:cs="宋体" w:eastAsia="宋体" w:hint="default"/>
          <w:sz w:val="20"/>
          <w:szCs w:val="20"/>
        </w:rPr>
        <w:sectPr>
          <w:pgSz w:w="11910" w:h="16840"/>
          <w:pgMar w:header="0" w:footer="1256" w:top="1060" w:bottom="1440" w:left="1640" w:right="1600"/>
        </w:sectPr>
      </w:pPr>
    </w:p>
    <w:p>
      <w:pPr>
        <w:spacing w:line="240" w:lineRule="auto" w:before="4"/>
        <w:rPr>
          <w:rFonts w:ascii="宋体" w:hAnsi="宋体" w:cs="宋体" w:eastAsia="宋体" w:hint="default"/>
          <w:b/>
          <w:bCs/>
          <w:sz w:val="28"/>
          <w:szCs w:val="28"/>
        </w:rPr>
      </w:pPr>
    </w:p>
    <w:p>
      <w:pPr>
        <w:tabs>
          <w:tab w:pos="1397" w:val="left" w:leader="none"/>
        </w:tabs>
        <w:spacing w:before="35"/>
        <w:ind w:left="857" w:right="13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按权益法核算的长期股权投资收益：</w:t>
      </w:r>
      <w:r>
        <w:rPr>
          <w:rFonts w:ascii="宋体" w:hAnsi="宋体" w:cs="宋体" w:eastAsia="宋体" w:hint="default"/>
          <w:sz w:val="21"/>
          <w:szCs w:val="21"/>
        </w:rPr>
      </w:r>
    </w:p>
    <w:p>
      <w:pPr>
        <w:spacing w:line="1168" w:lineRule="exact"/>
        <w:ind w:left="720"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392.45pt;height:58.45pt;mso-position-horizontal-relative:char;mso-position-vertical-relative:line" coordorigin="0,0" coordsize="7849,1169">
            <v:group style="position:absolute;left:29;top:15;width:7791;height:2" coordorigin="29,15" coordsize="7791,2">
              <v:shape style="position:absolute;left:29;top:15;width:7791;height:2" coordorigin="29,15" coordsize="7791,0" path="m29,15l7820,15e" filled="false" stroked="true" strokeweight="1.5pt" strokecolor="#000000">
                <v:path arrowok="t"/>
              </v:shape>
              <v:shape style="position:absolute;left:2649;top:8;width:2677;height:384" type="#_x0000_t75" stroked="false">
                <v:imagedata r:id="rId260" o:title=""/>
              </v:shape>
            </v:group>
            <v:group style="position:absolute;left:15;top:1154;width:2656;height:2" coordorigin="15,1154" coordsize="2656,2">
              <v:shape style="position:absolute;left:15;top:1154;width:2656;height:2" coordorigin="15,1154" coordsize="2656,0" path="m15,1154l2671,1154e" filled="false" stroked="true" strokeweight="1.5pt" strokecolor="#000000">
                <v:path arrowok="t"/>
              </v:shape>
            </v:group>
            <v:group style="position:absolute;left:2671;top:1154;width:1365;height:2" coordorigin="2671,1154" coordsize="1365,2">
              <v:shape style="position:absolute;left:2671;top:1154;width:1365;height:2" coordorigin="2671,1154" coordsize="1365,0" path="m2671,1154l4035,1154e" filled="false" stroked="true" strokeweight="1.5pt" strokecolor="#000000">
                <v:path arrowok="t"/>
              </v:shape>
            </v:group>
            <v:group style="position:absolute;left:4035;top:1154;width:1260;height:2" coordorigin="4035,1154" coordsize="1260,2">
              <v:shape style="position:absolute;left:4035;top:1154;width:1260;height:2" coordorigin="4035,1154" coordsize="1260,0" path="m4035,1154l5295,1154e" filled="false" stroked="true" strokeweight="1.5pt" strokecolor="#000000">
                <v:path arrowok="t"/>
              </v:shape>
              <v:shape style="position:absolute;left:1;top:342;width:7848;height:797" type="#_x0000_t75" stroked="false">
                <v:imagedata r:id="rId261" o:title=""/>
              </v:shape>
            </v:group>
            <v:group style="position:absolute;left:5295;top:1154;width:2525;height:2" coordorigin="5295,1154" coordsize="2525,2">
              <v:shape style="position:absolute;left:5295;top:1154;width:2525;height:2" coordorigin="5295,1154" coordsize="2525,0" path="m5295,1154l7820,1154e" filled="false" stroked="true" strokeweight="1.5pt" strokecolor="#000000">
                <v:path arrowok="t"/>
              </v:shape>
              <v:shape style="position:absolute;left:137;top:162;width:2160;height:496" type="#_x0000_t202" filled="false" stroked="false">
                <v:textbox inset="0,0,0,0">
                  <w:txbxContent>
                    <w:p>
                      <w:pPr>
                        <w:spacing w:line="180" w:lineRule="exact" w:before="0"/>
                        <w:ind w:left="764"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p>
                      <w:pPr>
                        <w:spacing w:before="80"/>
                        <w:ind w:left="0" w:right="0" w:firstLine="0"/>
                        <w:jc w:val="left"/>
                        <w:rPr>
                          <w:rFonts w:ascii="宋体" w:hAnsi="宋体" w:cs="宋体" w:eastAsia="宋体" w:hint="default"/>
                          <w:sz w:val="18"/>
                          <w:szCs w:val="18"/>
                        </w:rPr>
                      </w:pPr>
                      <w:r>
                        <w:rPr>
                          <w:rFonts w:ascii="宋体" w:hAnsi="宋体" w:cs="宋体" w:eastAsia="宋体" w:hint="default"/>
                          <w:sz w:val="18"/>
                          <w:szCs w:val="18"/>
                        </w:rPr>
                        <w:t>北京青年御银科技有限公司</w:t>
                      </w:r>
                    </w:p>
                  </w:txbxContent>
                </v:textbox>
                <w10:wrap type="none"/>
              </v:shape>
              <v:shape style="position:absolute;left:2996;top:162;width:936;height:5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line="203" w:lineRule="exact" w:before="120"/>
                        <w:ind w:left="154" w:right="0" w:firstLine="0"/>
                        <w:jc w:val="left"/>
                        <w:rPr>
                          <w:rFonts w:ascii="Times New Roman" w:hAnsi="Times New Roman" w:cs="Times New Roman" w:eastAsia="Times New Roman" w:hint="default"/>
                          <w:sz w:val="18"/>
                          <w:szCs w:val="18"/>
                        </w:rPr>
                      </w:pPr>
                      <w:r>
                        <w:rPr>
                          <w:rFonts w:ascii="Times New Roman"/>
                          <w:sz w:val="18"/>
                        </w:rPr>
                        <w:t>-56,960.14</w:t>
                      </w:r>
                    </w:p>
                  </w:txbxContent>
                </v:textbox>
                <w10:wrap type="none"/>
              </v:shape>
              <v:shape style="position:absolute;left:4310;top:16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5480;top:162;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本期比上期增减变动的原因</w:t>
                      </w:r>
                    </w:p>
                  </w:txbxContent>
                </v:textbox>
                <w10:wrap type="none"/>
              </v:shape>
              <v:shape style="position:absolute;left:992;top:91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1532;top:91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3149;top:869;width:78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-56,960.14</w:t>
                      </w:r>
                    </w:p>
                  </w:txbxContent>
                </v:textbox>
                <w10:wrap type="none"/>
              </v:shape>
            </v:group>
          </v:group>
        </w:pict>
      </w:r>
      <w:r>
        <w:rPr>
          <w:rFonts w:ascii="宋体" w:hAnsi="宋体" w:cs="宋体" w:eastAsia="宋体" w:hint="default"/>
          <w:position w:val="-22"/>
          <w:sz w:val="20"/>
          <w:szCs w:val="2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5"/>
          <w:szCs w:val="15"/>
        </w:rPr>
      </w:pPr>
    </w:p>
    <w:p>
      <w:pPr>
        <w:tabs>
          <w:tab w:pos="1396" w:val="left" w:leader="none"/>
        </w:tabs>
        <w:spacing w:before="0"/>
        <w:ind w:left="857" w:right="13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投资收益汇回不存在重大限制</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before="181"/>
        <w:ind w:left="125" w:right="130" w:firstLine="0"/>
        <w:jc w:val="left"/>
        <w:rPr>
          <w:rFonts w:ascii="宋体" w:hAnsi="宋体" w:cs="宋体" w:eastAsia="宋体" w:hint="default"/>
          <w:sz w:val="21"/>
          <w:szCs w:val="21"/>
        </w:rPr>
      </w:pPr>
      <w:r>
        <w:rPr/>
        <w:pict>
          <v:group style="position:absolute;margin-left:119.010002pt;margin-top:24.434885pt;width:390.6pt;height:80.55pt;mso-position-horizontal-relative:page;mso-position-vertical-relative:paragraph;z-index:-809368" coordorigin="2380,489" coordsize="7812,1611">
            <v:group style="position:absolute;left:2410;top:504;width:7755;height:2" coordorigin="2410,504" coordsize="7755,2">
              <v:shape style="position:absolute;left:2410;top:504;width:7755;height:2" coordorigin="2410,504" coordsize="7755,0" path="m2410,504l10164,504e" filled="false" stroked="true" strokeweight="1.5pt" strokecolor="#000000">
                <v:path arrowok="t"/>
              </v:shape>
              <v:shape style="position:absolute;left:6560;top:495;width:1789;height:427" type="#_x0000_t75" stroked="false">
                <v:imagedata r:id="rId262" o:title=""/>
              </v:shape>
            </v:group>
            <v:group style="position:absolute;left:2395;top:2084;width:4188;height:2" coordorigin="2395,2084" coordsize="4188,2">
              <v:shape style="position:absolute;left:2395;top:2084;width:4188;height:2" coordorigin="2395,2084" coordsize="4188,0" path="m2395,2084l6583,2084e" filled="false" stroked="true" strokeweight="1.5pt" strokecolor="#000000">
                <v:path arrowok="t"/>
              </v:shape>
            </v:group>
            <v:group style="position:absolute;left:6583;top:2084;width:1733;height:2" coordorigin="6583,2084" coordsize="1733,2">
              <v:shape style="position:absolute;left:6583;top:2084;width:1733;height:2" coordorigin="6583,2084" coordsize="1733,0" path="m6583,2084l8316,2084e" filled="false" stroked="true" strokeweight="1.5pt" strokecolor="#000000">
                <v:path arrowok="t"/>
              </v:shape>
              <v:shape style="position:absolute;left:2381;top:876;width:7811;height:1193" type="#_x0000_t75" stroked="false">
                <v:imagedata r:id="rId263" o:title=""/>
              </v:shape>
            </v:group>
            <v:group style="position:absolute;left:8316;top:2084;width:1848;height:2" coordorigin="8316,2084" coordsize="1848,2">
              <v:shape style="position:absolute;left:8316;top:2084;width:1848;height:2" coordorigin="8316,2084" coordsize="1848,0" path="m8316,2084l10164,2084e" filled="false" stroked="true" strokeweight="1.5pt" strokecolor="#000000">
                <v:path arrowok="t"/>
              </v:shape>
              <v:shape style="position:absolute;left:4319;top:69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7094;top:69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8882;top:69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2518;top:1080;width:1080;height:57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坏账损失</w:t>
                      </w:r>
                    </w:p>
                    <w:p>
                      <w:pPr>
                        <w:spacing w:before="154"/>
                        <w:ind w:left="0" w:right="0" w:firstLine="0"/>
                        <w:jc w:val="left"/>
                        <w:rPr>
                          <w:rFonts w:ascii="宋体" w:hAnsi="宋体" w:cs="宋体" w:eastAsia="宋体" w:hint="default"/>
                          <w:sz w:val="18"/>
                          <w:szCs w:val="18"/>
                        </w:rPr>
                      </w:pPr>
                      <w:r>
                        <w:rPr>
                          <w:rFonts w:ascii="宋体" w:hAnsi="宋体" w:cs="宋体" w:eastAsia="宋体" w:hint="default"/>
                          <w:sz w:val="18"/>
                          <w:szCs w:val="18"/>
                        </w:rPr>
                        <w:t>存货跌价损失</w:t>
                      </w:r>
                    </w:p>
                  </w:txbxContent>
                </v:textbox>
                <w10:wrap type="none"/>
              </v:shape>
              <v:shape style="position:absolute;left:4319;top:186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6"/>
          <w:sz w:val="21"/>
          <w:szCs w:val="21"/>
        </w:rPr>
        <w:t> </w:t>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tbl>
      <w:tblPr>
        <w:tblW w:w="0" w:type="auto"/>
        <w:jc w:val="left"/>
        <w:tblInd w:w="5573" w:type="dxa"/>
        <w:tblLayout w:type="fixed"/>
        <w:tblCellMar>
          <w:top w:w="0" w:type="dxa"/>
          <w:left w:w="0" w:type="dxa"/>
          <w:bottom w:w="0" w:type="dxa"/>
          <w:right w:w="0" w:type="dxa"/>
        </w:tblCellMar>
        <w:tblLook w:val="01E0"/>
      </w:tblPr>
      <w:tblGrid>
        <w:gridCol w:w="1429"/>
        <w:gridCol w:w="1429"/>
      </w:tblGrid>
      <w:tr>
        <w:trPr>
          <w:trHeight w:val="385" w:hRule="exact"/>
        </w:trPr>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46"/>
              <w:jc w:val="right"/>
              <w:rPr>
                <w:rFonts w:ascii="Times New Roman" w:hAnsi="Times New Roman" w:cs="Times New Roman" w:eastAsia="Times New Roman" w:hint="default"/>
                <w:sz w:val="18"/>
                <w:szCs w:val="18"/>
              </w:rPr>
            </w:pPr>
            <w:r>
              <w:rPr>
                <w:rFonts w:ascii="Times New Roman"/>
                <w:spacing w:val="-1"/>
                <w:sz w:val="18"/>
              </w:rPr>
              <w:t>5,034,082.20</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
              <w:jc w:val="right"/>
              <w:rPr>
                <w:rFonts w:ascii="Times New Roman" w:hAnsi="Times New Roman" w:cs="Times New Roman" w:eastAsia="Times New Roman" w:hint="default"/>
                <w:sz w:val="18"/>
                <w:szCs w:val="18"/>
              </w:rPr>
            </w:pPr>
            <w:r>
              <w:rPr>
                <w:rFonts w:ascii="Times New Roman"/>
                <w:spacing w:val="-1"/>
                <w:sz w:val="18"/>
              </w:rPr>
              <w:t>4,853,753.00</w:t>
            </w:r>
          </w:p>
        </w:tc>
      </w:tr>
      <w:tr>
        <w:trPr>
          <w:trHeight w:val="390" w:hRule="exact"/>
        </w:trPr>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46"/>
              <w:jc w:val="right"/>
              <w:rPr>
                <w:rFonts w:ascii="Times New Roman" w:hAnsi="Times New Roman" w:cs="Times New Roman" w:eastAsia="Times New Roman" w:hint="default"/>
                <w:sz w:val="18"/>
                <w:szCs w:val="18"/>
              </w:rPr>
            </w:pPr>
            <w:r>
              <w:rPr>
                <w:rFonts w:ascii="Times New Roman"/>
                <w:sz w:val="18"/>
              </w:rPr>
              <w:t>535,138.05</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359,039.90</w:t>
            </w:r>
          </w:p>
        </w:tc>
      </w:tr>
      <w:tr>
        <w:trPr>
          <w:trHeight w:val="390" w:hRule="exact"/>
        </w:trPr>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46"/>
              <w:jc w:val="right"/>
              <w:rPr>
                <w:rFonts w:ascii="Times New Roman" w:hAnsi="Times New Roman" w:cs="Times New Roman" w:eastAsia="Times New Roman" w:hint="default"/>
                <w:sz w:val="18"/>
                <w:szCs w:val="18"/>
              </w:rPr>
            </w:pPr>
            <w:r>
              <w:rPr>
                <w:rFonts w:ascii="Times New Roman"/>
                <w:spacing w:val="-1"/>
                <w:sz w:val="18"/>
              </w:rPr>
              <w:t>5,569,220.25</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5,212,792.90</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5"/>
          <w:szCs w:val="15"/>
        </w:rPr>
      </w:pPr>
    </w:p>
    <w:p>
      <w:pPr>
        <w:spacing w:before="0"/>
        <w:ind w:left="125" w:right="13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6"/>
          <w:sz w:val="21"/>
          <w:szCs w:val="21"/>
        </w:rPr>
        <w:t> </w:t>
      </w:r>
      <w:r>
        <w:rPr>
          <w:rFonts w:ascii="宋体" w:hAnsi="宋体" w:cs="宋体" w:eastAsia="宋体" w:hint="default"/>
          <w:b/>
          <w:bCs/>
          <w:sz w:val="21"/>
          <w:szCs w:val="21"/>
        </w:rPr>
        <w:t>营业外收入</w:t>
      </w:r>
      <w:r>
        <w:rPr>
          <w:rFonts w:ascii="宋体" w:hAnsi="宋体" w:cs="宋体" w:eastAsia="宋体" w:hint="default"/>
          <w:sz w:val="21"/>
          <w:szCs w:val="21"/>
        </w:rPr>
      </w:r>
    </w:p>
    <w:p>
      <w:pPr>
        <w:tabs>
          <w:tab w:pos="1396" w:val="left" w:leader="none"/>
        </w:tabs>
        <w:spacing w:before="89"/>
        <w:ind w:left="857" w:right="130" w:firstLine="0"/>
        <w:jc w:val="left"/>
        <w:rPr>
          <w:rFonts w:ascii="宋体" w:hAnsi="宋体" w:cs="宋体" w:eastAsia="宋体" w:hint="default"/>
          <w:sz w:val="21"/>
          <w:szCs w:val="21"/>
        </w:rPr>
      </w:pPr>
      <w:r>
        <w:rPr/>
        <w:pict>
          <v:group style="position:absolute;margin-left:119.010002pt;margin-top:19.834713pt;width:392.85pt;height:217pt;mso-position-horizontal-relative:page;mso-position-vertical-relative:paragraph;z-index:-809152" coordorigin="2380,397" coordsize="7857,4340">
            <v:group style="position:absolute;left:2410;top:412;width:7802;height:2" coordorigin="2410,412" coordsize="7802,2">
              <v:shape style="position:absolute;left:2410;top:412;width:7802;height:2" coordorigin="2410,412" coordsize="7802,0" path="m2410,412l10211,412e" filled="false" stroked="true" strokeweight="1.5pt" strokecolor="#000000">
                <v:path arrowok="t"/>
              </v:shape>
              <v:shape style="position:absolute;left:4609;top:405;width:3072;height:422" type="#_x0000_t75" stroked="false">
                <v:imagedata r:id="rId264" o:title=""/>
              </v:shape>
            </v:group>
            <v:group style="position:absolute;left:2395;top:4721;width:2236;height:2" coordorigin="2395,4721" coordsize="2236,2">
              <v:shape style="position:absolute;left:2395;top:4721;width:2236;height:2" coordorigin="2395,4721" coordsize="2236,0" path="m2395,4721l4631,4721e" filled="false" stroked="true" strokeweight="1.5pt" strokecolor="#000000">
                <v:path arrowok="t"/>
              </v:shape>
            </v:group>
            <v:group style="position:absolute;left:4631;top:4721;width:1510;height:2" coordorigin="4631,4721" coordsize="1510,2">
              <v:shape style="position:absolute;left:4631;top:4721;width:1510;height:2" coordorigin="4631,4721" coordsize="1510,0" path="m4631,4721l6140,4721e" filled="false" stroked="true" strokeweight="1.5pt" strokecolor="#000000">
                <v:path arrowok="t"/>
              </v:shape>
            </v:group>
            <v:group style="position:absolute;left:6140;top:4721;width:1510;height:2" coordorigin="6140,4721" coordsize="1510,2">
              <v:shape style="position:absolute;left:6140;top:4721;width:1510;height:2" coordorigin="6140,4721" coordsize="1510,0" path="m6140,4721l7650,4721e" filled="false" stroked="true" strokeweight="1.5pt" strokecolor="#000000">
                <v:path arrowok="t"/>
              </v:shape>
              <v:shape style="position:absolute;left:2381;top:782;width:7856;height:3923" type="#_x0000_t75" stroked="false">
                <v:imagedata r:id="rId265" o:title=""/>
              </v:shape>
            </v:group>
            <v:group style="position:absolute;left:7650;top:4721;width:2561;height:2" coordorigin="7650,4721" coordsize="2561,2">
              <v:shape style="position:absolute;left:7650;top:4721;width:2561;height:2" coordorigin="7650,4721" coordsize="2561,0" path="m7650,4721l10211,4721e" filled="false" stroked="true" strokeweight="1.5pt" strokecolor="#000000">
                <v:path arrowok="t"/>
              </v:shape>
              <v:shape style="position:absolute;left:2518;top:598;width:1980;height:57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项目</w:t>
                      </w:r>
                    </w:p>
                    <w:p>
                      <w:pPr>
                        <w:spacing w:before="154"/>
                        <w:ind w:left="0" w:right="0" w:firstLine="0"/>
                        <w:jc w:val="center"/>
                        <w:rPr>
                          <w:rFonts w:ascii="宋体" w:hAnsi="宋体" w:cs="宋体" w:eastAsia="宋体" w:hint="default"/>
                          <w:sz w:val="18"/>
                          <w:szCs w:val="18"/>
                        </w:rPr>
                      </w:pPr>
                      <w:r>
                        <w:rPr>
                          <w:rFonts w:ascii="宋体" w:hAnsi="宋体" w:cs="宋体" w:eastAsia="宋体" w:hint="default"/>
                          <w:sz w:val="18"/>
                          <w:szCs w:val="18"/>
                        </w:rPr>
                        <w:t>非流动资产处置利得合计</w:t>
                      </w:r>
                    </w:p>
                  </w:txbxContent>
                </v:textbox>
                <w10:wrap type="none"/>
              </v:shape>
              <v:shape style="position:absolute;left:5029;top:598;width:1007;height:50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line="203" w:lineRule="exact" w:before="124"/>
                        <w:ind w:left="286" w:right="0" w:firstLine="0"/>
                        <w:jc w:val="left"/>
                        <w:rPr>
                          <w:rFonts w:ascii="Times New Roman" w:hAnsi="Times New Roman" w:cs="Times New Roman" w:eastAsia="Times New Roman" w:hint="default"/>
                          <w:sz w:val="18"/>
                          <w:szCs w:val="18"/>
                        </w:rPr>
                      </w:pPr>
                      <w:r>
                        <w:rPr>
                          <w:rFonts w:ascii="Times New Roman"/>
                          <w:spacing w:val="-1"/>
                          <w:sz w:val="18"/>
                        </w:rPr>
                        <w:t>64,722.82</w:t>
                      </w:r>
                    </w:p>
                  </w:txbxContent>
                </v:textbox>
                <w10:wrap type="none"/>
              </v:shape>
              <v:shape style="position:absolute;left:6540;top:598;width:3563;height:508" type="#_x0000_t202" filled="false" stroked="false">
                <v:textbox inset="0,0,0,0">
                  <w:txbxContent>
                    <w:p>
                      <w:pPr>
                        <w:tabs>
                          <w:tab w:pos="1222" w:val="left" w:leader="none"/>
                        </w:tabs>
                        <w:spacing w:line="180" w:lineRule="exact" w:before="0"/>
                        <w:ind w:left="293" w:right="0" w:hanging="294"/>
                        <w:jc w:val="left"/>
                        <w:rPr>
                          <w:rFonts w:ascii="宋体" w:hAnsi="宋体" w:cs="宋体" w:eastAsia="宋体" w:hint="default"/>
                          <w:sz w:val="18"/>
                          <w:szCs w:val="18"/>
                        </w:rPr>
                      </w:pPr>
                      <w:r>
                        <w:rPr>
                          <w:rFonts w:ascii="宋体" w:hAnsi="宋体" w:cs="宋体" w:eastAsia="宋体" w:hint="default"/>
                          <w:sz w:val="18"/>
                          <w:szCs w:val="18"/>
                        </w:rPr>
                        <w:t>上期金额</w:t>
                        <w:tab/>
                        <w:t>计入当期非经常性损益的金额</w:t>
                      </w:r>
                    </w:p>
                    <w:p>
                      <w:pPr>
                        <w:tabs>
                          <w:tab w:pos="2842" w:val="left" w:leader="none"/>
                        </w:tabs>
                        <w:spacing w:line="203" w:lineRule="exact" w:before="124"/>
                        <w:ind w:left="293" w:right="0" w:firstLine="0"/>
                        <w:jc w:val="left"/>
                        <w:rPr>
                          <w:rFonts w:ascii="Times New Roman" w:hAnsi="Times New Roman" w:cs="Times New Roman" w:eastAsia="Times New Roman" w:hint="default"/>
                          <w:sz w:val="18"/>
                          <w:szCs w:val="18"/>
                        </w:rPr>
                      </w:pPr>
                      <w:r>
                        <w:rPr>
                          <w:rFonts w:ascii="Times New Roman"/>
                          <w:spacing w:val="-1"/>
                          <w:sz w:val="18"/>
                        </w:rPr>
                        <w:t>11,029.99</w:t>
                        <w:tab/>
                        <w:t>64,722.82</w:t>
                      </w:r>
                    </w:p>
                  </w:txbxContent>
                </v:textbox>
                <w10:wrap type="none"/>
              </v:shape>
              <v:shape style="position:absolute;left:2518;top:1378;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其中：处置固定资产利得</w:t>
                      </w:r>
                    </w:p>
                  </w:txbxContent>
                </v:textbox>
                <w10:wrap type="none"/>
              </v:shape>
              <v:shape style="position:absolute;left:5316;top:1316;width:7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64,722.82</w:t>
                      </w:r>
                    </w:p>
                  </w:txbxContent>
                </v:textbox>
                <w10:wrap type="none"/>
              </v:shape>
              <v:shape style="position:absolute;left:6834;top:1316;width:71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11,029.99</w:t>
                      </w:r>
                    </w:p>
                  </w:txbxContent>
                </v:textbox>
                <w10:wrap type="none"/>
              </v:shape>
              <v:shape style="position:absolute;left:9382;top:1316;width:7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64,722.82</w:t>
                      </w:r>
                    </w:p>
                  </w:txbxContent>
                </v:textbox>
                <w10:wrap type="none"/>
              </v:shape>
              <v:shape style="position:absolute;left:2518;top:1768;width:1980;height:2910" type="#_x0000_t202" filled="false" stroked="false">
                <v:textbox inset="0,0,0,0">
                  <w:txbxContent>
                    <w:p>
                      <w:pPr>
                        <w:spacing w:line="180" w:lineRule="exact" w:before="0"/>
                        <w:ind w:left="540" w:right="0" w:firstLine="0"/>
                        <w:jc w:val="left"/>
                        <w:rPr>
                          <w:rFonts w:ascii="宋体" w:hAnsi="宋体" w:cs="宋体" w:eastAsia="宋体" w:hint="default"/>
                          <w:sz w:val="18"/>
                          <w:szCs w:val="18"/>
                        </w:rPr>
                      </w:pPr>
                      <w:r>
                        <w:rPr>
                          <w:rFonts w:ascii="宋体" w:hAnsi="宋体" w:cs="宋体" w:eastAsia="宋体" w:hint="default"/>
                          <w:sz w:val="18"/>
                          <w:szCs w:val="18"/>
                        </w:rPr>
                        <w:t>处置无形资产利得</w:t>
                      </w:r>
                    </w:p>
                    <w:p>
                      <w:pPr>
                        <w:spacing w:line="398" w:lineRule="auto" w:before="154"/>
                        <w:ind w:left="0" w:right="179" w:firstLine="0"/>
                        <w:jc w:val="left"/>
                        <w:rPr>
                          <w:rFonts w:ascii="宋体" w:hAnsi="宋体" w:cs="宋体" w:eastAsia="宋体" w:hint="default"/>
                          <w:sz w:val="18"/>
                          <w:szCs w:val="18"/>
                        </w:rPr>
                      </w:pPr>
                      <w:r>
                        <w:rPr>
                          <w:rFonts w:ascii="宋体" w:hAnsi="宋体" w:cs="宋体" w:eastAsia="宋体" w:hint="default"/>
                          <w:sz w:val="18"/>
                          <w:szCs w:val="18"/>
                        </w:rPr>
                        <w:t>非货币性资产交换利得 债务重组利得</w:t>
                      </w:r>
                    </w:p>
                    <w:p>
                      <w:pPr>
                        <w:spacing w:line="398" w:lineRule="auto" w:before="35"/>
                        <w:ind w:left="0" w:right="1258" w:firstLine="0"/>
                        <w:jc w:val="left"/>
                        <w:rPr>
                          <w:rFonts w:ascii="宋体" w:hAnsi="宋体" w:cs="宋体" w:eastAsia="宋体" w:hint="default"/>
                          <w:sz w:val="18"/>
                          <w:szCs w:val="18"/>
                        </w:rPr>
                      </w:pPr>
                      <w:r>
                        <w:rPr>
                          <w:rFonts w:ascii="宋体" w:hAnsi="宋体" w:cs="宋体" w:eastAsia="宋体" w:hint="default"/>
                          <w:sz w:val="18"/>
                          <w:szCs w:val="18"/>
                        </w:rPr>
                        <w:t>接受捐赠 政府补助</w:t>
                      </w:r>
                    </w:p>
                    <w:p>
                      <w:pPr>
                        <w:spacing w:before="35"/>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补贴收入</w:t>
                      </w:r>
                      <w:r>
                        <w:rPr>
                          <w:rFonts w:ascii="Times New Roman" w:hAnsi="Times New Roman" w:cs="Times New Roman" w:eastAsia="Times New Roman" w:hint="default"/>
                          <w:sz w:val="18"/>
                          <w:szCs w:val="18"/>
                        </w:rPr>
                        <w:t>-</w:t>
                      </w:r>
                      <w:r>
                        <w:rPr>
                          <w:rFonts w:ascii="宋体" w:hAnsi="宋体" w:cs="宋体" w:eastAsia="宋体" w:hint="default"/>
                          <w:sz w:val="18"/>
                          <w:szCs w:val="18"/>
                        </w:rPr>
                        <w:t>增值税退税 </w:t>
                      </w:r>
                      <w:r>
                        <w:rPr>
                          <w:rFonts w:ascii="Times New Roman" w:hAnsi="Times New Roman" w:cs="Times New Roman" w:eastAsia="Times New Roman" w:hint="default"/>
                          <w:sz w:val="18"/>
                          <w:szCs w:val="18"/>
                        </w:rPr>
                        <w:t>*</w:t>
                      </w:r>
                    </w:p>
                    <w:p>
                      <w:pPr>
                        <w:spacing w:before="141"/>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p>
                      <w:pPr>
                        <w:spacing w:before="154"/>
                        <w:ind w:left="28"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营业外收入分项目情况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2"/>
          <w:szCs w:val="12"/>
        </w:rPr>
      </w:pPr>
    </w:p>
    <w:tbl>
      <w:tblPr>
        <w:tblW w:w="0" w:type="auto"/>
        <w:jc w:val="left"/>
        <w:tblInd w:w="3306" w:type="dxa"/>
        <w:tblLayout w:type="fixed"/>
        <w:tblCellMar>
          <w:top w:w="0" w:type="dxa"/>
          <w:left w:w="0" w:type="dxa"/>
          <w:bottom w:w="0" w:type="dxa"/>
          <w:right w:w="0" w:type="dxa"/>
        </w:tblCellMar>
        <w:tblLook w:val="01E0"/>
      </w:tblPr>
      <w:tblGrid>
        <w:gridCol w:w="1307"/>
        <w:gridCol w:w="2079"/>
        <w:gridCol w:w="1785"/>
      </w:tblGrid>
      <w:tr>
        <w:trPr>
          <w:trHeight w:val="385" w:hRule="exact"/>
        </w:trPr>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34"/>
              <w:jc w:val="right"/>
              <w:rPr>
                <w:rFonts w:ascii="Times New Roman" w:hAnsi="Times New Roman" w:cs="Times New Roman" w:eastAsia="Times New Roman" w:hint="default"/>
                <w:sz w:val="18"/>
                <w:szCs w:val="18"/>
              </w:rPr>
            </w:pPr>
            <w:r>
              <w:rPr>
                <w:rFonts w:ascii="Times New Roman"/>
                <w:spacing w:val="-1"/>
                <w:sz w:val="18"/>
              </w:rPr>
              <w:t>2,484,000.00</w:t>
            </w:r>
          </w:p>
        </w:tc>
        <w:tc>
          <w:tcPr>
            <w:tcW w:w="207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03"/>
              <w:jc w:val="right"/>
              <w:rPr>
                <w:rFonts w:ascii="Times New Roman" w:hAnsi="Times New Roman" w:cs="Times New Roman" w:eastAsia="Times New Roman" w:hint="default"/>
                <w:sz w:val="18"/>
                <w:szCs w:val="18"/>
              </w:rPr>
            </w:pPr>
            <w:r>
              <w:rPr>
                <w:rFonts w:ascii="Times New Roman"/>
                <w:spacing w:val="-1"/>
                <w:sz w:val="18"/>
              </w:rPr>
              <w:t>2,154,921.00</w:t>
            </w:r>
          </w:p>
        </w:tc>
        <w:tc>
          <w:tcPr>
            <w:tcW w:w="178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
              <w:jc w:val="right"/>
              <w:rPr>
                <w:rFonts w:ascii="Times New Roman" w:hAnsi="Times New Roman" w:cs="Times New Roman" w:eastAsia="Times New Roman" w:hint="default"/>
                <w:sz w:val="18"/>
                <w:szCs w:val="18"/>
              </w:rPr>
            </w:pPr>
            <w:r>
              <w:rPr>
                <w:rFonts w:ascii="Times New Roman"/>
                <w:spacing w:val="-1"/>
                <w:sz w:val="18"/>
              </w:rPr>
              <w:t>2,484,000.00</w:t>
            </w:r>
          </w:p>
        </w:tc>
      </w:tr>
      <w:tr>
        <w:trPr>
          <w:trHeight w:val="390" w:hRule="exact"/>
        </w:trPr>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34"/>
              <w:jc w:val="right"/>
              <w:rPr>
                <w:rFonts w:ascii="Times New Roman" w:hAnsi="Times New Roman" w:cs="Times New Roman" w:eastAsia="Times New Roman" w:hint="default"/>
                <w:sz w:val="18"/>
                <w:szCs w:val="18"/>
              </w:rPr>
            </w:pPr>
            <w:r>
              <w:rPr>
                <w:rFonts w:ascii="Times New Roman"/>
                <w:spacing w:val="-1"/>
                <w:sz w:val="18"/>
              </w:rPr>
              <w:t>20,721,434.03</w:t>
            </w:r>
          </w:p>
        </w:tc>
        <w:tc>
          <w:tcPr>
            <w:tcW w:w="207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803"/>
              <w:jc w:val="right"/>
              <w:rPr>
                <w:rFonts w:ascii="Times New Roman" w:hAnsi="Times New Roman" w:cs="Times New Roman" w:eastAsia="Times New Roman" w:hint="default"/>
                <w:sz w:val="18"/>
                <w:szCs w:val="18"/>
              </w:rPr>
            </w:pPr>
            <w:r>
              <w:rPr>
                <w:rFonts w:ascii="Times New Roman"/>
                <w:spacing w:val="-1"/>
                <w:sz w:val="18"/>
              </w:rPr>
              <w:t>14,934,290.02</w:t>
            </w:r>
          </w:p>
        </w:tc>
        <w:tc>
          <w:tcPr>
            <w:tcW w:w="1785" w:type="dxa"/>
            <w:tcBorders>
              <w:top w:val="nil" w:sz="6" w:space="0" w:color="auto"/>
              <w:left w:val="nil" w:sz="6" w:space="0" w:color="auto"/>
              <w:bottom w:val="nil" w:sz="6" w:space="0" w:color="auto"/>
              <w:right w:val="nil" w:sz="6" w:space="0" w:color="auto"/>
            </w:tcBorders>
          </w:tcPr>
          <w:p>
            <w:pPr/>
          </w:p>
        </w:tc>
      </w:tr>
      <w:tr>
        <w:trPr>
          <w:trHeight w:val="390" w:hRule="exact"/>
        </w:trPr>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36"/>
              <w:jc w:val="right"/>
              <w:rPr>
                <w:rFonts w:ascii="Times New Roman" w:hAnsi="Times New Roman" w:cs="Times New Roman" w:eastAsia="Times New Roman" w:hint="default"/>
                <w:sz w:val="18"/>
                <w:szCs w:val="18"/>
              </w:rPr>
            </w:pPr>
            <w:r>
              <w:rPr>
                <w:rFonts w:ascii="Times New Roman"/>
                <w:spacing w:val="-1"/>
                <w:sz w:val="18"/>
              </w:rPr>
              <w:t>46,967.50</w:t>
            </w:r>
          </w:p>
        </w:tc>
        <w:tc>
          <w:tcPr>
            <w:tcW w:w="207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802"/>
              <w:jc w:val="right"/>
              <w:rPr>
                <w:rFonts w:ascii="Times New Roman" w:hAnsi="Times New Roman" w:cs="Times New Roman" w:eastAsia="Times New Roman" w:hint="default"/>
                <w:sz w:val="18"/>
                <w:szCs w:val="18"/>
              </w:rPr>
            </w:pPr>
            <w:r>
              <w:rPr>
                <w:rFonts w:ascii="Times New Roman"/>
                <w:sz w:val="18"/>
              </w:rPr>
              <w:t>33,773.00</w:t>
            </w:r>
          </w:p>
        </w:tc>
        <w:tc>
          <w:tcPr>
            <w:tcW w:w="178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46,967.50</w:t>
            </w:r>
          </w:p>
        </w:tc>
      </w:tr>
      <w:tr>
        <w:trPr>
          <w:trHeight w:val="390" w:hRule="exact"/>
        </w:trPr>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34"/>
              <w:jc w:val="right"/>
              <w:rPr>
                <w:rFonts w:ascii="Times New Roman" w:hAnsi="Times New Roman" w:cs="Times New Roman" w:eastAsia="Times New Roman" w:hint="default"/>
                <w:sz w:val="18"/>
                <w:szCs w:val="18"/>
              </w:rPr>
            </w:pPr>
            <w:r>
              <w:rPr>
                <w:rFonts w:ascii="Times New Roman"/>
                <w:spacing w:val="-1"/>
                <w:sz w:val="18"/>
              </w:rPr>
              <w:t>23,317,124.35</w:t>
            </w:r>
          </w:p>
        </w:tc>
        <w:tc>
          <w:tcPr>
            <w:tcW w:w="207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804"/>
              <w:jc w:val="right"/>
              <w:rPr>
                <w:rFonts w:ascii="Times New Roman" w:hAnsi="Times New Roman" w:cs="Times New Roman" w:eastAsia="Times New Roman" w:hint="default"/>
                <w:sz w:val="18"/>
                <w:szCs w:val="18"/>
              </w:rPr>
            </w:pPr>
            <w:r>
              <w:rPr>
                <w:rFonts w:ascii="Times New Roman"/>
                <w:spacing w:val="-1"/>
                <w:sz w:val="18"/>
              </w:rPr>
              <w:t>17,134,014.01</w:t>
            </w:r>
          </w:p>
        </w:tc>
        <w:tc>
          <w:tcPr>
            <w:tcW w:w="178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2,595,690.32</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3"/>
          <w:szCs w:val="23"/>
        </w:rPr>
      </w:pPr>
    </w:p>
    <w:p>
      <w:pPr>
        <w:spacing w:line="340" w:lineRule="auto" w:before="35"/>
        <w:ind w:left="875" w:right="130" w:hanging="316"/>
        <w:jc w:val="left"/>
        <w:rPr>
          <w:rFonts w:ascii="宋体" w:hAnsi="宋体" w:cs="宋体" w:eastAsia="宋体" w:hint="default"/>
          <w:sz w:val="21"/>
          <w:szCs w:val="21"/>
        </w:rPr>
      </w:pPr>
      <w:r>
        <w:rPr>
          <w:rFonts w:ascii="Times New Roman" w:hAnsi="Times New Roman" w:cs="Times New Roman" w:eastAsia="Times New Roman" w:hint="default"/>
          <w:spacing w:val="-12"/>
          <w:sz w:val="21"/>
          <w:szCs w:val="21"/>
        </w:rPr>
        <w:t>*</w:t>
      </w:r>
      <w:r>
        <w:rPr>
          <w:rFonts w:ascii="宋体" w:hAnsi="宋体" w:cs="宋体" w:eastAsia="宋体" w:hint="default"/>
          <w:spacing w:val="-12"/>
          <w:sz w:val="21"/>
          <w:szCs w:val="21"/>
        </w:rPr>
        <w:t>：根据财税【</w:t>
      </w:r>
      <w:r>
        <w:rPr>
          <w:rFonts w:ascii="Times New Roman" w:hAnsi="Times New Roman" w:cs="Times New Roman" w:eastAsia="Times New Roman" w:hint="default"/>
          <w:spacing w:val="-12"/>
          <w:sz w:val="21"/>
          <w:szCs w:val="21"/>
        </w:rPr>
        <w:t>2008</w:t>
      </w:r>
      <w:r>
        <w:rPr>
          <w:rFonts w:ascii="宋体" w:hAnsi="宋体" w:cs="宋体" w:eastAsia="宋体" w:hint="default"/>
          <w:spacing w:val="-12"/>
          <w:sz w:val="21"/>
          <w:szCs w:val="21"/>
        </w:rPr>
        <w:t>】</w:t>
      </w:r>
      <w:r>
        <w:rPr>
          <w:rFonts w:ascii="Times New Roman" w:hAnsi="Times New Roman" w:cs="Times New Roman" w:eastAsia="Times New Roman" w:hint="default"/>
          <w:spacing w:val="-12"/>
          <w:sz w:val="21"/>
          <w:szCs w:val="21"/>
        </w:rPr>
        <w:t>92</w:t>
      </w:r>
      <w:r>
        <w:rPr>
          <w:rFonts w:ascii="Times New Roman" w:hAnsi="Times New Roman" w:cs="Times New Roman" w:eastAsia="Times New Roman" w:hint="default"/>
          <w:spacing w:val="27"/>
          <w:sz w:val="21"/>
          <w:szCs w:val="21"/>
        </w:rPr>
        <w:t> </w:t>
      </w:r>
      <w:r>
        <w:rPr>
          <w:rFonts w:ascii="宋体" w:hAnsi="宋体" w:cs="宋体" w:eastAsia="宋体" w:hint="default"/>
          <w:spacing w:val="-8"/>
          <w:sz w:val="21"/>
          <w:szCs w:val="21"/>
        </w:rPr>
        <w:t>号《财政部、国家税务总局关于嵌入式软件增值税政策的通知》、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财税【</w:t>
      </w:r>
      <w:r>
        <w:rPr>
          <w:rFonts w:ascii="Times New Roman" w:hAnsi="Times New Roman" w:cs="Times New Roman" w:eastAsia="Times New Roman" w:hint="default"/>
          <w:sz w:val="21"/>
          <w:szCs w:val="21"/>
        </w:rPr>
        <w:t>2011</w:t>
      </w:r>
      <w:r>
        <w:rPr>
          <w:rFonts w:ascii="宋体" w:hAnsi="宋体" w:cs="宋体" w:eastAsia="宋体" w:hint="default"/>
          <w:sz w:val="21"/>
          <w:szCs w:val="21"/>
        </w:rPr>
        <w:t>】</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号《财政部、国家税务总局关于软件产品增值税政策的通知》的 有关规定：增值税一般纳税人随同计算机网络、计算机硬件和机器设备等一并销售 其自行开发生产的嵌入式软件，如果能够按照《财政部、国家税务总局关于贯彻落 实〈中共中央、国务院关于加强技术创新，发展高科技，实现产业化的决定〉有关 </w:t>
      </w:r>
      <w:r>
        <w:rPr>
          <w:rFonts w:ascii="宋体" w:hAnsi="宋体" w:cs="宋体" w:eastAsia="宋体" w:hint="default"/>
          <w:spacing w:val="-7"/>
          <w:sz w:val="21"/>
          <w:szCs w:val="21"/>
        </w:rPr>
        <w:t>税收问题的通知》（财税字【</w:t>
      </w:r>
      <w:r>
        <w:rPr>
          <w:rFonts w:ascii="Times New Roman" w:hAnsi="Times New Roman" w:cs="Times New Roman" w:eastAsia="Times New Roman" w:hint="default"/>
          <w:spacing w:val="-7"/>
          <w:sz w:val="21"/>
          <w:szCs w:val="21"/>
        </w:rPr>
        <w:t>1999</w:t>
      </w:r>
      <w:r>
        <w:rPr>
          <w:rFonts w:ascii="宋体" w:hAnsi="宋体" w:cs="宋体" w:eastAsia="宋体" w:hint="default"/>
          <w:spacing w:val="-7"/>
          <w:sz w:val="21"/>
          <w:szCs w:val="21"/>
        </w:rPr>
        <w:t>】</w:t>
      </w:r>
      <w:r>
        <w:rPr>
          <w:rFonts w:ascii="Times New Roman" w:hAnsi="Times New Roman" w:cs="Times New Roman" w:eastAsia="Times New Roman" w:hint="default"/>
          <w:spacing w:val="-7"/>
          <w:sz w:val="21"/>
          <w:szCs w:val="21"/>
        </w:rPr>
        <w:t>273</w:t>
      </w:r>
      <w:r>
        <w:rPr>
          <w:rFonts w:ascii="Times New Roman" w:hAnsi="Times New Roman" w:cs="Times New Roman" w:eastAsia="Times New Roman" w:hint="default"/>
          <w:spacing w:val="9"/>
          <w:sz w:val="21"/>
          <w:szCs w:val="21"/>
        </w:rPr>
        <w:t> </w:t>
      </w:r>
      <w:r>
        <w:rPr>
          <w:rFonts w:ascii="宋体" w:hAnsi="宋体" w:cs="宋体" w:eastAsia="宋体" w:hint="default"/>
          <w:spacing w:val="-2"/>
          <w:sz w:val="21"/>
          <w:szCs w:val="21"/>
        </w:rPr>
        <w:t>号）第一条第三款之规定，分别核算嵌入式</w:t>
      </w:r>
      <w:r>
        <w:rPr>
          <w:rFonts w:ascii="宋体" w:hAnsi="宋体" w:cs="宋体" w:eastAsia="宋体" w:hint="default"/>
          <w:sz w:val="21"/>
          <w:szCs w:val="21"/>
        </w:rPr>
        <w:t> 软件与计算机硬件、机器设备等的销售额，可以享受软件产品增值税优惠政策。公 </w:t>
      </w:r>
      <w:r>
        <w:rPr>
          <w:rFonts w:ascii="宋体" w:hAnsi="宋体" w:cs="宋体" w:eastAsia="宋体" w:hint="default"/>
          <w:spacing w:val="-3"/>
          <w:sz w:val="21"/>
          <w:szCs w:val="21"/>
        </w:rPr>
        <w:t>司符合财税【</w:t>
      </w:r>
      <w:r>
        <w:rPr>
          <w:rFonts w:ascii="Times New Roman" w:hAnsi="Times New Roman" w:cs="Times New Roman" w:eastAsia="Times New Roman" w:hint="default"/>
          <w:spacing w:val="-3"/>
          <w:sz w:val="21"/>
          <w:szCs w:val="21"/>
        </w:rPr>
        <w:t>2008</w:t>
      </w: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92</w:t>
      </w:r>
      <w:r>
        <w:rPr>
          <w:rFonts w:ascii="Times New Roman" w:hAnsi="Times New Roman" w:cs="Times New Roman" w:eastAsia="Times New Roman" w:hint="default"/>
          <w:sz w:val="21"/>
          <w:szCs w:val="21"/>
        </w:rPr>
        <w:t> </w:t>
      </w:r>
      <w:r>
        <w:rPr>
          <w:rFonts w:ascii="宋体" w:hAnsi="宋体" w:cs="宋体" w:eastAsia="宋体" w:hint="default"/>
          <w:spacing w:val="-14"/>
          <w:sz w:val="21"/>
          <w:szCs w:val="21"/>
        </w:rPr>
        <w:t>号、【</w:t>
      </w:r>
      <w:r>
        <w:rPr>
          <w:rFonts w:ascii="Times New Roman" w:hAnsi="Times New Roman" w:cs="Times New Roman" w:eastAsia="Times New Roman" w:hint="default"/>
          <w:spacing w:val="-14"/>
          <w:sz w:val="21"/>
          <w:szCs w:val="21"/>
        </w:rPr>
        <w:t>2011</w:t>
      </w:r>
      <w:r>
        <w:rPr>
          <w:rFonts w:ascii="宋体" w:hAnsi="宋体" w:cs="宋体" w:eastAsia="宋体" w:hint="default"/>
          <w:spacing w:val="-14"/>
          <w:sz w:val="21"/>
          <w:szCs w:val="21"/>
        </w:rPr>
        <w:t>】</w:t>
      </w:r>
      <w:r>
        <w:rPr>
          <w:rFonts w:ascii="Times New Roman" w:hAnsi="Times New Roman" w:cs="Times New Roman" w:eastAsia="Times New Roman" w:hint="default"/>
          <w:spacing w:val="-14"/>
          <w:sz w:val="21"/>
          <w:szCs w:val="21"/>
        </w:rPr>
        <w:t>100</w:t>
      </w:r>
      <w:r>
        <w:rPr>
          <w:rFonts w:ascii="Times New Roman" w:hAnsi="Times New Roman" w:cs="Times New Roman" w:eastAsia="Times New Roman" w:hint="default"/>
          <w:spacing w:val="5"/>
          <w:sz w:val="21"/>
          <w:szCs w:val="21"/>
        </w:rPr>
        <w:t> </w:t>
      </w:r>
      <w:r>
        <w:rPr>
          <w:rFonts w:ascii="宋体" w:hAnsi="宋体" w:cs="宋体" w:eastAsia="宋体" w:hint="default"/>
          <w:spacing w:val="-1"/>
          <w:sz w:val="21"/>
          <w:szCs w:val="21"/>
        </w:rPr>
        <w:t>号之规定，嵌入式软件销售收入享受增值税</w:t>
      </w:r>
    </w:p>
    <w:p>
      <w:pPr>
        <w:spacing w:after="0" w:line="340" w:lineRule="auto"/>
        <w:jc w:val="left"/>
        <w:rPr>
          <w:rFonts w:ascii="宋体" w:hAnsi="宋体" w:cs="宋体" w:eastAsia="宋体" w:hint="default"/>
          <w:sz w:val="21"/>
          <w:szCs w:val="21"/>
        </w:rPr>
        <w:sectPr>
          <w:pgSz w:w="11910" w:h="16840"/>
          <w:pgMar w:header="0" w:footer="1256" w:top="1060" w:bottom="1440" w:left="1660" w:right="15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spacing w:before="0"/>
        <w:ind w:left="875" w:right="91"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即征即退优惠政策。</w:t>
      </w:r>
      <w:r>
        <w:rPr>
          <w:rFonts w:ascii="Times New Roman" w:hAnsi="Times New Roman" w:cs="Times New Roman" w:eastAsia="Times New Roman" w:hint="default"/>
          <w:sz w:val="21"/>
          <w:szCs w:val="21"/>
        </w:rPr>
        <w:t>2011 </w:t>
      </w:r>
      <w:r>
        <w:rPr>
          <w:rFonts w:ascii="宋体" w:hAnsi="宋体" w:cs="宋体" w:eastAsia="宋体" w:hint="default"/>
          <w:sz w:val="21"/>
          <w:szCs w:val="21"/>
        </w:rPr>
        <w:t>年软件收入增值税退税金额 </w:t>
      </w:r>
      <w:r>
        <w:rPr>
          <w:rFonts w:ascii="Times New Roman" w:hAnsi="Times New Roman" w:cs="Times New Roman" w:eastAsia="Times New Roman" w:hint="default"/>
          <w:sz w:val="21"/>
          <w:szCs w:val="21"/>
        </w:rPr>
        <w:t>20,721,434.03 </w:t>
      </w:r>
      <w:r>
        <w:rPr>
          <w:rFonts w:ascii="宋体" w:hAnsi="宋体" w:cs="宋体" w:eastAsia="宋体" w:hint="default"/>
          <w:sz w:val="21"/>
          <w:szCs w:val="21"/>
        </w:rPr>
        <w:t>元，截止</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2011</w:t>
      </w:r>
    </w:p>
    <w:p>
      <w:pPr>
        <w:spacing w:before="109"/>
        <w:ind w:left="875" w:right="91"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日尚有</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4,812,871.88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元未收到。</w:t>
      </w:r>
    </w:p>
    <w:p>
      <w:pPr>
        <w:spacing w:line="240" w:lineRule="auto" w:before="0"/>
        <w:rPr>
          <w:rFonts w:ascii="宋体" w:hAnsi="宋体" w:cs="宋体" w:eastAsia="宋体" w:hint="default"/>
          <w:sz w:val="22"/>
          <w:szCs w:val="22"/>
        </w:rPr>
      </w:pPr>
    </w:p>
    <w:p>
      <w:pPr>
        <w:tabs>
          <w:tab w:pos="1396" w:val="left" w:leader="none"/>
        </w:tabs>
        <w:spacing w:before="181"/>
        <w:ind w:left="857" w:right="9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政府补助明细</w:t>
      </w:r>
      <w:r>
        <w:rPr>
          <w:rFonts w:ascii="宋体" w:hAnsi="宋体" w:cs="宋体" w:eastAsia="宋体" w:hint="default"/>
          <w:sz w:val="21"/>
          <w:szCs w:val="21"/>
        </w:rPr>
      </w:r>
    </w:p>
    <w:p>
      <w:pPr>
        <w:tabs>
          <w:tab w:pos="2391" w:val="left" w:leader="none"/>
          <w:tab w:pos="4407" w:val="left" w:leader="none"/>
          <w:tab w:pos="5189" w:val="left" w:leader="none"/>
          <w:tab w:pos="6281" w:val="left" w:leader="none"/>
          <w:tab w:pos="7513" w:val="left" w:leader="none"/>
        </w:tabs>
        <w:spacing w:line="352" w:lineRule="exact" w:before="17"/>
        <w:ind w:left="248" w:right="408" w:firstLine="604"/>
        <w:jc w:val="left"/>
        <w:rPr>
          <w:rFonts w:ascii="宋体" w:hAnsi="宋体" w:cs="宋体" w:eastAsia="宋体" w:hint="default"/>
          <w:sz w:val="18"/>
          <w:szCs w:val="18"/>
        </w:rPr>
      </w:pPr>
      <w:r>
        <w:rPr/>
        <w:pict>
          <v:group style="position:absolute;margin-left:88.529999pt;margin-top:.83033pt;width:421.3pt;height:489.5pt;mso-position-horizontal-relative:page;mso-position-vertical-relative:paragraph;z-index:-808792" coordorigin="1771,17" coordsize="8426,9790">
            <v:group style="position:absolute;left:1800;top:32;width:8363;height:2" coordorigin="1800,32" coordsize="8363,2">
              <v:shape style="position:absolute;left:1800;top:32;width:8363;height:2" coordorigin="1800,32" coordsize="8363,0" path="m1800,32l10163,32e" filled="false" stroked="true" strokeweight="1.5pt" strokecolor="#000000">
                <v:path arrowok="t"/>
              </v:shape>
              <v:shape style="position:absolute;left:3553;top:18;width:5386;height:432" type="#_x0000_t75" stroked="false">
                <v:imagedata r:id="rId266" o:title=""/>
              </v:shape>
            </v:group>
            <v:group style="position:absolute;left:1786;top:9791;width:1797;height:2" coordorigin="1786,9791" coordsize="1797,2">
              <v:shape style="position:absolute;left:1786;top:9791;width:1797;height:2" coordorigin="1786,9791" coordsize="1797,0" path="m1786,9791l3582,9791e" filled="false" stroked="true" strokeweight="1.5pt" strokecolor="#000000">
                <v:path arrowok="t"/>
              </v:shape>
            </v:group>
            <v:group style="position:absolute;left:3582;top:9791;width:2189;height:2" coordorigin="3582,9791" coordsize="2189,2">
              <v:shape style="position:absolute;left:3582;top:9791;width:2189;height:2" coordorigin="3582,9791" coordsize="2189,0" path="m3582,9791l5771,9791e" filled="false" stroked="true" strokeweight="1.5pt" strokecolor="#000000">
                <v:path arrowok="t"/>
              </v:shape>
            </v:group>
            <v:group style="position:absolute;left:5771;top:9791;width:944;height:2" coordorigin="5771,9791" coordsize="944,2">
              <v:shape style="position:absolute;left:5771;top:9791;width:944;height:2" coordorigin="5771,9791" coordsize="944,0" path="m5771,9791l6714,9791e" filled="false" stroked="true" strokeweight="1.5pt" strokecolor="#000000">
                <v:path arrowok="t"/>
              </v:shape>
            </v:group>
            <v:group style="position:absolute;left:6714;top:9791;width:983;height:2" coordorigin="6714,9791" coordsize="983,2">
              <v:shape style="position:absolute;left:6714;top:9791;width:983;height:2" coordorigin="6714,9791" coordsize="983,0" path="m6714,9791l7697,9791e" filled="false" stroked="true" strokeweight="1.5pt" strokecolor="#000000">
                <v:path arrowok="t"/>
              </v:shape>
            </v:group>
            <v:group style="position:absolute;left:7697;top:9791;width:1204;height:2" coordorigin="7697,9791" coordsize="1204,2">
              <v:shape style="position:absolute;left:7697;top:9791;width:1204;height:2" coordorigin="7697,9791" coordsize="1204,0" path="m7697,9791l8900,9791e" filled="false" stroked="true" strokeweight="1.5pt" strokecolor="#000000">
                <v:path arrowok="t"/>
              </v:shape>
              <v:shape style="position:absolute;left:1771;top:399;width:8425;height:9377" type="#_x0000_t75" stroked="false">
                <v:imagedata r:id="rId267" o:title=""/>
              </v:shape>
            </v:group>
            <v:group style="position:absolute;left:8900;top:9791;width:1263;height:2" coordorigin="8900,9791" coordsize="1263,2">
              <v:shape style="position:absolute;left:8900;top:9791;width:1263;height:2" coordorigin="8900,9791" coordsize="1263,0" path="m8900,9791l10163,9791e" filled="false" stroked="true" strokeweight="1.5pt" strokecolor="#000000">
                <v:path arrowok="t"/>
              </v:shape>
            </v:group>
            <w10:wrap type="none"/>
          </v:group>
        </w:pict>
      </w:r>
      <w:r>
        <w:rPr>
          <w:rFonts w:ascii="宋体" w:hAnsi="宋体" w:cs="宋体" w:eastAsia="宋体" w:hint="default"/>
          <w:sz w:val="18"/>
          <w:szCs w:val="18"/>
        </w:rPr>
        <w:t>项目</w:t>
        <w:tab/>
        <w:t>具体性质和内容</w:t>
        <w:tab/>
        <w:t>形式</w:t>
        <w:tab/>
        <w:t>取得时间</w:t>
        <w:tab/>
        <w:t>本期金额</w:t>
        <w:tab/>
        <w:t>上期金额 广州市软件（动漫）</w:t>
      </w:r>
    </w:p>
    <w:p>
      <w:pPr>
        <w:spacing w:after="0" w:line="352" w:lineRule="exact"/>
        <w:jc w:val="left"/>
        <w:rPr>
          <w:rFonts w:ascii="宋体" w:hAnsi="宋体" w:cs="宋体" w:eastAsia="宋体" w:hint="default"/>
          <w:sz w:val="18"/>
          <w:szCs w:val="18"/>
        </w:rPr>
        <w:sectPr>
          <w:pgSz w:w="11910" w:h="16840"/>
          <w:pgMar w:header="0" w:footer="1256" w:top="1060" w:bottom="1440" w:left="1660" w:right="1600"/>
        </w:sectPr>
      </w:pPr>
    </w:p>
    <w:p>
      <w:pPr>
        <w:spacing w:line="316" w:lineRule="auto" w:before="31"/>
        <w:ind w:left="248" w:right="0" w:firstLine="0"/>
        <w:jc w:val="left"/>
        <w:rPr>
          <w:rFonts w:ascii="宋体" w:hAnsi="宋体" w:cs="宋体" w:eastAsia="宋体" w:hint="default"/>
          <w:sz w:val="18"/>
          <w:szCs w:val="18"/>
        </w:rPr>
      </w:pPr>
      <w:r>
        <w:rPr>
          <w:rFonts w:ascii="宋体" w:hAnsi="宋体" w:cs="宋体" w:eastAsia="宋体" w:hint="default"/>
          <w:spacing w:val="16"/>
          <w:sz w:val="18"/>
          <w:szCs w:val="18"/>
        </w:rPr>
        <w:t>产业发展资金项目</w:t>
      </w:r>
      <w:r>
        <w:rPr>
          <w:rFonts w:ascii="宋体" w:hAnsi="宋体" w:cs="宋体" w:eastAsia="宋体" w:hint="default"/>
          <w:spacing w:val="-88"/>
          <w:sz w:val="18"/>
          <w:szCs w:val="18"/>
        </w:rPr>
        <w:t> </w:t>
      </w:r>
      <w:r>
        <w:rPr>
          <w:rFonts w:ascii="宋体" w:hAnsi="宋体" w:cs="宋体" w:eastAsia="宋体" w:hint="default"/>
          <w:sz w:val="18"/>
          <w:szCs w:val="18"/>
        </w:rPr>
        <w:t>经费</w:t>
      </w:r>
    </w:p>
    <w:p>
      <w:pPr>
        <w:spacing w:line="316" w:lineRule="auto" w:before="29"/>
        <w:ind w:left="248" w:right="0" w:firstLine="0"/>
        <w:jc w:val="left"/>
        <w:rPr>
          <w:rFonts w:ascii="宋体" w:hAnsi="宋体" w:cs="宋体" w:eastAsia="宋体" w:hint="default"/>
          <w:sz w:val="18"/>
          <w:szCs w:val="18"/>
        </w:rPr>
      </w:pPr>
      <w:r>
        <w:rPr>
          <w:rFonts w:ascii="宋体" w:hAnsi="宋体" w:cs="宋体" w:eastAsia="宋体" w:hint="default"/>
          <w:spacing w:val="16"/>
          <w:sz w:val="18"/>
          <w:szCs w:val="18"/>
        </w:rPr>
        <w:t>广州市服务外包发</w:t>
      </w:r>
      <w:r>
        <w:rPr>
          <w:rFonts w:ascii="宋体" w:hAnsi="宋体" w:cs="宋体" w:eastAsia="宋体" w:hint="default"/>
          <w:spacing w:val="-88"/>
          <w:sz w:val="18"/>
          <w:szCs w:val="18"/>
        </w:rPr>
        <w:t> </w:t>
      </w:r>
      <w:r>
        <w:rPr>
          <w:rFonts w:ascii="宋体" w:hAnsi="宋体" w:cs="宋体" w:eastAsia="宋体" w:hint="default"/>
          <w:sz w:val="18"/>
          <w:szCs w:val="18"/>
        </w:rPr>
        <w:t>展专项资金</w:t>
      </w:r>
    </w:p>
    <w:p>
      <w:pPr>
        <w:spacing w:line="316" w:lineRule="auto" w:before="28"/>
        <w:ind w:left="248" w:right="0" w:firstLine="0"/>
        <w:jc w:val="left"/>
        <w:rPr>
          <w:rFonts w:ascii="宋体" w:hAnsi="宋体" w:cs="宋体" w:eastAsia="宋体" w:hint="default"/>
          <w:sz w:val="18"/>
          <w:szCs w:val="18"/>
        </w:rPr>
      </w:pPr>
      <w:r>
        <w:rPr>
          <w:rFonts w:ascii="宋体" w:hAnsi="宋体" w:cs="宋体" w:eastAsia="宋体" w:hint="default"/>
          <w:spacing w:val="16"/>
          <w:sz w:val="18"/>
          <w:szCs w:val="18"/>
        </w:rPr>
        <w:t>向国外申请专利专</w:t>
      </w:r>
      <w:r>
        <w:rPr>
          <w:rFonts w:ascii="宋体" w:hAnsi="宋体" w:cs="宋体" w:eastAsia="宋体" w:hint="default"/>
          <w:spacing w:val="-88"/>
          <w:sz w:val="18"/>
          <w:szCs w:val="18"/>
        </w:rPr>
        <w:t> </w:t>
      </w:r>
      <w:r>
        <w:rPr>
          <w:rFonts w:ascii="宋体" w:hAnsi="宋体" w:cs="宋体" w:eastAsia="宋体" w:hint="default"/>
          <w:sz w:val="18"/>
          <w:szCs w:val="18"/>
        </w:rPr>
        <w:t>项资助资金</w:t>
      </w:r>
    </w:p>
    <w:p>
      <w:pPr>
        <w:spacing w:line="316" w:lineRule="auto" w:before="28"/>
        <w:ind w:left="248" w:right="0" w:firstLine="0"/>
        <w:jc w:val="left"/>
        <w:rPr>
          <w:rFonts w:ascii="宋体" w:hAnsi="宋体" w:cs="宋体" w:eastAsia="宋体" w:hint="default"/>
          <w:sz w:val="18"/>
          <w:szCs w:val="18"/>
        </w:rPr>
      </w:pPr>
      <w:r>
        <w:rPr>
          <w:rFonts w:ascii="宋体" w:hAnsi="宋体" w:cs="宋体" w:eastAsia="宋体" w:hint="default"/>
          <w:spacing w:val="16"/>
          <w:sz w:val="18"/>
          <w:szCs w:val="18"/>
        </w:rPr>
        <w:t>加工贸易转型升级</w:t>
      </w:r>
      <w:r>
        <w:rPr>
          <w:rFonts w:ascii="宋体" w:hAnsi="宋体" w:cs="宋体" w:eastAsia="宋体" w:hint="default"/>
          <w:spacing w:val="-88"/>
          <w:sz w:val="18"/>
          <w:szCs w:val="18"/>
        </w:rPr>
        <w:t> </w:t>
      </w:r>
      <w:r>
        <w:rPr>
          <w:rFonts w:ascii="宋体" w:hAnsi="宋体" w:cs="宋体" w:eastAsia="宋体" w:hint="default"/>
          <w:sz w:val="18"/>
          <w:szCs w:val="18"/>
        </w:rPr>
        <w:t>自主品牌项目资金</w:t>
      </w:r>
    </w:p>
    <w:p>
      <w:pPr>
        <w:spacing w:line="240" w:lineRule="auto" w:before="2"/>
        <w:rPr>
          <w:rFonts w:ascii="宋体" w:hAnsi="宋体" w:cs="宋体" w:eastAsia="宋体" w:hint="default"/>
          <w:sz w:val="14"/>
          <w:szCs w:val="14"/>
        </w:rPr>
      </w:pPr>
    </w:p>
    <w:p>
      <w:pPr>
        <w:spacing w:line="316" w:lineRule="auto" w:before="0"/>
        <w:ind w:left="248" w:right="0" w:firstLine="0"/>
        <w:jc w:val="left"/>
        <w:rPr>
          <w:rFonts w:ascii="宋体" w:hAnsi="宋体" w:cs="宋体" w:eastAsia="宋体" w:hint="default"/>
          <w:sz w:val="18"/>
          <w:szCs w:val="18"/>
        </w:rPr>
      </w:pPr>
      <w:r>
        <w:rPr>
          <w:rFonts w:ascii="宋体" w:hAnsi="宋体" w:cs="宋体" w:eastAsia="宋体" w:hint="default"/>
          <w:spacing w:val="16"/>
          <w:sz w:val="18"/>
          <w:szCs w:val="18"/>
        </w:rPr>
        <w:t>市级企业技术中心</w:t>
      </w:r>
      <w:r>
        <w:rPr>
          <w:rFonts w:ascii="宋体" w:hAnsi="宋体" w:cs="宋体" w:eastAsia="宋体" w:hint="default"/>
          <w:spacing w:val="-88"/>
          <w:sz w:val="18"/>
          <w:szCs w:val="18"/>
        </w:rPr>
        <w:t> </w:t>
      </w:r>
      <w:r>
        <w:rPr>
          <w:rFonts w:ascii="宋体" w:hAnsi="宋体" w:cs="宋体" w:eastAsia="宋体" w:hint="default"/>
          <w:sz w:val="18"/>
          <w:szCs w:val="18"/>
        </w:rPr>
        <w:t>创新能力建设资金</w:t>
      </w:r>
    </w:p>
    <w:p>
      <w:pPr>
        <w:spacing w:line="240" w:lineRule="auto" w:before="1"/>
        <w:rPr>
          <w:rFonts w:ascii="宋体" w:hAnsi="宋体" w:cs="宋体" w:eastAsia="宋体" w:hint="default"/>
          <w:sz w:val="14"/>
          <w:szCs w:val="14"/>
        </w:rPr>
      </w:pPr>
    </w:p>
    <w:p>
      <w:pPr>
        <w:spacing w:line="316" w:lineRule="auto" w:before="0"/>
        <w:ind w:left="248" w:right="0" w:firstLine="0"/>
        <w:jc w:val="left"/>
        <w:rPr>
          <w:rFonts w:ascii="宋体" w:hAnsi="宋体" w:cs="宋体" w:eastAsia="宋体" w:hint="default"/>
          <w:sz w:val="18"/>
          <w:szCs w:val="18"/>
        </w:rPr>
      </w:pPr>
      <w:r>
        <w:rPr>
          <w:rFonts w:ascii="宋体" w:hAnsi="宋体" w:cs="宋体" w:eastAsia="宋体" w:hint="default"/>
          <w:spacing w:val="16"/>
          <w:sz w:val="18"/>
          <w:szCs w:val="18"/>
        </w:rPr>
        <w:t>向国外申请专利专</w:t>
      </w:r>
      <w:r>
        <w:rPr>
          <w:rFonts w:ascii="宋体" w:hAnsi="宋体" w:cs="宋体" w:eastAsia="宋体" w:hint="default"/>
          <w:spacing w:val="-88"/>
          <w:sz w:val="18"/>
          <w:szCs w:val="18"/>
        </w:rPr>
        <w:t> </w:t>
      </w:r>
      <w:r>
        <w:rPr>
          <w:rFonts w:ascii="宋体" w:hAnsi="宋体" w:cs="宋体" w:eastAsia="宋体" w:hint="default"/>
          <w:sz w:val="18"/>
          <w:szCs w:val="18"/>
        </w:rPr>
        <w:t>项资助资金</w:t>
      </w:r>
    </w:p>
    <w:p>
      <w:pPr>
        <w:spacing w:before="59"/>
        <w:ind w:left="29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年省中小企业</w:t>
      </w:r>
    </w:p>
    <w:p>
      <w:pPr>
        <w:spacing w:line="111" w:lineRule="exact" w:before="0"/>
        <w:ind w:left="155" w:right="0" w:firstLine="0"/>
        <w:jc w:val="both"/>
        <w:rPr>
          <w:rFonts w:ascii="宋体" w:hAnsi="宋体" w:cs="宋体" w:eastAsia="宋体" w:hint="default"/>
          <w:sz w:val="18"/>
          <w:szCs w:val="18"/>
        </w:rPr>
      </w:pPr>
      <w:r>
        <w:rPr>
          <w:spacing w:val="17"/>
        </w:rPr>
        <w:br w:type="column"/>
      </w:r>
      <w:r>
        <w:rPr>
          <w:rFonts w:ascii="宋体" w:hAnsi="宋体" w:cs="宋体" w:eastAsia="宋体" w:hint="default"/>
          <w:spacing w:val="17"/>
          <w:sz w:val="18"/>
          <w:szCs w:val="18"/>
        </w:rPr>
        <w:t>重点软件和动漫企业人</w:t>
      </w:r>
      <w:r>
        <w:rPr>
          <w:rFonts w:ascii="宋体" w:hAnsi="宋体" w:cs="宋体" w:eastAsia="宋体" w:hint="default"/>
          <w:spacing w:val="-71"/>
          <w:sz w:val="18"/>
          <w:szCs w:val="18"/>
        </w:rPr>
        <w:t> </w:t>
      </w:r>
      <w:r>
        <w:rPr>
          <w:rFonts w:ascii="宋体" w:hAnsi="宋体" w:cs="宋体" w:eastAsia="宋体" w:hint="default"/>
          <w:sz w:val="18"/>
          <w:szCs w:val="18"/>
        </w:rPr>
      </w:r>
    </w:p>
    <w:p>
      <w:pPr>
        <w:spacing w:before="76"/>
        <w:ind w:left="155" w:right="0" w:firstLine="0"/>
        <w:jc w:val="both"/>
        <w:rPr>
          <w:rFonts w:ascii="宋体" w:hAnsi="宋体" w:cs="宋体" w:eastAsia="宋体" w:hint="default"/>
          <w:sz w:val="18"/>
          <w:szCs w:val="18"/>
        </w:rPr>
      </w:pPr>
      <w:r>
        <w:rPr>
          <w:rFonts w:ascii="宋体" w:hAnsi="宋体" w:cs="宋体" w:eastAsia="宋体" w:hint="default"/>
          <w:sz w:val="18"/>
          <w:szCs w:val="18"/>
        </w:rPr>
        <w:t>才税收奖励</w:t>
      </w:r>
    </w:p>
    <w:p>
      <w:pPr>
        <w:spacing w:line="240" w:lineRule="auto" w:before="8"/>
        <w:rPr>
          <w:rFonts w:ascii="宋体" w:hAnsi="宋体" w:cs="宋体" w:eastAsia="宋体" w:hint="default"/>
          <w:sz w:val="18"/>
          <w:szCs w:val="18"/>
        </w:rPr>
      </w:pPr>
    </w:p>
    <w:p>
      <w:pPr>
        <w:spacing w:line="300" w:lineRule="auto" w:before="0"/>
        <w:ind w:left="155" w:right="17" w:firstLine="0"/>
        <w:jc w:val="both"/>
        <w:rPr>
          <w:rFonts w:ascii="宋体" w:hAnsi="宋体" w:cs="宋体" w:eastAsia="宋体" w:hint="default"/>
          <w:sz w:val="18"/>
          <w:szCs w:val="18"/>
        </w:rPr>
      </w:pPr>
      <w:r>
        <w:rPr/>
        <w:pict>
          <v:shape style="position:absolute;margin-left:292.430298pt;margin-top:5.576732pt;width:149.2pt;height:161.9pt;mso-position-horizontal-relative:page;mso-position-vertical-relative:paragraph;z-index:197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13"/>
                    <w:gridCol w:w="980"/>
                    <w:gridCol w:w="1090"/>
                  </w:tblGrid>
                  <w:tr>
                    <w:trPr>
                      <w:trHeight w:val="512" w:hRule="exact"/>
                    </w:trPr>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财政拨款</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Times New Roman" w:hAnsi="Times New Roman" w:cs="Times New Roman" w:eastAsia="Times New Roman" w:hint="default"/>
                            <w:sz w:val="18"/>
                            <w:szCs w:val="18"/>
                          </w:rPr>
                        </w:pPr>
                        <w:r>
                          <w:rPr>
                            <w:rFonts w:ascii="Times New Roman"/>
                            <w:sz w:val="18"/>
                          </w:rPr>
                          <w:t>50,000.00</w:t>
                        </w:r>
                      </w:p>
                    </w:tc>
                  </w:tr>
                  <w:tr>
                    <w:trPr>
                      <w:trHeight w:val="634" w:hRule="exact"/>
                    </w:trPr>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财政拨款</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4,000.00</w:t>
                        </w:r>
                      </w:p>
                    </w:tc>
                  </w:tr>
                  <w:tr>
                    <w:trPr>
                      <w:trHeight w:val="712" w:hRule="exact"/>
                    </w:trPr>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财政拨款</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200,000.00</w:t>
                        </w:r>
                      </w:p>
                    </w:tc>
                  </w:tr>
                  <w:tr>
                    <w:trPr>
                      <w:trHeight w:val="790" w:hRule="exact"/>
                    </w:trPr>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财政拨款</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1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200,000.00</w:t>
                        </w:r>
                      </w:p>
                    </w:tc>
                  </w:tr>
                  <w:tr>
                    <w:trPr>
                      <w:trHeight w:val="590" w:hRule="exact"/>
                    </w:trPr>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财政拨款</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1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30,000.00</w:t>
                        </w:r>
                      </w:p>
                    </w:tc>
                  </w:tr>
                </w:tbl>
                <w:p>
                  <w:pPr/>
                </w:p>
              </w:txbxContent>
            </v:textbox>
            <w10:wrap type="none"/>
          </v:shape>
        </w:pict>
      </w:r>
      <w:r>
        <w:rPr>
          <w:rFonts w:ascii="宋体" w:hAnsi="宋体" w:cs="宋体" w:eastAsia="宋体" w:hint="default"/>
          <w:sz w:val="18"/>
          <w:szCs w:val="18"/>
        </w:rPr>
        <w:t>天河经贸局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37"/>
          <w:sz w:val="18"/>
          <w:szCs w:val="18"/>
        </w:rPr>
        <w:t> </w:t>
      </w:r>
      <w:r>
        <w:rPr>
          <w:rFonts w:ascii="宋体" w:hAnsi="宋体" w:cs="宋体" w:eastAsia="宋体" w:hint="default"/>
          <w:sz w:val="18"/>
          <w:szCs w:val="18"/>
        </w:rPr>
        <w:t>年服务 外包款</w:t>
      </w:r>
    </w:p>
    <w:p>
      <w:pPr>
        <w:spacing w:line="240" w:lineRule="auto" w:before="1"/>
        <w:rPr>
          <w:rFonts w:ascii="宋体" w:hAnsi="宋体" w:cs="宋体" w:eastAsia="宋体" w:hint="default"/>
          <w:sz w:val="15"/>
          <w:szCs w:val="15"/>
        </w:rPr>
      </w:pPr>
    </w:p>
    <w:p>
      <w:pPr>
        <w:spacing w:before="0"/>
        <w:ind w:left="155" w:right="0" w:firstLine="0"/>
        <w:jc w:val="both"/>
        <w:rPr>
          <w:rFonts w:ascii="宋体" w:hAnsi="宋体" w:cs="宋体" w:eastAsia="宋体" w:hint="default"/>
          <w:sz w:val="18"/>
          <w:szCs w:val="18"/>
        </w:rPr>
      </w:pPr>
      <w:r>
        <w:rPr>
          <w:rFonts w:ascii="宋体" w:hAnsi="宋体" w:cs="宋体" w:eastAsia="宋体" w:hint="default"/>
          <w:sz w:val="18"/>
          <w:szCs w:val="18"/>
        </w:rPr>
        <w:t>专利资助款</w:t>
      </w:r>
    </w:p>
    <w:p>
      <w:pPr>
        <w:spacing w:line="240" w:lineRule="auto" w:before="7"/>
        <w:rPr>
          <w:rFonts w:ascii="宋体" w:hAnsi="宋体" w:cs="宋体" w:eastAsia="宋体" w:hint="default"/>
          <w:sz w:val="18"/>
          <w:szCs w:val="18"/>
        </w:rPr>
      </w:pPr>
    </w:p>
    <w:p>
      <w:pPr>
        <w:spacing w:line="316" w:lineRule="auto" w:before="0"/>
        <w:ind w:left="155" w:right="0" w:firstLine="0"/>
        <w:jc w:val="both"/>
        <w:rPr>
          <w:rFonts w:ascii="宋体" w:hAnsi="宋体" w:cs="宋体" w:eastAsia="宋体" w:hint="default"/>
          <w:sz w:val="18"/>
          <w:szCs w:val="18"/>
        </w:rPr>
      </w:pPr>
      <w:r>
        <w:rPr>
          <w:rFonts w:ascii="宋体" w:hAnsi="宋体" w:cs="宋体" w:eastAsia="宋体" w:hint="default"/>
          <w:spacing w:val="17"/>
          <w:sz w:val="18"/>
          <w:szCs w:val="18"/>
        </w:rPr>
        <w:t>加工贸易转型升级自主</w:t>
      </w:r>
      <w:r>
        <w:rPr>
          <w:rFonts w:ascii="宋体" w:hAnsi="宋体" w:cs="宋体" w:eastAsia="宋体" w:hint="default"/>
          <w:spacing w:val="-71"/>
          <w:sz w:val="18"/>
          <w:szCs w:val="18"/>
        </w:rPr>
        <w:t> </w:t>
      </w:r>
      <w:r>
        <w:rPr>
          <w:rFonts w:ascii="宋体" w:hAnsi="宋体" w:cs="宋体" w:eastAsia="宋体" w:hint="default"/>
          <w:sz w:val="18"/>
          <w:szCs w:val="18"/>
        </w:rPr>
        <w:t>品牌项目资金</w:t>
      </w:r>
    </w:p>
    <w:p>
      <w:pPr>
        <w:spacing w:line="316" w:lineRule="auto" w:before="29"/>
        <w:ind w:left="155" w:right="0" w:firstLine="0"/>
        <w:jc w:val="both"/>
        <w:rPr>
          <w:rFonts w:ascii="宋体" w:hAnsi="宋体" w:cs="宋体" w:eastAsia="宋体" w:hint="default"/>
          <w:sz w:val="18"/>
          <w:szCs w:val="18"/>
        </w:rPr>
      </w:pPr>
      <w:r>
        <w:rPr>
          <w:rFonts w:ascii="宋体" w:hAnsi="宋体" w:cs="宋体" w:eastAsia="宋体" w:hint="default"/>
          <w:spacing w:val="17"/>
          <w:sz w:val="18"/>
          <w:szCs w:val="18"/>
        </w:rPr>
        <w:t>天河经贸局市级企业技</w:t>
      </w:r>
      <w:r>
        <w:rPr>
          <w:rFonts w:ascii="宋体" w:hAnsi="宋体" w:cs="宋体" w:eastAsia="宋体" w:hint="default"/>
          <w:spacing w:val="-71"/>
          <w:sz w:val="18"/>
          <w:szCs w:val="18"/>
        </w:rPr>
        <w:t> </w:t>
      </w:r>
      <w:r>
        <w:rPr>
          <w:rFonts w:ascii="宋体" w:hAnsi="宋体" w:cs="宋体" w:eastAsia="宋体" w:hint="default"/>
          <w:spacing w:val="17"/>
          <w:sz w:val="18"/>
          <w:szCs w:val="18"/>
        </w:rPr>
        <w:t>术中心创新能力建设资</w:t>
      </w:r>
      <w:r>
        <w:rPr>
          <w:rFonts w:ascii="宋体" w:hAnsi="宋体" w:cs="宋体" w:eastAsia="宋体" w:hint="default"/>
          <w:spacing w:val="-71"/>
          <w:sz w:val="18"/>
          <w:szCs w:val="18"/>
        </w:rPr>
        <w:t> </w:t>
      </w:r>
      <w:r>
        <w:rPr>
          <w:rFonts w:ascii="宋体" w:hAnsi="宋体" w:cs="宋体" w:eastAsia="宋体" w:hint="default"/>
          <w:sz w:val="18"/>
          <w:szCs w:val="18"/>
        </w:rPr>
        <w:t>金</w:t>
      </w:r>
    </w:p>
    <w:p>
      <w:pPr>
        <w:spacing w:line="316" w:lineRule="auto" w:before="28"/>
        <w:ind w:left="155" w:right="0" w:firstLine="0"/>
        <w:jc w:val="both"/>
        <w:rPr>
          <w:rFonts w:ascii="宋体" w:hAnsi="宋体" w:cs="宋体" w:eastAsia="宋体" w:hint="default"/>
          <w:sz w:val="18"/>
          <w:szCs w:val="18"/>
        </w:rPr>
      </w:pPr>
      <w:r>
        <w:rPr>
          <w:rFonts w:ascii="宋体" w:hAnsi="宋体" w:cs="宋体" w:eastAsia="宋体" w:hint="default"/>
          <w:spacing w:val="17"/>
          <w:sz w:val="18"/>
          <w:szCs w:val="18"/>
        </w:rPr>
        <w:t>广东进出口商会泰国展</w:t>
      </w:r>
      <w:r>
        <w:rPr>
          <w:rFonts w:ascii="宋体" w:hAnsi="宋体" w:cs="宋体" w:eastAsia="宋体" w:hint="default"/>
          <w:spacing w:val="-71"/>
          <w:sz w:val="18"/>
          <w:szCs w:val="18"/>
        </w:rPr>
        <w:t> </w:t>
      </w:r>
      <w:r>
        <w:rPr>
          <w:rFonts w:ascii="宋体" w:hAnsi="宋体" w:cs="宋体" w:eastAsia="宋体" w:hint="default"/>
          <w:sz w:val="18"/>
          <w:szCs w:val="18"/>
        </w:rPr>
        <w:t>费用补贴款</w:t>
      </w:r>
    </w:p>
    <w:p>
      <w:pPr>
        <w:tabs>
          <w:tab w:pos="1193" w:val="left" w:leader="none"/>
          <w:tab w:pos="2124" w:val="left" w:leader="none"/>
          <w:tab w:pos="3383" w:val="left" w:leader="none"/>
        </w:tabs>
        <w:spacing w:before="31"/>
        <w:ind w:left="156" w:right="0"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sz w:val="18"/>
          <w:szCs w:val="18"/>
        </w:rPr>
        <w:t>财政拨款</w:t>
        <w:tab/>
      </w:r>
      <w:r>
        <w:rPr>
          <w:rFonts w:ascii="Times New Roman" w:hAnsi="Times New Roman" w:cs="Times New Roman" w:eastAsia="Times New Roman" w:hint="default"/>
          <w:spacing w:val="-2"/>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pacing w:val="-1"/>
          <w:sz w:val="18"/>
          <w:szCs w:val="18"/>
        </w:rPr>
        <w:t>2,000,000.00</w:t>
        <w:tab/>
        <w:t>1,000,000.00</w:t>
      </w:r>
    </w:p>
    <w:p>
      <w:pPr>
        <w:spacing w:after="0"/>
        <w:jc w:val="left"/>
        <w:rPr>
          <w:rFonts w:ascii="Times New Roman" w:hAnsi="Times New Roman" w:cs="Times New Roman" w:eastAsia="Times New Roman" w:hint="default"/>
          <w:sz w:val="18"/>
          <w:szCs w:val="18"/>
        </w:rPr>
        <w:sectPr>
          <w:type w:val="continuous"/>
          <w:pgSz w:w="11910" w:h="16840"/>
          <w:pgMar w:top="1100" w:bottom="1240" w:left="1660" w:right="1600"/>
          <w:cols w:num="3" w:equalWidth="0">
            <w:col w:w="1840" w:space="40"/>
            <w:col w:w="2148" w:space="40"/>
            <w:col w:w="4582"/>
          </w:cols>
        </w:sectPr>
      </w:pPr>
    </w:p>
    <w:p>
      <w:pPr>
        <w:spacing w:line="381" w:lineRule="auto" w:before="125"/>
        <w:ind w:left="762" w:right="-20" w:hanging="450"/>
        <w:jc w:val="left"/>
        <w:rPr>
          <w:rFonts w:ascii="宋体" w:hAnsi="宋体" w:cs="宋体" w:eastAsia="宋体" w:hint="default"/>
          <w:sz w:val="18"/>
          <w:szCs w:val="18"/>
        </w:rPr>
      </w:pPr>
      <w:r>
        <w:rPr>
          <w:rFonts w:ascii="宋体" w:hAnsi="宋体" w:cs="宋体" w:eastAsia="宋体" w:hint="default"/>
          <w:sz w:val="18"/>
          <w:szCs w:val="18"/>
        </w:rPr>
        <w:t>专项资金政银企合 作项目</w:t>
      </w:r>
    </w:p>
    <w:p>
      <w:pPr>
        <w:tabs>
          <w:tab w:pos="2430" w:val="left" w:leader="none"/>
          <w:tab w:pos="3463" w:val="left" w:leader="none"/>
          <w:tab w:pos="5791" w:val="left" w:leader="none"/>
        </w:tabs>
        <w:spacing w:before="109"/>
        <w:ind w:left="241" w:right="0" w:firstLine="0"/>
        <w:jc w:val="left"/>
        <w:rPr>
          <w:rFonts w:ascii="Times New Roman" w:hAnsi="Times New Roman" w:cs="Times New Roman" w:eastAsia="Times New Roman" w:hint="default"/>
          <w:sz w:val="18"/>
          <w:szCs w:val="18"/>
        </w:rPr>
      </w:pPr>
      <w:r>
        <w:rPr>
          <w:spacing w:val="-1"/>
        </w:rPr>
        <w:br w:type="column"/>
      </w:r>
      <w:r>
        <w:rPr>
          <w:rFonts w:ascii="宋体" w:hAnsi="宋体" w:cs="宋体" w:eastAsia="宋体" w:hint="default"/>
          <w:spacing w:val="-1"/>
          <w:sz w:val="20"/>
          <w:szCs w:val="20"/>
        </w:rPr>
        <w:t>增强自主创新能力</w:t>
        <w:tab/>
      </w:r>
      <w:r>
        <w:rPr>
          <w:rFonts w:ascii="宋体" w:hAnsi="宋体" w:cs="宋体" w:eastAsia="宋体" w:hint="default"/>
          <w:position w:val="1"/>
          <w:sz w:val="18"/>
          <w:szCs w:val="18"/>
        </w:rPr>
        <w:t>财政拨款</w:t>
        <w:tab/>
      </w:r>
      <w:r>
        <w:rPr>
          <w:rFonts w:ascii="Times New Roman" w:hAnsi="Times New Roman" w:cs="Times New Roman" w:eastAsia="Times New Roman" w:hint="default"/>
          <w:position w:val="1"/>
          <w:sz w:val="18"/>
          <w:szCs w:val="18"/>
        </w:rPr>
        <w:t>2010</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tab/>
      </w:r>
      <w:r>
        <w:rPr>
          <w:rFonts w:ascii="Times New Roman" w:hAnsi="Times New Roman" w:cs="Times New Roman" w:eastAsia="Times New Roman" w:hint="default"/>
          <w:position w:val="1"/>
          <w:sz w:val="18"/>
          <w:szCs w:val="18"/>
        </w:rPr>
        <w:t>640,000.00</w:t>
      </w:r>
      <w:r>
        <w:rPr>
          <w:rFonts w:ascii="Times New Roman" w:hAnsi="Times New Roman" w:cs="Times New Roman" w:eastAsia="Times New Roman" w:hint="default"/>
          <w:sz w:val="18"/>
          <w:szCs w:val="18"/>
        </w:rPr>
      </w:r>
    </w:p>
    <w:p>
      <w:pPr>
        <w:spacing w:after="0"/>
        <w:jc w:val="left"/>
        <w:rPr>
          <w:rFonts w:ascii="Times New Roman" w:hAnsi="Times New Roman" w:cs="Times New Roman" w:eastAsia="Times New Roman" w:hint="default"/>
          <w:sz w:val="18"/>
          <w:szCs w:val="18"/>
        </w:rPr>
        <w:sectPr>
          <w:type w:val="continuous"/>
          <w:pgSz w:w="11910" w:h="16840"/>
          <w:pgMar w:top="1100" w:bottom="1240" w:left="1660" w:right="1600"/>
          <w:cols w:num="2" w:equalWidth="0">
            <w:col w:w="1753" w:space="40"/>
            <w:col w:w="6857"/>
          </w:cols>
        </w:sectPr>
      </w:pPr>
    </w:p>
    <w:p>
      <w:pPr>
        <w:spacing w:line="381" w:lineRule="auto" w:before="43"/>
        <w:ind w:left="312" w:right="-20" w:firstLine="0"/>
        <w:jc w:val="left"/>
        <w:rPr>
          <w:rFonts w:ascii="宋体" w:hAnsi="宋体" w:cs="宋体" w:eastAsia="宋体" w:hint="default"/>
          <w:sz w:val="18"/>
          <w:szCs w:val="18"/>
        </w:rPr>
      </w:pPr>
      <w:r>
        <w:rPr>
          <w:rFonts w:ascii="宋体" w:hAnsi="宋体" w:cs="宋体" w:eastAsia="宋体" w:hint="default"/>
          <w:sz w:val="18"/>
          <w:szCs w:val="18"/>
        </w:rPr>
        <w:t>广东广州天河区经 济贸易局贴息资金</w:t>
      </w:r>
    </w:p>
    <w:p>
      <w:pPr>
        <w:spacing w:line="360" w:lineRule="auto" w:before="43"/>
        <w:ind w:left="242" w:right="0"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5"/>
          <w:sz w:val="18"/>
          <w:szCs w:val="18"/>
        </w:rPr>
        <w:t> </w:t>
      </w:r>
      <w:r>
        <w:rPr>
          <w:rFonts w:ascii="宋体" w:hAnsi="宋体" w:cs="宋体" w:eastAsia="宋体" w:hint="default"/>
          <w:spacing w:val="9"/>
          <w:sz w:val="18"/>
          <w:szCs w:val="18"/>
        </w:rPr>
        <w:t>年广东省保持外贸</w:t>
      </w:r>
      <w:r>
        <w:rPr>
          <w:rFonts w:ascii="宋体" w:hAnsi="宋体" w:cs="宋体" w:eastAsia="宋体" w:hint="default"/>
          <w:spacing w:val="10"/>
          <w:sz w:val="18"/>
          <w:szCs w:val="18"/>
        </w:rPr>
        <w:t> </w:t>
      </w:r>
      <w:r>
        <w:rPr>
          <w:rFonts w:ascii="宋体" w:hAnsi="宋体" w:cs="宋体" w:eastAsia="宋体" w:hint="default"/>
          <w:sz w:val="18"/>
          <w:szCs w:val="18"/>
        </w:rPr>
        <w:t>稳定增长资金</w:t>
      </w:r>
    </w:p>
    <w:p>
      <w:pPr>
        <w:spacing w:line="240" w:lineRule="auto" w:before="8"/>
        <w:rPr>
          <w:rFonts w:ascii="宋体" w:hAnsi="宋体" w:cs="宋体" w:eastAsia="宋体" w:hint="default"/>
          <w:sz w:val="17"/>
          <w:szCs w:val="17"/>
        </w:rPr>
      </w:pPr>
      <w:r>
        <w:rPr/>
        <w:br w:type="column"/>
      </w:r>
      <w:r>
        <w:rPr>
          <w:rFonts w:ascii="宋体"/>
          <w:sz w:val="17"/>
        </w:rPr>
      </w:r>
    </w:p>
    <w:p>
      <w:pPr>
        <w:tabs>
          <w:tab w:pos="1197" w:val="left" w:leader="none"/>
          <w:tab w:pos="3615" w:val="left" w:leader="none"/>
        </w:tabs>
        <w:spacing w:before="0"/>
        <w:ind w:left="16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财政拨款</w:t>
        <w:tab/>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35,000.00</w:t>
      </w:r>
    </w:p>
    <w:p>
      <w:pPr>
        <w:spacing w:after="0"/>
        <w:jc w:val="left"/>
        <w:rPr>
          <w:rFonts w:ascii="Times New Roman" w:hAnsi="Times New Roman" w:cs="Times New Roman" w:eastAsia="Times New Roman" w:hint="default"/>
          <w:sz w:val="18"/>
          <w:szCs w:val="18"/>
        </w:rPr>
        <w:sectPr>
          <w:type w:val="continuous"/>
          <w:pgSz w:w="11910" w:h="16840"/>
          <w:pgMar w:top="1100" w:bottom="1240" w:left="1660" w:right="1600"/>
          <w:cols w:num="3" w:equalWidth="0">
            <w:col w:w="1753" w:space="40"/>
            <w:col w:w="2227" w:space="40"/>
            <w:col w:w="4590"/>
          </w:cols>
        </w:sectPr>
      </w:pPr>
    </w:p>
    <w:p>
      <w:pPr>
        <w:spacing w:line="381" w:lineRule="auto" w:before="42"/>
        <w:ind w:left="312" w:right="-20" w:firstLine="0"/>
        <w:jc w:val="left"/>
        <w:rPr>
          <w:rFonts w:ascii="宋体" w:hAnsi="宋体" w:cs="宋体" w:eastAsia="宋体" w:hint="default"/>
          <w:sz w:val="18"/>
          <w:szCs w:val="18"/>
        </w:rPr>
      </w:pPr>
      <w:r>
        <w:rPr>
          <w:rFonts w:ascii="宋体" w:hAnsi="宋体" w:cs="宋体" w:eastAsia="宋体" w:hint="default"/>
          <w:sz w:val="18"/>
          <w:szCs w:val="18"/>
        </w:rPr>
        <w:t>广东广州天河区经 济贸易局贴息资金</w:t>
      </w:r>
    </w:p>
    <w:p>
      <w:pPr>
        <w:spacing w:line="240" w:lineRule="auto" w:before="7"/>
        <w:rPr>
          <w:rFonts w:ascii="宋体" w:hAnsi="宋体" w:cs="宋体" w:eastAsia="宋体" w:hint="default"/>
          <w:sz w:val="17"/>
          <w:szCs w:val="17"/>
        </w:rPr>
      </w:pPr>
      <w:r>
        <w:rPr/>
        <w:br w:type="column"/>
      </w:r>
      <w:r>
        <w:rPr>
          <w:rFonts w:ascii="宋体"/>
          <w:sz w:val="17"/>
        </w:rPr>
      </w:r>
    </w:p>
    <w:p>
      <w:pPr>
        <w:tabs>
          <w:tab w:pos="2430" w:val="left" w:leader="none"/>
          <w:tab w:pos="3463" w:val="left" w:leader="none"/>
          <w:tab w:pos="5971" w:val="left" w:leader="none"/>
        </w:tabs>
        <w:spacing w:before="0"/>
        <w:ind w:left="242"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出口补贴</w:t>
        <w:tab/>
        <w:t>财政拨款</w:t>
        <w:tab/>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7,921.00</w:t>
      </w:r>
    </w:p>
    <w:p>
      <w:pPr>
        <w:spacing w:after="0"/>
        <w:jc w:val="left"/>
        <w:rPr>
          <w:rFonts w:ascii="Times New Roman" w:hAnsi="Times New Roman" w:cs="Times New Roman" w:eastAsia="Times New Roman" w:hint="default"/>
          <w:sz w:val="18"/>
          <w:szCs w:val="18"/>
        </w:rPr>
        <w:sectPr>
          <w:type w:val="continuous"/>
          <w:pgSz w:w="11910" w:h="16840"/>
          <w:pgMar w:top="1100" w:bottom="1240" w:left="1660" w:right="1600"/>
          <w:cols w:num="2" w:equalWidth="0">
            <w:col w:w="1753" w:space="40"/>
            <w:col w:w="6857"/>
          </w:cols>
        </w:sectPr>
      </w:pPr>
    </w:p>
    <w:p>
      <w:pPr>
        <w:spacing w:line="381" w:lineRule="auto" w:before="42"/>
        <w:ind w:left="248" w:right="0" w:firstLine="0"/>
        <w:jc w:val="both"/>
        <w:rPr>
          <w:rFonts w:ascii="宋体" w:hAnsi="宋体" w:cs="宋体" w:eastAsia="宋体" w:hint="default"/>
          <w:sz w:val="18"/>
          <w:szCs w:val="18"/>
        </w:rPr>
      </w:pPr>
      <w:r>
        <w:rPr>
          <w:rFonts w:ascii="宋体" w:hAnsi="宋体" w:cs="宋体" w:eastAsia="宋体" w:hint="default"/>
          <w:spacing w:val="16"/>
          <w:sz w:val="18"/>
          <w:szCs w:val="18"/>
        </w:rPr>
        <w:t>天河经贸局促进总</w:t>
      </w:r>
      <w:r>
        <w:rPr>
          <w:rFonts w:ascii="宋体" w:hAnsi="宋体" w:cs="宋体" w:eastAsia="宋体" w:hint="default"/>
          <w:spacing w:val="-88"/>
          <w:sz w:val="18"/>
          <w:szCs w:val="18"/>
        </w:rPr>
        <w:t> </w:t>
      </w:r>
      <w:r>
        <w:rPr>
          <w:rFonts w:ascii="宋体" w:hAnsi="宋体" w:cs="宋体" w:eastAsia="宋体" w:hint="default"/>
          <w:spacing w:val="16"/>
          <w:sz w:val="18"/>
          <w:szCs w:val="18"/>
        </w:rPr>
        <w:t>部经济和高端服务</w:t>
      </w:r>
      <w:r>
        <w:rPr>
          <w:rFonts w:ascii="宋体" w:hAnsi="宋体" w:cs="宋体" w:eastAsia="宋体" w:hint="default"/>
          <w:spacing w:val="-88"/>
          <w:sz w:val="18"/>
          <w:szCs w:val="18"/>
        </w:rPr>
        <w:t> </w:t>
      </w:r>
      <w:r>
        <w:rPr>
          <w:rFonts w:ascii="宋体" w:hAnsi="宋体" w:cs="宋体" w:eastAsia="宋体" w:hint="default"/>
          <w:sz w:val="18"/>
          <w:szCs w:val="18"/>
        </w:rPr>
        <w:t>业发展奖励</w:t>
      </w:r>
    </w:p>
    <w:p>
      <w:pPr>
        <w:spacing w:line="240" w:lineRule="auto" w:before="0"/>
        <w:rPr>
          <w:rFonts w:ascii="宋体" w:hAnsi="宋体" w:cs="宋体" w:eastAsia="宋体" w:hint="default"/>
          <w:sz w:val="20"/>
          <w:szCs w:val="20"/>
        </w:rPr>
      </w:pPr>
      <w:r>
        <w:rPr/>
        <w:br w:type="column"/>
      </w:r>
      <w:r>
        <w:rPr>
          <w:rFonts w:ascii="宋体"/>
          <w:sz w:val="20"/>
        </w:rPr>
      </w:r>
    </w:p>
    <w:p>
      <w:pPr>
        <w:tabs>
          <w:tab w:pos="2344" w:val="left" w:leader="none"/>
          <w:tab w:pos="3377" w:val="left" w:leader="none"/>
          <w:tab w:pos="5705" w:val="left" w:leader="none"/>
        </w:tabs>
        <w:spacing w:before="138"/>
        <w:ind w:left="155" w:right="0" w:firstLine="0"/>
        <w:jc w:val="left"/>
        <w:rPr>
          <w:rFonts w:ascii="Times New Roman" w:hAnsi="Times New Roman" w:cs="Times New Roman" w:eastAsia="Times New Roman" w:hint="default"/>
          <w:sz w:val="18"/>
          <w:szCs w:val="18"/>
        </w:rPr>
      </w:pPr>
      <w:r>
        <w:rPr>
          <w:rFonts w:ascii="宋体" w:hAnsi="宋体" w:cs="宋体" w:eastAsia="宋体" w:hint="default"/>
          <w:spacing w:val="-1"/>
          <w:sz w:val="20"/>
          <w:szCs w:val="20"/>
        </w:rPr>
        <w:t>总部企业专项资金</w:t>
        <w:tab/>
      </w:r>
      <w:r>
        <w:rPr>
          <w:rFonts w:ascii="宋体" w:hAnsi="宋体" w:cs="宋体" w:eastAsia="宋体" w:hint="default"/>
          <w:position w:val="1"/>
          <w:sz w:val="18"/>
          <w:szCs w:val="18"/>
        </w:rPr>
        <w:t>财政拨款</w:t>
        <w:tab/>
      </w:r>
      <w:r>
        <w:rPr>
          <w:rFonts w:ascii="Times New Roman" w:hAnsi="Times New Roman" w:cs="Times New Roman" w:eastAsia="Times New Roman" w:hint="default"/>
          <w:position w:val="1"/>
          <w:sz w:val="18"/>
          <w:szCs w:val="18"/>
        </w:rPr>
        <w:t>2010</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tab/>
      </w:r>
      <w:r>
        <w:rPr>
          <w:rFonts w:ascii="Times New Roman" w:hAnsi="Times New Roman" w:cs="Times New Roman" w:eastAsia="Times New Roman" w:hint="default"/>
          <w:position w:val="1"/>
          <w:sz w:val="18"/>
          <w:szCs w:val="18"/>
        </w:rPr>
        <w:t>302,000.00</w:t>
      </w:r>
      <w:r>
        <w:rPr>
          <w:rFonts w:ascii="Times New Roman" w:hAnsi="Times New Roman" w:cs="Times New Roman" w:eastAsia="Times New Roman" w:hint="default"/>
          <w:sz w:val="18"/>
          <w:szCs w:val="18"/>
        </w:rPr>
      </w:r>
    </w:p>
    <w:p>
      <w:pPr>
        <w:spacing w:after="0"/>
        <w:jc w:val="left"/>
        <w:rPr>
          <w:rFonts w:ascii="Times New Roman" w:hAnsi="Times New Roman" w:cs="Times New Roman" w:eastAsia="Times New Roman" w:hint="default"/>
          <w:sz w:val="18"/>
          <w:szCs w:val="18"/>
        </w:rPr>
        <w:sectPr>
          <w:type w:val="continuous"/>
          <w:pgSz w:w="11910" w:h="16840"/>
          <w:pgMar w:top="1100" w:bottom="1240" w:left="1660" w:right="1600"/>
          <w:cols w:num="2" w:equalWidth="0">
            <w:col w:w="1840" w:space="40"/>
            <w:col w:w="6770"/>
          </w:cols>
        </w:sectPr>
      </w:pPr>
    </w:p>
    <w:p>
      <w:pPr>
        <w:spacing w:line="381" w:lineRule="auto" w:before="43"/>
        <w:ind w:left="248" w:right="0" w:firstLine="0"/>
        <w:jc w:val="left"/>
        <w:rPr>
          <w:rFonts w:ascii="宋体" w:hAnsi="宋体" w:cs="宋体" w:eastAsia="宋体" w:hint="default"/>
          <w:sz w:val="18"/>
          <w:szCs w:val="18"/>
        </w:rPr>
      </w:pPr>
      <w:r>
        <w:rPr>
          <w:rFonts w:ascii="宋体" w:hAnsi="宋体" w:cs="宋体" w:eastAsia="宋体" w:hint="default"/>
          <w:spacing w:val="16"/>
          <w:sz w:val="18"/>
          <w:szCs w:val="18"/>
        </w:rPr>
        <w:t>天河科学科技局创</w:t>
      </w:r>
      <w:r>
        <w:rPr>
          <w:rFonts w:ascii="宋体" w:hAnsi="宋体" w:cs="宋体" w:eastAsia="宋体" w:hint="default"/>
          <w:spacing w:val="-88"/>
          <w:sz w:val="18"/>
          <w:szCs w:val="18"/>
        </w:rPr>
        <w:t> </w:t>
      </w:r>
      <w:r>
        <w:rPr>
          <w:rFonts w:ascii="宋体" w:hAnsi="宋体" w:cs="宋体" w:eastAsia="宋体" w:hint="default"/>
          <w:sz w:val="18"/>
          <w:szCs w:val="18"/>
        </w:rPr>
        <w:t>新基金</w:t>
      </w:r>
    </w:p>
    <w:p>
      <w:pPr>
        <w:spacing w:line="240" w:lineRule="auto" w:before="8"/>
        <w:rPr>
          <w:rFonts w:ascii="宋体" w:hAnsi="宋体" w:cs="宋体" w:eastAsia="宋体" w:hint="default"/>
          <w:sz w:val="17"/>
          <w:szCs w:val="17"/>
        </w:rPr>
      </w:pPr>
      <w:r>
        <w:rPr/>
        <w:br w:type="column"/>
      </w:r>
      <w:r>
        <w:rPr>
          <w:rFonts w:ascii="宋体"/>
          <w:sz w:val="17"/>
        </w:rPr>
      </w:r>
    </w:p>
    <w:p>
      <w:pPr>
        <w:tabs>
          <w:tab w:pos="2344" w:val="left" w:leader="none"/>
          <w:tab w:pos="3377" w:val="left" w:leader="none"/>
          <w:tab w:pos="5705" w:val="left" w:leader="none"/>
        </w:tabs>
        <w:spacing w:before="0"/>
        <w:ind w:left="155"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创新基金</w:t>
        <w:tab/>
        <w:t>财政拨款</w:t>
        <w:tab/>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170,000.00</w:t>
      </w:r>
    </w:p>
    <w:p>
      <w:pPr>
        <w:spacing w:after="0"/>
        <w:jc w:val="left"/>
        <w:rPr>
          <w:rFonts w:ascii="Times New Roman" w:hAnsi="Times New Roman" w:cs="Times New Roman" w:eastAsia="Times New Roman" w:hint="default"/>
          <w:sz w:val="18"/>
          <w:szCs w:val="18"/>
        </w:rPr>
        <w:sectPr>
          <w:type w:val="continuous"/>
          <w:pgSz w:w="11910" w:h="16840"/>
          <w:pgMar w:top="1100" w:bottom="1240" w:left="1660" w:right="1600"/>
          <w:cols w:num="2" w:equalWidth="0">
            <w:col w:w="1840" w:space="40"/>
            <w:col w:w="6770"/>
          </w:cols>
        </w:sectPr>
      </w:pPr>
    </w:p>
    <w:p>
      <w:pPr>
        <w:tabs>
          <w:tab w:pos="6191" w:val="left" w:leader="none"/>
          <w:tab w:pos="7450" w:val="left" w:leader="none"/>
        </w:tabs>
        <w:spacing w:before="42"/>
        <w:ind w:left="852" w:right="91"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合计</w:t>
        <w:tab/>
      </w:r>
      <w:r>
        <w:rPr>
          <w:rFonts w:ascii="Times New Roman" w:hAnsi="Times New Roman" w:cs="Times New Roman" w:eastAsia="Times New Roman" w:hint="default"/>
          <w:spacing w:val="-1"/>
          <w:sz w:val="18"/>
          <w:szCs w:val="18"/>
        </w:rPr>
        <w:t>2,484,000.00</w:t>
        <w:tab/>
        <w:t>2,154,921.00</w:t>
      </w: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8"/>
          <w:szCs w:val="18"/>
        </w:rPr>
      </w:pPr>
    </w:p>
    <w:p>
      <w:pPr>
        <w:spacing w:before="35"/>
        <w:ind w:left="230" w:right="9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三十七</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营业外支出</w:t>
      </w:r>
      <w:r>
        <w:rPr>
          <w:rFonts w:ascii="宋体" w:hAnsi="宋体" w:cs="宋体" w:eastAsia="宋体" w:hint="default"/>
          <w:sz w:val="21"/>
          <w:szCs w:val="21"/>
        </w:rPr>
      </w:r>
    </w:p>
    <w:p>
      <w:pPr>
        <w:spacing w:line="240" w:lineRule="auto" w:before="9"/>
        <w:rPr>
          <w:rFonts w:ascii="宋体" w:hAnsi="宋体" w:cs="宋体" w:eastAsia="宋体" w:hint="default"/>
          <w:b/>
          <w:bCs/>
          <w:sz w:val="11"/>
          <w:szCs w:val="11"/>
        </w:rPr>
      </w:pPr>
    </w:p>
    <w:p>
      <w:pPr>
        <w:spacing w:line="1587" w:lineRule="exact"/>
        <w:ind w:left="720"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390.25pt;height:79.4pt;mso-position-horizontal-relative:char;mso-position-vertical-relative:line" coordorigin="0,0" coordsize="7805,1588">
            <v:group style="position:absolute;left:29;top:15;width:7754;height:2" coordorigin="29,15" coordsize="7754,2">
              <v:shape style="position:absolute;left:29;top:15;width:7754;height:2" coordorigin="29,15" coordsize="7754,0" path="m29,15l7783,15e" filled="false" stroked="true" strokeweight="1.5pt" strokecolor="#000000">
                <v:path arrowok="t"/>
              </v:shape>
              <v:shape style="position:absolute;left:2290;top:1;width:2970;height:432" type="#_x0000_t75" stroked="false">
                <v:imagedata r:id="rId268" o:title=""/>
              </v:shape>
            </v:group>
            <v:group style="position:absolute;left:15;top:1573;width:2304;height:2" coordorigin="15,1573" coordsize="2304,2">
              <v:shape style="position:absolute;left:15;top:1573;width:2304;height:2" coordorigin="15,1573" coordsize="2304,0" path="m15,1573l2319,1573e" filled="false" stroked="true" strokeweight="1.5pt" strokecolor="#000000">
                <v:path arrowok="t"/>
              </v:shape>
            </v:group>
            <v:group style="position:absolute;left:2319;top:1573;width:1491;height:2" coordorigin="2319,1573" coordsize="1491,2">
              <v:shape style="position:absolute;left:2319;top:1573;width:1491;height:2" coordorigin="2319,1573" coordsize="1491,0" path="m2319,1573l3809,1573e" filled="false" stroked="true" strokeweight="1.5pt" strokecolor="#000000">
                <v:path arrowok="t"/>
              </v:shape>
            </v:group>
            <v:group style="position:absolute;left:3809;top:1573;width:1413;height:2" coordorigin="3809,1573" coordsize="1413,2">
              <v:shape style="position:absolute;left:3809;top:1573;width:1413;height:2" coordorigin="3809,1573" coordsize="1413,0" path="m3809,1573l5222,1573e" filled="false" stroked="true" strokeweight="1.5pt" strokecolor="#000000">
                <v:path arrowok="t"/>
              </v:shape>
              <v:shape style="position:absolute;left:10;top:385;width:7794;height:1172" type="#_x0000_t75" stroked="false">
                <v:imagedata r:id="rId269" o:title=""/>
              </v:shape>
            </v:group>
            <v:group style="position:absolute;left:5222;top:1573;width:2561;height:2" coordorigin="5222,1573" coordsize="2561,2">
              <v:shape style="position:absolute;left:5222;top:1573;width:2561;height:2" coordorigin="5222,1573" coordsize="2561,0" path="m5222,1573l7783,1573e" filled="false" stroked="true" strokeweight="1.5pt" strokecolor="#000000">
                <v:path arrowok="t"/>
              </v:shape>
              <v:shape style="position:absolute;left:997;top:1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2709;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4161;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5335;top:127;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计入本期非经常性损益的金额</w:t>
                      </w:r>
                    </w:p>
                  </w:txbxContent>
                </v:textbox>
                <w10:wrap type="none"/>
              </v:shape>
              <v:shape style="position:absolute;left:137;top:511;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非流动资产处置损失合计</w:t>
                      </w:r>
                    </w:p>
                  </w:txbxContent>
                </v:textbox>
                <w10:wrap type="none"/>
              </v:shape>
              <v:shape style="position:absolute;left:2762;top:51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2,361,736.68</w:t>
                      </w:r>
                    </w:p>
                  </w:txbxContent>
                </v:textbox>
                <w10:wrap type="none"/>
              </v:shape>
              <v:shape style="position:absolute;left:4497;top:519;width:62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8,855.11</w:t>
                      </w:r>
                    </w:p>
                  </w:txbxContent>
                </v:textbox>
                <w10:wrap type="none"/>
              </v:shape>
              <v:shape style="position:absolute;left:6730;top:51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2,361,736.68</w:t>
                      </w:r>
                    </w:p>
                  </w:txbxContent>
                </v:textbox>
                <w10:wrap type="none"/>
              </v:shape>
              <v:shape style="position:absolute;left:137;top:895;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xbxContent>
                </v:textbox>
                <w10:wrap type="none"/>
              </v:shape>
              <v:shape style="position:absolute;left:2762;top:90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2,361,736.68</w:t>
                      </w:r>
                    </w:p>
                  </w:txbxContent>
                </v:textbox>
                <w10:wrap type="none"/>
              </v:shape>
              <v:shape style="position:absolute;left:4497;top:903;width:62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8,855.11</w:t>
                      </w:r>
                    </w:p>
                  </w:txbxContent>
                </v:textbox>
                <w10:wrap type="none"/>
              </v:shape>
              <v:shape style="position:absolute;left:6730;top:90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2,361,736.68</w:t>
                      </w:r>
                    </w:p>
                  </w:txbxContent>
                </v:textbox>
                <w10:wrap type="none"/>
              </v:shape>
              <v:shape style="position:absolute;left:677;top:1281;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无形资产处置损失</w:t>
                      </w:r>
                    </w:p>
                  </w:txbxContent>
                </v:textbox>
                <w10:wrap type="none"/>
              </v:shape>
            </v:group>
          </v:group>
        </w:pict>
      </w:r>
      <w:r>
        <w:rPr>
          <w:rFonts w:ascii="宋体" w:hAnsi="宋体" w:cs="宋体" w:eastAsia="宋体" w:hint="default"/>
          <w:position w:val="-31"/>
          <w:sz w:val="20"/>
          <w:szCs w:val="20"/>
        </w:rPr>
      </w:r>
    </w:p>
    <w:p>
      <w:pPr>
        <w:spacing w:after="0" w:line="1587" w:lineRule="exact"/>
        <w:rPr>
          <w:rFonts w:ascii="宋体" w:hAnsi="宋体" w:cs="宋体" w:eastAsia="宋体" w:hint="default"/>
          <w:sz w:val="20"/>
          <w:szCs w:val="20"/>
        </w:rPr>
        <w:sectPr>
          <w:type w:val="continuous"/>
          <w:pgSz w:w="11910" w:h="16840"/>
          <w:pgMar w:top="1100" w:bottom="1240" w:left="1660" w:right="1600"/>
        </w:sectPr>
      </w:pPr>
    </w:p>
    <w:p>
      <w:pPr>
        <w:spacing w:line="240" w:lineRule="auto" w:before="0"/>
        <w:rPr>
          <w:rFonts w:ascii="Times New Roman" w:hAnsi="Times New Roman" w:cs="Times New Roman" w:eastAsia="Times New Roman" w:hint="default"/>
          <w:sz w:val="20"/>
          <w:szCs w:val="20"/>
        </w:rPr>
      </w:pPr>
      <w:r>
        <w:rPr/>
        <w:pict>
          <v:group style="position:absolute;margin-left:119.519997pt;margin-top:72.059998pt;width:389.7pt;height:193.15pt;mso-position-horizontal-relative:page;mso-position-vertical-relative:page;z-index:-808744" coordorigin="2390,1441" coordsize="7794,3863">
            <v:shape style="position:absolute;left:4670;top:1441;width:2970;height:432" type="#_x0000_t75" stroked="false">
              <v:imagedata r:id="rId270" o:title=""/>
            </v:shape>
            <v:shape style="position:absolute;left:2390;top:1825;width:7794;height:3479" type="#_x0000_t75" stroked="false">
              <v:imagedata r:id="rId271" o:title=""/>
            </v:shape>
            <w10:wrap type="none"/>
          </v:group>
        </w:pict>
      </w:r>
      <w:r>
        <w:rPr/>
        <w:pict>
          <v:group style="position:absolute;margin-left:119.040001pt;margin-top:307.200012pt;width:389.25pt;height:77.850pt;mso-position-horizontal-relative:page;mso-position-vertical-relative:page;z-index:-808720" coordorigin="2381,6144" coordsize="7785,1557">
            <v:shape style="position:absolute;left:6162;top:6144;width:2035;height:432" type="#_x0000_t75" stroked="false">
              <v:imagedata r:id="rId272" o:title=""/>
            </v:shape>
            <v:shape style="position:absolute;left:2381;top:6518;width:7784;height:1182" type="#_x0000_t75" stroked="false">
              <v:imagedata r:id="rId273" o:title=""/>
            </v:shape>
            <w10:wrap type="none"/>
          </v:group>
        </w:pict>
      </w:r>
      <w:r>
        <w:rPr/>
        <w:pict>
          <v:group style="position:absolute;margin-left:119.040001pt;margin-top:425.100006pt;width:390.8pt;height:97.05pt;mso-position-horizontal-relative:page;mso-position-vertical-relative:page;z-index:-808696" coordorigin="2381,8502" coordsize="7816,1941">
            <v:shape style="position:absolute;left:6302;top:8502;width:1984;height:432" type="#_x0000_t75" stroked="false">
              <v:imagedata r:id="rId274" o:title=""/>
            </v:shape>
            <v:shape style="position:absolute;left:2381;top:8876;width:7816;height:1566" type="#_x0000_t75" stroked="false">
              <v:imagedata r:id="rId275" o:title=""/>
            </v:shape>
            <w10:wrap type="none"/>
          </v:group>
        </w:pict>
      </w:r>
      <w:r>
        <w:rPr/>
        <w:pict>
          <v:group style="position:absolute;margin-left:119.010002pt;margin-top:558.659973pt;width:391.2pt;height:205.6pt;mso-position-horizontal-relative:page;mso-position-vertical-relative:page;z-index:-808648" coordorigin="2380,11173" coordsize="7824,4112">
            <v:group style="position:absolute;left:2410;top:11188;width:7775;height:2" coordorigin="2410,11188" coordsize="7775,2">
              <v:shape style="position:absolute;left:2410;top:11188;width:7775;height:2" coordorigin="2410,11188" coordsize="7775,0" path="m2410,11188l10184,11188e" filled="false" stroked="true" strokeweight="1.5pt" strokecolor="#000000">
                <v:path arrowok="t"/>
              </v:shape>
              <v:shape style="position:absolute;left:7226;top:11174;width:1537;height:407" type="#_x0000_t75" stroked="false">
                <v:imagedata r:id="rId276" o:title=""/>
              </v:shape>
            </v:group>
            <v:group style="position:absolute;left:2395;top:15269;width:4860;height:2" coordorigin="2395,15269" coordsize="4860,2">
              <v:shape style="position:absolute;left:2395;top:15269;width:4860;height:2" coordorigin="2395,15269" coordsize="4860,0" path="m2395,15269l7255,15269e" filled="false" stroked="true" strokeweight="1.5pt" strokecolor="#000000">
                <v:path arrowok="t"/>
              </v:shape>
            </v:group>
            <v:group style="position:absolute;left:7255;top:15269;width:1470;height:2" coordorigin="7255,15269" coordsize="1470,2">
              <v:shape style="position:absolute;left:7255;top:15269;width:1470;height:2" coordorigin="7255,15269" coordsize="1470,0" path="m7255,15269l8725,15269e" filled="false" stroked="true" strokeweight="1.5pt" strokecolor="#000000">
                <v:path arrowok="t"/>
              </v:shape>
              <v:shape style="position:absolute;left:2390;top:11533;width:7813;height:3721" type="#_x0000_t75" stroked="false">
                <v:imagedata r:id="rId277" o:title=""/>
              </v:shape>
            </v:group>
            <v:group style="position:absolute;left:8725;top:15269;width:1460;height:2" coordorigin="8725,15269" coordsize="1460,2">
              <v:shape style="position:absolute;left:8725;top:15269;width:1460;height:2" coordorigin="8725,15269" coordsize="1460,0" path="m8725,15269l10184,15269e" filled="false" stroked="true" strokeweight="1.5pt" strokecolor="#000000">
                <v:path arrowok="t"/>
              </v:shape>
              <v:shape style="position:absolute;left:2380;top:11173;width:7824;height:4112"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338" w:lineRule="auto" w:before="150"/>
                        <w:ind w:left="137" w:right="3050" w:firstLine="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按照权益法核算的在被投资单位其他综合收益中所享有</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的份额</w:t>
                      </w:r>
                    </w:p>
                    <w:p>
                      <w:pPr>
                        <w:spacing w:line="367" w:lineRule="auto" w:before="50"/>
                        <w:ind w:left="767" w:right="3048" w:hanging="360"/>
                        <w:jc w:val="left"/>
                        <w:rPr>
                          <w:rFonts w:ascii="宋体" w:hAnsi="宋体" w:cs="宋体" w:eastAsia="宋体" w:hint="default"/>
                          <w:sz w:val="18"/>
                          <w:szCs w:val="18"/>
                        </w:rPr>
                      </w:pPr>
                      <w:r>
                        <w:rPr>
                          <w:rFonts w:ascii="宋体" w:hAnsi="宋体" w:cs="宋体" w:eastAsia="宋体" w:hint="default"/>
                          <w:sz w:val="18"/>
                          <w:szCs w:val="18"/>
                        </w:rPr>
                        <w:t>减：按照权益法核算的在被投资单位其他综合收益中所</w:t>
                      </w:r>
                      <w:r>
                        <w:rPr>
                          <w:rFonts w:ascii="宋体" w:hAnsi="宋体" w:cs="宋体" w:eastAsia="宋体" w:hint="default"/>
                          <w:spacing w:val="-53"/>
                          <w:sz w:val="18"/>
                          <w:szCs w:val="18"/>
                        </w:rPr>
                        <w:t> </w:t>
                      </w:r>
                      <w:r>
                        <w:rPr>
                          <w:rFonts w:ascii="宋体" w:hAnsi="宋体" w:cs="宋体" w:eastAsia="宋体" w:hint="default"/>
                          <w:spacing w:val="-53"/>
                          <w:sz w:val="18"/>
                          <w:szCs w:val="18"/>
                        </w:rPr>
                      </w:r>
                      <w:r>
                        <w:rPr>
                          <w:rFonts w:ascii="宋体" w:hAnsi="宋体" w:cs="宋体" w:eastAsia="宋体" w:hint="default"/>
                          <w:sz w:val="18"/>
                          <w:szCs w:val="18"/>
                        </w:rPr>
                        <w:t>享有的份额产生的所得税影响 前期计入其他综合收益当期转入损益的净额</w:t>
                      </w:r>
                    </w:p>
                    <w:p>
                      <w:pPr>
                        <w:spacing w:before="42"/>
                        <w:ind w:left="137"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group>
            <w10:wrap type="none"/>
          </v:group>
        </w:pict>
      </w:r>
    </w:p>
    <w:p>
      <w:pPr>
        <w:spacing w:line="240" w:lineRule="auto" w:before="8"/>
        <w:rPr>
          <w:rFonts w:ascii="Times New Roman" w:hAnsi="Times New Roman" w:cs="Times New Roman" w:eastAsia="Times New Roman" w:hint="default"/>
          <w:sz w:val="13"/>
          <w:szCs w:val="13"/>
        </w:rPr>
      </w:pPr>
    </w:p>
    <w:tbl>
      <w:tblPr>
        <w:tblW w:w="0" w:type="auto"/>
        <w:jc w:val="left"/>
        <w:tblInd w:w="110" w:type="dxa"/>
        <w:tblLayout w:type="fixed"/>
        <w:tblCellMar>
          <w:top w:w="0" w:type="dxa"/>
          <w:left w:w="0" w:type="dxa"/>
          <w:bottom w:w="0" w:type="dxa"/>
          <w:right w:w="0" w:type="dxa"/>
        </w:tblCellMar>
        <w:tblLook w:val="01E0"/>
      </w:tblPr>
      <w:tblGrid>
        <w:gridCol w:w="2869"/>
        <w:gridCol w:w="459"/>
        <w:gridCol w:w="1243"/>
        <w:gridCol w:w="2383"/>
        <w:gridCol w:w="1380"/>
        <w:gridCol w:w="78"/>
      </w:tblGrid>
      <w:tr>
        <w:trPr>
          <w:trHeight w:val="779" w:hRule="exact"/>
        </w:trPr>
        <w:tc>
          <w:tcPr>
            <w:tcW w:w="2869" w:type="dxa"/>
            <w:tcBorders>
              <w:top w:val="single" w:sz="12" w:space="0" w:color="000000"/>
              <w:left w:val="nil" w:sz="6" w:space="0" w:color="auto"/>
              <w:bottom w:val="nil" w:sz="6" w:space="0" w:color="auto"/>
              <w:right w:val="nil" w:sz="6" w:space="0" w:color="auto"/>
            </w:tcBorders>
          </w:tcPr>
          <w:p>
            <w:pPr>
              <w:pStyle w:val="TableParagraph"/>
              <w:spacing w:line="391" w:lineRule="auto" w:before="41"/>
              <w:ind w:left="767" w:right="300"/>
              <w:jc w:val="left"/>
              <w:rPr>
                <w:rFonts w:ascii="宋体" w:hAnsi="宋体" w:cs="宋体" w:eastAsia="宋体" w:hint="default"/>
                <w:sz w:val="18"/>
                <w:szCs w:val="18"/>
              </w:rPr>
            </w:pPr>
            <w:r>
              <w:rPr>
                <w:rFonts w:ascii="宋体" w:hAnsi="宋体" w:cs="宋体" w:eastAsia="宋体" w:hint="default"/>
                <w:sz w:val="18"/>
                <w:szCs w:val="18"/>
              </w:rPr>
              <w:t>债务重组损失 非货币性资产交换损失</w:t>
            </w:r>
          </w:p>
        </w:tc>
        <w:tc>
          <w:tcPr>
            <w:tcW w:w="5543" w:type="dxa"/>
            <w:gridSpan w:val="5"/>
            <w:vMerge w:val="restart"/>
            <w:tcBorders>
              <w:top w:val="single" w:sz="12" w:space="0" w:color="000000"/>
              <w:left w:val="nil" w:sz="6" w:space="0" w:color="auto"/>
              <w:right w:val="nil" w:sz="6" w:space="0" w:color="auto"/>
            </w:tcBorders>
          </w:tcPr>
          <w:p>
            <w:pPr/>
          </w:p>
        </w:tc>
      </w:tr>
      <w:tr>
        <w:trPr>
          <w:trHeight w:val="385" w:hRule="exact"/>
        </w:trPr>
        <w:tc>
          <w:tcPr>
            <w:tcW w:w="286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67"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5543" w:type="dxa"/>
            <w:gridSpan w:val="5"/>
            <w:vMerge/>
            <w:tcBorders>
              <w:left w:val="nil" w:sz="6" w:space="0" w:color="auto"/>
              <w:right w:val="nil" w:sz="6" w:space="0" w:color="auto"/>
            </w:tcBorders>
          </w:tcPr>
          <w:p>
            <w:pPr/>
          </w:p>
        </w:tc>
      </w:tr>
      <w:tr>
        <w:trPr>
          <w:trHeight w:val="388" w:hRule="exact"/>
        </w:trPr>
        <w:tc>
          <w:tcPr>
            <w:tcW w:w="2869" w:type="dxa"/>
            <w:tcBorders>
              <w:top w:val="nil" w:sz="6" w:space="0" w:color="auto"/>
              <w:left w:val="nil" w:sz="6" w:space="0" w:color="auto"/>
              <w:bottom w:val="nil" w:sz="6" w:space="0" w:color="auto"/>
              <w:right w:val="nil" w:sz="6" w:space="0" w:color="auto"/>
            </w:tcBorders>
          </w:tcPr>
          <w:p>
            <w:pPr>
              <w:pStyle w:val="TableParagraph"/>
              <w:spacing w:line="240" w:lineRule="auto" w:before="46"/>
              <w:ind w:left="767" w:right="0"/>
              <w:jc w:val="left"/>
              <w:rPr>
                <w:rFonts w:ascii="宋体" w:hAnsi="宋体" w:cs="宋体" w:eastAsia="宋体" w:hint="default"/>
                <w:sz w:val="18"/>
                <w:szCs w:val="18"/>
              </w:rPr>
            </w:pPr>
            <w:r>
              <w:rPr>
                <w:rFonts w:ascii="宋体" w:hAnsi="宋体" w:cs="宋体" w:eastAsia="宋体" w:hint="default"/>
                <w:sz w:val="18"/>
                <w:szCs w:val="18"/>
              </w:rPr>
              <w:t>其中：公益性捐赠支出</w:t>
            </w:r>
          </w:p>
        </w:tc>
        <w:tc>
          <w:tcPr>
            <w:tcW w:w="5543" w:type="dxa"/>
            <w:gridSpan w:val="5"/>
            <w:vMerge/>
            <w:tcBorders>
              <w:left w:val="nil" w:sz="6" w:space="0" w:color="auto"/>
              <w:bottom w:val="nil" w:sz="6" w:space="0" w:color="auto"/>
              <w:right w:val="nil" w:sz="6" w:space="0" w:color="auto"/>
            </w:tcBorders>
          </w:tcPr>
          <w:p>
            <w:pPr/>
          </w:p>
        </w:tc>
      </w:tr>
      <w:tr>
        <w:trPr>
          <w:trHeight w:val="400" w:hRule="exact"/>
        </w:trPr>
        <w:tc>
          <w:tcPr>
            <w:tcW w:w="286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67" w:right="0"/>
              <w:jc w:val="left"/>
              <w:rPr>
                <w:rFonts w:ascii="宋体" w:hAnsi="宋体" w:cs="宋体" w:eastAsia="宋体" w:hint="default"/>
                <w:sz w:val="18"/>
                <w:szCs w:val="18"/>
              </w:rPr>
            </w:pPr>
            <w:r>
              <w:rPr>
                <w:rFonts w:ascii="宋体" w:hAnsi="宋体" w:cs="宋体" w:eastAsia="宋体" w:hint="default"/>
                <w:sz w:val="18"/>
                <w:szCs w:val="18"/>
              </w:rPr>
              <w:t>罚款、赔款</w:t>
            </w:r>
          </w:p>
        </w:tc>
        <w:tc>
          <w:tcPr>
            <w:tcW w:w="170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2"/>
              <w:ind w:left="746" w:right="0"/>
              <w:jc w:val="left"/>
              <w:rPr>
                <w:rFonts w:ascii="Times New Roman" w:hAnsi="Times New Roman" w:cs="Times New Roman" w:eastAsia="Times New Roman" w:hint="default"/>
                <w:sz w:val="18"/>
                <w:szCs w:val="18"/>
              </w:rPr>
            </w:pPr>
            <w:r>
              <w:rPr>
                <w:rFonts w:ascii="Times New Roman"/>
                <w:sz w:val="18"/>
              </w:rPr>
              <w:t>76,944.04</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458" w:right="0"/>
              <w:jc w:val="left"/>
              <w:rPr>
                <w:rFonts w:ascii="Times New Roman" w:hAnsi="Times New Roman" w:cs="Times New Roman" w:eastAsia="Times New Roman" w:hint="default"/>
                <w:sz w:val="18"/>
                <w:szCs w:val="18"/>
              </w:rPr>
            </w:pPr>
            <w:r>
              <w:rPr>
                <w:rFonts w:ascii="Times New Roman"/>
                <w:sz w:val="18"/>
              </w:rPr>
              <w:t>74,688.00</w:t>
            </w:r>
          </w:p>
        </w:tc>
        <w:tc>
          <w:tcPr>
            <w:tcW w:w="145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2"/>
              <w:ind w:left="630" w:right="0"/>
              <w:jc w:val="left"/>
              <w:rPr>
                <w:rFonts w:ascii="Times New Roman" w:hAnsi="Times New Roman" w:cs="Times New Roman" w:eastAsia="Times New Roman" w:hint="default"/>
                <w:sz w:val="18"/>
                <w:szCs w:val="18"/>
              </w:rPr>
            </w:pPr>
            <w:r>
              <w:rPr>
                <w:rFonts w:ascii="Times New Roman"/>
                <w:sz w:val="18"/>
              </w:rPr>
              <w:t>76,944.04</w:t>
            </w:r>
          </w:p>
        </w:tc>
      </w:tr>
      <w:tr>
        <w:trPr>
          <w:trHeight w:val="390" w:hRule="exact"/>
        </w:trPr>
        <w:tc>
          <w:tcPr>
            <w:tcW w:w="286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67" w:right="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短款</w:t>
            </w:r>
          </w:p>
        </w:tc>
        <w:tc>
          <w:tcPr>
            <w:tcW w:w="170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7"/>
              <w:ind w:left="656" w:right="0"/>
              <w:jc w:val="left"/>
              <w:rPr>
                <w:rFonts w:ascii="Times New Roman" w:hAnsi="Times New Roman" w:cs="Times New Roman" w:eastAsia="Times New Roman" w:hint="default"/>
                <w:sz w:val="18"/>
                <w:szCs w:val="18"/>
              </w:rPr>
            </w:pPr>
            <w:r>
              <w:rPr>
                <w:rFonts w:ascii="Times New Roman"/>
                <w:sz w:val="18"/>
              </w:rPr>
              <w:t>203,063.18</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68" w:right="0"/>
              <w:jc w:val="left"/>
              <w:rPr>
                <w:rFonts w:ascii="Times New Roman" w:hAnsi="Times New Roman" w:cs="Times New Roman" w:eastAsia="Times New Roman" w:hint="default"/>
                <w:sz w:val="18"/>
                <w:szCs w:val="18"/>
              </w:rPr>
            </w:pPr>
            <w:r>
              <w:rPr>
                <w:rFonts w:ascii="Times New Roman"/>
                <w:sz w:val="18"/>
              </w:rPr>
              <w:t>185,691.90</w:t>
            </w:r>
          </w:p>
        </w:tc>
        <w:tc>
          <w:tcPr>
            <w:tcW w:w="145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7"/>
              <w:ind w:left="540" w:right="0"/>
              <w:jc w:val="left"/>
              <w:rPr>
                <w:rFonts w:ascii="Times New Roman" w:hAnsi="Times New Roman" w:cs="Times New Roman" w:eastAsia="Times New Roman" w:hint="default"/>
                <w:sz w:val="18"/>
                <w:szCs w:val="18"/>
              </w:rPr>
            </w:pPr>
            <w:r>
              <w:rPr>
                <w:rFonts w:ascii="Times New Roman"/>
                <w:sz w:val="18"/>
              </w:rPr>
              <w:t>203,063.18</w:t>
            </w:r>
          </w:p>
        </w:tc>
      </w:tr>
      <w:tr>
        <w:trPr>
          <w:trHeight w:val="379" w:hRule="exact"/>
        </w:trPr>
        <w:tc>
          <w:tcPr>
            <w:tcW w:w="286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767" w:right="0"/>
              <w:jc w:val="left"/>
              <w:rPr>
                <w:rFonts w:ascii="宋体" w:hAnsi="宋体" w:cs="宋体" w:eastAsia="宋体" w:hint="default"/>
                <w:sz w:val="18"/>
                <w:szCs w:val="18"/>
              </w:rPr>
            </w:pPr>
            <w:r>
              <w:rPr>
                <w:rFonts w:ascii="宋体" w:hAnsi="宋体" w:cs="宋体" w:eastAsia="宋体" w:hint="default"/>
                <w:sz w:val="18"/>
                <w:szCs w:val="18"/>
              </w:rPr>
              <w:t>材料报废、亏损</w:t>
            </w:r>
          </w:p>
        </w:tc>
        <w:tc>
          <w:tcPr>
            <w:tcW w:w="170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2"/>
              <w:ind w:left="522" w:right="0"/>
              <w:jc w:val="left"/>
              <w:rPr>
                <w:rFonts w:ascii="Times New Roman" w:hAnsi="Times New Roman" w:cs="Times New Roman" w:eastAsia="Times New Roman" w:hint="default"/>
                <w:sz w:val="18"/>
                <w:szCs w:val="18"/>
              </w:rPr>
            </w:pPr>
            <w:r>
              <w:rPr>
                <w:rFonts w:ascii="Times New Roman"/>
                <w:sz w:val="18"/>
              </w:rPr>
              <w:t>2,302,607.10</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39" w:right="0"/>
              <w:jc w:val="left"/>
              <w:rPr>
                <w:rFonts w:ascii="Times New Roman" w:hAnsi="Times New Roman" w:cs="Times New Roman" w:eastAsia="Times New Roman" w:hint="default"/>
                <w:sz w:val="18"/>
                <w:szCs w:val="18"/>
              </w:rPr>
            </w:pPr>
            <w:r>
              <w:rPr>
                <w:rFonts w:ascii="Times New Roman"/>
                <w:sz w:val="18"/>
              </w:rPr>
              <w:t>2,911,608.99</w:t>
            </w:r>
          </w:p>
        </w:tc>
        <w:tc>
          <w:tcPr>
            <w:tcW w:w="145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2"/>
              <w:ind w:left="405" w:right="0"/>
              <w:jc w:val="left"/>
              <w:rPr>
                <w:rFonts w:ascii="Times New Roman" w:hAnsi="Times New Roman" w:cs="Times New Roman" w:eastAsia="Times New Roman" w:hint="default"/>
                <w:sz w:val="18"/>
                <w:szCs w:val="18"/>
              </w:rPr>
            </w:pPr>
            <w:r>
              <w:rPr>
                <w:rFonts w:ascii="Times New Roman"/>
                <w:sz w:val="18"/>
              </w:rPr>
              <w:t>2,302,607.10</w:t>
            </w:r>
          </w:p>
        </w:tc>
      </w:tr>
      <w:tr>
        <w:trPr>
          <w:trHeight w:val="381" w:hRule="exact"/>
        </w:trPr>
        <w:tc>
          <w:tcPr>
            <w:tcW w:w="286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767" w:right="0"/>
              <w:jc w:val="left"/>
              <w:rPr>
                <w:rFonts w:ascii="宋体" w:hAnsi="宋体" w:cs="宋体" w:eastAsia="宋体" w:hint="default"/>
                <w:sz w:val="18"/>
                <w:szCs w:val="18"/>
              </w:rPr>
            </w:pPr>
            <w:r>
              <w:rPr>
                <w:rFonts w:ascii="宋体" w:hAnsi="宋体" w:cs="宋体" w:eastAsia="宋体" w:hint="default"/>
                <w:sz w:val="18"/>
                <w:szCs w:val="18"/>
              </w:rPr>
              <w:t>滞纳金</w:t>
            </w:r>
          </w:p>
        </w:tc>
        <w:tc>
          <w:tcPr>
            <w:tcW w:w="1702" w:type="dxa"/>
            <w:gridSpan w:val="2"/>
            <w:tcBorders>
              <w:top w:val="nil" w:sz="6" w:space="0" w:color="auto"/>
              <w:left w:val="nil" w:sz="6" w:space="0" w:color="auto"/>
              <w:bottom w:val="nil" w:sz="6" w:space="0" w:color="auto"/>
              <w:right w:val="nil" w:sz="6" w:space="0" w:color="auto"/>
            </w:tcBorders>
          </w:tcPr>
          <w:p>
            <w:pP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68" w:right="0"/>
              <w:jc w:val="left"/>
              <w:rPr>
                <w:rFonts w:ascii="Times New Roman" w:hAnsi="Times New Roman" w:cs="Times New Roman" w:eastAsia="Times New Roman" w:hint="default"/>
                <w:sz w:val="18"/>
                <w:szCs w:val="18"/>
              </w:rPr>
            </w:pPr>
            <w:r>
              <w:rPr>
                <w:rFonts w:ascii="Times New Roman"/>
                <w:sz w:val="18"/>
              </w:rPr>
              <w:t>248,888.82</w:t>
            </w:r>
          </w:p>
        </w:tc>
        <w:tc>
          <w:tcPr>
            <w:tcW w:w="1458" w:type="dxa"/>
            <w:gridSpan w:val="2"/>
            <w:tcBorders>
              <w:top w:val="nil" w:sz="6" w:space="0" w:color="auto"/>
              <w:left w:val="nil" w:sz="6" w:space="0" w:color="auto"/>
              <w:bottom w:val="nil" w:sz="6" w:space="0" w:color="auto"/>
              <w:right w:val="nil" w:sz="6" w:space="0" w:color="auto"/>
            </w:tcBorders>
          </w:tcPr>
          <w:p>
            <w:pPr/>
          </w:p>
        </w:tc>
      </w:tr>
      <w:tr>
        <w:trPr>
          <w:trHeight w:val="373" w:hRule="exact"/>
        </w:trPr>
        <w:tc>
          <w:tcPr>
            <w:tcW w:w="2869" w:type="dxa"/>
            <w:tcBorders>
              <w:top w:val="nil" w:sz="6" w:space="0" w:color="auto"/>
              <w:left w:val="nil" w:sz="6" w:space="0" w:color="auto"/>
              <w:bottom w:val="nil" w:sz="6" w:space="0" w:color="auto"/>
              <w:right w:val="nil" w:sz="6" w:space="0" w:color="auto"/>
            </w:tcBorders>
          </w:tcPr>
          <w:p>
            <w:pPr>
              <w:pStyle w:val="TableParagraph"/>
              <w:spacing w:line="240" w:lineRule="auto" w:before="31"/>
              <w:ind w:left="76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0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746" w:right="0"/>
              <w:jc w:val="left"/>
              <w:rPr>
                <w:rFonts w:ascii="Times New Roman" w:hAnsi="Times New Roman" w:cs="Times New Roman" w:eastAsia="Times New Roman" w:hint="default"/>
                <w:sz w:val="18"/>
                <w:szCs w:val="18"/>
              </w:rPr>
            </w:pPr>
            <w:r>
              <w:rPr>
                <w:rFonts w:ascii="Times New Roman"/>
                <w:sz w:val="18"/>
              </w:rPr>
              <w:t>42,470.00</w:t>
            </w:r>
          </w:p>
        </w:tc>
        <w:tc>
          <w:tcPr>
            <w:tcW w:w="2383" w:type="dxa"/>
            <w:tcBorders>
              <w:top w:val="nil" w:sz="6" w:space="0" w:color="auto"/>
              <w:left w:val="nil" w:sz="6" w:space="0" w:color="auto"/>
              <w:bottom w:val="nil" w:sz="6" w:space="0" w:color="auto"/>
              <w:right w:val="nil" w:sz="6" w:space="0" w:color="auto"/>
            </w:tcBorders>
          </w:tcPr>
          <w:p>
            <w:pPr/>
          </w:p>
        </w:tc>
        <w:tc>
          <w:tcPr>
            <w:tcW w:w="145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629" w:right="0"/>
              <w:jc w:val="left"/>
              <w:rPr>
                <w:rFonts w:ascii="Times New Roman" w:hAnsi="Times New Roman" w:cs="Times New Roman" w:eastAsia="Times New Roman" w:hint="default"/>
                <w:sz w:val="18"/>
                <w:szCs w:val="18"/>
              </w:rPr>
            </w:pPr>
            <w:r>
              <w:rPr>
                <w:rFonts w:ascii="Times New Roman"/>
                <w:sz w:val="18"/>
              </w:rPr>
              <w:t>42,470.00</w:t>
            </w:r>
          </w:p>
        </w:tc>
      </w:tr>
      <w:tr>
        <w:trPr>
          <w:trHeight w:val="390" w:hRule="exact"/>
        </w:trPr>
        <w:tc>
          <w:tcPr>
            <w:tcW w:w="2869"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162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02"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82"/>
              <w:ind w:left="522" w:right="0"/>
              <w:jc w:val="left"/>
              <w:rPr>
                <w:rFonts w:ascii="Times New Roman" w:hAnsi="Times New Roman" w:cs="Times New Roman" w:eastAsia="Times New Roman" w:hint="default"/>
                <w:sz w:val="18"/>
                <w:szCs w:val="18"/>
              </w:rPr>
            </w:pPr>
            <w:r>
              <w:rPr>
                <w:rFonts w:ascii="Times New Roman"/>
                <w:sz w:val="18"/>
              </w:rPr>
              <w:t>4,986,821.00</w:t>
            </w:r>
          </w:p>
        </w:tc>
        <w:tc>
          <w:tcPr>
            <w:tcW w:w="2383"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left="233" w:right="0"/>
              <w:jc w:val="left"/>
              <w:rPr>
                <w:rFonts w:ascii="Times New Roman" w:hAnsi="Times New Roman" w:cs="Times New Roman" w:eastAsia="Times New Roman" w:hint="default"/>
                <w:sz w:val="18"/>
                <w:szCs w:val="18"/>
              </w:rPr>
            </w:pPr>
            <w:r>
              <w:rPr>
                <w:rFonts w:ascii="Times New Roman"/>
                <w:sz w:val="18"/>
              </w:rPr>
              <w:t>3,429,732.82</w:t>
            </w:r>
          </w:p>
        </w:tc>
        <w:tc>
          <w:tcPr>
            <w:tcW w:w="1458"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82"/>
              <w:ind w:left="403" w:right="0"/>
              <w:jc w:val="left"/>
              <w:rPr>
                <w:rFonts w:ascii="Times New Roman" w:hAnsi="Times New Roman" w:cs="Times New Roman" w:eastAsia="Times New Roman" w:hint="default"/>
                <w:sz w:val="18"/>
                <w:szCs w:val="18"/>
              </w:rPr>
            </w:pPr>
            <w:r>
              <w:rPr>
                <w:rFonts w:ascii="Times New Roman"/>
                <w:sz w:val="18"/>
              </w:rPr>
              <w:t>4,986,821.00</w:t>
            </w:r>
          </w:p>
        </w:tc>
      </w:tr>
      <w:tr>
        <w:trPr>
          <w:trHeight w:val="839" w:hRule="exact"/>
        </w:trPr>
        <w:tc>
          <w:tcPr>
            <w:tcW w:w="2869" w:type="dxa"/>
            <w:tcBorders>
              <w:top w:val="single" w:sz="12" w:space="0" w:color="000000"/>
              <w:left w:val="nil" w:sz="6" w:space="0" w:color="auto"/>
              <w:bottom w:val="single" w:sz="12" w:space="0" w:color="000000"/>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31"/>
                <w:szCs w:val="31"/>
              </w:rPr>
            </w:pPr>
          </w:p>
          <w:p>
            <w:pPr>
              <w:pStyle w:val="TableParagraph"/>
              <w:spacing w:line="240" w:lineRule="auto"/>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三十八</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6"/>
                <w:sz w:val="21"/>
                <w:szCs w:val="21"/>
              </w:rPr>
              <w:t> </w:t>
            </w:r>
            <w:r>
              <w:rPr>
                <w:rFonts w:ascii="宋体" w:hAnsi="宋体" w:cs="宋体" w:eastAsia="宋体" w:hint="default"/>
                <w:b/>
                <w:bCs/>
                <w:sz w:val="21"/>
                <w:szCs w:val="21"/>
              </w:rPr>
              <w:t>所得税费用</w:t>
            </w:r>
            <w:r>
              <w:rPr>
                <w:rFonts w:ascii="宋体" w:hAnsi="宋体" w:cs="宋体" w:eastAsia="宋体" w:hint="default"/>
                <w:sz w:val="21"/>
                <w:szCs w:val="21"/>
              </w:rPr>
            </w:r>
          </w:p>
        </w:tc>
        <w:tc>
          <w:tcPr>
            <w:tcW w:w="1702" w:type="dxa"/>
            <w:gridSpan w:val="2"/>
            <w:tcBorders>
              <w:top w:val="single" w:sz="12" w:space="0" w:color="000000"/>
              <w:left w:val="nil" w:sz="6" w:space="0" w:color="auto"/>
              <w:bottom w:val="single" w:sz="12" w:space="0" w:color="000000"/>
              <w:right w:val="nil" w:sz="6" w:space="0" w:color="auto"/>
            </w:tcBorders>
          </w:tcPr>
          <w:p>
            <w:pPr/>
          </w:p>
        </w:tc>
        <w:tc>
          <w:tcPr>
            <w:tcW w:w="2383" w:type="dxa"/>
            <w:tcBorders>
              <w:top w:val="single" w:sz="12" w:space="0" w:color="000000"/>
              <w:left w:val="nil" w:sz="6" w:space="0" w:color="auto"/>
              <w:bottom w:val="single" w:sz="12" w:space="0" w:color="000000"/>
              <w:right w:val="nil" w:sz="6" w:space="0" w:color="auto"/>
            </w:tcBorders>
          </w:tcPr>
          <w:p>
            <w:pPr/>
          </w:p>
        </w:tc>
        <w:tc>
          <w:tcPr>
            <w:tcW w:w="1458" w:type="dxa"/>
            <w:gridSpan w:val="2"/>
            <w:tcBorders>
              <w:top w:val="single" w:sz="12" w:space="0" w:color="000000"/>
              <w:left w:val="nil" w:sz="6" w:space="0" w:color="auto"/>
              <w:bottom w:val="single" w:sz="12" w:space="0" w:color="000000"/>
              <w:right w:val="nil" w:sz="6" w:space="0" w:color="auto"/>
            </w:tcBorders>
          </w:tcPr>
          <w:p>
            <w:pPr/>
          </w:p>
        </w:tc>
      </w:tr>
      <w:tr>
        <w:trPr>
          <w:trHeight w:val="394" w:hRule="exact"/>
        </w:trPr>
        <w:tc>
          <w:tcPr>
            <w:tcW w:w="286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35"/>
              <w:jc w:val="right"/>
              <w:rPr>
                <w:rFonts w:ascii="宋体" w:hAnsi="宋体" w:cs="宋体" w:eastAsia="宋体" w:hint="default"/>
                <w:sz w:val="18"/>
                <w:szCs w:val="18"/>
              </w:rPr>
            </w:pPr>
            <w:r>
              <w:rPr>
                <w:rFonts w:ascii="宋体" w:hAnsi="宋体" w:cs="宋体" w:eastAsia="宋体" w:hint="default"/>
                <w:sz w:val="18"/>
                <w:szCs w:val="18"/>
              </w:rPr>
              <w:t>项目</w:t>
            </w:r>
          </w:p>
        </w:tc>
        <w:tc>
          <w:tcPr>
            <w:tcW w:w="1702" w:type="dxa"/>
            <w:gridSpan w:val="2"/>
            <w:tcBorders>
              <w:top w:val="single" w:sz="12" w:space="0" w:color="000000"/>
              <w:left w:val="nil" w:sz="6" w:space="0" w:color="auto"/>
              <w:bottom w:val="nil" w:sz="6" w:space="0" w:color="auto"/>
              <w:right w:val="nil" w:sz="6" w:space="0" w:color="auto"/>
            </w:tcBorders>
          </w:tcPr>
          <w:p>
            <w:pPr/>
          </w:p>
        </w:tc>
        <w:tc>
          <w:tcPr>
            <w:tcW w:w="238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96"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458"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1"/>
              <w:ind w:left="82"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88" w:hRule="exact"/>
        </w:trPr>
        <w:tc>
          <w:tcPr>
            <w:tcW w:w="457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46"/>
              <w:ind w:left="767" w:right="0"/>
              <w:jc w:val="left"/>
              <w:rPr>
                <w:rFonts w:ascii="宋体" w:hAnsi="宋体" w:cs="宋体" w:eastAsia="宋体" w:hint="default"/>
                <w:sz w:val="18"/>
                <w:szCs w:val="18"/>
              </w:rPr>
            </w:pPr>
            <w:r>
              <w:rPr>
                <w:rFonts w:ascii="宋体" w:hAnsi="宋体" w:cs="宋体" w:eastAsia="宋体" w:hint="default"/>
                <w:sz w:val="18"/>
                <w:szCs w:val="18"/>
              </w:rPr>
              <w:t>按税法及相关规定计算的当期所得税</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86"/>
              <w:ind w:left="699" w:right="0"/>
              <w:jc w:val="left"/>
              <w:rPr>
                <w:rFonts w:ascii="Times New Roman" w:hAnsi="Times New Roman" w:cs="Times New Roman" w:eastAsia="Times New Roman" w:hint="default"/>
                <w:sz w:val="18"/>
                <w:szCs w:val="18"/>
              </w:rPr>
            </w:pPr>
            <w:r>
              <w:rPr>
                <w:rFonts w:ascii="Times New Roman"/>
                <w:sz w:val="18"/>
              </w:rPr>
              <w:t>14,640,930.57</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57"/>
              <w:jc w:val="right"/>
              <w:rPr>
                <w:rFonts w:ascii="Times New Roman" w:hAnsi="Times New Roman" w:cs="Times New Roman" w:eastAsia="Times New Roman" w:hint="default"/>
                <w:sz w:val="18"/>
                <w:szCs w:val="18"/>
              </w:rPr>
            </w:pPr>
            <w:r>
              <w:rPr>
                <w:rFonts w:ascii="Times New Roman"/>
                <w:spacing w:val="-1"/>
                <w:sz w:val="18"/>
              </w:rPr>
              <w:t>12,311,998.75</w:t>
            </w:r>
          </w:p>
        </w:tc>
        <w:tc>
          <w:tcPr>
            <w:tcW w:w="78" w:type="dxa"/>
            <w:tcBorders>
              <w:top w:val="nil" w:sz="6" w:space="0" w:color="auto"/>
              <w:left w:val="nil" w:sz="6" w:space="0" w:color="auto"/>
              <w:bottom w:val="nil" w:sz="6" w:space="0" w:color="auto"/>
              <w:right w:val="nil" w:sz="6" w:space="0" w:color="auto"/>
            </w:tcBorders>
          </w:tcPr>
          <w:p>
            <w:pPr/>
          </w:p>
        </w:tc>
      </w:tr>
      <w:tr>
        <w:trPr>
          <w:trHeight w:val="385" w:hRule="exact"/>
        </w:trPr>
        <w:tc>
          <w:tcPr>
            <w:tcW w:w="457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42"/>
              <w:ind w:left="767" w:right="0"/>
              <w:jc w:val="left"/>
              <w:rPr>
                <w:rFonts w:ascii="宋体" w:hAnsi="宋体" w:cs="宋体" w:eastAsia="宋体" w:hint="default"/>
                <w:sz w:val="18"/>
                <w:szCs w:val="18"/>
              </w:rPr>
            </w:pPr>
            <w:r>
              <w:rPr>
                <w:rFonts w:ascii="宋体" w:hAnsi="宋体" w:cs="宋体" w:eastAsia="宋体" w:hint="default"/>
                <w:sz w:val="18"/>
                <w:szCs w:val="18"/>
              </w:rPr>
              <w:t>递延所得税调整</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789" w:right="0"/>
              <w:jc w:val="left"/>
              <w:rPr>
                <w:rFonts w:ascii="Times New Roman" w:hAnsi="Times New Roman" w:cs="Times New Roman" w:eastAsia="Times New Roman" w:hint="default"/>
                <w:sz w:val="18"/>
                <w:szCs w:val="18"/>
              </w:rPr>
            </w:pPr>
            <w:r>
              <w:rPr>
                <w:rFonts w:ascii="Times New Roman"/>
                <w:sz w:val="18"/>
              </w:rPr>
              <w:t>6,159,996.73</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8"/>
              <w:jc w:val="right"/>
              <w:rPr>
                <w:rFonts w:ascii="Times New Roman" w:hAnsi="Times New Roman" w:cs="Times New Roman" w:eastAsia="Times New Roman" w:hint="default"/>
                <w:sz w:val="18"/>
                <w:szCs w:val="18"/>
              </w:rPr>
            </w:pPr>
            <w:r>
              <w:rPr>
                <w:rFonts w:ascii="Times New Roman"/>
                <w:spacing w:val="-1"/>
                <w:sz w:val="18"/>
              </w:rPr>
              <w:t>1,485,652.77</w:t>
            </w:r>
          </w:p>
        </w:tc>
        <w:tc>
          <w:tcPr>
            <w:tcW w:w="78" w:type="dxa"/>
            <w:tcBorders>
              <w:top w:val="nil" w:sz="6" w:space="0" w:color="auto"/>
              <w:left w:val="nil" w:sz="6" w:space="0" w:color="auto"/>
              <w:bottom w:val="nil" w:sz="6" w:space="0" w:color="auto"/>
              <w:right w:val="nil" w:sz="6" w:space="0" w:color="auto"/>
            </w:tcBorders>
          </w:tcPr>
          <w:p>
            <w:pPr/>
          </w:p>
        </w:tc>
      </w:tr>
      <w:tr>
        <w:trPr>
          <w:trHeight w:val="391" w:hRule="exact"/>
        </w:trPr>
        <w:tc>
          <w:tcPr>
            <w:tcW w:w="457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43"/>
              <w:ind w:left="531"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383"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left="699" w:right="0"/>
              <w:jc w:val="left"/>
              <w:rPr>
                <w:rFonts w:ascii="Times New Roman" w:hAnsi="Times New Roman" w:cs="Times New Roman" w:eastAsia="Times New Roman" w:hint="default"/>
                <w:sz w:val="18"/>
                <w:szCs w:val="18"/>
              </w:rPr>
            </w:pPr>
            <w:r>
              <w:rPr>
                <w:rFonts w:ascii="Times New Roman"/>
                <w:sz w:val="18"/>
              </w:rPr>
              <w:t>20,800,927.30</w:t>
            </w:r>
          </w:p>
        </w:tc>
        <w:tc>
          <w:tcPr>
            <w:tcW w:w="1380"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57"/>
              <w:jc w:val="right"/>
              <w:rPr>
                <w:rFonts w:ascii="Times New Roman" w:hAnsi="Times New Roman" w:cs="Times New Roman" w:eastAsia="Times New Roman" w:hint="default"/>
                <w:sz w:val="18"/>
                <w:szCs w:val="18"/>
              </w:rPr>
            </w:pPr>
            <w:r>
              <w:rPr>
                <w:rFonts w:ascii="Times New Roman"/>
                <w:spacing w:val="-1"/>
                <w:sz w:val="18"/>
              </w:rPr>
              <w:t>13,797,651.52</w:t>
            </w:r>
          </w:p>
        </w:tc>
        <w:tc>
          <w:tcPr>
            <w:tcW w:w="78" w:type="dxa"/>
            <w:tcBorders>
              <w:top w:val="nil" w:sz="6" w:space="0" w:color="auto"/>
              <w:left w:val="nil" w:sz="6" w:space="0" w:color="auto"/>
              <w:bottom w:val="nil" w:sz="6" w:space="0" w:color="auto"/>
              <w:right w:val="nil" w:sz="6" w:space="0" w:color="auto"/>
            </w:tcBorders>
          </w:tcPr>
          <w:p>
            <w:pPr/>
          </w:p>
        </w:tc>
      </w:tr>
      <w:tr>
        <w:trPr>
          <w:trHeight w:val="800" w:hRule="exact"/>
        </w:trPr>
        <w:tc>
          <w:tcPr>
            <w:tcW w:w="8412"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29"/>
                <w:szCs w:val="29"/>
              </w:rPr>
            </w:pPr>
          </w:p>
          <w:p>
            <w:pPr>
              <w:pStyle w:val="TableParagraph"/>
              <w:spacing w:line="240" w:lineRule="auto"/>
              <w:ind w:left="38"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三十九</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基本每股收益和稀释每股收益</w:t>
            </w:r>
            <w:r>
              <w:rPr>
                <w:rFonts w:ascii="宋体" w:hAnsi="宋体" w:cs="宋体" w:eastAsia="宋体" w:hint="default"/>
                <w:sz w:val="21"/>
                <w:szCs w:val="21"/>
              </w:rPr>
            </w:r>
          </w:p>
        </w:tc>
      </w:tr>
      <w:tr>
        <w:trPr>
          <w:trHeight w:val="401" w:hRule="exact"/>
        </w:trPr>
        <w:tc>
          <w:tcPr>
            <w:tcW w:w="457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1"/>
              <w:ind w:left="673"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383"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550"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380"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81"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c>
          <w:tcPr>
            <w:tcW w:w="78" w:type="dxa"/>
            <w:tcBorders>
              <w:top w:val="nil" w:sz="6" w:space="0" w:color="auto"/>
              <w:left w:val="nil" w:sz="6" w:space="0" w:color="auto"/>
              <w:bottom w:val="nil" w:sz="6" w:space="0" w:color="auto"/>
              <w:right w:val="nil" w:sz="6" w:space="0" w:color="auto"/>
            </w:tcBorders>
          </w:tcPr>
          <w:p>
            <w:pPr/>
          </w:p>
        </w:tc>
      </w:tr>
      <w:tr>
        <w:trPr>
          <w:trHeight w:val="397" w:hRule="exact"/>
        </w:trPr>
        <w:tc>
          <w:tcPr>
            <w:tcW w:w="457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9"/>
              <w:ind w:left="767" w:right="0"/>
              <w:jc w:val="left"/>
              <w:rPr>
                <w:rFonts w:ascii="宋体" w:hAnsi="宋体" w:cs="宋体" w:eastAsia="宋体" w:hint="default"/>
                <w:sz w:val="18"/>
                <w:szCs w:val="18"/>
              </w:rPr>
            </w:pPr>
            <w:r>
              <w:rPr>
                <w:rFonts w:ascii="宋体" w:hAnsi="宋体" w:cs="宋体" w:eastAsia="宋体" w:hint="default"/>
                <w:sz w:val="18"/>
                <w:szCs w:val="18"/>
              </w:rPr>
              <w:t>归属于本公司普通股股东的合并净利润</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557"/>
              <w:jc w:val="right"/>
              <w:rPr>
                <w:rFonts w:ascii="Times New Roman" w:hAnsi="Times New Roman" w:cs="Times New Roman" w:eastAsia="Times New Roman" w:hint="default"/>
                <w:sz w:val="18"/>
                <w:szCs w:val="18"/>
              </w:rPr>
            </w:pPr>
            <w:r>
              <w:rPr>
                <w:rFonts w:ascii="Times New Roman"/>
                <w:spacing w:val="-1"/>
                <w:sz w:val="18"/>
              </w:rPr>
              <w:t>178,809,583.01</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5"/>
              <w:jc w:val="right"/>
              <w:rPr>
                <w:rFonts w:ascii="Times New Roman" w:hAnsi="Times New Roman" w:cs="Times New Roman" w:eastAsia="Times New Roman" w:hint="default"/>
                <w:sz w:val="18"/>
                <w:szCs w:val="18"/>
              </w:rPr>
            </w:pPr>
            <w:r>
              <w:rPr>
                <w:rFonts w:ascii="Times New Roman"/>
                <w:spacing w:val="-1"/>
                <w:sz w:val="18"/>
              </w:rPr>
              <w:t>94,047,869.79</w:t>
            </w:r>
          </w:p>
        </w:tc>
        <w:tc>
          <w:tcPr>
            <w:tcW w:w="78" w:type="dxa"/>
            <w:tcBorders>
              <w:top w:val="nil" w:sz="6" w:space="0" w:color="auto"/>
              <w:left w:val="nil" w:sz="6" w:space="0" w:color="auto"/>
              <w:bottom w:val="nil" w:sz="6" w:space="0" w:color="auto"/>
              <w:right w:val="nil" w:sz="6" w:space="0" w:color="auto"/>
            </w:tcBorders>
          </w:tcPr>
          <w:p>
            <w:pPr/>
          </w:p>
        </w:tc>
      </w:tr>
      <w:tr>
        <w:trPr>
          <w:trHeight w:val="369" w:hRule="exact"/>
        </w:trPr>
        <w:tc>
          <w:tcPr>
            <w:tcW w:w="457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7"/>
              <w:ind w:left="767" w:right="0"/>
              <w:jc w:val="left"/>
              <w:rPr>
                <w:rFonts w:ascii="宋体" w:hAnsi="宋体" w:cs="宋体" w:eastAsia="宋体" w:hint="default"/>
                <w:sz w:val="18"/>
                <w:szCs w:val="18"/>
              </w:rPr>
            </w:pPr>
            <w:r>
              <w:rPr>
                <w:rFonts w:ascii="宋体" w:hAnsi="宋体" w:cs="宋体" w:eastAsia="宋体" w:hint="default"/>
                <w:sz w:val="18"/>
                <w:szCs w:val="18"/>
              </w:rPr>
              <w:t>本公司发行在外普通股的加权平均数</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557"/>
              <w:jc w:val="right"/>
              <w:rPr>
                <w:rFonts w:ascii="Times New Roman" w:hAnsi="Times New Roman" w:cs="Times New Roman" w:eastAsia="Times New Roman" w:hint="default"/>
                <w:sz w:val="18"/>
                <w:szCs w:val="18"/>
              </w:rPr>
            </w:pPr>
            <w:r>
              <w:rPr>
                <w:rFonts w:ascii="Times New Roman"/>
                <w:spacing w:val="-1"/>
                <w:sz w:val="18"/>
              </w:rPr>
              <w:t>344,430,450.00</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5"/>
              <w:jc w:val="right"/>
              <w:rPr>
                <w:rFonts w:ascii="Times New Roman" w:hAnsi="Times New Roman" w:cs="Times New Roman" w:eastAsia="Times New Roman" w:hint="default"/>
                <w:sz w:val="18"/>
                <w:szCs w:val="18"/>
              </w:rPr>
            </w:pPr>
            <w:r>
              <w:rPr>
                <w:rFonts w:ascii="Times New Roman"/>
                <w:spacing w:val="-1"/>
                <w:sz w:val="18"/>
              </w:rPr>
              <w:t>344,430,450.00</w:t>
            </w:r>
          </w:p>
        </w:tc>
        <w:tc>
          <w:tcPr>
            <w:tcW w:w="78" w:type="dxa"/>
            <w:tcBorders>
              <w:top w:val="nil" w:sz="6" w:space="0" w:color="auto"/>
              <w:left w:val="nil" w:sz="6" w:space="0" w:color="auto"/>
              <w:bottom w:val="nil" w:sz="6" w:space="0" w:color="auto"/>
              <w:right w:val="nil" w:sz="6" w:space="0" w:color="auto"/>
            </w:tcBorders>
          </w:tcPr>
          <w:p>
            <w:pPr/>
          </w:p>
        </w:tc>
      </w:tr>
      <w:tr>
        <w:trPr>
          <w:trHeight w:val="385" w:hRule="exact"/>
        </w:trPr>
        <w:tc>
          <w:tcPr>
            <w:tcW w:w="457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42"/>
              <w:ind w:left="767"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57"/>
              <w:jc w:val="right"/>
              <w:rPr>
                <w:rFonts w:ascii="Times New Roman" w:hAnsi="Times New Roman" w:cs="Times New Roman" w:eastAsia="Times New Roman" w:hint="default"/>
                <w:sz w:val="18"/>
                <w:szCs w:val="18"/>
              </w:rPr>
            </w:pPr>
            <w:r>
              <w:rPr>
                <w:rFonts w:ascii="Times New Roman"/>
                <w:sz w:val="18"/>
              </w:rPr>
              <w:t>0.5191</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5"/>
              <w:jc w:val="right"/>
              <w:rPr>
                <w:rFonts w:ascii="Times New Roman" w:hAnsi="Times New Roman" w:cs="Times New Roman" w:eastAsia="Times New Roman" w:hint="default"/>
                <w:sz w:val="18"/>
                <w:szCs w:val="18"/>
              </w:rPr>
            </w:pPr>
            <w:r>
              <w:rPr>
                <w:rFonts w:ascii="Times New Roman"/>
                <w:sz w:val="18"/>
              </w:rPr>
              <w:t>0.2731</w:t>
            </w:r>
          </w:p>
        </w:tc>
        <w:tc>
          <w:tcPr>
            <w:tcW w:w="78" w:type="dxa"/>
            <w:tcBorders>
              <w:top w:val="nil" w:sz="6" w:space="0" w:color="auto"/>
              <w:left w:val="nil" w:sz="6" w:space="0" w:color="auto"/>
              <w:bottom w:val="nil" w:sz="6" w:space="0" w:color="auto"/>
              <w:right w:val="nil" w:sz="6" w:space="0" w:color="auto"/>
            </w:tcBorders>
          </w:tcPr>
          <w:p>
            <w:pPr/>
          </w:p>
        </w:tc>
      </w:tr>
      <w:tr>
        <w:trPr>
          <w:trHeight w:val="389" w:hRule="exact"/>
        </w:trPr>
        <w:tc>
          <w:tcPr>
            <w:tcW w:w="457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41"/>
              <w:ind w:left="767"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2383"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557"/>
              <w:jc w:val="right"/>
              <w:rPr>
                <w:rFonts w:ascii="Times New Roman" w:hAnsi="Times New Roman" w:cs="Times New Roman" w:eastAsia="Times New Roman" w:hint="default"/>
                <w:sz w:val="18"/>
                <w:szCs w:val="18"/>
              </w:rPr>
            </w:pPr>
            <w:r>
              <w:rPr>
                <w:rFonts w:ascii="Times New Roman"/>
                <w:sz w:val="18"/>
              </w:rPr>
              <w:t>0.5191</w:t>
            </w:r>
          </w:p>
        </w:tc>
        <w:tc>
          <w:tcPr>
            <w:tcW w:w="1380"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5"/>
              <w:jc w:val="right"/>
              <w:rPr>
                <w:rFonts w:ascii="Times New Roman" w:hAnsi="Times New Roman" w:cs="Times New Roman" w:eastAsia="Times New Roman" w:hint="default"/>
                <w:sz w:val="18"/>
                <w:szCs w:val="18"/>
              </w:rPr>
            </w:pPr>
            <w:r>
              <w:rPr>
                <w:rFonts w:ascii="Times New Roman"/>
                <w:sz w:val="18"/>
              </w:rPr>
              <w:t>0.2731</w:t>
            </w:r>
          </w:p>
        </w:tc>
        <w:tc>
          <w:tcPr>
            <w:tcW w:w="78" w:type="dxa"/>
            <w:tcBorders>
              <w:top w:val="nil" w:sz="6" w:space="0" w:color="auto"/>
              <w:left w:val="nil" w:sz="6" w:space="0" w:color="auto"/>
              <w:bottom w:val="nil" w:sz="6" w:space="0" w:color="auto"/>
              <w:right w:val="nil" w:sz="6" w:space="0" w:color="auto"/>
            </w:tcBorders>
          </w:tcPr>
          <w:p>
            <w:pPr/>
          </w:p>
        </w:tc>
      </w:tr>
      <w:tr>
        <w:trPr>
          <w:trHeight w:val="791" w:hRule="exact"/>
        </w:trPr>
        <w:tc>
          <w:tcPr>
            <w:tcW w:w="28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5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其他综合收益</w:t>
            </w:r>
            <w:r>
              <w:rPr>
                <w:rFonts w:ascii="宋体" w:hAnsi="宋体" w:cs="宋体" w:eastAsia="宋体" w:hint="default"/>
                <w:sz w:val="21"/>
                <w:szCs w:val="21"/>
              </w:rPr>
            </w:r>
          </w:p>
        </w:tc>
        <w:tc>
          <w:tcPr>
            <w:tcW w:w="1702" w:type="dxa"/>
            <w:gridSpan w:val="2"/>
            <w:tcBorders>
              <w:top w:val="nil" w:sz="6" w:space="0" w:color="auto"/>
              <w:left w:val="nil" w:sz="6" w:space="0" w:color="auto"/>
              <w:bottom w:val="nil" w:sz="6" w:space="0" w:color="auto"/>
              <w:right w:val="nil" w:sz="6" w:space="0" w:color="auto"/>
            </w:tcBorders>
          </w:tcPr>
          <w:p>
            <w:pPr/>
          </w:p>
        </w:tc>
        <w:tc>
          <w:tcPr>
            <w:tcW w:w="2383"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78" w:type="dxa"/>
            <w:tcBorders>
              <w:top w:val="nil" w:sz="6" w:space="0" w:color="auto"/>
              <w:left w:val="nil" w:sz="6" w:space="0" w:color="auto"/>
              <w:bottom w:val="nil" w:sz="6" w:space="0" w:color="auto"/>
              <w:right w:val="nil" w:sz="6" w:space="0" w:color="auto"/>
            </w:tcBorders>
          </w:tcPr>
          <w:p>
            <w:pPr/>
          </w:p>
        </w:tc>
      </w:tr>
      <w:tr>
        <w:trPr>
          <w:trHeight w:val="348" w:hRule="exact"/>
        </w:trPr>
        <w:tc>
          <w:tcPr>
            <w:tcW w:w="332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1"/>
              <w:ind w:right="61"/>
              <w:jc w:val="right"/>
              <w:rPr>
                <w:rFonts w:ascii="宋体" w:hAnsi="宋体" w:cs="宋体" w:eastAsia="宋体" w:hint="default"/>
                <w:sz w:val="18"/>
                <w:szCs w:val="18"/>
              </w:rPr>
            </w:pPr>
            <w:r>
              <w:rPr>
                <w:rFonts w:ascii="宋体" w:hAnsi="宋体" w:cs="宋体" w:eastAsia="宋体" w:hint="default"/>
                <w:sz w:val="18"/>
                <w:szCs w:val="18"/>
              </w:rPr>
              <w:t>项目</w:t>
            </w:r>
          </w:p>
        </w:tc>
        <w:tc>
          <w:tcPr>
            <w:tcW w:w="362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1"/>
              <w:ind w:right="302"/>
              <w:jc w:val="right"/>
              <w:rPr>
                <w:rFonts w:ascii="宋体" w:hAnsi="宋体" w:cs="宋体" w:eastAsia="宋体" w:hint="default"/>
                <w:sz w:val="18"/>
                <w:szCs w:val="18"/>
              </w:rPr>
            </w:pPr>
            <w:r>
              <w:rPr>
                <w:rFonts w:ascii="宋体" w:hAnsi="宋体" w:cs="宋体" w:eastAsia="宋体" w:hint="default"/>
                <w:sz w:val="18"/>
                <w:szCs w:val="18"/>
              </w:rPr>
              <w:t>本期金额</w:t>
            </w:r>
          </w:p>
        </w:tc>
        <w:tc>
          <w:tcPr>
            <w:tcW w:w="145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1"/>
              <w:ind w:left="436"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54" w:hRule="exact"/>
        </w:trPr>
        <w:tc>
          <w:tcPr>
            <w:tcW w:w="8334" w:type="dxa"/>
            <w:gridSpan w:val="5"/>
            <w:tcBorders>
              <w:top w:val="nil" w:sz="6" w:space="0" w:color="auto"/>
              <w:left w:val="nil" w:sz="6" w:space="0" w:color="auto"/>
              <w:bottom w:val="nil" w:sz="6" w:space="0" w:color="auto"/>
              <w:right w:val="nil" w:sz="6" w:space="0" w:color="auto"/>
            </w:tcBorders>
          </w:tcPr>
          <w:p>
            <w:pPr>
              <w:pStyle w:val="TableParagraph"/>
              <w:tabs>
                <w:tab w:pos="5686" w:val="left" w:leader="none"/>
              </w:tabs>
              <w:spacing w:line="240" w:lineRule="auto" w:before="47"/>
              <w:ind w:left="76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可供出售金融资产产生的利得（损失）金额</w:t>
              <w:tab/>
            </w:r>
            <w:r>
              <w:rPr>
                <w:rFonts w:ascii="Times New Roman" w:hAnsi="Times New Roman" w:cs="Times New Roman" w:eastAsia="Times New Roman" w:hint="default"/>
                <w:spacing w:val="-1"/>
                <w:position w:val="6"/>
                <w:sz w:val="18"/>
                <w:szCs w:val="18"/>
              </w:rPr>
              <w:t>-122,789,000.00</w:t>
            </w:r>
            <w:r>
              <w:rPr>
                <w:rFonts w:ascii="Times New Roman" w:hAnsi="Times New Roman" w:cs="Times New Roman" w:eastAsia="Times New Roman" w:hint="default"/>
                <w:spacing w:val="-1"/>
                <w:sz w:val="18"/>
                <w:szCs w:val="18"/>
              </w:rPr>
            </w:r>
          </w:p>
        </w:tc>
        <w:tc>
          <w:tcPr>
            <w:tcW w:w="78"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295"/>
              <w:jc w:val="right"/>
              <w:rPr>
                <w:rFonts w:ascii="Times New Roman" w:hAnsi="Times New Roman" w:cs="Times New Roman" w:eastAsia="Times New Roman" w:hint="default"/>
                <w:sz w:val="18"/>
                <w:szCs w:val="18"/>
              </w:rPr>
            </w:pPr>
            <w:r>
              <w:rPr>
                <w:rFonts w:ascii="Times New Roman"/>
                <w:spacing w:val="-1"/>
                <w:sz w:val="18"/>
              </w:rPr>
              <w:t>197,935,000.00</w:t>
            </w:r>
          </w:p>
        </w:tc>
      </w:tr>
      <w:tr>
        <w:trPr>
          <w:trHeight w:val="384" w:hRule="exact"/>
        </w:trPr>
        <w:tc>
          <w:tcPr>
            <w:tcW w:w="8334" w:type="dxa"/>
            <w:gridSpan w:val="5"/>
            <w:tcBorders>
              <w:top w:val="nil" w:sz="6" w:space="0" w:color="auto"/>
              <w:left w:val="nil" w:sz="6" w:space="0" w:color="auto"/>
              <w:bottom w:val="nil" w:sz="6" w:space="0" w:color="auto"/>
              <w:right w:val="nil" w:sz="6" w:space="0" w:color="auto"/>
            </w:tcBorders>
          </w:tcPr>
          <w:p>
            <w:pPr>
              <w:pStyle w:val="TableParagraph"/>
              <w:tabs>
                <w:tab w:pos="5776" w:val="left" w:leader="none"/>
              </w:tabs>
              <w:spacing w:line="240" w:lineRule="auto" w:before="77"/>
              <w:ind w:left="94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减：可供出售金融资产产生的所得税影响</w:t>
              <w:tab/>
            </w:r>
            <w:r>
              <w:rPr>
                <w:rFonts w:ascii="Times New Roman" w:hAnsi="Times New Roman" w:cs="Times New Roman" w:eastAsia="Times New Roman" w:hint="default"/>
                <w:position w:val="6"/>
                <w:sz w:val="18"/>
                <w:szCs w:val="18"/>
              </w:rPr>
              <w:t>-18,418,350.00</w:t>
            </w:r>
            <w:r>
              <w:rPr>
                <w:rFonts w:ascii="Times New Roman" w:hAnsi="Times New Roman" w:cs="Times New Roman" w:eastAsia="Times New Roman" w:hint="default"/>
                <w:sz w:val="18"/>
                <w:szCs w:val="18"/>
              </w:rPr>
            </w:r>
          </w:p>
        </w:tc>
        <w:tc>
          <w:tcPr>
            <w:tcW w:w="78"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295"/>
              <w:jc w:val="right"/>
              <w:rPr>
                <w:rFonts w:ascii="Times New Roman" w:hAnsi="Times New Roman" w:cs="Times New Roman" w:eastAsia="Times New Roman" w:hint="default"/>
                <w:sz w:val="18"/>
                <w:szCs w:val="18"/>
              </w:rPr>
            </w:pPr>
            <w:r>
              <w:rPr>
                <w:rFonts w:ascii="Times New Roman"/>
                <w:spacing w:val="-1"/>
                <w:sz w:val="18"/>
              </w:rPr>
              <w:t>29,690,250.00</w:t>
            </w:r>
          </w:p>
        </w:tc>
      </w:tr>
      <w:tr>
        <w:trPr>
          <w:trHeight w:val="385" w:hRule="exact"/>
        </w:trPr>
        <w:tc>
          <w:tcPr>
            <w:tcW w:w="8334" w:type="dxa"/>
            <w:gridSpan w:val="5"/>
            <w:tcBorders>
              <w:top w:val="nil" w:sz="6" w:space="0" w:color="auto"/>
              <w:left w:val="nil" w:sz="6" w:space="0" w:color="auto"/>
              <w:bottom w:val="nil" w:sz="6" w:space="0" w:color="auto"/>
              <w:right w:val="nil" w:sz="6" w:space="0" w:color="auto"/>
            </w:tcBorders>
          </w:tcPr>
          <w:p>
            <w:pPr>
              <w:pStyle w:val="TableParagraph"/>
              <w:tabs>
                <w:tab w:pos="5926" w:val="left" w:leader="none"/>
              </w:tabs>
              <w:spacing w:line="240" w:lineRule="auto" w:before="77"/>
              <w:ind w:left="130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前期计入其他综合收益当期转入损益的净额</w:t>
              <w:tab/>
            </w:r>
            <w:r>
              <w:rPr>
                <w:rFonts w:ascii="Times New Roman" w:hAnsi="Times New Roman" w:cs="Times New Roman" w:eastAsia="Times New Roman" w:hint="default"/>
                <w:position w:val="6"/>
                <w:sz w:val="18"/>
                <w:szCs w:val="18"/>
              </w:rPr>
              <w:t>3,343,071.68</w:t>
            </w:r>
            <w:r>
              <w:rPr>
                <w:rFonts w:ascii="Times New Roman" w:hAnsi="Times New Roman" w:cs="Times New Roman" w:eastAsia="Times New Roman" w:hint="default"/>
                <w:sz w:val="18"/>
                <w:szCs w:val="18"/>
              </w:rPr>
            </w:r>
          </w:p>
        </w:tc>
        <w:tc>
          <w:tcPr>
            <w:tcW w:w="78" w:type="dxa"/>
            <w:tcBorders>
              <w:top w:val="nil" w:sz="6" w:space="0" w:color="auto"/>
              <w:left w:val="nil" w:sz="6" w:space="0" w:color="auto"/>
              <w:bottom w:val="nil" w:sz="6" w:space="0" w:color="auto"/>
              <w:right w:val="nil" w:sz="6" w:space="0" w:color="auto"/>
            </w:tcBorders>
          </w:tcPr>
          <w:p>
            <w:pPr/>
          </w:p>
        </w:tc>
      </w:tr>
      <w:tr>
        <w:trPr>
          <w:trHeight w:val="283" w:hRule="exact"/>
        </w:trPr>
        <w:tc>
          <w:tcPr>
            <w:tcW w:w="8334" w:type="dxa"/>
            <w:gridSpan w:val="5"/>
            <w:tcBorders>
              <w:top w:val="nil" w:sz="6" w:space="0" w:color="auto"/>
              <w:left w:val="nil" w:sz="6" w:space="0" w:color="auto"/>
              <w:bottom w:val="nil" w:sz="6" w:space="0" w:color="auto"/>
              <w:right w:val="nil" w:sz="6" w:space="0" w:color="auto"/>
            </w:tcBorders>
          </w:tcPr>
          <w:p>
            <w:pPr>
              <w:pStyle w:val="TableParagraph"/>
              <w:tabs>
                <w:tab w:pos="5686" w:val="left" w:leader="none"/>
              </w:tabs>
              <w:spacing w:line="243" w:lineRule="exact" w:before="79"/>
              <w:ind w:left="767" w:right="0"/>
              <w:jc w:val="left"/>
              <w:rPr>
                <w:rFonts w:ascii="Times New Roman" w:hAnsi="Times New Roman" w:cs="Times New Roman" w:eastAsia="Times New Roman" w:hint="default"/>
                <w:sz w:val="18"/>
                <w:szCs w:val="18"/>
              </w:rPr>
            </w:pPr>
            <w:r>
              <w:rPr>
                <w:rFonts w:ascii="宋体" w:hAnsi="宋体" w:cs="宋体" w:eastAsia="宋体" w:hint="default"/>
                <w:position w:val="-5"/>
                <w:sz w:val="18"/>
                <w:szCs w:val="18"/>
              </w:rPr>
              <w:t>小计</w:t>
              <w:tab/>
            </w:r>
            <w:r>
              <w:rPr>
                <w:rFonts w:ascii="Times New Roman" w:hAnsi="Times New Roman" w:cs="Times New Roman" w:eastAsia="Times New Roman" w:hint="default"/>
                <w:sz w:val="18"/>
                <w:szCs w:val="18"/>
              </w:rPr>
              <w:t>-107,713,721.68</w:t>
            </w:r>
          </w:p>
        </w:tc>
        <w:tc>
          <w:tcPr>
            <w:tcW w:w="7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294"/>
              <w:jc w:val="right"/>
              <w:rPr>
                <w:rFonts w:ascii="Times New Roman" w:hAnsi="Times New Roman" w:cs="Times New Roman" w:eastAsia="Times New Roman" w:hint="default"/>
                <w:sz w:val="18"/>
                <w:szCs w:val="18"/>
              </w:rPr>
            </w:pPr>
            <w:r>
              <w:rPr>
                <w:rFonts w:ascii="Times New Roman"/>
                <w:spacing w:val="-1"/>
                <w:sz w:val="18"/>
              </w:rPr>
              <w:t>168,244,750.00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256" w:top="1060" w:bottom="1440" w:left="1640" w:right="160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p>
      <w:pPr>
        <w:spacing w:line="4754" w:lineRule="exact"/>
        <w:ind w:left="72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94"/>
          <w:sz w:val="20"/>
          <w:szCs w:val="20"/>
        </w:rPr>
        <w:pict>
          <v:group style="width:391.2pt;height:237.75pt;mso-position-horizontal-relative:char;mso-position-vertical-relative:line" coordorigin="0,0" coordsize="7824,4755">
            <v:group style="position:absolute;left:29;top:15;width:7775;height:2" coordorigin="29,15" coordsize="7775,2">
              <v:shape style="position:absolute;left:29;top:15;width:7775;height:2" coordorigin="29,15" coordsize="7775,0" path="m29,15l7804,15e" filled="false" stroked="true" strokeweight="1.5pt" strokecolor="#000000">
                <v:path arrowok="t"/>
              </v:shape>
              <v:shape style="position:absolute;left:4846;top:1;width:1537;height:408" type="#_x0000_t75" stroked="false">
                <v:imagedata r:id="rId278" o:title=""/>
              </v:shape>
            </v:group>
            <v:group style="position:absolute;left:15;top:4739;width:4860;height:2" coordorigin="15,4739" coordsize="4860,2">
              <v:shape style="position:absolute;left:15;top:4739;width:4860;height:2" coordorigin="15,4739" coordsize="4860,0" path="m15,4739l4875,4739e" filled="false" stroked="true" strokeweight="1.5pt" strokecolor="#000000">
                <v:path arrowok="t"/>
              </v:shape>
            </v:group>
            <v:group style="position:absolute;left:4875;top:4739;width:1470;height:2" coordorigin="4875,4739" coordsize="1470,2">
              <v:shape style="position:absolute;left:4875;top:4739;width:1470;height:2" coordorigin="4875,4739" coordsize="1470,0" path="m4875,4739l6345,4739e" filled="false" stroked="true" strokeweight="1.5pt" strokecolor="#000000">
                <v:path arrowok="t"/>
              </v:shape>
              <v:shape style="position:absolute;left:10;top:361;width:7813;height:4363" type="#_x0000_t75" stroked="false">
                <v:imagedata r:id="rId279" o:title=""/>
              </v:shape>
            </v:group>
            <v:group style="position:absolute;left:6345;top:4739;width:1460;height:2" coordorigin="6345,4739" coordsize="1460,2">
              <v:shape style="position:absolute;left:6345;top:4739;width:1460;height:2" coordorigin="6345,4739" coordsize="1460,0" path="m6345,4739l7804,4739e" filled="false" stroked="true" strokeweight="1.5pt" strokecolor="#000000">
                <v:path arrowok="t"/>
              </v:shape>
              <v:shape style="position:absolute;left:137;top:172;width:4410;height:4456" type="#_x0000_t202" filled="false" stroked="false">
                <v:textbox inset="0,0,0,0">
                  <w:txbxContent>
                    <w:p>
                      <w:pPr>
                        <w:spacing w:line="194" w:lineRule="exact" w:before="0"/>
                        <w:ind w:left="270" w:right="0" w:hanging="27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现金流量套期工具产生的利得（或损失）金额</w:t>
                      </w:r>
                    </w:p>
                    <w:p>
                      <w:pPr>
                        <w:spacing w:line="367" w:lineRule="auto" w:before="111"/>
                        <w:ind w:left="630" w:right="358" w:hanging="360"/>
                        <w:jc w:val="left"/>
                        <w:rPr>
                          <w:rFonts w:ascii="宋体" w:hAnsi="宋体" w:cs="宋体" w:eastAsia="宋体" w:hint="default"/>
                          <w:sz w:val="18"/>
                          <w:szCs w:val="18"/>
                        </w:rPr>
                      </w:pPr>
                      <w:r>
                        <w:rPr>
                          <w:rFonts w:ascii="宋体" w:hAnsi="宋体" w:cs="宋体" w:eastAsia="宋体" w:hint="default"/>
                          <w:sz w:val="18"/>
                          <w:szCs w:val="18"/>
                        </w:rPr>
                        <w:t>减：现金流量套期工具产生的所得税影响 前期计入其他综合收益当期转入损益的净额 转为被套期项目初始确认金额的调整</w:t>
                      </w:r>
                    </w:p>
                    <w:p>
                      <w:pPr>
                        <w:spacing w:before="29"/>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p>
                      <w:pPr>
                        <w:spacing w:line="345" w:lineRule="auto" w:before="124"/>
                        <w:ind w:left="270" w:right="1078" w:hanging="27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外币财务报表折算差额 减：处置境外经营当期转入损益的净额</w:t>
                      </w:r>
                    </w:p>
                    <w:p>
                      <w:pPr>
                        <w:spacing w:before="45"/>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p>
                      <w:pPr>
                        <w:spacing w:before="124"/>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p>
                      <w:pPr>
                        <w:spacing w:line="367" w:lineRule="auto" w:before="111"/>
                        <w:ind w:left="630" w:right="0" w:hanging="360"/>
                        <w:jc w:val="left"/>
                        <w:rPr>
                          <w:rFonts w:ascii="宋体" w:hAnsi="宋体" w:cs="宋体" w:eastAsia="宋体" w:hint="default"/>
                          <w:sz w:val="18"/>
                          <w:szCs w:val="18"/>
                        </w:rPr>
                      </w:pPr>
                      <w:r>
                        <w:rPr>
                          <w:rFonts w:ascii="宋体" w:hAnsi="宋体" w:cs="宋体" w:eastAsia="宋体" w:hint="default"/>
                          <w:sz w:val="18"/>
                          <w:szCs w:val="18"/>
                        </w:rPr>
                        <w:t>减：由其他计入其他综合收益产生的所得税影响 前期其他计入其他综合收益当期转入损益的净额</w:t>
                      </w:r>
                    </w:p>
                    <w:p>
                      <w:pPr>
                        <w:spacing w:before="29"/>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p>
                      <w:pPr>
                        <w:spacing w:before="80"/>
                        <w:ind w:left="224"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5057;top:4455;width:2639;height:180" type="#_x0000_t202" filled="false" stroked="false">
                <v:textbox inset="0,0,0,0">
                  <w:txbxContent>
                    <w:p>
                      <w:pPr>
                        <w:tabs>
                          <w:tab w:pos="151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-107,713,721.68</w:t>
                        <w:tab/>
                        <w:t>168,244,750.00</w:t>
                      </w:r>
                    </w:p>
                  </w:txbxContent>
                </v:textbox>
                <w10:wrap type="none"/>
              </v:shape>
            </v:group>
          </v:group>
        </w:pict>
      </w:r>
      <w:r>
        <w:rPr>
          <w:rFonts w:ascii="Times New Roman" w:hAnsi="Times New Roman" w:cs="Times New Roman" w:eastAsia="Times New Roman" w:hint="default"/>
          <w:position w:val="-94"/>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8"/>
          <w:szCs w:val="18"/>
        </w:rPr>
      </w:pPr>
    </w:p>
    <w:p>
      <w:pPr>
        <w:spacing w:line="282" w:lineRule="exact" w:before="0"/>
        <w:ind w:left="125" w:right="9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7"/>
          <w:sz w:val="21"/>
          <w:szCs w:val="21"/>
        </w:rPr>
        <w:t> </w:t>
      </w:r>
      <w:r>
        <w:rPr>
          <w:rFonts w:ascii="宋体" w:hAnsi="宋体" w:cs="宋体" w:eastAsia="宋体" w:hint="default"/>
          <w:b/>
          <w:bCs/>
          <w:sz w:val="21"/>
          <w:szCs w:val="21"/>
        </w:rPr>
        <w:t>现金流量表项目注释</w:t>
      </w:r>
      <w:r>
        <w:rPr>
          <w:rFonts w:ascii="宋体" w:hAnsi="宋体" w:cs="宋体" w:eastAsia="宋体" w:hint="default"/>
          <w:sz w:val="21"/>
          <w:szCs w:val="21"/>
        </w:rPr>
      </w:r>
    </w:p>
    <w:p>
      <w:pPr>
        <w:tabs>
          <w:tab w:pos="1396" w:val="left" w:leader="none"/>
        </w:tabs>
        <w:spacing w:line="282" w:lineRule="exact" w:before="0"/>
        <w:ind w:left="857" w:right="9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收到的其他与经营活动有关的现金</w:t>
      </w:r>
      <w:r>
        <w:rPr>
          <w:rFonts w:ascii="宋体" w:hAnsi="宋体" w:cs="宋体" w:eastAsia="宋体" w:hint="default"/>
          <w:sz w:val="21"/>
          <w:szCs w:val="21"/>
        </w:rPr>
      </w:r>
    </w:p>
    <w:p>
      <w:pPr>
        <w:spacing w:line="240" w:lineRule="auto" w:before="7"/>
        <w:rPr>
          <w:rFonts w:ascii="宋体" w:hAnsi="宋体" w:cs="宋体" w:eastAsia="宋体" w:hint="default"/>
          <w:b/>
          <w:bCs/>
          <w:sz w:val="11"/>
          <w:szCs w:val="11"/>
        </w:rPr>
      </w:pPr>
    </w:p>
    <w:p>
      <w:pPr>
        <w:spacing w:line="1972" w:lineRule="exact"/>
        <w:ind w:left="720"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390.9pt;height:98.65pt;mso-position-horizontal-relative:char;mso-position-vertical-relative:line" coordorigin="0,0" coordsize="7818,1973">
            <v:group style="position:absolute;left:29;top:15;width:7754;height:2" coordorigin="29,15" coordsize="7754,2">
              <v:shape style="position:absolute;left:29;top:15;width:7754;height:2" coordorigin="29,15" coordsize="7754,0" path="m29,15l7783,15e" filled="false" stroked="true" strokeweight="1.5pt" strokecolor="#000000">
                <v:path arrowok="t"/>
              </v:shape>
              <v:shape style="position:absolute;left:4592;top:30;width:10;height:374" type="#_x0000_t75" stroked="false">
                <v:imagedata r:id="rId280" o:title=""/>
              </v:shape>
            </v:group>
            <v:group style="position:absolute;left:15;top:1958;width:4577;height:2" coordorigin="15,1958" coordsize="4577,2">
              <v:shape style="position:absolute;left:15;top:1958;width:4577;height:2" coordorigin="15,1958" coordsize="4577,0" path="m15,1958l4592,1958e" filled="false" stroked="true" strokeweight="1.5pt" strokecolor="#000000">
                <v:path arrowok="t"/>
              </v:shape>
              <v:shape style="position:absolute;left:1;top:376;width:7817;height:1567" type="#_x0000_t75" stroked="false">
                <v:imagedata r:id="rId281" o:title=""/>
              </v:shape>
            </v:group>
            <v:group style="position:absolute;left:4592;top:1958;width:3191;height:2" coordorigin="4592,1958" coordsize="3191,2">
              <v:shape style="position:absolute;left:4592;top:1958;width:3191;height:2" coordorigin="4592,1958" coordsize="3191,0" path="m4592,1958l7783,1958e" filled="false" stroked="true" strokeweight="1.5pt" strokecolor="#000000">
                <v:path arrowok="t"/>
              </v:shape>
              <v:shape style="position:absolute;left:1953;top:127;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5829;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137;top:51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营业外收入</w:t>
                      </w:r>
                    </w:p>
                  </w:txbxContent>
                </v:textbox>
                <w10:wrap type="none"/>
              </v:shape>
              <v:shape style="position:absolute;left:6730;top:52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2,530,967.50</w:t>
                      </w:r>
                    </w:p>
                  </w:txbxContent>
                </v:textbox>
                <w10:wrap type="none"/>
              </v:shape>
              <v:shape style="position:absolute;left:137;top:89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利息收入</w:t>
                      </w:r>
                    </w:p>
                  </w:txbxContent>
                </v:textbox>
                <w10:wrap type="none"/>
              </v:shape>
              <v:shape style="position:absolute;left:6865;top:904;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903,363.61</w:t>
                      </w:r>
                    </w:p>
                  </w:txbxContent>
                </v:textbox>
                <w10:wrap type="none"/>
              </v:shape>
              <v:shape style="position:absolute;left:137;top:128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往来</w:t>
                      </w:r>
                    </w:p>
                  </w:txbxContent>
                </v:textbox>
                <w10:wrap type="none"/>
              </v:shape>
              <v:shape style="position:absolute;left:6640;top:1288;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54,980,268.49</w:t>
                      </w:r>
                    </w:p>
                  </w:txbxContent>
                </v:textbox>
                <w10:wrap type="none"/>
              </v:shape>
              <v:shape style="position:absolute;left:2043;top:166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6639;top:167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58,414,599.60</w:t>
                      </w:r>
                    </w:p>
                  </w:txbxContent>
                </v:textbox>
                <w10:wrap type="none"/>
              </v:shape>
            </v:group>
          </v:group>
        </w:pict>
      </w:r>
      <w:r>
        <w:rPr>
          <w:rFonts w:ascii="宋体" w:hAnsi="宋体" w:cs="宋体" w:eastAsia="宋体" w:hint="default"/>
          <w:position w:val="-38"/>
          <w:sz w:val="20"/>
          <w:szCs w:val="2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5"/>
          <w:szCs w:val="15"/>
        </w:rPr>
      </w:pPr>
    </w:p>
    <w:p>
      <w:pPr>
        <w:tabs>
          <w:tab w:pos="1396" w:val="left" w:leader="none"/>
        </w:tabs>
        <w:spacing w:before="0"/>
        <w:ind w:left="857" w:right="91" w:firstLine="0"/>
        <w:jc w:val="left"/>
        <w:rPr>
          <w:rFonts w:ascii="宋体" w:hAnsi="宋体" w:cs="宋体" w:eastAsia="宋体" w:hint="default"/>
          <w:sz w:val="21"/>
          <w:szCs w:val="21"/>
        </w:rPr>
      </w:pPr>
      <w:r>
        <w:rPr/>
        <w:pict>
          <v:group style="position:absolute;margin-left:119.010002pt;margin-top:22.163979pt;width:390.35pt;height:98.6pt;mso-position-horizontal-relative:page;mso-position-vertical-relative:paragraph;z-index:-808096" coordorigin="2380,443" coordsize="7807,1972">
            <v:group style="position:absolute;left:2410;top:458;width:7754;height:2" coordorigin="2410,458" coordsize="7754,2">
              <v:shape style="position:absolute;left:2410;top:458;width:7754;height:2" coordorigin="2410,458" coordsize="7754,0" path="m2410,458l10163,458e" filled="false" stroked="true" strokeweight="1.5pt" strokecolor="#000000">
                <v:path arrowok="t"/>
              </v:shape>
              <v:shape style="position:absolute;left:7748;top:473;width:10;height:374" type="#_x0000_t75" stroked="false">
                <v:imagedata r:id="rId282" o:title=""/>
              </v:shape>
            </v:group>
            <v:group style="position:absolute;left:2395;top:2400;width:5354;height:2" coordorigin="2395,2400" coordsize="5354,2">
              <v:shape style="position:absolute;left:2395;top:2400;width:5354;height:2" coordorigin="2395,2400" coordsize="5354,0" path="m2395,2400l7748,2400e" filled="false" stroked="true" strokeweight="1.5pt" strokecolor="#000000">
                <v:path arrowok="t"/>
              </v:shape>
              <v:shape style="position:absolute;left:2390;top:828;width:7796;height:1556" type="#_x0000_t75" stroked="false">
                <v:imagedata r:id="rId283" o:title=""/>
              </v:shape>
            </v:group>
            <v:group style="position:absolute;left:7748;top:2400;width:2415;height:2" coordorigin="7748,2400" coordsize="2415,2">
              <v:shape style="position:absolute;left:7748;top:2400;width:2415;height:2" coordorigin="7748,2400" coordsize="2415,0" path="m7748,2400l10163,2400e" filled="false" stroked="true" strokeweight="1.5pt" strokecolor="#000000">
                <v:path arrowok="t"/>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支付的其他与经营活动有关的现金</w:t>
      </w:r>
      <w:r>
        <w:rPr>
          <w:rFonts w:ascii="宋体" w:hAnsi="宋体" w:cs="宋体" w:eastAsia="宋体" w:hint="default"/>
          <w:sz w:val="21"/>
          <w:szCs w:val="21"/>
        </w:rPr>
      </w:r>
    </w:p>
    <w:p>
      <w:pPr>
        <w:spacing w:line="240" w:lineRule="auto" w:before="11"/>
        <w:rPr>
          <w:rFonts w:ascii="宋体" w:hAnsi="宋体" w:cs="宋体" w:eastAsia="宋体" w:hint="default"/>
          <w:b/>
          <w:bCs/>
          <w:sz w:val="12"/>
          <w:szCs w:val="12"/>
        </w:rPr>
      </w:pPr>
    </w:p>
    <w:tbl>
      <w:tblPr>
        <w:tblW w:w="0" w:type="auto"/>
        <w:jc w:val="left"/>
        <w:tblInd w:w="1002" w:type="dxa"/>
        <w:tblLayout w:type="fixed"/>
        <w:tblCellMar>
          <w:top w:w="0" w:type="dxa"/>
          <w:left w:w="0" w:type="dxa"/>
          <w:bottom w:w="0" w:type="dxa"/>
          <w:right w:w="0" w:type="dxa"/>
        </w:tblCellMar>
        <w:tblLook w:val="01E0"/>
      </w:tblPr>
      <w:tblGrid>
        <w:gridCol w:w="1497"/>
        <w:gridCol w:w="922"/>
        <w:gridCol w:w="1939"/>
        <w:gridCol w:w="3072"/>
      </w:tblGrid>
      <w:tr>
        <w:trPr>
          <w:trHeight w:val="394" w:hRule="exact"/>
        </w:trPr>
        <w:tc>
          <w:tcPr>
            <w:tcW w:w="1497" w:type="dxa"/>
            <w:tcBorders>
              <w:top w:val="nil" w:sz="6" w:space="0" w:color="auto"/>
              <w:left w:val="nil" w:sz="6" w:space="0" w:color="auto"/>
              <w:bottom w:val="nil" w:sz="6" w:space="0" w:color="auto"/>
              <w:right w:val="nil" w:sz="6" w:space="0" w:color="auto"/>
            </w:tcBorders>
          </w:tcPr>
          <w:p>
            <w:pP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8"/>
              <w:jc w:val="right"/>
              <w:rPr>
                <w:rFonts w:ascii="宋体" w:hAnsi="宋体" w:cs="宋体" w:eastAsia="宋体" w:hint="default"/>
                <w:sz w:val="18"/>
                <w:szCs w:val="18"/>
              </w:rPr>
            </w:pPr>
            <w:r>
              <w:rPr>
                <w:rFonts w:ascii="宋体" w:hAnsi="宋体" w:cs="宋体" w:eastAsia="宋体" w:hint="default"/>
                <w:sz w:val="18"/>
                <w:szCs w:val="18"/>
              </w:rPr>
              <w:t>项</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80" w:right="0"/>
              <w:jc w:val="left"/>
              <w:rPr>
                <w:rFonts w:ascii="宋体" w:hAnsi="宋体" w:cs="宋体" w:eastAsia="宋体" w:hint="default"/>
                <w:sz w:val="18"/>
                <w:szCs w:val="18"/>
              </w:rPr>
            </w:pPr>
            <w:r>
              <w:rPr>
                <w:rFonts w:ascii="宋体" w:hAnsi="宋体" w:cs="宋体" w:eastAsia="宋体" w:hint="default"/>
                <w:sz w:val="18"/>
                <w:szCs w:val="18"/>
              </w:rPr>
              <w:t>目</w:t>
            </w:r>
          </w:p>
        </w:tc>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578" w:right="0"/>
              <w:jc w:val="left"/>
              <w:rPr>
                <w:rFonts w:ascii="宋体" w:hAnsi="宋体" w:cs="宋体" w:eastAsia="宋体" w:hint="default"/>
                <w:sz w:val="18"/>
                <w:szCs w:val="18"/>
              </w:rPr>
            </w:pPr>
            <w:r>
              <w:rPr>
                <w:rFonts w:ascii="宋体" w:hAnsi="宋体" w:cs="宋体" w:eastAsia="宋体" w:hint="default"/>
                <w:sz w:val="18"/>
                <w:szCs w:val="18"/>
              </w:rPr>
              <w:t>本期金额</w:t>
            </w:r>
          </w:p>
        </w:tc>
      </w:tr>
      <w:tr>
        <w:trPr>
          <w:trHeight w:val="388"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期间费用</w:t>
            </w:r>
          </w:p>
        </w:tc>
        <w:tc>
          <w:tcPr>
            <w:tcW w:w="922" w:type="dxa"/>
            <w:tcBorders>
              <w:top w:val="nil" w:sz="6" w:space="0" w:color="auto"/>
              <w:left w:val="nil" w:sz="6" w:space="0" w:color="auto"/>
              <w:bottom w:val="nil" w:sz="6" w:space="0" w:color="auto"/>
              <w:right w:val="nil" w:sz="6" w:space="0" w:color="auto"/>
            </w:tcBorders>
          </w:tcPr>
          <w:p>
            <w:pPr/>
          </w:p>
        </w:tc>
        <w:tc>
          <w:tcPr>
            <w:tcW w:w="1939" w:type="dxa"/>
            <w:tcBorders>
              <w:top w:val="nil" w:sz="6" w:space="0" w:color="auto"/>
              <w:left w:val="nil" w:sz="6" w:space="0" w:color="auto"/>
              <w:bottom w:val="nil" w:sz="6" w:space="0" w:color="auto"/>
              <w:right w:val="nil" w:sz="6" w:space="0" w:color="auto"/>
            </w:tcBorders>
          </w:tcPr>
          <w:p>
            <w:pPr/>
          </w:p>
        </w:tc>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4"/>
              <w:jc w:val="right"/>
              <w:rPr>
                <w:rFonts w:ascii="Times New Roman" w:hAnsi="Times New Roman" w:cs="Times New Roman" w:eastAsia="Times New Roman" w:hint="default"/>
                <w:sz w:val="18"/>
                <w:szCs w:val="18"/>
              </w:rPr>
            </w:pPr>
            <w:r>
              <w:rPr>
                <w:rFonts w:ascii="Times New Roman"/>
                <w:spacing w:val="-1"/>
                <w:sz w:val="18"/>
              </w:rPr>
              <w:t>145,641,133.20</w:t>
            </w:r>
          </w:p>
        </w:tc>
      </w:tr>
      <w:tr>
        <w:trPr>
          <w:trHeight w:val="385"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922" w:type="dxa"/>
            <w:tcBorders>
              <w:top w:val="nil" w:sz="6" w:space="0" w:color="auto"/>
              <w:left w:val="nil" w:sz="6" w:space="0" w:color="auto"/>
              <w:bottom w:val="nil" w:sz="6" w:space="0" w:color="auto"/>
              <w:right w:val="nil" w:sz="6" w:space="0" w:color="auto"/>
            </w:tcBorders>
          </w:tcPr>
          <w:p>
            <w:pPr/>
          </w:p>
        </w:tc>
        <w:tc>
          <w:tcPr>
            <w:tcW w:w="1939" w:type="dxa"/>
            <w:tcBorders>
              <w:top w:val="nil" w:sz="6" w:space="0" w:color="auto"/>
              <w:left w:val="nil" w:sz="6" w:space="0" w:color="auto"/>
              <w:bottom w:val="nil" w:sz="6" w:space="0" w:color="auto"/>
              <w:right w:val="nil" w:sz="6" w:space="0" w:color="auto"/>
            </w:tcBorders>
          </w:tcPr>
          <w:p>
            <w:pPr/>
          </w:p>
        </w:tc>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322,477.22</w:t>
            </w:r>
          </w:p>
        </w:tc>
      </w:tr>
      <w:tr>
        <w:trPr>
          <w:trHeight w:val="385"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z w:val="18"/>
                <w:szCs w:val="18"/>
              </w:rPr>
              <w:t>往来</w:t>
            </w:r>
          </w:p>
        </w:tc>
        <w:tc>
          <w:tcPr>
            <w:tcW w:w="922" w:type="dxa"/>
            <w:tcBorders>
              <w:top w:val="nil" w:sz="6" w:space="0" w:color="auto"/>
              <w:left w:val="nil" w:sz="6" w:space="0" w:color="auto"/>
              <w:bottom w:val="nil" w:sz="6" w:space="0" w:color="auto"/>
              <w:right w:val="nil" w:sz="6" w:space="0" w:color="auto"/>
            </w:tcBorders>
          </w:tcPr>
          <w:p>
            <w:pPr/>
          </w:p>
        </w:tc>
        <w:tc>
          <w:tcPr>
            <w:tcW w:w="1939" w:type="dxa"/>
            <w:tcBorders>
              <w:top w:val="nil" w:sz="6" w:space="0" w:color="auto"/>
              <w:left w:val="nil" w:sz="6" w:space="0" w:color="auto"/>
              <w:bottom w:val="nil" w:sz="6" w:space="0" w:color="auto"/>
              <w:right w:val="nil" w:sz="6" w:space="0" w:color="auto"/>
            </w:tcBorders>
          </w:tcPr>
          <w:p>
            <w:pPr/>
          </w:p>
        </w:tc>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pacing w:val="-1"/>
                <w:sz w:val="18"/>
              </w:rPr>
              <w:t>13,428,014.09</w:t>
            </w:r>
          </w:p>
        </w:tc>
      </w:tr>
      <w:tr>
        <w:trPr>
          <w:trHeight w:val="390" w:hRule="exact"/>
        </w:trPr>
        <w:tc>
          <w:tcPr>
            <w:tcW w:w="1497" w:type="dxa"/>
            <w:tcBorders>
              <w:top w:val="nil" w:sz="6" w:space="0" w:color="auto"/>
              <w:left w:val="nil" w:sz="6" w:space="0" w:color="auto"/>
              <w:bottom w:val="nil" w:sz="6" w:space="0" w:color="auto"/>
              <w:right w:val="nil" w:sz="6" w:space="0" w:color="auto"/>
            </w:tcBorders>
          </w:tcPr>
          <w:p>
            <w:pP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78"/>
              <w:jc w:val="right"/>
              <w:rPr>
                <w:rFonts w:ascii="宋体" w:hAnsi="宋体" w:cs="宋体" w:eastAsia="宋体" w:hint="default"/>
                <w:sz w:val="18"/>
                <w:szCs w:val="18"/>
              </w:rPr>
            </w:pPr>
            <w:r>
              <w:rPr>
                <w:rFonts w:ascii="宋体" w:hAnsi="宋体" w:cs="宋体" w:eastAsia="宋体" w:hint="default"/>
                <w:sz w:val="18"/>
                <w:szCs w:val="18"/>
              </w:rPr>
              <w:t>合</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80"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4"/>
              <w:jc w:val="right"/>
              <w:rPr>
                <w:rFonts w:ascii="Times New Roman" w:hAnsi="Times New Roman" w:cs="Times New Roman" w:eastAsia="Times New Roman" w:hint="default"/>
                <w:sz w:val="18"/>
                <w:szCs w:val="18"/>
              </w:rPr>
            </w:pPr>
            <w:r>
              <w:rPr>
                <w:rFonts w:ascii="Times New Roman"/>
                <w:spacing w:val="-1"/>
                <w:sz w:val="18"/>
              </w:rPr>
              <w:t>159,391,624.51</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5"/>
          <w:szCs w:val="15"/>
        </w:rPr>
      </w:pPr>
    </w:p>
    <w:p>
      <w:pPr>
        <w:spacing w:before="35"/>
        <w:ind w:left="125" w:right="9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7"/>
          <w:sz w:val="21"/>
          <w:szCs w:val="21"/>
        </w:rPr>
        <w:t> </w:t>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tabs>
          <w:tab w:pos="1396" w:val="left" w:leader="none"/>
        </w:tabs>
        <w:spacing w:before="59"/>
        <w:ind w:left="857" w:right="9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1562" w:lineRule="exact"/>
        <w:ind w:left="720"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390.85pt;height:78.150pt;mso-position-horizontal-relative:char;mso-position-vertical-relative:line" coordorigin="0,0" coordsize="7817,1563">
            <v:group style="position:absolute;left:29;top:15;width:7755;height:2" coordorigin="29,15" coordsize="7755,2">
              <v:shape style="position:absolute;left:29;top:15;width:7755;height:2" coordorigin="29,15" coordsize="7755,0" path="m29,15l7784,15e" filled="false" stroked="true" strokeweight="1.5pt" strokecolor="#000000">
                <v:path arrowok="t"/>
              </v:shape>
              <v:shape style="position:absolute;left:4348;top:1;width:1769;height:407" type="#_x0000_t75" stroked="false">
                <v:imagedata r:id="rId284" o:title=""/>
              </v:shape>
            </v:group>
            <v:group style="position:absolute;left:15;top:1547;width:4362;height:2" coordorigin="15,1547" coordsize="4362,2">
              <v:shape style="position:absolute;left:15;top:1547;width:4362;height:2" coordorigin="15,1547" coordsize="4362,0" path="m15,1547l4377,1547e" filled="false" stroked="true" strokeweight="1.5pt" strokecolor="#000000">
                <v:path arrowok="t"/>
              </v:shape>
            </v:group>
            <v:group style="position:absolute;left:4377;top:1547;width:1702;height:2" coordorigin="4377,1547" coordsize="1702,2">
              <v:shape style="position:absolute;left:4377;top:1547;width:1702;height:2" coordorigin="4377,1547" coordsize="1702,0" path="m4377,1547l6079,1547e" filled="false" stroked="true" strokeweight="1.5pt" strokecolor="#000000">
                <v:path arrowok="t"/>
              </v:shape>
              <v:shape style="position:absolute;left:1;top:360;width:7816;height:1172" type="#_x0000_t75" stroked="false">
                <v:imagedata r:id="rId285" o:title=""/>
              </v:shape>
            </v:group>
            <v:group style="position:absolute;left:6079;top:1547;width:1706;height:2" coordorigin="6079,1547" coordsize="1706,2">
              <v:shape style="position:absolute;left:6079;top:1547;width:1706;height:2" coordorigin="6079,1547" coordsize="1706,0" path="m6079,1547l7784,1547e" filled="false" stroked="true" strokeweight="1.5pt" strokecolor="#000000">
                <v:path arrowok="t"/>
              </v:shape>
              <v:shape style="position:absolute;left:1845;top:172;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4873;top:17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6573;top:17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137;top:487;width:7540;height:572"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p>
                      <w:pPr>
                        <w:tabs>
                          <w:tab w:pos="4713" w:val="left" w:leader="none"/>
                          <w:tab w:pos="6503" w:val="left" w:leader="none"/>
                        </w:tabs>
                        <w:spacing w:line="243" w:lineRule="exact" w:before="135"/>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净利润</w:t>
                        <w:tab/>
                      </w:r>
                      <w:r>
                        <w:rPr>
                          <w:rFonts w:ascii="Times New Roman" w:hAnsi="Times New Roman" w:cs="Times New Roman" w:eastAsia="Times New Roman" w:hint="default"/>
                          <w:spacing w:val="-1"/>
                          <w:sz w:val="18"/>
                          <w:szCs w:val="18"/>
                        </w:rPr>
                        <w:t>178,809,583.01</w:t>
                        <w:tab/>
                        <w:t>94,047,869.79</w:t>
                      </w:r>
                    </w:p>
                  </w:txbxContent>
                </v:textbox>
                <w10:wrap type="none"/>
              </v:shape>
              <v:shape style="position:absolute;left:137;top:1255;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加：资产减值准备</w:t>
                      </w:r>
                    </w:p>
                  </w:txbxContent>
                </v:textbox>
                <w10:wrap type="none"/>
              </v:shape>
              <v:shape style="position:absolute;left:5031;top:126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5,569,220.25</w:t>
                      </w:r>
                    </w:p>
                  </w:txbxContent>
                </v:textbox>
                <w10:wrap type="none"/>
              </v:shape>
              <v:shape style="position:absolute;left:6731;top:126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5,212,792.90</w:t>
                      </w:r>
                    </w:p>
                  </w:txbxContent>
                </v:textbox>
                <w10:wrap type="none"/>
              </v:shape>
            </v:group>
          </v:group>
        </w:pict>
      </w:r>
      <w:r>
        <w:rPr>
          <w:rFonts w:ascii="宋体" w:hAnsi="宋体" w:cs="宋体" w:eastAsia="宋体" w:hint="default"/>
          <w:position w:val="-30"/>
          <w:sz w:val="20"/>
          <w:szCs w:val="20"/>
        </w:rPr>
      </w:r>
    </w:p>
    <w:p>
      <w:pPr>
        <w:spacing w:after="0" w:line="1562" w:lineRule="exact"/>
        <w:rPr>
          <w:rFonts w:ascii="宋体" w:hAnsi="宋体" w:cs="宋体" w:eastAsia="宋体" w:hint="default"/>
          <w:sz w:val="20"/>
          <w:szCs w:val="20"/>
        </w:rPr>
        <w:sectPr>
          <w:pgSz w:w="11910" w:h="16840"/>
          <w:pgMar w:header="0" w:footer="1256" w:top="1060" w:bottom="1440" w:left="1660" w:right="1600"/>
        </w:sectPr>
      </w:pPr>
    </w:p>
    <w:p>
      <w:pPr>
        <w:spacing w:line="240" w:lineRule="auto" w:before="0"/>
        <w:rPr>
          <w:rFonts w:ascii="Times New Roman" w:hAnsi="Times New Roman" w:cs="Times New Roman" w:eastAsia="Times New Roman" w:hint="default"/>
          <w:sz w:val="20"/>
          <w:szCs w:val="20"/>
        </w:rPr>
      </w:pPr>
      <w:r>
        <w:rPr/>
        <w:pict>
          <v:group style="position:absolute;margin-left:119.040001pt;margin-top:72pt;width:390.8pt;height:518.25pt;mso-position-horizontal-relative:page;mso-position-vertical-relative:page;z-index:-808072" coordorigin="2381,1440" coordsize="7816,10365">
            <v:group style="position:absolute;left:2410;top:1455;width:7755;height:2" coordorigin="2410,1455" coordsize="7755,2">
              <v:shape style="position:absolute;left:2410;top:1455;width:7755;height:2" coordorigin="2410,1455" coordsize="7755,0" path="m2410,1455l10164,1455e" filled="false" stroked="true" strokeweight="1.5pt" strokecolor="#000000">
                <v:path arrowok="t"/>
              </v:shape>
              <v:shape style="position:absolute;left:6728;top:1441;width:1769;height:408" type="#_x0000_t75" stroked="false">
                <v:imagedata r:id="rId286" o:title=""/>
              </v:shape>
              <v:shape style="position:absolute;left:2381;top:1792;width:7816;height:10013" type="#_x0000_t75" stroked="false">
                <v:imagedata r:id="rId287" o:title=""/>
              </v:shape>
            </v:group>
            <w10:wrap type="none"/>
          </v:group>
        </w:pict>
      </w:r>
      <w:r>
        <w:rPr/>
        <w:pict>
          <v:group style="position:absolute;margin-left:119.519997pt;margin-top:629.76001pt;width:392.5pt;height:135.5pt;mso-position-horizontal-relative:page;mso-position-vertical-relative:page;z-index:-808048" coordorigin="2390,12595" coordsize="7850,2710">
            <v:shape style="position:absolute;left:6587;top:12595;width:1867;height:432" type="#_x0000_t75" stroked="false">
              <v:imagedata r:id="rId288" o:title=""/>
            </v:shape>
            <v:shape style="position:absolute;left:2390;top:12979;width:7849;height:2326" type="#_x0000_t75" stroked="false">
              <v:imagedata r:id="rId289" o:title=""/>
            </v:shape>
            <w10:wrap type="none"/>
          </v:group>
        </w:pict>
      </w:r>
    </w:p>
    <w:p>
      <w:pPr>
        <w:spacing w:line="240" w:lineRule="auto" w:before="8"/>
        <w:rPr>
          <w:rFonts w:ascii="Times New Roman" w:hAnsi="Times New Roman" w:cs="Times New Roman" w:eastAsia="Times New Roman" w:hint="default"/>
          <w:sz w:val="18"/>
          <w:szCs w:val="18"/>
        </w:rPr>
      </w:pPr>
    </w:p>
    <w:tbl>
      <w:tblPr>
        <w:tblW w:w="0" w:type="auto"/>
        <w:jc w:val="left"/>
        <w:tblInd w:w="749" w:type="dxa"/>
        <w:tblLayout w:type="fixed"/>
        <w:tblCellMar>
          <w:top w:w="0" w:type="dxa"/>
          <w:left w:w="0" w:type="dxa"/>
          <w:bottom w:w="0" w:type="dxa"/>
          <w:right w:w="0" w:type="dxa"/>
        </w:tblCellMar>
        <w:tblLook w:val="01E0"/>
      </w:tblPr>
      <w:tblGrid>
        <w:gridCol w:w="4497"/>
        <w:gridCol w:w="1708"/>
        <w:gridCol w:w="1478"/>
        <w:gridCol w:w="128"/>
      </w:tblGrid>
      <w:tr>
        <w:trPr>
          <w:trHeight w:val="701" w:hRule="exact"/>
        </w:trPr>
        <w:tc>
          <w:tcPr>
            <w:tcW w:w="4497" w:type="dxa"/>
            <w:tcBorders>
              <w:top w:val="nil" w:sz="6" w:space="0" w:color="auto"/>
              <w:left w:val="nil" w:sz="6" w:space="0" w:color="auto"/>
              <w:bottom w:val="nil" w:sz="6" w:space="0" w:color="auto"/>
              <w:right w:val="nil" w:sz="6" w:space="0" w:color="auto"/>
            </w:tcBorders>
          </w:tcPr>
          <w:p>
            <w:pPr>
              <w:pStyle w:val="TableParagraph"/>
              <w:tabs>
                <w:tab w:pos="2355" w:val="left" w:leader="none"/>
              </w:tabs>
              <w:spacing w:line="321" w:lineRule="auto" w:before="44"/>
              <w:ind w:left="107" w:right="251" w:firstLine="1707"/>
              <w:jc w:val="left"/>
              <w:rPr>
                <w:rFonts w:ascii="宋体" w:hAnsi="宋体" w:cs="宋体" w:eastAsia="宋体" w:hint="default"/>
                <w:sz w:val="18"/>
                <w:szCs w:val="18"/>
              </w:rPr>
            </w:pPr>
            <w:r>
              <w:rPr>
                <w:rFonts w:ascii="宋体" w:hAnsi="宋体" w:cs="宋体" w:eastAsia="宋体" w:hint="default"/>
                <w:sz w:val="18"/>
                <w:szCs w:val="18"/>
              </w:rPr>
              <w:t>项</w:t>
              <w:tab/>
              <w:t>目 </w:t>
            </w:r>
            <w:r>
              <w:rPr>
                <w:rFonts w:ascii="宋体" w:hAnsi="宋体" w:cs="宋体" w:eastAsia="宋体" w:hint="default"/>
                <w:spacing w:val="-1"/>
                <w:sz w:val="18"/>
                <w:szCs w:val="18"/>
              </w:rPr>
              <w:t>固定资产折旧、油气资产折耗、生产性生物资产折旧</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46"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120"/>
              <w:ind w:left="414" w:right="0"/>
              <w:jc w:val="left"/>
              <w:rPr>
                <w:rFonts w:ascii="Times New Roman" w:hAnsi="Times New Roman" w:cs="Times New Roman" w:eastAsia="Times New Roman" w:hint="default"/>
                <w:sz w:val="18"/>
                <w:szCs w:val="18"/>
              </w:rPr>
            </w:pPr>
            <w:r>
              <w:rPr>
                <w:rFonts w:ascii="Times New Roman"/>
                <w:sz w:val="18"/>
              </w:rPr>
              <w:t>63,284,450.91</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39"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120"/>
              <w:ind w:left="407" w:right="0"/>
              <w:jc w:val="left"/>
              <w:rPr>
                <w:rFonts w:ascii="Times New Roman" w:hAnsi="Times New Roman" w:cs="Times New Roman" w:eastAsia="Times New Roman" w:hint="default"/>
                <w:sz w:val="18"/>
                <w:szCs w:val="18"/>
              </w:rPr>
            </w:pPr>
            <w:r>
              <w:rPr>
                <w:rFonts w:ascii="Times New Roman"/>
                <w:sz w:val="18"/>
              </w:rPr>
              <w:t>57,429,017.14</w:t>
            </w:r>
          </w:p>
        </w:tc>
        <w:tc>
          <w:tcPr>
            <w:tcW w:w="128" w:type="dxa"/>
            <w:tcBorders>
              <w:top w:val="nil" w:sz="6" w:space="0" w:color="auto"/>
              <w:left w:val="nil" w:sz="6" w:space="0" w:color="auto"/>
              <w:bottom w:val="nil" w:sz="6" w:space="0" w:color="auto"/>
              <w:right w:val="nil" w:sz="6" w:space="0" w:color="auto"/>
            </w:tcBorders>
          </w:tcPr>
          <w:p>
            <w:pPr/>
          </w:p>
        </w:tc>
      </w:tr>
      <w:tr>
        <w:trPr>
          <w:trHeight w:val="385"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55"/>
              <w:jc w:val="right"/>
              <w:rPr>
                <w:rFonts w:ascii="Times New Roman" w:hAnsi="Times New Roman" w:cs="Times New Roman" w:eastAsia="Times New Roman" w:hint="default"/>
                <w:sz w:val="18"/>
                <w:szCs w:val="18"/>
              </w:rPr>
            </w:pPr>
            <w:r>
              <w:rPr>
                <w:rFonts w:ascii="Times New Roman"/>
                <w:sz w:val="18"/>
              </w:rPr>
              <w:t>666,936.32</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55,430.48</w:t>
            </w:r>
          </w:p>
        </w:tc>
        <w:tc>
          <w:tcPr>
            <w:tcW w:w="128" w:type="dxa"/>
            <w:tcBorders>
              <w:top w:val="single" w:sz="6" w:space="0" w:color="auto"/>
              <w:left w:val="single" w:sz="6" w:space="0" w:color="auto"/>
              <w:bottom w:val="single" w:sz="6" w:space="0" w:color="auto"/>
              <w:right w:val="single" w:sz="6" w:space="0" w:color="auto"/>
            </w:tcBorders>
          </w:tcPr>
          <w:p>
            <w:pPr/>
          </w:p>
        </w:tc>
      </w:tr>
      <w:tr>
        <w:trPr>
          <w:trHeight w:val="385"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7"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55"/>
              <w:jc w:val="right"/>
              <w:rPr>
                <w:rFonts w:ascii="Times New Roman" w:hAnsi="Times New Roman" w:cs="Times New Roman" w:eastAsia="Times New Roman" w:hint="default"/>
                <w:sz w:val="18"/>
                <w:szCs w:val="18"/>
              </w:rPr>
            </w:pPr>
            <w:r>
              <w:rPr>
                <w:rFonts w:ascii="Times New Roman"/>
                <w:spacing w:val="-1"/>
                <w:sz w:val="18"/>
              </w:rPr>
              <w:t>977,116.44</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pacing w:val="-1"/>
                <w:sz w:val="18"/>
              </w:rPr>
              <w:t>1,270,259.85</w:t>
            </w:r>
          </w:p>
        </w:tc>
        <w:tc>
          <w:tcPr>
            <w:tcW w:w="128" w:type="dxa"/>
            <w:tcBorders>
              <w:top w:val="single" w:sz="6" w:space="0" w:color="auto"/>
              <w:left w:val="single" w:sz="6" w:space="0" w:color="auto"/>
              <w:bottom w:val="single" w:sz="6" w:space="0" w:color="auto"/>
              <w:right w:val="single" w:sz="6" w:space="0" w:color="auto"/>
            </w:tcBorders>
          </w:tcPr>
          <w:p>
            <w:pPr/>
          </w:p>
        </w:tc>
      </w:tr>
      <w:tr>
        <w:trPr>
          <w:trHeight w:val="286"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w:t>
            </w:r>
          </w:p>
        </w:tc>
        <w:tc>
          <w:tcPr>
            <w:tcW w:w="1708"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128" w:type="dxa"/>
            <w:tcBorders>
              <w:top w:val="single" w:sz="6" w:space="0" w:color="auto"/>
              <w:left w:val="single" w:sz="6" w:space="0" w:color="auto"/>
              <w:bottom w:val="single" w:sz="6" w:space="0" w:color="auto"/>
              <w:right w:val="single" w:sz="6" w:space="0" w:color="auto"/>
            </w:tcBorders>
          </w:tcPr>
          <w:p>
            <w:pPr/>
          </w:p>
        </w:tc>
      </w:tr>
      <w:tr>
        <w:trPr>
          <w:trHeight w:val="187" w:hRule="exact"/>
        </w:trPr>
        <w:tc>
          <w:tcPr>
            <w:tcW w:w="4497" w:type="dxa"/>
            <w:tcBorders>
              <w:top w:val="nil" w:sz="6" w:space="0" w:color="auto"/>
              <w:left w:val="nil" w:sz="6" w:space="0" w:color="auto"/>
              <w:bottom w:val="nil" w:sz="6" w:space="0" w:color="auto"/>
              <w:right w:val="nil" w:sz="6" w:space="0" w:color="auto"/>
            </w:tcBorders>
          </w:tcPr>
          <w:p>
            <w:pPr/>
          </w:p>
        </w:tc>
        <w:tc>
          <w:tcPr>
            <w:tcW w:w="1708" w:type="dxa"/>
            <w:tcBorders>
              <w:top w:val="nil" w:sz="6" w:space="0" w:color="auto"/>
              <w:left w:val="nil" w:sz="6" w:space="0" w:color="auto"/>
              <w:bottom w:val="nil" w:sz="6" w:space="0" w:color="auto"/>
              <w:right w:val="nil" w:sz="6" w:space="0" w:color="auto"/>
            </w:tcBorders>
          </w:tcPr>
          <w:p>
            <w:pPr>
              <w:pStyle w:val="TableParagraph"/>
              <w:spacing w:line="191" w:lineRule="exact"/>
              <w:ind w:right="255"/>
              <w:jc w:val="right"/>
              <w:rPr>
                <w:rFonts w:ascii="Times New Roman" w:hAnsi="Times New Roman" w:cs="Times New Roman" w:eastAsia="Times New Roman" w:hint="default"/>
                <w:sz w:val="18"/>
                <w:szCs w:val="18"/>
              </w:rPr>
            </w:pPr>
            <w:r>
              <w:rPr>
                <w:rFonts w:ascii="Times New Roman"/>
                <w:spacing w:val="-1"/>
                <w:sz w:val="18"/>
              </w:rPr>
              <w:t>2,297,013.86</w:t>
            </w:r>
          </w:p>
        </w:tc>
        <w:tc>
          <w:tcPr>
            <w:tcW w:w="1478" w:type="dxa"/>
            <w:tcBorders>
              <w:top w:val="nil" w:sz="6" w:space="0" w:color="auto"/>
              <w:left w:val="nil" w:sz="6" w:space="0" w:color="auto"/>
              <w:bottom w:val="nil" w:sz="6" w:space="0" w:color="auto"/>
              <w:right w:val="nil" w:sz="6" w:space="0" w:color="auto"/>
            </w:tcBorders>
          </w:tcPr>
          <w:p>
            <w:pPr>
              <w:pStyle w:val="TableParagraph"/>
              <w:spacing w:line="191" w:lineRule="exact"/>
              <w:ind w:right="33"/>
              <w:jc w:val="right"/>
              <w:rPr>
                <w:rFonts w:ascii="Times New Roman" w:hAnsi="Times New Roman" w:cs="Times New Roman" w:eastAsia="Times New Roman" w:hint="default"/>
                <w:sz w:val="18"/>
                <w:szCs w:val="18"/>
              </w:rPr>
            </w:pPr>
            <w:r>
              <w:rPr>
                <w:rFonts w:ascii="Times New Roman"/>
                <w:w w:val="95"/>
                <w:sz w:val="18"/>
              </w:rPr>
              <w:t>-2,174.88</w:t>
            </w:r>
            <w:r>
              <w:rPr>
                <w:rFonts w:ascii="Times New Roman"/>
                <w:sz w:val="18"/>
              </w:rPr>
            </w:r>
          </w:p>
        </w:tc>
        <w:tc>
          <w:tcPr>
            <w:tcW w:w="128" w:type="dxa"/>
            <w:tcBorders>
              <w:top w:val="single" w:sz="6" w:space="0" w:color="auto"/>
              <w:left w:val="single" w:sz="6" w:space="0" w:color="auto"/>
              <w:bottom w:val="single" w:sz="6" w:space="0" w:color="auto"/>
              <w:right w:val="single" w:sz="6" w:space="0" w:color="auto"/>
            </w:tcBorders>
          </w:tcPr>
          <w:p>
            <w:pPr/>
          </w:p>
        </w:tc>
      </w:tr>
      <w:tr>
        <w:trPr>
          <w:trHeight w:val="287"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193" w:lineRule="exact"/>
              <w:ind w:left="107" w:right="0"/>
              <w:jc w:val="left"/>
              <w:rPr>
                <w:rFonts w:ascii="宋体" w:hAnsi="宋体" w:cs="宋体" w:eastAsia="宋体" w:hint="default"/>
                <w:sz w:val="18"/>
                <w:szCs w:val="18"/>
              </w:rPr>
            </w:pPr>
            <w:r>
              <w:rPr>
                <w:rFonts w:ascii="宋体" w:hAnsi="宋体" w:cs="宋体" w:eastAsia="宋体" w:hint="default"/>
                <w:sz w:val="18"/>
                <w:szCs w:val="18"/>
              </w:rPr>
              <w:t>（收益以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8"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128" w:type="dxa"/>
            <w:tcBorders>
              <w:top w:val="single" w:sz="6" w:space="0" w:color="auto"/>
              <w:left w:val="single" w:sz="6" w:space="0" w:color="auto"/>
              <w:bottom w:val="single" w:sz="6" w:space="0" w:color="auto"/>
              <w:right w:val="single" w:sz="6" w:space="0" w:color="auto"/>
            </w:tcBorders>
          </w:tcPr>
          <w:p>
            <w:pPr/>
          </w:p>
        </w:tc>
      </w:tr>
      <w:tr>
        <w:trPr>
          <w:trHeight w:val="385"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8"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128" w:type="dxa"/>
            <w:tcBorders>
              <w:top w:val="single" w:sz="6" w:space="0" w:color="auto"/>
              <w:left w:val="single" w:sz="6" w:space="0" w:color="auto"/>
              <w:bottom w:val="single" w:sz="6" w:space="0" w:color="auto"/>
              <w:right w:val="single" w:sz="6" w:space="0" w:color="auto"/>
            </w:tcBorders>
          </w:tcPr>
          <w:p>
            <w:pPr/>
          </w:p>
        </w:tc>
      </w:tr>
      <w:tr>
        <w:trPr>
          <w:trHeight w:val="385"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8"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128" w:type="dxa"/>
            <w:tcBorders>
              <w:top w:val="single" w:sz="6" w:space="0" w:color="auto"/>
              <w:left w:val="single" w:sz="6" w:space="0" w:color="auto"/>
              <w:bottom w:val="single" w:sz="6" w:space="0" w:color="auto"/>
              <w:right w:val="single" w:sz="6" w:space="0" w:color="auto"/>
            </w:tcBorders>
          </w:tcPr>
          <w:p>
            <w:pPr/>
          </w:p>
        </w:tc>
      </w:tr>
      <w:tr>
        <w:trPr>
          <w:trHeight w:val="384"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55"/>
              <w:jc w:val="right"/>
              <w:rPr>
                <w:rFonts w:ascii="Times New Roman" w:hAnsi="Times New Roman" w:cs="Times New Roman" w:eastAsia="Times New Roman" w:hint="default"/>
                <w:sz w:val="18"/>
                <w:szCs w:val="18"/>
              </w:rPr>
            </w:pPr>
            <w:r>
              <w:rPr>
                <w:rFonts w:ascii="Times New Roman"/>
                <w:spacing w:val="-1"/>
                <w:sz w:val="18"/>
              </w:rPr>
              <w:t>7,292,340.45</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2,240,228.67</w:t>
            </w:r>
          </w:p>
        </w:tc>
        <w:tc>
          <w:tcPr>
            <w:tcW w:w="128" w:type="dxa"/>
            <w:tcBorders>
              <w:top w:val="single" w:sz="6" w:space="0" w:color="auto"/>
              <w:left w:val="single" w:sz="6" w:space="0" w:color="auto"/>
              <w:bottom w:val="single" w:sz="6" w:space="0" w:color="auto"/>
              <w:right w:val="single" w:sz="6" w:space="0" w:color="auto"/>
            </w:tcBorders>
          </w:tcPr>
          <w:p>
            <w:pPr/>
          </w:p>
        </w:tc>
      </w:tr>
      <w:tr>
        <w:trPr>
          <w:trHeight w:val="385"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55"/>
              <w:jc w:val="right"/>
              <w:rPr>
                <w:rFonts w:ascii="Times New Roman" w:hAnsi="Times New Roman" w:cs="Times New Roman" w:eastAsia="Times New Roman" w:hint="default"/>
                <w:sz w:val="18"/>
                <w:szCs w:val="18"/>
              </w:rPr>
            </w:pPr>
            <w:r>
              <w:rPr>
                <w:rFonts w:ascii="Times New Roman"/>
                <w:spacing w:val="-1"/>
                <w:sz w:val="18"/>
              </w:rPr>
              <w:t>-4,007,724.57</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w w:val="95"/>
                <w:sz w:val="18"/>
              </w:rPr>
              <w:t>-6,072.00</w:t>
            </w:r>
            <w:r>
              <w:rPr>
                <w:rFonts w:ascii="Times New Roman"/>
                <w:sz w:val="18"/>
              </w:rPr>
            </w:r>
          </w:p>
        </w:tc>
        <w:tc>
          <w:tcPr>
            <w:tcW w:w="128" w:type="dxa"/>
            <w:tcBorders>
              <w:top w:val="single" w:sz="6" w:space="0" w:color="auto"/>
              <w:left w:val="single" w:sz="6" w:space="0" w:color="auto"/>
              <w:bottom w:val="single" w:sz="6" w:space="0" w:color="auto"/>
              <w:right w:val="single" w:sz="6" w:space="0" w:color="auto"/>
            </w:tcBorders>
          </w:tcPr>
          <w:p>
            <w:pPr/>
          </w:p>
        </w:tc>
      </w:tr>
      <w:tr>
        <w:trPr>
          <w:trHeight w:val="385"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55"/>
              <w:jc w:val="right"/>
              <w:rPr>
                <w:rFonts w:ascii="Times New Roman" w:hAnsi="Times New Roman" w:cs="Times New Roman" w:eastAsia="Times New Roman" w:hint="default"/>
                <w:sz w:val="18"/>
                <w:szCs w:val="18"/>
              </w:rPr>
            </w:pPr>
            <w:r>
              <w:rPr>
                <w:rFonts w:ascii="Times New Roman"/>
                <w:spacing w:val="-1"/>
                <w:sz w:val="18"/>
              </w:rPr>
              <w:t>-3,558,452.58</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w w:val="95"/>
                <w:sz w:val="18"/>
              </w:rPr>
              <w:t>-442,795.10</w:t>
            </w:r>
            <w:r>
              <w:rPr>
                <w:rFonts w:ascii="Times New Roman"/>
                <w:sz w:val="18"/>
              </w:rPr>
            </w:r>
          </w:p>
        </w:tc>
        <w:tc>
          <w:tcPr>
            <w:tcW w:w="128" w:type="dxa"/>
            <w:tcBorders>
              <w:top w:val="single" w:sz="6" w:space="0" w:color="auto"/>
              <w:left w:val="single" w:sz="6" w:space="0" w:color="auto"/>
              <w:bottom w:val="single" w:sz="6" w:space="0" w:color="auto"/>
              <w:right w:val="single" w:sz="6" w:space="0" w:color="auto"/>
            </w:tcBorders>
          </w:tcPr>
          <w:p>
            <w:pPr/>
          </w:p>
        </w:tc>
      </w:tr>
      <w:tr>
        <w:trPr>
          <w:trHeight w:val="384"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55"/>
              <w:jc w:val="right"/>
              <w:rPr>
                <w:rFonts w:ascii="Times New Roman" w:hAnsi="Times New Roman" w:cs="Times New Roman" w:eastAsia="Times New Roman" w:hint="default"/>
                <w:sz w:val="18"/>
                <w:szCs w:val="18"/>
              </w:rPr>
            </w:pPr>
            <w:r>
              <w:rPr>
                <w:rFonts w:ascii="Times New Roman"/>
                <w:spacing w:val="-1"/>
                <w:sz w:val="18"/>
              </w:rPr>
              <w:t>-9,289,854.52</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1,928,447.87</w:t>
            </w:r>
          </w:p>
        </w:tc>
        <w:tc>
          <w:tcPr>
            <w:tcW w:w="128" w:type="dxa"/>
            <w:tcBorders>
              <w:top w:val="single" w:sz="6" w:space="0" w:color="auto"/>
              <w:left w:val="single" w:sz="6" w:space="0" w:color="auto"/>
              <w:bottom w:val="single" w:sz="6" w:space="0" w:color="auto"/>
              <w:right w:val="single" w:sz="6" w:space="0" w:color="auto"/>
            </w:tcBorders>
          </w:tcPr>
          <w:p>
            <w:pPr/>
          </w:p>
        </w:tc>
      </w:tr>
      <w:tr>
        <w:trPr>
          <w:trHeight w:val="385"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70" w:right="0"/>
              <w:jc w:val="left"/>
              <w:rPr>
                <w:rFonts w:ascii="Times New Roman" w:hAnsi="Times New Roman" w:cs="Times New Roman" w:eastAsia="Times New Roman" w:hint="default"/>
                <w:sz w:val="18"/>
                <w:szCs w:val="18"/>
              </w:rPr>
            </w:pPr>
            <w:r>
              <w:rPr>
                <w:rFonts w:ascii="Times New Roman"/>
                <w:sz w:val="18"/>
              </w:rPr>
              <w:t>-110,618,953.89</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-31,812,261.43</w:t>
            </w:r>
          </w:p>
        </w:tc>
        <w:tc>
          <w:tcPr>
            <w:tcW w:w="128" w:type="dxa"/>
            <w:tcBorders>
              <w:top w:val="single" w:sz="6" w:space="0" w:color="auto"/>
              <w:left w:val="single" w:sz="6" w:space="0" w:color="auto"/>
              <w:bottom w:val="single" w:sz="6" w:space="0" w:color="auto"/>
              <w:right w:val="single" w:sz="6" w:space="0" w:color="auto"/>
            </w:tcBorders>
          </w:tcPr>
          <w:p>
            <w:pPr/>
          </w:p>
        </w:tc>
      </w:tr>
      <w:tr>
        <w:trPr>
          <w:trHeight w:val="385"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54" w:right="0"/>
              <w:jc w:val="left"/>
              <w:rPr>
                <w:rFonts w:ascii="Times New Roman" w:hAnsi="Times New Roman" w:cs="Times New Roman" w:eastAsia="Times New Roman" w:hint="default"/>
                <w:sz w:val="18"/>
                <w:szCs w:val="18"/>
              </w:rPr>
            </w:pPr>
            <w:r>
              <w:rPr>
                <w:rFonts w:ascii="Times New Roman"/>
                <w:sz w:val="18"/>
              </w:rPr>
              <w:t>-68,749,585.81</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-129,791,424.60</w:t>
            </w:r>
          </w:p>
        </w:tc>
        <w:tc>
          <w:tcPr>
            <w:tcW w:w="128" w:type="dxa"/>
            <w:tcBorders>
              <w:top w:val="single" w:sz="6" w:space="0" w:color="auto"/>
              <w:left w:val="single" w:sz="6" w:space="0" w:color="auto"/>
              <w:bottom w:val="single" w:sz="6" w:space="0" w:color="auto"/>
              <w:right w:val="single" w:sz="6" w:space="0" w:color="auto"/>
            </w:tcBorders>
          </w:tcPr>
          <w:p>
            <w:pPr/>
          </w:p>
        </w:tc>
      </w:tr>
      <w:tr>
        <w:trPr>
          <w:trHeight w:val="384"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4" w:right="0"/>
              <w:jc w:val="left"/>
              <w:rPr>
                <w:rFonts w:ascii="Times New Roman" w:hAnsi="Times New Roman" w:cs="Times New Roman" w:eastAsia="Times New Roman" w:hint="default"/>
                <w:sz w:val="18"/>
                <w:szCs w:val="18"/>
              </w:rPr>
            </w:pPr>
            <w:r>
              <w:rPr>
                <w:rFonts w:ascii="Times New Roman"/>
                <w:sz w:val="18"/>
              </w:rPr>
              <w:t>-12,185,759.07</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36,818,579.86</w:t>
            </w:r>
          </w:p>
        </w:tc>
        <w:tc>
          <w:tcPr>
            <w:tcW w:w="128" w:type="dxa"/>
            <w:tcBorders>
              <w:top w:val="single" w:sz="6" w:space="0" w:color="auto"/>
              <w:left w:val="single" w:sz="6" w:space="0" w:color="auto"/>
              <w:bottom w:val="single" w:sz="6" w:space="0" w:color="auto"/>
              <w:right w:val="single" w:sz="6" w:space="0" w:color="auto"/>
            </w:tcBorders>
          </w:tcPr>
          <w:p>
            <w:pPr/>
          </w:p>
        </w:tc>
      </w:tr>
      <w:tr>
        <w:trPr>
          <w:trHeight w:val="380" w:hRule="exact"/>
        </w:trPr>
        <w:tc>
          <w:tcPr>
            <w:tcW w:w="4497" w:type="dxa"/>
            <w:tcBorders>
              <w:top w:val="nil" w:sz="6" w:space="0" w:color="auto"/>
              <w:left w:val="nil" w:sz="6" w:space="0" w:color="auto"/>
              <w:bottom w:val="nil" w:sz="6" w:space="0" w:color="auto"/>
              <w:right w:val="nil" w:sz="6" w:space="0" w:color="auto"/>
            </w:tcBorders>
          </w:tcPr>
          <w:p>
            <w:pPr>
              <w:pStyle w:val="TableParagraph"/>
              <w:tabs>
                <w:tab w:pos="647" w:val="left" w:leader="none"/>
              </w:tabs>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708"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128" w:type="dxa"/>
            <w:tcBorders>
              <w:top w:val="single" w:sz="6" w:space="0" w:color="auto"/>
              <w:left w:val="single" w:sz="6" w:space="0" w:color="auto"/>
              <w:bottom w:val="single" w:sz="6" w:space="0" w:color="auto"/>
              <w:right w:val="single" w:sz="6" w:space="0" w:color="auto"/>
            </w:tcBorders>
          </w:tcPr>
          <w:p>
            <w:pPr/>
          </w:p>
        </w:tc>
      </w:tr>
      <w:tr>
        <w:trPr>
          <w:trHeight w:val="388"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55"/>
              <w:jc w:val="right"/>
              <w:rPr>
                <w:rFonts w:ascii="Times New Roman" w:hAnsi="Times New Roman" w:cs="Times New Roman" w:eastAsia="Times New Roman" w:hint="default"/>
                <w:sz w:val="18"/>
                <w:szCs w:val="18"/>
              </w:rPr>
            </w:pPr>
            <w:r>
              <w:rPr>
                <w:rFonts w:ascii="Times New Roman"/>
                <w:spacing w:val="-1"/>
                <w:sz w:val="18"/>
              </w:rPr>
              <w:t>50,486,330.80</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
              <w:jc w:val="right"/>
              <w:rPr>
                <w:rFonts w:ascii="Times New Roman" w:hAnsi="Times New Roman" w:cs="Times New Roman" w:eastAsia="Times New Roman" w:hint="default"/>
                <w:sz w:val="18"/>
                <w:szCs w:val="18"/>
              </w:rPr>
            </w:pPr>
            <w:r>
              <w:rPr>
                <w:rFonts w:ascii="Times New Roman"/>
                <w:spacing w:val="-1"/>
                <w:sz w:val="18"/>
              </w:rPr>
              <w:t>36,947,898.55</w:t>
            </w:r>
          </w:p>
        </w:tc>
        <w:tc>
          <w:tcPr>
            <w:tcW w:w="128" w:type="dxa"/>
            <w:tcBorders>
              <w:top w:val="single" w:sz="6" w:space="0" w:color="auto"/>
              <w:left w:val="single" w:sz="6" w:space="0" w:color="auto"/>
              <w:bottom w:val="single" w:sz="6" w:space="0" w:color="auto"/>
              <w:right w:val="single" w:sz="6" w:space="0" w:color="auto"/>
            </w:tcBorders>
          </w:tcPr>
          <w:p>
            <w:pPr/>
          </w:p>
        </w:tc>
      </w:tr>
      <w:tr>
        <w:trPr>
          <w:trHeight w:val="385"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1708"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128" w:type="dxa"/>
            <w:tcBorders>
              <w:top w:val="single" w:sz="6" w:space="0" w:color="auto"/>
              <w:left w:val="single" w:sz="6" w:space="0" w:color="auto"/>
              <w:bottom w:val="single" w:sz="6" w:space="0" w:color="auto"/>
              <w:right w:val="single" w:sz="6" w:space="0" w:color="auto"/>
            </w:tcBorders>
          </w:tcPr>
          <w:p>
            <w:pPr/>
          </w:p>
        </w:tc>
      </w:tr>
      <w:tr>
        <w:trPr>
          <w:trHeight w:val="380"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7"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708"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128" w:type="dxa"/>
            <w:tcBorders>
              <w:top w:val="single" w:sz="6" w:space="0" w:color="auto"/>
              <w:left w:val="single" w:sz="6" w:space="0" w:color="auto"/>
              <w:bottom w:val="single" w:sz="6" w:space="0" w:color="auto"/>
              <w:right w:val="single" w:sz="6" w:space="0" w:color="auto"/>
            </w:tcBorders>
          </w:tcPr>
          <w:p>
            <w:pPr/>
          </w:p>
        </w:tc>
      </w:tr>
      <w:tr>
        <w:trPr>
          <w:trHeight w:val="385"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708"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128" w:type="dxa"/>
            <w:tcBorders>
              <w:top w:val="single" w:sz="6" w:space="0" w:color="auto"/>
              <w:left w:val="single" w:sz="6" w:space="0" w:color="auto"/>
              <w:bottom w:val="single" w:sz="6" w:space="0" w:color="auto"/>
              <w:right w:val="single" w:sz="6" w:space="0" w:color="auto"/>
            </w:tcBorders>
          </w:tcPr>
          <w:p>
            <w:pPr/>
          </w:p>
        </w:tc>
      </w:tr>
      <w:tr>
        <w:trPr>
          <w:trHeight w:val="384"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7"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708"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128" w:type="dxa"/>
            <w:tcBorders>
              <w:top w:val="single" w:sz="6" w:space="0" w:color="auto"/>
              <w:left w:val="single" w:sz="6" w:space="0" w:color="auto"/>
              <w:bottom w:val="single" w:sz="6" w:space="0" w:color="auto"/>
              <w:right w:val="single" w:sz="6" w:space="0" w:color="auto"/>
            </w:tcBorders>
          </w:tcPr>
          <w:p>
            <w:pPr/>
          </w:p>
        </w:tc>
      </w:tr>
      <w:tr>
        <w:trPr>
          <w:trHeight w:val="390"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1708"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128" w:type="dxa"/>
            <w:tcBorders>
              <w:top w:val="single" w:sz="6" w:space="0" w:color="auto"/>
              <w:left w:val="single" w:sz="6" w:space="0" w:color="auto"/>
              <w:bottom w:val="single" w:sz="6" w:space="0" w:color="auto"/>
              <w:right w:val="single" w:sz="6" w:space="0" w:color="auto"/>
            </w:tcBorders>
          </w:tcPr>
          <w:p>
            <w:pPr/>
          </w:p>
        </w:tc>
      </w:tr>
      <w:tr>
        <w:trPr>
          <w:trHeight w:val="383"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24" w:right="0"/>
              <w:jc w:val="left"/>
              <w:rPr>
                <w:rFonts w:ascii="Times New Roman" w:hAnsi="Times New Roman" w:cs="Times New Roman" w:eastAsia="Times New Roman" w:hint="default"/>
                <w:sz w:val="18"/>
                <w:szCs w:val="18"/>
              </w:rPr>
            </w:pPr>
            <w:r>
              <w:rPr>
                <w:rFonts w:ascii="Times New Roman"/>
                <w:sz w:val="18"/>
              </w:rPr>
              <w:t>170,868,135.82</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224,913,575.61</w:t>
            </w:r>
          </w:p>
        </w:tc>
        <w:tc>
          <w:tcPr>
            <w:tcW w:w="128" w:type="dxa"/>
            <w:tcBorders>
              <w:top w:val="single" w:sz="6" w:space="0" w:color="auto"/>
              <w:left w:val="single" w:sz="6" w:space="0" w:color="auto"/>
              <w:bottom w:val="single" w:sz="6" w:space="0" w:color="auto"/>
              <w:right w:val="single" w:sz="6" w:space="0" w:color="auto"/>
            </w:tcBorders>
          </w:tcPr>
          <w:p>
            <w:pPr/>
          </w:p>
        </w:tc>
      </w:tr>
      <w:tr>
        <w:trPr>
          <w:trHeight w:val="384"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24" w:right="0"/>
              <w:jc w:val="left"/>
              <w:rPr>
                <w:rFonts w:ascii="Times New Roman" w:hAnsi="Times New Roman" w:cs="Times New Roman" w:eastAsia="Times New Roman" w:hint="default"/>
                <w:sz w:val="18"/>
                <w:szCs w:val="18"/>
              </w:rPr>
            </w:pPr>
            <w:r>
              <w:rPr>
                <w:rFonts w:ascii="Times New Roman"/>
                <w:sz w:val="18"/>
              </w:rPr>
              <w:t>224,913,575.61</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pacing w:val="-1"/>
                <w:sz w:val="18"/>
              </w:rPr>
              <w:t>363,030,541.18</w:t>
            </w:r>
          </w:p>
        </w:tc>
        <w:tc>
          <w:tcPr>
            <w:tcW w:w="128" w:type="dxa"/>
            <w:tcBorders>
              <w:top w:val="single" w:sz="6" w:space="0" w:color="auto"/>
              <w:left w:val="single" w:sz="6" w:space="0" w:color="auto"/>
              <w:bottom w:val="single" w:sz="6" w:space="0" w:color="auto"/>
              <w:right w:val="single" w:sz="6" w:space="0" w:color="auto"/>
            </w:tcBorders>
          </w:tcPr>
          <w:p>
            <w:pPr/>
          </w:p>
        </w:tc>
      </w:tr>
      <w:tr>
        <w:trPr>
          <w:trHeight w:val="381"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708"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128" w:type="dxa"/>
            <w:tcBorders>
              <w:top w:val="single" w:sz="6" w:space="0" w:color="auto"/>
              <w:left w:val="single" w:sz="6" w:space="0" w:color="auto"/>
              <w:bottom w:val="single" w:sz="6" w:space="0" w:color="auto"/>
              <w:right w:val="single" w:sz="6" w:space="0" w:color="auto"/>
            </w:tcBorders>
          </w:tcPr>
          <w:p>
            <w:pPr/>
          </w:p>
        </w:tc>
      </w:tr>
      <w:tr>
        <w:trPr>
          <w:trHeight w:val="385"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708"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128" w:type="dxa"/>
            <w:tcBorders>
              <w:top w:val="single" w:sz="6" w:space="0" w:color="auto"/>
              <w:left w:val="single" w:sz="6" w:space="0" w:color="auto"/>
              <w:bottom w:val="single" w:sz="6" w:space="0" w:color="auto"/>
              <w:right w:val="single" w:sz="6" w:space="0" w:color="auto"/>
            </w:tcBorders>
          </w:tcPr>
          <w:p>
            <w:pPr/>
          </w:p>
        </w:tc>
      </w:tr>
      <w:tr>
        <w:trPr>
          <w:trHeight w:val="394" w:hRule="exact"/>
        </w:trPr>
        <w:tc>
          <w:tcPr>
            <w:tcW w:w="4497"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left="107"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708"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left="354" w:right="0"/>
              <w:jc w:val="left"/>
              <w:rPr>
                <w:rFonts w:ascii="Times New Roman" w:hAnsi="Times New Roman" w:cs="Times New Roman" w:eastAsia="Times New Roman" w:hint="default"/>
                <w:sz w:val="18"/>
                <w:szCs w:val="18"/>
              </w:rPr>
            </w:pPr>
            <w:r>
              <w:rPr>
                <w:rFonts w:ascii="Times New Roman"/>
                <w:sz w:val="18"/>
              </w:rPr>
              <w:t>-54,045,439.79</w:t>
            </w:r>
          </w:p>
        </w:tc>
        <w:tc>
          <w:tcPr>
            <w:tcW w:w="1478"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18"/>
                <w:szCs w:val="18"/>
              </w:rPr>
            </w:pPr>
            <w:r>
              <w:rPr>
                <w:rFonts w:ascii="Times New Roman"/>
                <w:spacing w:val="-1"/>
                <w:sz w:val="18"/>
              </w:rPr>
              <w:t>-138,116,965.57</w:t>
            </w:r>
          </w:p>
        </w:tc>
        <w:tc>
          <w:tcPr>
            <w:tcW w:w="128" w:type="dxa"/>
            <w:tcBorders>
              <w:top w:val="single" w:sz="6" w:space="0" w:color="auto"/>
              <w:left w:val="single" w:sz="6" w:space="0" w:color="auto"/>
              <w:bottom w:val="single" w:sz="6" w:space="0" w:color="auto"/>
              <w:right w:val="single" w:sz="6" w:space="0" w:color="auto"/>
            </w:tcBorders>
          </w:tcPr>
          <w:p>
            <w:pPr/>
          </w:p>
        </w:tc>
      </w:tr>
      <w:tr>
        <w:trPr>
          <w:trHeight w:val="790" w:hRule="exact"/>
        </w:trPr>
        <w:tc>
          <w:tcPr>
            <w:tcW w:w="4497"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8"/>
              <w:ind w:right="0"/>
              <w:jc w:val="left"/>
              <w:rPr>
                <w:rFonts w:ascii="Times New Roman" w:hAnsi="Times New Roman" w:cs="Times New Roman" w:eastAsia="Times New Roman" w:hint="default"/>
                <w:sz w:val="18"/>
                <w:szCs w:val="18"/>
              </w:rPr>
            </w:pPr>
          </w:p>
          <w:p>
            <w:pPr>
              <w:pStyle w:val="TableParagraph"/>
              <w:tabs>
                <w:tab w:pos="646" w:val="left" w:leader="none"/>
              </w:tabs>
              <w:spacing w:line="240" w:lineRule="auto"/>
              <w:ind w:left="10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现金和现金等价物的构成：</w:t>
            </w:r>
            <w:r>
              <w:rPr>
                <w:rFonts w:ascii="宋体" w:hAnsi="宋体" w:cs="宋体" w:eastAsia="宋体" w:hint="default"/>
                <w:sz w:val="21"/>
                <w:szCs w:val="21"/>
              </w:rPr>
            </w:r>
          </w:p>
        </w:tc>
        <w:tc>
          <w:tcPr>
            <w:tcW w:w="1708" w:type="dxa"/>
            <w:tcBorders>
              <w:top w:val="nil" w:sz="6" w:space="0" w:color="auto"/>
              <w:left w:val="nil" w:sz="6" w:space="0" w:color="auto"/>
              <w:bottom w:val="single" w:sz="12" w:space="0" w:color="000000"/>
              <w:right w:val="nil" w:sz="6" w:space="0" w:color="auto"/>
            </w:tcBorders>
          </w:tcPr>
          <w:p>
            <w:pPr/>
          </w:p>
        </w:tc>
        <w:tc>
          <w:tcPr>
            <w:tcW w:w="1606" w:type="dxa"/>
            <w:gridSpan w:val="2"/>
            <w:tcBorders>
              <w:top w:val="nil" w:sz="6" w:space="0" w:color="auto"/>
              <w:left w:val="nil" w:sz="6" w:space="0" w:color="auto"/>
              <w:bottom w:val="single" w:sz="12" w:space="0" w:color="000000"/>
              <w:right w:val="nil" w:sz="6" w:space="0" w:color="auto"/>
            </w:tcBorders>
          </w:tcPr>
          <w:p>
            <w:pPr/>
          </w:p>
        </w:tc>
      </w:tr>
      <w:tr>
        <w:trPr>
          <w:trHeight w:val="395" w:hRule="exact"/>
        </w:trPr>
        <w:tc>
          <w:tcPr>
            <w:tcW w:w="4497" w:type="dxa"/>
            <w:tcBorders>
              <w:top w:val="single" w:sz="12" w:space="0" w:color="000000"/>
              <w:left w:val="nil" w:sz="6" w:space="0" w:color="auto"/>
              <w:bottom w:val="nil" w:sz="6" w:space="0" w:color="auto"/>
              <w:right w:val="nil" w:sz="6" w:space="0" w:color="auto"/>
            </w:tcBorders>
          </w:tcPr>
          <w:p>
            <w:pPr>
              <w:pStyle w:val="TableParagraph"/>
              <w:tabs>
                <w:tab w:pos="539" w:val="left" w:leader="none"/>
              </w:tabs>
              <w:spacing w:line="240" w:lineRule="auto" w:before="41"/>
              <w:ind w:right="285"/>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70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5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606"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1"/>
              <w:ind w:left="346"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88" w:hRule="exact"/>
        </w:trPr>
        <w:tc>
          <w:tcPr>
            <w:tcW w:w="4497" w:type="dxa"/>
            <w:tcBorders>
              <w:top w:val="nil" w:sz="6" w:space="0" w:color="auto"/>
              <w:left w:val="nil" w:sz="6" w:space="0" w:color="auto"/>
              <w:bottom w:val="nil" w:sz="6" w:space="0" w:color="auto"/>
              <w:right w:val="nil" w:sz="6" w:space="0" w:color="auto"/>
            </w:tcBorders>
          </w:tcPr>
          <w:p>
            <w:pPr>
              <w:pStyle w:val="TableParagraph"/>
              <w:tabs>
                <w:tab w:pos="1007" w:val="left" w:leader="none"/>
              </w:tabs>
              <w:spacing w:line="240" w:lineRule="auto" w:before="47"/>
              <w:ind w:left="107" w:right="0"/>
              <w:jc w:val="left"/>
              <w:rPr>
                <w:rFonts w:ascii="宋体" w:hAnsi="宋体" w:cs="宋体" w:eastAsia="宋体" w:hint="default"/>
                <w:sz w:val="18"/>
                <w:szCs w:val="18"/>
              </w:rPr>
            </w:pPr>
            <w:r>
              <w:rPr>
                <w:rFonts w:ascii="宋体" w:hAnsi="宋体" w:cs="宋体" w:eastAsia="宋体" w:hint="default"/>
                <w:sz w:val="18"/>
                <w:szCs w:val="18"/>
              </w:rPr>
              <w:t>一、现</w:t>
              <w:tab/>
              <w:t>金</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7"/>
              <w:ind w:left="281" w:right="0"/>
              <w:jc w:val="left"/>
              <w:rPr>
                <w:rFonts w:ascii="Times New Roman" w:hAnsi="Times New Roman" w:cs="Times New Roman" w:eastAsia="Times New Roman" w:hint="default"/>
                <w:sz w:val="18"/>
                <w:szCs w:val="18"/>
              </w:rPr>
            </w:pPr>
            <w:r>
              <w:rPr>
                <w:rFonts w:ascii="Times New Roman"/>
                <w:sz w:val="18"/>
              </w:rPr>
              <w:t>170,868,135.82</w:t>
            </w:r>
          </w:p>
        </w:tc>
        <w:tc>
          <w:tcPr>
            <w:tcW w:w="160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7"/>
              <w:ind w:left="373" w:right="0"/>
              <w:jc w:val="left"/>
              <w:rPr>
                <w:rFonts w:ascii="Times New Roman" w:hAnsi="Times New Roman" w:cs="Times New Roman" w:eastAsia="Times New Roman" w:hint="default"/>
                <w:sz w:val="18"/>
                <w:szCs w:val="18"/>
              </w:rPr>
            </w:pPr>
            <w:r>
              <w:rPr>
                <w:rFonts w:ascii="Times New Roman"/>
                <w:sz w:val="18"/>
              </w:rPr>
              <w:t>224,913,575.61</w:t>
            </w:r>
          </w:p>
        </w:tc>
      </w:tr>
      <w:tr>
        <w:trPr>
          <w:trHeight w:val="384"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8"/>
                <w:szCs w:val="18"/>
              </w:rPr>
            </w:pPr>
            <w:r>
              <w:rPr>
                <w:rFonts w:ascii="Times New Roman"/>
                <w:sz w:val="18"/>
              </w:rPr>
              <w:t>223,551.20</w:t>
            </w:r>
          </w:p>
        </w:tc>
        <w:tc>
          <w:tcPr>
            <w:tcW w:w="160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2"/>
              <w:ind w:left="688" w:right="0"/>
              <w:jc w:val="left"/>
              <w:rPr>
                <w:rFonts w:ascii="Times New Roman" w:hAnsi="Times New Roman" w:cs="Times New Roman" w:eastAsia="Times New Roman" w:hint="default"/>
                <w:sz w:val="18"/>
                <w:szCs w:val="18"/>
              </w:rPr>
            </w:pPr>
            <w:r>
              <w:rPr>
                <w:rFonts w:ascii="Times New Roman"/>
                <w:sz w:val="18"/>
              </w:rPr>
              <w:t>195,631.63</w:t>
            </w:r>
          </w:p>
        </w:tc>
      </w:tr>
      <w:tr>
        <w:trPr>
          <w:trHeight w:val="385"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68"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81" w:right="0"/>
              <w:jc w:val="left"/>
              <w:rPr>
                <w:rFonts w:ascii="Times New Roman" w:hAnsi="Times New Roman" w:cs="Times New Roman" w:eastAsia="Times New Roman" w:hint="default"/>
                <w:sz w:val="18"/>
                <w:szCs w:val="18"/>
              </w:rPr>
            </w:pPr>
            <w:r>
              <w:rPr>
                <w:rFonts w:ascii="Times New Roman"/>
                <w:sz w:val="18"/>
              </w:rPr>
              <w:t>163,087,649.49</w:t>
            </w:r>
          </w:p>
        </w:tc>
        <w:tc>
          <w:tcPr>
            <w:tcW w:w="160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2"/>
              <w:ind w:left="373" w:right="0"/>
              <w:jc w:val="left"/>
              <w:rPr>
                <w:rFonts w:ascii="Times New Roman" w:hAnsi="Times New Roman" w:cs="Times New Roman" w:eastAsia="Times New Roman" w:hint="default"/>
                <w:sz w:val="18"/>
                <w:szCs w:val="18"/>
              </w:rPr>
            </w:pPr>
            <w:r>
              <w:rPr>
                <w:rFonts w:ascii="Times New Roman"/>
                <w:sz w:val="18"/>
              </w:rPr>
              <w:t>224,708,289.98</w:t>
            </w:r>
          </w:p>
        </w:tc>
      </w:tr>
      <w:tr>
        <w:trPr>
          <w:trHeight w:val="385"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68"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00"/>
              <w:jc w:val="right"/>
              <w:rPr>
                <w:rFonts w:ascii="Times New Roman" w:hAnsi="Times New Roman" w:cs="Times New Roman" w:eastAsia="Times New Roman" w:hint="default"/>
                <w:sz w:val="18"/>
                <w:szCs w:val="18"/>
              </w:rPr>
            </w:pPr>
            <w:r>
              <w:rPr>
                <w:rFonts w:ascii="Times New Roman"/>
                <w:spacing w:val="-1"/>
                <w:sz w:val="18"/>
              </w:rPr>
              <w:t>7,556,935.13</w:t>
            </w:r>
          </w:p>
        </w:tc>
        <w:tc>
          <w:tcPr>
            <w:tcW w:w="160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3"/>
              <w:ind w:left="867" w:right="0"/>
              <w:jc w:val="left"/>
              <w:rPr>
                <w:rFonts w:ascii="Times New Roman" w:hAnsi="Times New Roman" w:cs="Times New Roman" w:eastAsia="Times New Roman" w:hint="default"/>
                <w:sz w:val="18"/>
                <w:szCs w:val="18"/>
              </w:rPr>
            </w:pPr>
            <w:r>
              <w:rPr>
                <w:rFonts w:ascii="Times New Roman"/>
                <w:sz w:val="18"/>
              </w:rPr>
              <w:t>9,654.00</w:t>
            </w:r>
          </w:p>
        </w:tc>
      </w:tr>
      <w:tr>
        <w:trPr>
          <w:trHeight w:val="380" w:hRule="exact"/>
        </w:trPr>
        <w:tc>
          <w:tcPr>
            <w:tcW w:w="449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68" w:right="0"/>
              <w:jc w:val="left"/>
              <w:rPr>
                <w:rFonts w:ascii="宋体" w:hAnsi="宋体" w:cs="宋体" w:eastAsia="宋体" w:hint="default"/>
                <w:sz w:val="18"/>
                <w:szCs w:val="18"/>
              </w:rPr>
            </w:pPr>
            <w:r>
              <w:rPr>
                <w:rFonts w:ascii="宋体" w:hAnsi="宋体" w:cs="宋体" w:eastAsia="宋体" w:hint="default"/>
                <w:sz w:val="18"/>
                <w:szCs w:val="18"/>
              </w:rPr>
              <w:t>可用于支付的存放中央银行款项</w:t>
            </w:r>
          </w:p>
        </w:tc>
        <w:tc>
          <w:tcPr>
            <w:tcW w:w="1708" w:type="dxa"/>
            <w:tcBorders>
              <w:top w:val="nil" w:sz="6" w:space="0" w:color="auto"/>
              <w:left w:val="nil" w:sz="6" w:space="0" w:color="auto"/>
              <w:bottom w:val="nil" w:sz="6" w:space="0" w:color="auto"/>
              <w:right w:val="nil" w:sz="6" w:space="0" w:color="auto"/>
            </w:tcBorders>
          </w:tcPr>
          <w:p>
            <w:pPr/>
          </w:p>
        </w:tc>
        <w:tc>
          <w:tcPr>
            <w:tcW w:w="1606" w:type="dxa"/>
            <w:gridSpan w:val="2"/>
            <w:tcBorders>
              <w:top w:val="nil" w:sz="6" w:space="0" w:color="auto"/>
              <w:left w:val="nil" w:sz="6" w:space="0" w:color="auto"/>
              <w:bottom w:val="nil" w:sz="6" w:space="0" w:color="auto"/>
              <w:right w:val="nil" w:sz="6" w:space="0" w:color="auto"/>
            </w:tcBorders>
          </w:tcPr>
          <w:p>
            <w:pPr/>
          </w:p>
        </w:tc>
      </w:tr>
      <w:tr>
        <w:trPr>
          <w:trHeight w:val="394" w:hRule="exact"/>
        </w:trPr>
        <w:tc>
          <w:tcPr>
            <w:tcW w:w="4497"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left="468" w:right="0"/>
              <w:jc w:val="left"/>
              <w:rPr>
                <w:rFonts w:ascii="宋体" w:hAnsi="宋体" w:cs="宋体" w:eastAsia="宋体" w:hint="default"/>
                <w:sz w:val="18"/>
                <w:szCs w:val="18"/>
              </w:rPr>
            </w:pPr>
            <w:r>
              <w:rPr>
                <w:rFonts w:ascii="宋体" w:hAnsi="宋体" w:cs="宋体" w:eastAsia="宋体" w:hint="default"/>
                <w:sz w:val="18"/>
                <w:szCs w:val="18"/>
              </w:rPr>
              <w:t>存放同业款项</w:t>
            </w:r>
          </w:p>
        </w:tc>
        <w:tc>
          <w:tcPr>
            <w:tcW w:w="1708" w:type="dxa"/>
            <w:tcBorders>
              <w:top w:val="nil" w:sz="6" w:space="0" w:color="auto"/>
              <w:left w:val="nil" w:sz="6" w:space="0" w:color="auto"/>
              <w:bottom w:val="single" w:sz="12" w:space="0" w:color="000000"/>
              <w:right w:val="nil" w:sz="6" w:space="0" w:color="auto"/>
            </w:tcBorders>
          </w:tcPr>
          <w:p>
            <w:pPr/>
          </w:p>
        </w:tc>
        <w:tc>
          <w:tcPr>
            <w:tcW w:w="1606" w:type="dxa"/>
            <w:gridSpan w:val="2"/>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0" w:footer="1256" w:top="1060" w:bottom="1440" w:left="1660" w:right="156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p>
      <w:pPr>
        <w:spacing w:line="1587" w:lineRule="exact"/>
        <w:ind w:left="72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1"/>
          <w:sz w:val="20"/>
          <w:szCs w:val="20"/>
        </w:rPr>
        <w:pict>
          <v:group style="width:393pt;height:79.4pt;mso-position-horizontal-relative:char;mso-position-vertical-relative:line" coordorigin="0,0" coordsize="7860,1588">
            <v:group style="position:absolute;left:29;top:15;width:4236;height:2" coordorigin="29,15" coordsize="4236,2">
              <v:shape style="position:absolute;left:29;top:15;width:4236;height:2" coordorigin="29,15" coordsize="4236,0" path="m29,15l4265,15e" filled="false" stroked="true" strokeweight="1.5pt" strokecolor="#000000">
                <v:path arrowok="t"/>
              </v:shape>
            </v:group>
            <v:group style="position:absolute;left:4265;top:15;width:1770;height:2" coordorigin="4265,15" coordsize="1770,2">
              <v:shape style="position:absolute;left:4265;top:15;width:1770;height:2" coordorigin="4265,15" coordsize="1770,0" path="m4265,15l6035,15e" filled="false" stroked="true" strokeweight="1.5pt" strokecolor="#000000">
                <v:path arrowok="t"/>
              </v:shape>
            </v:group>
            <v:group style="position:absolute;left:6035;top:15;width:1805;height:2" coordorigin="6035,15" coordsize="1805,2">
              <v:shape style="position:absolute;left:6035;top:15;width:1805;height:2" coordorigin="6035,15" coordsize="1805,0" path="m6035,15l7840,15e" filled="false" stroked="true" strokeweight="1.5pt" strokecolor="#000000">
                <v:path arrowok="t"/>
              </v:shape>
              <v:shape style="position:absolute;left:4207;top:1;width:1867;height:432" type="#_x0000_t75" stroked="false">
                <v:imagedata r:id="rId290" o:title=""/>
              </v:shape>
            </v:group>
            <v:group style="position:absolute;left:15;top:1573;width:4221;height:2" coordorigin="15,1573" coordsize="4221,2">
              <v:shape style="position:absolute;left:15;top:1573;width:4221;height:2" coordorigin="15,1573" coordsize="4221,0" path="m15,1573l4235,1573e" filled="false" stroked="true" strokeweight="1.5pt" strokecolor="#000000">
                <v:path arrowok="t"/>
              </v:shape>
            </v:group>
            <v:group style="position:absolute;left:4235;top:1573;width:30;height:2" coordorigin="4235,1573" coordsize="30,2">
              <v:shape style="position:absolute;left:4235;top:1573;width:30;height:2" coordorigin="4235,1573" coordsize="30,0" path="m4235,1573l4265,1573e" filled="false" stroked="true" strokeweight="1.5pt" strokecolor="#000000">
                <v:path arrowok="t"/>
              </v:shape>
            </v:group>
            <v:group style="position:absolute;left:4265;top:1573;width:1770;height:2" coordorigin="4265,1573" coordsize="1770,2">
              <v:shape style="position:absolute;left:4265;top:1573;width:1770;height:2" coordorigin="4265,1573" coordsize="1770,0" path="m4265,1573l6035,1573e" filled="false" stroked="true" strokeweight="1.5pt" strokecolor="#000000">
                <v:path arrowok="t"/>
              </v:shape>
              <v:shape style="position:absolute;left:10;top:385;width:7849;height:1172" type="#_x0000_t75" stroked="false">
                <v:imagedata r:id="rId291" o:title=""/>
              </v:shape>
            </v:group>
            <v:group style="position:absolute;left:6035;top:1573;width:1805;height:2" coordorigin="6035,1573" coordsize="1805,2">
              <v:shape style="position:absolute;left:6035;top:1573;width:1805;height:2" coordorigin="6035,1573" coordsize="1805,0" path="m6035,1573l7840,1573e" filled="false" stroked="true" strokeweight="1.5pt" strokecolor="#000000">
                <v:path arrowok="t"/>
              </v:shape>
              <v:shape style="position:absolute;left:137;top:127;width:2520;height:1334" type="#_x0000_t202" filled="false" stroked="false">
                <v:textbox inset="0,0,0,0">
                  <w:txbxContent>
                    <w:p>
                      <w:pPr>
                        <w:spacing w:line="180" w:lineRule="exact" w:before="0"/>
                        <w:ind w:left="359" w:right="0" w:firstLine="0"/>
                        <w:jc w:val="left"/>
                        <w:rPr>
                          <w:rFonts w:ascii="宋体" w:hAnsi="宋体" w:cs="宋体" w:eastAsia="宋体" w:hint="default"/>
                          <w:sz w:val="18"/>
                          <w:szCs w:val="18"/>
                        </w:rPr>
                      </w:pPr>
                      <w:r>
                        <w:rPr>
                          <w:rFonts w:ascii="宋体" w:hAnsi="宋体" w:cs="宋体" w:eastAsia="宋体" w:hint="default"/>
                          <w:sz w:val="18"/>
                          <w:szCs w:val="18"/>
                        </w:rPr>
                        <w:t>拆放同业款项</w:t>
                      </w:r>
                    </w:p>
                    <w:p>
                      <w:pPr>
                        <w:spacing w:before="148"/>
                        <w:ind w:left="0" w:right="0" w:firstLine="0"/>
                        <w:jc w:val="left"/>
                        <w:rPr>
                          <w:rFonts w:ascii="宋体" w:hAnsi="宋体" w:cs="宋体" w:eastAsia="宋体" w:hint="default"/>
                          <w:sz w:val="18"/>
                          <w:szCs w:val="18"/>
                        </w:rPr>
                      </w:pPr>
                      <w:r>
                        <w:rPr>
                          <w:rFonts w:ascii="宋体" w:hAnsi="宋体" w:cs="宋体" w:eastAsia="宋体" w:hint="default"/>
                          <w:sz w:val="18"/>
                          <w:szCs w:val="18"/>
                        </w:rPr>
                        <w:t>二、现金等价物</w:t>
                      </w:r>
                    </w:p>
                    <w:p>
                      <w:pPr>
                        <w:spacing w:line="380" w:lineRule="atLeast" w:before="5"/>
                        <w:ind w:left="0" w:right="0" w:firstLine="0"/>
                        <w:jc w:val="left"/>
                        <w:rPr>
                          <w:rFonts w:ascii="宋体" w:hAnsi="宋体" w:cs="宋体" w:eastAsia="宋体" w:hint="default"/>
                          <w:sz w:val="18"/>
                          <w:szCs w:val="18"/>
                        </w:rPr>
                      </w:pPr>
                      <w:r>
                        <w:rPr>
                          <w:rFonts w:ascii="宋体" w:hAnsi="宋体" w:cs="宋体" w:eastAsia="宋体" w:hint="default"/>
                          <w:sz w:val="18"/>
                          <w:szCs w:val="18"/>
                        </w:rPr>
                        <w:t>其中：三个月内到期的债券投资 三、期末现金及现金等价物余额</w:t>
                      </w:r>
                    </w:p>
                  </w:txbxContent>
                </v:textbox>
                <w10:wrap type="none"/>
              </v:shape>
              <v:shape style="position:absolute;left:4808;top:1288;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170,868,135.82</w:t>
                      </w:r>
                    </w:p>
                  </w:txbxContent>
                </v:textbox>
                <w10:wrap type="none"/>
              </v:shape>
              <v:shape style="position:absolute;left:6608;top:1288;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224,913,575.61</w:t>
                      </w:r>
                    </w:p>
                  </w:txbxContent>
                </v:textbox>
                <w10:wrap type="none"/>
              </v:shape>
            </v:group>
          </v:group>
        </w:pict>
      </w:r>
      <w:r>
        <w:rPr>
          <w:rFonts w:ascii="Times New Roman" w:hAnsi="Times New Roman" w:cs="Times New Roman" w:eastAsia="Times New Roman" w:hint="default"/>
          <w:position w:val="-31"/>
          <w:sz w:val="20"/>
          <w:szCs w:val="20"/>
        </w:rPr>
      </w:r>
    </w:p>
    <w:p>
      <w:pPr>
        <w:spacing w:line="240" w:lineRule="auto" w:before="5"/>
        <w:rPr>
          <w:rFonts w:ascii="Times New Roman" w:hAnsi="Times New Roman" w:cs="Times New Roman" w:eastAsia="Times New Roman" w:hint="default"/>
          <w:sz w:val="10"/>
          <w:szCs w:val="10"/>
        </w:rPr>
      </w:pPr>
    </w:p>
    <w:p>
      <w:pPr>
        <w:spacing w:before="35"/>
        <w:ind w:left="848" w:right="0" w:firstLine="0"/>
        <w:jc w:val="left"/>
        <w:rPr>
          <w:rFonts w:ascii="宋体" w:hAnsi="宋体" w:cs="宋体" w:eastAsia="宋体" w:hint="default"/>
          <w:sz w:val="21"/>
          <w:szCs w:val="21"/>
        </w:rPr>
      </w:pPr>
      <w:r>
        <w:rPr>
          <w:rFonts w:ascii="宋体" w:hAnsi="宋体" w:cs="宋体" w:eastAsia="宋体" w:hint="default"/>
          <w:sz w:val="21"/>
          <w:szCs w:val="21"/>
        </w:rPr>
        <w:t>注：现金和现金等价物不含母公司或集团内子公司使用受限制的现金和现金等价物。</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tabs>
          <w:tab w:pos="853" w:val="left" w:leader="none"/>
        </w:tabs>
        <w:spacing w:line="348" w:lineRule="auto" w:before="0"/>
        <w:ind w:left="857" w:right="4030" w:hanging="732"/>
        <w:jc w:val="left"/>
        <w:rPr>
          <w:rFonts w:ascii="宋体" w:hAnsi="宋体" w:cs="宋体" w:eastAsia="宋体" w:hint="default"/>
          <w:sz w:val="21"/>
          <w:szCs w:val="21"/>
        </w:rPr>
      </w:pPr>
      <w:r>
        <w:rPr>
          <w:rFonts w:ascii="宋体" w:hAnsi="宋体" w:cs="宋体" w:eastAsia="宋体" w:hint="default"/>
          <w:b/>
          <w:bCs/>
          <w:w w:val="95"/>
          <w:sz w:val="21"/>
          <w:szCs w:val="21"/>
        </w:rPr>
        <w:t>六、</w:t>
        <w:tab/>
      </w:r>
      <w:r>
        <w:rPr>
          <w:rFonts w:ascii="宋体" w:hAnsi="宋体" w:cs="宋体" w:eastAsia="宋体" w:hint="default"/>
          <w:b/>
          <w:bCs/>
          <w:sz w:val="21"/>
          <w:szCs w:val="21"/>
        </w:rPr>
        <w:t>资产证券化业务的会计处理</w:t>
      </w:r>
      <w:r>
        <w:rPr>
          <w:rFonts w:ascii="宋体" w:hAnsi="宋体" w:cs="宋体" w:eastAsia="宋体" w:hint="default"/>
          <w:b/>
          <w:bCs/>
          <w:w w:val="99"/>
          <w:sz w:val="21"/>
          <w:szCs w:val="21"/>
        </w:rPr>
        <w:t> </w:t>
      </w:r>
      <w:r>
        <w:rPr>
          <w:rFonts w:ascii="宋体" w:hAnsi="宋体" w:cs="宋体" w:eastAsia="宋体" w:hint="default"/>
          <w:b/>
          <w:bCs/>
          <w:sz w:val="21"/>
          <w:szCs w:val="21"/>
        </w:rPr>
        <w:t>本报告期内，本企业无资产证券化业务。</w:t>
      </w:r>
      <w:r>
        <w:rPr>
          <w:rFonts w:ascii="宋体" w:hAnsi="宋体" w:cs="宋体" w:eastAsia="宋体" w:hint="default"/>
          <w:sz w:val="21"/>
          <w:szCs w:val="21"/>
        </w:rPr>
      </w:r>
    </w:p>
    <w:p>
      <w:pPr>
        <w:spacing w:after="0" w:line="348" w:lineRule="auto"/>
        <w:jc w:val="left"/>
        <w:rPr>
          <w:rFonts w:ascii="宋体" w:hAnsi="宋体" w:cs="宋体" w:eastAsia="宋体" w:hint="default"/>
          <w:sz w:val="21"/>
          <w:szCs w:val="21"/>
        </w:rPr>
        <w:sectPr>
          <w:pgSz w:w="11910" w:h="16840"/>
          <w:pgMar w:header="0" w:footer="1256" w:top="1060" w:bottom="1440" w:left="1660" w:right="156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9"/>
          <w:szCs w:val="19"/>
        </w:rPr>
      </w:pPr>
    </w:p>
    <w:p>
      <w:pPr>
        <w:tabs>
          <w:tab w:pos="853" w:val="left" w:leader="none"/>
        </w:tabs>
        <w:spacing w:before="35"/>
        <w:ind w:left="125" w:right="0" w:firstLine="0"/>
        <w:jc w:val="left"/>
        <w:rPr>
          <w:rFonts w:ascii="宋体" w:hAnsi="宋体" w:cs="宋体" w:eastAsia="宋体" w:hint="default"/>
          <w:sz w:val="21"/>
          <w:szCs w:val="21"/>
        </w:rPr>
      </w:pPr>
      <w:r>
        <w:rPr>
          <w:rFonts w:ascii="宋体" w:hAnsi="宋体" w:cs="宋体" w:eastAsia="宋体" w:hint="default"/>
          <w:b/>
          <w:bCs/>
          <w:w w:val="95"/>
          <w:sz w:val="21"/>
          <w:szCs w:val="21"/>
        </w:rPr>
        <w:t>七、</w:t>
        <w:tab/>
      </w:r>
      <w:r>
        <w:rPr>
          <w:rFonts w:ascii="宋体" w:hAnsi="宋体" w:cs="宋体" w:eastAsia="宋体" w:hint="default"/>
          <w:b/>
          <w:bCs/>
          <w:sz w:val="21"/>
          <w:szCs w:val="21"/>
        </w:rPr>
        <w:t>关联方及关联交易</w:t>
      </w:r>
      <w:r>
        <w:rPr>
          <w:rFonts w:ascii="宋体" w:hAnsi="宋体" w:cs="宋体" w:eastAsia="宋体" w:hint="default"/>
          <w:sz w:val="21"/>
          <w:szCs w:val="21"/>
        </w:rPr>
      </w:r>
    </w:p>
    <w:p>
      <w:pPr>
        <w:spacing w:before="164"/>
        <w:ind w:left="857" w:right="0" w:firstLine="0"/>
        <w:jc w:val="left"/>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w:t>
      </w:r>
    </w:p>
    <w:p>
      <w:pPr>
        <w:tabs>
          <w:tab w:pos="853" w:val="left" w:leader="none"/>
        </w:tabs>
        <w:spacing w:before="165"/>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本公司的母公司情况</w:t>
      </w:r>
      <w:r>
        <w:rPr>
          <w:rFonts w:ascii="宋体" w:hAnsi="宋体" w:cs="宋体" w:eastAsia="宋体" w:hint="default"/>
          <w:sz w:val="21"/>
          <w:szCs w:val="21"/>
        </w:rPr>
      </w:r>
    </w:p>
    <w:p>
      <w:pPr>
        <w:spacing w:line="240" w:lineRule="auto" w:before="5"/>
        <w:rPr>
          <w:rFonts w:ascii="宋体" w:hAnsi="宋体" w:cs="宋体" w:eastAsia="宋体" w:hint="default"/>
          <w:b/>
          <w:bCs/>
          <w:sz w:val="11"/>
          <w:szCs w:val="11"/>
        </w:rPr>
      </w:pPr>
    </w:p>
    <w:p>
      <w:pPr>
        <w:spacing w:before="44"/>
        <w:ind w:left="0" w:right="338" w:firstLine="0"/>
        <w:jc w:val="right"/>
        <w:rPr>
          <w:rFonts w:ascii="宋体" w:hAnsi="宋体" w:cs="宋体" w:eastAsia="宋体" w:hint="default"/>
          <w:sz w:val="18"/>
          <w:szCs w:val="18"/>
        </w:rPr>
      </w:pPr>
      <w:r>
        <w:rPr>
          <w:rFonts w:ascii="宋体" w:hAnsi="宋体" w:cs="宋体" w:eastAsia="宋体" w:hint="default"/>
          <w:sz w:val="18"/>
          <w:szCs w:val="18"/>
        </w:rPr>
        <w:t>（金额单位：万元）</w:t>
      </w:r>
    </w:p>
    <w:p>
      <w:pPr>
        <w:spacing w:line="240" w:lineRule="auto" w:before="1"/>
        <w:rPr>
          <w:rFonts w:ascii="宋体" w:hAnsi="宋体" w:cs="宋体" w:eastAsia="宋体" w:hint="default"/>
          <w:sz w:val="2"/>
          <w:szCs w:val="2"/>
        </w:rPr>
      </w:pPr>
    </w:p>
    <w:p>
      <w:pPr>
        <w:spacing w:line="1390" w:lineRule="exact"/>
        <w:ind w:left="720"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675.45pt;height:69.55pt;mso-position-horizontal-relative:char;mso-position-vertical-relative:line" coordorigin="0,0" coordsize="13509,1391">
            <v:group style="position:absolute;left:29;top:15;width:6783;height:2" coordorigin="29,15" coordsize="6783,2">
              <v:shape style="position:absolute;left:29;top:15;width:6783;height:2" coordorigin="29,15" coordsize="6783,0" path="m29,15l6812,15e" filled="false" stroked="true" strokeweight="1.5pt" strokecolor="#000000">
                <v:path arrowok="t"/>
              </v:shape>
            </v:group>
            <v:group style="position:absolute;left:6812;top:15;width:1104;height:2" coordorigin="6812,15" coordsize="1104,2">
              <v:shape style="position:absolute;left:6812;top:15;width:1104;height:2" coordorigin="6812,15" coordsize="1104,0" path="m6812,15l7916,15e" filled="false" stroked="true" strokeweight="1.5pt" strokecolor="#000000">
                <v:path arrowok="t"/>
              </v:shape>
            </v:group>
            <v:group style="position:absolute;left:7916;top:15;width:30;height:2" coordorigin="7916,15" coordsize="30,2">
              <v:shape style="position:absolute;left:7916;top:15;width:30;height:2" coordorigin="7916,15" coordsize="30,0" path="m7916,15l7946,15e" filled="false" stroked="true" strokeweight="1.5pt" strokecolor="#000000">
                <v:path arrowok="t"/>
              </v:shape>
            </v:group>
            <v:group style="position:absolute;left:7946;top:15;width:1529;height:2" coordorigin="7946,15" coordsize="1529,2">
              <v:shape style="position:absolute;left:7946;top:15;width:1529;height:2" coordorigin="7946,15" coordsize="1529,0" path="m7946,15l9475,15e" filled="false" stroked="true" strokeweight="1.5pt" strokecolor="#000000">
                <v:path arrowok="t"/>
              </v:shape>
            </v:group>
            <v:group style="position:absolute;left:9475;top:15;width:4019;height:2" coordorigin="9475,15" coordsize="4019,2">
              <v:shape style="position:absolute;left:9475;top:15;width:4019;height:2" coordorigin="9475,15" coordsize="4019,0" path="m9475,15l13493,15e" filled="false" stroked="true" strokeweight="1.5pt" strokecolor="#000000">
                <v:path arrowok="t"/>
              </v:shape>
            </v:group>
            <v:group style="position:absolute;left:15;top:1376;width:2236;height:2" coordorigin="15,1376" coordsize="2236,2">
              <v:shape style="position:absolute;left:15;top:1376;width:2236;height:2" coordorigin="15,1376" coordsize="2236,0" path="m15,1376l2251,1376e" filled="false" stroked="true" strokeweight="1.5pt" strokecolor="#000000">
                <v:path arrowok="t"/>
              </v:shape>
            </v:group>
            <v:group style="position:absolute;left:2251;top:1376;width:734;height:2" coordorigin="2251,1376" coordsize="734,2">
              <v:shape style="position:absolute;left:2251;top:1376;width:734;height:2" coordorigin="2251,1376" coordsize="734,0" path="m2251,1376l2984,1376e" filled="false" stroked="true" strokeweight="1.5pt" strokecolor="#000000">
                <v:path arrowok="t"/>
              </v:shape>
            </v:group>
            <v:group style="position:absolute;left:2984;top:1376;width:680;height:2" coordorigin="2984,1376" coordsize="680,2">
              <v:shape style="position:absolute;left:2984;top:1376;width:680;height:2" coordorigin="2984,1376" coordsize="680,0" path="m2984,1376l3663,1376e" filled="false" stroked="true" strokeweight="1.5pt" strokecolor="#000000">
                <v:path arrowok="t"/>
              </v:shape>
            </v:group>
            <v:group style="position:absolute;left:3663;top:1376;width:918;height:2" coordorigin="3663,1376" coordsize="918,2">
              <v:shape style="position:absolute;left:3663;top:1376;width:918;height:2" coordorigin="3663,1376" coordsize="918,0" path="m3663,1376l4581,1376e" filled="false" stroked="true" strokeweight="1.5pt" strokecolor="#000000">
                <v:path arrowok="t"/>
              </v:shape>
            </v:group>
            <v:group style="position:absolute;left:4581;top:1376;width:1107;height:2" coordorigin="4581,1376" coordsize="1107,2">
              <v:shape style="position:absolute;left:4581;top:1376;width:1107;height:2" coordorigin="4581,1376" coordsize="1107,0" path="m4581,1376l5687,1376e" filled="false" stroked="true" strokeweight="1.5pt" strokecolor="#000000">
                <v:path arrowok="t"/>
              </v:shape>
            </v:group>
            <v:group style="position:absolute;left:5687;top:1376;width:1095;height:2" coordorigin="5687,1376" coordsize="1095,2">
              <v:shape style="position:absolute;left:5687;top:1376;width:1095;height:2" coordorigin="5687,1376" coordsize="1095,0" path="m5687,1376l6782,1376e" filled="false" stroked="true" strokeweight="1.5pt" strokecolor="#000000">
                <v:path arrowok="t"/>
              </v:shape>
            </v:group>
            <v:group style="position:absolute;left:6782;top:1376;width:30;height:2" coordorigin="6782,1376" coordsize="30,2">
              <v:shape style="position:absolute;left:6782;top:1376;width:30;height:2" coordorigin="6782,1376" coordsize="30,0" path="m6782,1376l6812,1376e" filled="false" stroked="true" strokeweight="1.5pt" strokecolor="#000000">
                <v:path arrowok="t"/>
              </v:shape>
            </v:group>
            <v:group style="position:absolute;left:6812;top:1376;width:1104;height:2" coordorigin="6812,1376" coordsize="1104,2">
              <v:shape style="position:absolute;left:6812;top:1376;width:1104;height:2" coordorigin="6812,1376" coordsize="1104,0" path="m6812,1376l7916,1376e" filled="false" stroked="true" strokeweight="1.5pt" strokecolor="#000000">
                <v:path arrowok="t"/>
              </v:shape>
            </v:group>
            <v:group style="position:absolute;left:7916;top:1376;width:30;height:2" coordorigin="7916,1376" coordsize="30,2">
              <v:shape style="position:absolute;left:7916;top:1376;width:30;height:2" coordorigin="7916,1376" coordsize="30,0" path="m7916,1376l7946,1376e" filled="false" stroked="true" strokeweight="1.5pt" strokecolor="#000000">
                <v:path arrowok="t"/>
              </v:shape>
            </v:group>
            <v:group style="position:absolute;left:7946;top:1376;width:1529;height:2" coordorigin="7946,1376" coordsize="1529,2">
              <v:shape style="position:absolute;left:7946;top:1376;width:1529;height:2" coordorigin="7946,1376" coordsize="1529,0" path="m7946,1376l9475,1376e" filled="false" stroked="true" strokeweight="1.5pt" strokecolor="#000000">
                <v:path arrowok="t"/>
              </v:shape>
            </v:group>
            <v:group style="position:absolute;left:9475;top:1376;width:1560;height:2" coordorigin="9475,1376" coordsize="1560,2">
              <v:shape style="position:absolute;left:9475;top:1376;width:1560;height:2" coordorigin="9475,1376" coordsize="1560,0" path="m9475,1376l11035,1376e" filled="false" stroked="true" strokeweight="1.5pt" strokecolor="#000000">
                <v:path arrowok="t"/>
              </v:shape>
            </v:group>
            <v:group style="position:absolute;left:11035;top:1376;width:1418;height:2" coordorigin="11035,1376" coordsize="1418,2">
              <v:shape style="position:absolute;left:11035;top:1376;width:1418;height:2" coordorigin="11035,1376" coordsize="1418,0" path="m11035,1376l12452,1376e" filled="false" stroked="true" strokeweight="1.5pt" strokecolor="#000000">
                <v:path arrowok="t"/>
              </v:shape>
              <v:shape style="position:absolute;left:1;top:5;width:13507;height:1356" type="#_x0000_t75" stroked="false">
                <v:imagedata r:id="rId294" o:title=""/>
              </v:shape>
            </v:group>
            <v:group style="position:absolute;left:12452;top:1376;width:1042;height:2" coordorigin="12452,1376" coordsize="1042,2">
              <v:shape style="position:absolute;left:12452;top:1376;width:1042;height:2" coordorigin="12452,1376" coordsize="1042,0" path="m12452,1376l13493,1376e" filled="false" stroked="true" strokeweight="1.5pt" strokecolor="#000000">
                <v:path arrowok="t"/>
              </v:shape>
              <v:shape style="position:absolute;left:2441;top:262;width:1067;height:180" type="#_x0000_t202" filled="false" stroked="false">
                <v:textbox inset="0,0,0,0">
                  <w:txbxContent>
                    <w:p>
                      <w:pPr>
                        <w:tabs>
                          <w:tab w:pos="70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w:t>
                        <w:tab/>
                        <w:t>企业</w:t>
                      </w:r>
                    </w:p>
                  </w:txbxContent>
                </v:textbox>
                <w10:wrap type="none"/>
              </v:shape>
              <v:shape style="position:absolute;left:4959;top:26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法定</w:t>
                      </w:r>
                    </w:p>
                  </w:txbxContent>
                </v:textbox>
                <w10:wrap type="none"/>
              </v:shape>
              <v:shape style="position:absolute;left:8069;top:262;width:4128;height:180" type="#_x0000_t202" filled="false" stroked="false">
                <v:textbox inset="0,0,0,0">
                  <w:txbxContent>
                    <w:p>
                      <w:pPr>
                        <w:tabs>
                          <w:tab w:pos="1468" w:val="left" w:leader="none"/>
                          <w:tab w:pos="322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母公司对本公司</w:t>
                        <w:tab/>
                        <w:t>母公司对本公司的</w:t>
                        <w:tab/>
                        <w:t>本公司最终</w:t>
                      </w:r>
                    </w:p>
                  </w:txbxContent>
                </v:textbox>
                <w10:wrap type="none"/>
              </v:shape>
              <v:shape style="position:absolute;left:12615;top:26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组织机构</w:t>
                      </w:r>
                    </w:p>
                  </w:txbxContent>
                </v:textbox>
                <w10:wrap type="none"/>
              </v:shape>
              <v:shape style="position:absolute;left:692;top:483;width:12464;height:850" type="#_x0000_t202" filled="false" stroked="false">
                <v:textbox inset="0,0,0,0">
                  <w:txbxContent>
                    <w:p>
                      <w:pPr>
                        <w:tabs>
                          <w:tab w:pos="3164" w:val="left" w:leader="none"/>
                          <w:tab w:pos="5187" w:val="left" w:leader="none"/>
                          <w:tab w:pos="6301" w:val="left" w:leader="none"/>
                        </w:tabs>
                        <w:spacing w:line="17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母公司名称</w:t>
                        <w:tab/>
                        <w:t>注册地</w:t>
                        <w:tab/>
                        <w:t>业务性质</w:t>
                        <w:tab/>
                        <w:t>注册资本</w:t>
                      </w:r>
                    </w:p>
                    <w:p>
                      <w:pPr>
                        <w:tabs>
                          <w:tab w:pos="2456" w:val="left" w:leader="none"/>
                          <w:tab w:pos="4177" w:val="left" w:leader="none"/>
                          <w:tab w:pos="7423" w:val="left" w:leader="none"/>
                          <w:tab w:pos="8981" w:val="left" w:leader="none"/>
                          <w:tab w:pos="10785" w:val="left" w:leader="none"/>
                          <w:tab w:pos="12103" w:val="left" w:leader="none"/>
                        </w:tabs>
                        <w:spacing w:line="241" w:lineRule="exact" w:before="0"/>
                        <w:ind w:left="1749" w:right="0" w:firstLine="0"/>
                        <w:jc w:val="left"/>
                        <w:rPr>
                          <w:rFonts w:ascii="宋体" w:hAnsi="宋体" w:cs="宋体" w:eastAsia="宋体" w:hint="default"/>
                          <w:sz w:val="18"/>
                          <w:szCs w:val="18"/>
                        </w:rPr>
                      </w:pPr>
                      <w:r>
                        <w:rPr>
                          <w:rFonts w:ascii="宋体" w:hAnsi="宋体" w:cs="宋体" w:eastAsia="宋体" w:hint="default"/>
                          <w:sz w:val="18"/>
                          <w:szCs w:val="18"/>
                        </w:rPr>
                        <w:t>关系</w:t>
                        <w:tab/>
                        <w:t>类型</w:t>
                        <w:tab/>
                        <w:t>代表人</w:t>
                        <w:tab/>
                        <w:t>的持股比例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表决权比例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控制方</w:t>
                        <w:tab/>
                        <w:t>代码</w:t>
                      </w:r>
                    </w:p>
                    <w:p>
                      <w:pPr>
                        <w:spacing w:line="240" w:lineRule="auto" w:before="5"/>
                        <w:rPr>
                          <w:rFonts w:ascii="宋体" w:hAnsi="宋体" w:cs="宋体" w:eastAsia="宋体" w:hint="default"/>
                          <w:sz w:val="15"/>
                          <w:szCs w:val="15"/>
                        </w:rPr>
                      </w:pPr>
                    </w:p>
                    <w:p>
                      <w:pPr>
                        <w:spacing w:before="0"/>
                        <w:ind w:left="360" w:right="0" w:firstLine="0"/>
                        <w:jc w:val="left"/>
                        <w:rPr>
                          <w:rFonts w:ascii="宋体" w:hAnsi="宋体" w:cs="宋体" w:eastAsia="宋体" w:hint="default"/>
                          <w:sz w:val="18"/>
                          <w:szCs w:val="18"/>
                        </w:rPr>
                      </w:pPr>
                      <w:r>
                        <w:rPr>
                          <w:rFonts w:ascii="宋体" w:hAnsi="宋体" w:cs="宋体" w:eastAsia="宋体" w:hint="default"/>
                          <w:sz w:val="18"/>
                          <w:szCs w:val="18"/>
                        </w:rPr>
                        <w:t>无</w:t>
                      </w:r>
                    </w:p>
                  </w:txbxContent>
                </v:textbox>
                <w10:wrap type="none"/>
              </v:shape>
            </v:group>
          </v:group>
        </w:pict>
      </w:r>
      <w:r>
        <w:rPr>
          <w:rFonts w:ascii="宋体" w:hAnsi="宋体" w:cs="宋体" w:eastAsia="宋体" w:hint="default"/>
          <w:position w:val="-27"/>
          <w:sz w:val="20"/>
          <w:szCs w:val="20"/>
        </w:rPr>
      </w:r>
    </w:p>
    <w:p>
      <w:pPr>
        <w:spacing w:line="240" w:lineRule="auto" w:before="2"/>
        <w:rPr>
          <w:rFonts w:ascii="宋体" w:hAnsi="宋体" w:cs="宋体" w:eastAsia="宋体" w:hint="default"/>
          <w:sz w:val="9"/>
          <w:szCs w:val="9"/>
        </w:rPr>
      </w:pPr>
    </w:p>
    <w:p>
      <w:pPr>
        <w:spacing w:before="35"/>
        <w:ind w:left="875" w:right="0" w:firstLine="0"/>
        <w:jc w:val="left"/>
        <w:rPr>
          <w:rFonts w:ascii="宋体" w:hAnsi="宋体" w:cs="宋体" w:eastAsia="宋体" w:hint="default"/>
          <w:sz w:val="21"/>
          <w:szCs w:val="21"/>
        </w:rPr>
      </w:pPr>
      <w:r>
        <w:rPr>
          <w:rFonts w:ascii="宋体" w:hAnsi="宋体" w:cs="宋体" w:eastAsia="宋体" w:hint="default"/>
          <w:sz w:val="21"/>
          <w:szCs w:val="21"/>
        </w:rPr>
        <w:t>公司实际控制人为杨文江，其持股比例为 </w:t>
      </w:r>
      <w:r>
        <w:rPr>
          <w:rFonts w:ascii="Times New Roman" w:hAnsi="Times New Roman" w:cs="Times New Roman" w:eastAsia="Times New Roman" w:hint="default"/>
          <w:sz w:val="21"/>
          <w:szCs w:val="21"/>
        </w:rPr>
        <w:t>49.08%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25"/>
          <w:szCs w:val="25"/>
        </w:rPr>
      </w:pPr>
    </w:p>
    <w:p>
      <w:pPr>
        <w:tabs>
          <w:tab w:pos="853" w:val="left" w:leader="none"/>
        </w:tabs>
        <w:spacing w:before="0"/>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本公司的子公司情况</w:t>
      </w:r>
      <w:r>
        <w:rPr>
          <w:rFonts w:ascii="宋体" w:hAnsi="宋体" w:cs="宋体" w:eastAsia="宋体" w:hint="default"/>
          <w:sz w:val="21"/>
          <w:szCs w:val="21"/>
        </w:rPr>
      </w:r>
    </w:p>
    <w:p>
      <w:pPr>
        <w:spacing w:line="240" w:lineRule="auto" w:before="5"/>
        <w:rPr>
          <w:rFonts w:ascii="宋体" w:hAnsi="宋体" w:cs="宋体" w:eastAsia="宋体" w:hint="default"/>
          <w:b/>
          <w:bCs/>
          <w:sz w:val="11"/>
          <w:szCs w:val="11"/>
        </w:rPr>
      </w:pPr>
    </w:p>
    <w:p>
      <w:pPr>
        <w:spacing w:before="44"/>
        <w:ind w:left="0" w:right="293" w:firstLine="0"/>
        <w:jc w:val="right"/>
        <w:rPr>
          <w:rFonts w:ascii="宋体" w:hAnsi="宋体" w:cs="宋体" w:eastAsia="宋体" w:hint="default"/>
          <w:sz w:val="18"/>
          <w:szCs w:val="18"/>
        </w:rPr>
      </w:pPr>
      <w:r>
        <w:rPr>
          <w:rFonts w:ascii="宋体" w:hAnsi="宋体" w:cs="宋体" w:eastAsia="宋体" w:hint="default"/>
          <w:sz w:val="18"/>
          <w:szCs w:val="18"/>
        </w:rPr>
        <w:t>（金额单位：万元）</w:t>
      </w:r>
    </w:p>
    <w:p>
      <w:pPr>
        <w:spacing w:line="240" w:lineRule="auto" w:before="1"/>
        <w:rPr>
          <w:rFonts w:ascii="宋体" w:hAnsi="宋体" w:cs="宋体" w:eastAsia="宋体" w:hint="default"/>
          <w:sz w:val="2"/>
          <w:szCs w:val="2"/>
        </w:rPr>
      </w:pPr>
    </w:p>
    <w:p>
      <w:pPr>
        <w:spacing w:line="3085" w:lineRule="exact"/>
        <w:ind w:left="720" w:right="0" w:firstLine="0"/>
        <w:rPr>
          <w:rFonts w:ascii="宋体" w:hAnsi="宋体" w:cs="宋体" w:eastAsia="宋体" w:hint="default"/>
          <w:sz w:val="20"/>
          <w:szCs w:val="20"/>
        </w:rPr>
      </w:pPr>
      <w:r>
        <w:rPr>
          <w:rFonts w:ascii="宋体" w:hAnsi="宋体" w:cs="宋体" w:eastAsia="宋体" w:hint="default"/>
          <w:position w:val="-61"/>
          <w:sz w:val="20"/>
          <w:szCs w:val="20"/>
        </w:rPr>
        <w:pict>
          <v:group style="width:675.85pt;height:154.3pt;mso-position-horizontal-relative:char;mso-position-vertical-relative:line" coordorigin="0,0" coordsize="13517,3086">
            <v:group style="position:absolute;left:29;top:15;width:13461;height:2" coordorigin="29,15" coordsize="13461,2">
              <v:shape style="position:absolute;left:29;top:15;width:13461;height:2" coordorigin="29,15" coordsize="13461,0" path="m29,15l13490,15e" filled="false" stroked="true" strokeweight="1.5pt" strokecolor="#000000">
                <v:path arrowok="t"/>
              </v:shape>
              <v:shape style="position:absolute;left:2432;top:1;width:9980;height:806" type="#_x0000_t75" stroked="false">
                <v:imagedata r:id="rId295" o:title=""/>
              </v:shape>
            </v:group>
            <v:group style="position:absolute;left:15;top:3070;width:2446;height:2" coordorigin="15,3070" coordsize="2446,2">
              <v:shape style="position:absolute;left:15;top:3070;width:2446;height:2" coordorigin="15,3070" coordsize="2446,0" path="m15,3070l2461,3070e" filled="false" stroked="true" strokeweight="1.5pt" strokecolor="#000000">
                <v:path arrowok="t"/>
              </v:shape>
              <v:shape style="position:absolute;left:10;top:760;width:13506;height:2324" type="#_x0000_t75" stroked="false">
                <v:imagedata r:id="rId296" o:title=""/>
              </v:shape>
            </v:group>
            <v:group style="position:absolute;left:2461;top:3070;width:1166;height:2" coordorigin="2461,3070" coordsize="1166,2">
              <v:shape style="position:absolute;left:2461;top:3070;width:1166;height:2" coordorigin="2461,3070" coordsize="1166,0" path="m2461,3070l3626,3070e" filled="false" stroked="true" strokeweight="1.5pt" strokecolor="#000000">
                <v:path arrowok="t"/>
              </v:shape>
              <v:shape style="position:absolute;left:3597;top:2278;width:67;height:806" type="#_x0000_t75" stroked="false">
                <v:imagedata r:id="rId297" o:title=""/>
              </v:shape>
            </v:group>
            <v:group style="position:absolute;left:3626;top:3070;width:1355;height:2" coordorigin="3626,3070" coordsize="1355,2">
              <v:shape style="position:absolute;left:3626;top:3070;width:1355;height:2" coordorigin="3626,3070" coordsize="1355,0" path="m3626,3070l4981,3070e" filled="false" stroked="true" strokeweight="1.5pt" strokecolor="#000000">
                <v:path arrowok="t"/>
              </v:shape>
              <v:shape style="position:absolute;left:4952;top:2278;width:67;height:806" type="#_x0000_t75" stroked="false">
                <v:imagedata r:id="rId297" o:title=""/>
              </v:shape>
            </v:group>
            <v:group style="position:absolute;left:4981;top:3070;width:840;height:2" coordorigin="4981,3070" coordsize="840,2">
              <v:shape style="position:absolute;left:4981;top:3070;width:840;height:2" coordorigin="4981,3070" coordsize="840,0" path="m4981,3070l5821,3070e" filled="false" stroked="true" strokeweight="1.5pt" strokecolor="#000000">
                <v:path arrowok="t"/>
              </v:shape>
              <v:shape style="position:absolute;left:5792;top:2278;width:67;height:806" type="#_x0000_t75" stroked="false">
                <v:imagedata r:id="rId297" o:title=""/>
              </v:shape>
            </v:group>
            <v:group style="position:absolute;left:5821;top:3070;width:1155;height:2" coordorigin="5821,3070" coordsize="1155,2">
              <v:shape style="position:absolute;left:5821;top:3070;width:1155;height:2" coordorigin="5821,3070" coordsize="1155,0" path="m5821,3070l6975,3070e" filled="false" stroked="true" strokeweight="1.5pt" strokecolor="#000000">
                <v:path arrowok="t"/>
              </v:shape>
              <v:shape style="position:absolute;left:6946;top:2278;width:67;height:806" type="#_x0000_t75" stroked="false">
                <v:imagedata r:id="rId298" o:title=""/>
              </v:shape>
            </v:group>
            <v:group style="position:absolute;left:6975;top:3070;width:2520;height:2" coordorigin="6975,3070" coordsize="2520,2">
              <v:shape style="position:absolute;left:6975;top:3070;width:2520;height:2" coordorigin="6975,3070" coordsize="2520,0" path="m6975,3070l9495,3070e" filled="false" stroked="true" strokeweight="1.5pt" strokecolor="#000000">
                <v:path arrowok="t"/>
              </v:shape>
              <v:shape style="position:absolute;left:9466;top:2278;width:67;height:806" type="#_x0000_t75" stroked="false">
                <v:imagedata r:id="rId297" o:title=""/>
              </v:shape>
            </v:group>
            <v:group style="position:absolute;left:9495;top:3070;width:1095;height:2" coordorigin="9495,3070" coordsize="1095,2">
              <v:shape style="position:absolute;left:9495;top:3070;width:1095;height:2" coordorigin="9495,3070" coordsize="1095,0" path="m9495,3070l10589,3070e" filled="false" stroked="true" strokeweight="1.5pt" strokecolor="#000000">
                <v:path arrowok="t"/>
              </v:shape>
              <v:shape style="position:absolute;left:10561;top:2278;width:67;height:787" type="#_x0000_t75" stroked="false">
                <v:imagedata r:id="rId299" o:title=""/>
              </v:shape>
            </v:group>
            <v:group style="position:absolute;left:10589;top:3070;width:840;height:2" coordorigin="10589,3070" coordsize="840,2">
              <v:shape style="position:absolute;left:10589;top:3070;width:840;height:2" coordorigin="10589,3070" coordsize="840,0" path="m10589,3070l11429,3070e" filled="false" stroked="true" strokeweight="1.5pt" strokecolor="#000000">
                <v:path arrowok="t"/>
              </v:shape>
              <v:shape style="position:absolute;left:11401;top:2278;width:67;height:806" type="#_x0000_t75" stroked="false">
                <v:imagedata r:id="rId298" o:title=""/>
              </v:shape>
            </v:group>
            <v:group style="position:absolute;left:11429;top:3070;width:945;height:2" coordorigin="11429,3070" coordsize="945,2">
              <v:shape style="position:absolute;left:11429;top:3070;width:945;height:2" coordorigin="11429,3070" coordsize="945,0" path="m11429,3070l12374,3070e" filled="false" stroked="true" strokeweight="1.5pt" strokecolor="#000000">
                <v:path arrowok="t"/>
              </v:shape>
              <v:shape style="position:absolute;left:12345;top:2278;width:67;height:806" type="#_x0000_t75" stroked="false">
                <v:imagedata r:id="rId297" o:title=""/>
              </v:shape>
            </v:group>
            <v:group style="position:absolute;left:12374;top:3070;width:1116;height:2" coordorigin="12374,3070" coordsize="1116,2">
              <v:shape style="position:absolute;left:12374;top:3070;width:1116;height:2" coordorigin="12374,3070" coordsize="1116,0" path="m12374,3070l13490,3070e" filled="false" stroked="true" strokeweight="1.5pt" strokecolor="#000000">
                <v:path arrowok="t"/>
              </v:shape>
              <v:shape style="position:absolute;left:10744;top:127;width:2550;height:180" type="#_x0000_t202" filled="false" stroked="false">
                <v:textbox inset="0,0,0,0">
                  <w:txbxContent>
                    <w:p>
                      <w:pPr>
                        <w:tabs>
                          <w:tab w:pos="801" w:val="left" w:leader="none"/>
                          <w:tab w:pos="182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持股比</w:t>
                        <w:tab/>
                        <w:t>表决权比</w:t>
                        <w:tab/>
                        <w:t>组织机构</w:t>
                      </w:r>
                    </w:p>
                  </w:txbxContent>
                </v:textbox>
                <w10:wrap type="none"/>
              </v:shape>
              <v:shape style="position:absolute;left:796;top:41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2597;top:41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子公司类型</w:t>
                      </w:r>
                    </w:p>
                  </w:txbxContent>
                </v:textbox>
                <w10:wrap type="none"/>
              </v:shape>
              <v:shape style="position:absolute;left:3947;top:41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企业类型</w:t>
                      </w:r>
                    </w:p>
                  </w:txbxContent>
                </v:textbox>
                <w10:wrap type="none"/>
              </v:shape>
              <v:shape style="position:absolute;left:5134;top:417;width:1718;height:180" type="#_x0000_t202" filled="false" stroked="false">
                <v:textbox inset="0,0,0,0">
                  <w:txbxContent>
                    <w:p>
                      <w:pPr>
                        <w:tabs>
                          <w:tab w:pos="81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tab/>
                        <w:t>法定代表人</w:t>
                      </w:r>
                    </w:p>
                  </w:txbxContent>
                </v:textbox>
                <w10:wrap type="none"/>
              </v:shape>
              <v:shape style="position:absolute;left:7880;top:41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业务性质</w:t>
                      </w:r>
                    </w:p>
                  </w:txbxContent>
                </v:textbox>
                <w10:wrap type="none"/>
              </v:shape>
              <v:shape style="position:absolute;left:9687;top:3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r>
                    </w:p>
                  </w:txbxContent>
                </v:textbox>
                <w10:wrap type="none"/>
              </v:shape>
              <v:shape style="position:absolute;left:10789;top:502;width:45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txbxContent>
                </v:textbox>
                <w10:wrap type="none"/>
              </v:shape>
              <v:shape style="position:absolute;left:11681;top:502;width:45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txbxContent>
                </v:textbox>
                <w10:wrap type="none"/>
              </v:shape>
              <v:shape style="position:absolute;left:12754;top:50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代码</w:t>
                      </w:r>
                    </w:p>
                  </w:txbxContent>
                </v:textbox>
                <w10:wrap type="none"/>
              </v:shape>
              <v:shape style="position:absolute;left:7088;top:886;width:231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自动柜员机及点钞机设备的</w:t>
                      </w:r>
                      <w:r>
                        <w:rPr>
                          <w:rFonts w:ascii="宋体" w:hAnsi="宋体" w:cs="宋体" w:eastAsia="宋体" w:hint="default"/>
                          <w:sz w:val="18"/>
                          <w:szCs w:val="18"/>
                        </w:rPr>
                      </w:r>
                    </w:p>
                  </w:txbxContent>
                </v:textbox>
                <w10:wrap type="none"/>
              </v:shape>
              <v:shape style="position:absolute;left:137;top:1073;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广州御新软件有限公司</w:t>
                      </w:r>
                    </w:p>
                  </w:txbxContent>
                </v:textbox>
                <w10:wrap type="none"/>
              </v:shape>
              <v:shape style="position:absolute;left:2572;top:1073;width:2880;height:180" type="#_x0000_t202" filled="false" stroked="false">
                <v:textbox inset="0,0,0,0">
                  <w:txbxContent>
                    <w:p>
                      <w:pPr>
                        <w:tabs>
                          <w:tab w:pos="1166" w:val="left" w:leader="none"/>
                          <w:tab w:pos="251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全资子公司</w:t>
                        <w:tab/>
                        <w:t>有限责任公司</w:t>
                        <w:tab/>
                        <w:t>广州</w:t>
                      </w:r>
                    </w:p>
                  </w:txbxContent>
                </v:textbox>
                <w10:wrap type="none"/>
              </v:shape>
              <v:shape style="position:absolute;left:5932;top:107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吴宁</w:t>
                      </w:r>
                    </w:p>
                  </w:txbxContent>
                </v:textbox>
                <w10:wrap type="none"/>
              </v:shape>
              <v:shape style="position:absolute;left:10216;top:1080;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w:t>
                      </w:r>
                    </w:p>
                  </w:txbxContent>
                </v:textbox>
                <w10:wrap type="none"/>
              </v:shape>
              <v:shape style="position:absolute;left:11056;top:1080;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12001;top:1080;width:1382;height:180" type="#_x0000_t202" filled="false" stroked="false">
                <v:textbox inset="0,0,0,0">
                  <w:txbxContent>
                    <w:p>
                      <w:pPr>
                        <w:tabs>
                          <w:tab w:pos="51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tab/>
                        <w:t>78377100-3</w:t>
                      </w:r>
                    </w:p>
                  </w:txbxContent>
                </v:textbox>
                <w10:wrap type="none"/>
              </v:shape>
              <v:shape style="position:absolute;left:137;top:1260;width:13245;height:940" type="#_x0000_t202" filled="false" stroked="false">
                <v:textbox inset="0,0,0,0">
                  <w:txbxContent>
                    <w:p>
                      <w:pPr>
                        <w:spacing w:line="180" w:lineRule="exact" w:before="0"/>
                        <w:ind w:left="1556" w:right="0" w:firstLine="0"/>
                        <w:jc w:val="center"/>
                        <w:rPr>
                          <w:rFonts w:ascii="宋体" w:hAnsi="宋体" w:cs="宋体" w:eastAsia="宋体" w:hint="default"/>
                          <w:sz w:val="18"/>
                          <w:szCs w:val="18"/>
                        </w:rPr>
                      </w:pPr>
                      <w:r>
                        <w:rPr>
                          <w:rFonts w:ascii="宋体" w:hAnsi="宋体" w:cs="宋体" w:eastAsia="宋体" w:hint="default"/>
                          <w:sz w:val="18"/>
                          <w:szCs w:val="18"/>
                        </w:rPr>
                        <w:t>研发、销售</w:t>
                      </w:r>
                    </w:p>
                    <w:p>
                      <w:pPr>
                        <w:tabs>
                          <w:tab w:pos="6950" w:val="left" w:leader="none"/>
                        </w:tabs>
                        <w:spacing w:line="211" w:lineRule="exact" w:before="149"/>
                        <w:ind w:left="0" w:right="0" w:firstLine="0"/>
                        <w:jc w:val="left"/>
                        <w:rPr>
                          <w:rFonts w:ascii="宋体" w:hAnsi="宋体" w:cs="宋体" w:eastAsia="宋体" w:hint="default"/>
                          <w:sz w:val="18"/>
                          <w:szCs w:val="18"/>
                        </w:rPr>
                      </w:pPr>
                      <w:r>
                        <w:rPr>
                          <w:rFonts w:ascii="宋体" w:hAnsi="宋体" w:cs="宋体" w:eastAsia="宋体" w:hint="default"/>
                          <w:spacing w:val="4"/>
                          <w:w w:val="95"/>
                          <w:sz w:val="18"/>
                          <w:szCs w:val="18"/>
                        </w:rPr>
                        <w:t>广州御银自动柜员机技术有</w:t>
                        <w:tab/>
                      </w:r>
                      <w:r>
                        <w:rPr>
                          <w:rFonts w:ascii="宋体" w:hAnsi="宋体" w:cs="宋体" w:eastAsia="宋体" w:hint="default"/>
                          <w:spacing w:val="-3"/>
                          <w:sz w:val="18"/>
                          <w:szCs w:val="18"/>
                        </w:rPr>
                        <w:t>电子产品、金融机具设备、自</w:t>
                      </w:r>
                    </w:p>
                    <w:p>
                      <w:pPr>
                        <w:tabs>
                          <w:tab w:pos="3601" w:val="left" w:leader="none"/>
                          <w:tab w:pos="4954" w:val="left" w:leader="none"/>
                          <w:tab w:pos="5794" w:val="left" w:leader="none"/>
                          <w:tab w:pos="9988" w:val="left" w:leader="none"/>
                          <w:tab w:pos="10918" w:val="left" w:leader="none"/>
                          <w:tab w:pos="11863" w:val="left" w:leader="none"/>
                          <w:tab w:pos="12381" w:val="left" w:leader="none"/>
                        </w:tabs>
                        <w:spacing w:line="194" w:lineRule="exact" w:before="0"/>
                        <w:ind w:left="243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全资子公司</w:t>
                        <w:tab/>
                        <w:t>有限责任公司</w:t>
                        <w:tab/>
                        <w:t>广州</w:t>
                        <w:tab/>
                        <w:t>吴宁</w:t>
                        <w:tab/>
                      </w:r>
                      <w:r>
                        <w:rPr>
                          <w:rFonts w:ascii="Times New Roman" w:hAnsi="Times New Roman" w:cs="Times New Roman" w:eastAsia="Times New Roman" w:hint="default"/>
                          <w:sz w:val="18"/>
                          <w:szCs w:val="18"/>
                        </w:rPr>
                        <w:t>2000</w:t>
                        <w:tab/>
                        <w:t>100</w:t>
                        <w:tab/>
                        <w:t>100</w:t>
                        <w:tab/>
                      </w:r>
                      <w:r>
                        <w:rPr>
                          <w:rFonts w:ascii="Times New Roman" w:hAnsi="Times New Roman" w:cs="Times New Roman" w:eastAsia="Times New Roman" w:hint="default"/>
                          <w:spacing w:val="-1"/>
                          <w:sz w:val="18"/>
                          <w:szCs w:val="18"/>
                        </w:rPr>
                        <w:t>79102112-2</w:t>
                      </w:r>
                    </w:p>
                    <w:p>
                      <w:pPr>
                        <w:tabs>
                          <w:tab w:pos="6950" w:val="left" w:leader="none"/>
                        </w:tabs>
                        <w:spacing w:line="20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tab/>
                      </w:r>
                      <w:r>
                        <w:rPr>
                          <w:rFonts w:ascii="宋体" w:hAnsi="宋体" w:cs="宋体" w:eastAsia="宋体" w:hint="default"/>
                          <w:spacing w:val="-3"/>
                          <w:sz w:val="18"/>
                          <w:szCs w:val="18"/>
                        </w:rPr>
                        <w:t>动柜员机的研究、开发、销售</w:t>
                      </w:r>
                    </w:p>
                  </w:txbxContent>
                </v:textbox>
                <w10:wrap type="none"/>
              </v:shape>
              <v:shape style="position:absolute;left:3739;top:2404;width:115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1"/>
                          <w:sz w:val="18"/>
                          <w:szCs w:val="18"/>
                        </w:rPr>
                        <w:t>其它有限责任</w:t>
                      </w:r>
                      <w:r>
                        <w:rPr>
                          <w:rFonts w:ascii="宋体" w:hAnsi="宋体" w:cs="宋体" w:eastAsia="宋体" w:hint="default"/>
                          <w:sz w:val="18"/>
                          <w:szCs w:val="18"/>
                        </w:rPr>
                      </w:r>
                    </w:p>
                  </w:txbxContent>
                </v:textbox>
                <w10:wrap type="none"/>
              </v:shape>
              <v:shape style="position:absolute;left:7088;top:2404;width:230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对柜员机进行维护及管理，对</w:t>
                      </w:r>
                    </w:p>
                  </w:txbxContent>
                </v:textbox>
                <w10:wrap type="none"/>
              </v:shape>
              <v:shape style="position:absolute;left:137;top:2591;width:3335;height:180" type="#_x0000_t202" filled="false" stroked="false">
                <v:textbox inset="0,0,0,0">
                  <w:txbxContent>
                    <w:p>
                      <w:pPr>
                        <w:tabs>
                          <w:tab w:pos="243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广州御银金融服务有限公司</w:t>
                        <w:tab/>
                        <w:t>全资子公司</w:t>
                      </w:r>
                    </w:p>
                  </w:txbxContent>
                </v:textbox>
                <w10:wrap type="none"/>
              </v:shape>
              <v:shape style="position:absolute;left:5092;top:259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w:t>
                      </w:r>
                    </w:p>
                  </w:txbxContent>
                </v:textbox>
                <w10:wrap type="none"/>
              </v:shape>
              <v:shape style="position:absolute;left:5932;top:259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吴宁</w:t>
                      </w:r>
                    </w:p>
                  </w:txbxContent>
                </v:textbox>
                <w10:wrap type="none"/>
              </v:shape>
              <v:shape style="position:absolute;left:10126;top:2598;width:3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3000</w:t>
                      </w:r>
                    </w:p>
                  </w:txbxContent>
                </v:textbox>
                <w10:wrap type="none"/>
              </v:shape>
              <v:shape style="position:absolute;left:11056;top:2598;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12001;top:2598;width:1382;height:180" type="#_x0000_t202" filled="false" stroked="false">
                <v:textbox inset="0,0,0,0">
                  <w:txbxContent>
                    <w:p>
                      <w:pPr>
                        <w:tabs>
                          <w:tab w:pos="51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tab/>
                        <w:t>69517938-4</w:t>
                      </w:r>
                    </w:p>
                  </w:txbxContent>
                </v:textbox>
                <w10:wrap type="none"/>
              </v:shape>
              <v:shape style="position:absolute;left:3739;top:2778;width:5330;height:180" type="#_x0000_t202" filled="false" stroked="false">
                <v:textbox inset="0,0,0,0">
                  <w:txbxContent>
                    <w:p>
                      <w:pPr>
                        <w:tabs>
                          <w:tab w:pos="33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tab/>
                        <w:t>现金及有价证券清分处理</w:t>
                      </w:r>
                    </w:p>
                  </w:txbxContent>
                </v:textbox>
                <w10:wrap type="none"/>
              </v:shape>
            </v:group>
          </v:group>
        </w:pict>
      </w:r>
      <w:r>
        <w:rPr>
          <w:rFonts w:ascii="宋体" w:hAnsi="宋体" w:cs="宋体" w:eastAsia="宋体" w:hint="default"/>
          <w:position w:val="-61"/>
          <w:sz w:val="20"/>
          <w:szCs w:val="20"/>
        </w:rPr>
      </w:r>
    </w:p>
    <w:p>
      <w:pPr>
        <w:spacing w:after="0" w:line="3085" w:lineRule="exact"/>
        <w:rPr>
          <w:rFonts w:ascii="宋体" w:hAnsi="宋体" w:cs="宋体" w:eastAsia="宋体" w:hint="default"/>
          <w:sz w:val="20"/>
          <w:szCs w:val="20"/>
        </w:rPr>
        <w:sectPr>
          <w:headerReference w:type="default" r:id="rId292"/>
          <w:footerReference w:type="default" r:id="rId293"/>
          <w:pgSz w:w="16840" w:h="11910" w:orient="landscape"/>
          <w:pgMar w:header="877" w:footer="1252" w:top="1100" w:bottom="1440" w:left="1300" w:right="1200"/>
          <w:pgNumType w:start="153"/>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tbl>
      <w:tblPr>
        <w:tblW w:w="0" w:type="auto"/>
        <w:jc w:val="left"/>
        <w:tblInd w:w="822" w:type="dxa"/>
        <w:tblLayout w:type="fixed"/>
        <w:tblCellMar>
          <w:top w:w="0" w:type="dxa"/>
          <w:left w:w="0" w:type="dxa"/>
          <w:bottom w:w="0" w:type="dxa"/>
          <w:right w:w="0" w:type="dxa"/>
        </w:tblCellMar>
        <w:tblLook w:val="01E0"/>
      </w:tblPr>
      <w:tblGrid>
        <w:gridCol w:w="2364"/>
        <w:gridCol w:w="1139"/>
        <w:gridCol w:w="1350"/>
        <w:gridCol w:w="737"/>
        <w:gridCol w:w="1088"/>
        <w:gridCol w:w="2822"/>
        <w:gridCol w:w="1169"/>
        <w:gridCol w:w="892"/>
        <w:gridCol w:w="728"/>
        <w:gridCol w:w="1026"/>
      </w:tblGrid>
      <w:tr>
        <w:trPr>
          <w:trHeight w:val="668" w:hRule="exact"/>
        </w:trPr>
        <w:tc>
          <w:tcPr>
            <w:tcW w:w="236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御银科技（香港）有限公司</w:t>
            </w:r>
          </w:p>
          <w:p>
            <w:pPr>
              <w:pStyle w:val="TableParagraph"/>
              <w:spacing w:line="240" w:lineRule="auto" w:before="148"/>
              <w:ind w:left="35" w:right="0"/>
              <w:jc w:val="left"/>
              <w:rPr>
                <w:rFonts w:ascii="宋体" w:hAnsi="宋体" w:cs="宋体" w:eastAsia="宋体" w:hint="default"/>
                <w:sz w:val="18"/>
                <w:szCs w:val="18"/>
              </w:rPr>
            </w:pPr>
            <w:r>
              <w:rPr>
                <w:rFonts w:ascii="宋体" w:hAnsi="宋体" w:cs="宋体" w:eastAsia="宋体" w:hint="default"/>
                <w:spacing w:val="4"/>
                <w:sz w:val="18"/>
                <w:szCs w:val="18"/>
              </w:rPr>
              <w:t>广州御银先端电子科技有限</w:t>
            </w:r>
            <w:r>
              <w:rPr>
                <w:rFonts w:ascii="宋体" w:hAnsi="宋体" w:cs="宋体" w:eastAsia="宋体" w:hint="default"/>
                <w:sz w:val="18"/>
                <w:szCs w:val="18"/>
              </w:rPr>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5"/>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6"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40" w:right="0"/>
              <w:jc w:val="left"/>
              <w:rPr>
                <w:rFonts w:ascii="宋体" w:hAnsi="宋体" w:cs="宋体" w:eastAsia="宋体" w:hint="default"/>
                <w:sz w:val="18"/>
                <w:szCs w:val="18"/>
              </w:rPr>
            </w:pPr>
            <w:r>
              <w:rPr>
                <w:rFonts w:ascii="宋体" w:hAnsi="宋体" w:cs="宋体" w:eastAsia="宋体" w:hint="default"/>
                <w:sz w:val="18"/>
                <w:szCs w:val="18"/>
              </w:rPr>
              <w:t>李世宁</w:t>
            </w:r>
          </w:p>
        </w:tc>
        <w:tc>
          <w:tcPr>
            <w:tcW w:w="282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7" w:right="0"/>
              <w:jc w:val="center"/>
              <w:rPr>
                <w:rFonts w:ascii="宋体" w:hAnsi="宋体" w:cs="宋体" w:eastAsia="宋体" w:hint="default"/>
                <w:sz w:val="18"/>
                <w:szCs w:val="18"/>
              </w:rPr>
            </w:pPr>
            <w:r>
              <w:rPr>
                <w:rFonts w:ascii="宋体" w:hAnsi="宋体" w:cs="宋体" w:eastAsia="宋体" w:hint="default"/>
                <w:sz w:val="18"/>
                <w:szCs w:val="18"/>
              </w:rPr>
              <w:t>贸易</w:t>
            </w:r>
          </w:p>
          <w:p>
            <w:pPr>
              <w:pStyle w:val="TableParagraph"/>
              <w:spacing w:line="240" w:lineRule="auto" w:before="148"/>
              <w:ind w:left="97" w:right="0"/>
              <w:jc w:val="center"/>
              <w:rPr>
                <w:rFonts w:ascii="宋体" w:hAnsi="宋体" w:cs="宋体" w:eastAsia="宋体" w:hint="default"/>
                <w:sz w:val="18"/>
                <w:szCs w:val="18"/>
              </w:rPr>
            </w:pPr>
            <w:r>
              <w:rPr>
                <w:rFonts w:ascii="宋体" w:hAnsi="宋体" w:cs="宋体" w:eastAsia="宋体" w:hint="default"/>
                <w:spacing w:val="-3"/>
                <w:sz w:val="18"/>
                <w:szCs w:val="18"/>
              </w:rPr>
              <w:t>电子产品、通信产品、电脑软</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83"/>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万港元</w:t>
            </w:r>
          </w:p>
        </w:tc>
        <w:tc>
          <w:tcPr>
            <w:tcW w:w="892" w:type="dxa"/>
            <w:tcBorders>
              <w:top w:val="nil" w:sz="6" w:space="0" w:color="auto"/>
              <w:left w:val="nil" w:sz="6" w:space="0" w:color="auto"/>
              <w:bottom w:val="nil" w:sz="6" w:space="0" w:color="auto"/>
              <w:right w:val="nil" w:sz="6" w:space="0" w:color="auto"/>
            </w:tcBorders>
          </w:tcPr>
          <w:p>
            <w:pPr>
              <w:pStyle w:val="TableParagraph"/>
              <w:spacing w:line="240" w:lineRule="auto" w:before="84"/>
              <w:ind w:left="285" w:right="0"/>
              <w:jc w:val="left"/>
              <w:rPr>
                <w:rFonts w:ascii="Times New Roman" w:hAnsi="Times New Roman" w:cs="Times New Roman" w:eastAsia="Times New Roman" w:hint="default"/>
                <w:sz w:val="18"/>
                <w:szCs w:val="18"/>
              </w:rPr>
            </w:pPr>
            <w:r>
              <w:rPr>
                <w:rFonts w:ascii="Times New Roman"/>
                <w:sz w:val="18"/>
              </w:rPr>
              <w:t>100</w:t>
            </w:r>
          </w:p>
        </w:tc>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18"/>
              <w:jc w:val="right"/>
              <w:rPr>
                <w:rFonts w:ascii="Times New Roman" w:hAnsi="Times New Roman" w:cs="Times New Roman" w:eastAsia="Times New Roman" w:hint="default"/>
                <w:sz w:val="18"/>
                <w:szCs w:val="18"/>
              </w:rPr>
            </w:pPr>
            <w:r>
              <w:rPr>
                <w:rFonts w:ascii="Times New Roman"/>
                <w:sz w:val="18"/>
              </w:rPr>
              <w:t>100</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Times New Roman" w:hAnsi="Times New Roman" w:cs="Times New Roman" w:eastAsia="Times New Roman" w:hint="default"/>
                <w:sz w:val="18"/>
                <w:szCs w:val="18"/>
              </w:rPr>
            </w:pPr>
            <w:r>
              <w:rPr>
                <w:rFonts w:ascii="Times New Roman"/>
                <w:sz w:val="18"/>
              </w:rPr>
              <w:t>1484613</w:t>
            </w:r>
          </w:p>
        </w:tc>
      </w:tr>
      <w:tr>
        <w:trPr>
          <w:trHeight w:val="191" w:hRule="exact"/>
        </w:trPr>
        <w:tc>
          <w:tcPr>
            <w:tcW w:w="2364"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Style w:val="TableParagraph"/>
              <w:spacing w:line="184" w:lineRule="exact"/>
              <w:ind w:right="25"/>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0" w:type="dxa"/>
            <w:tcBorders>
              <w:top w:val="nil" w:sz="6" w:space="0" w:color="auto"/>
              <w:left w:val="nil" w:sz="6" w:space="0" w:color="auto"/>
              <w:bottom w:val="nil" w:sz="6" w:space="0" w:color="auto"/>
              <w:right w:val="nil" w:sz="6" w:space="0" w:color="auto"/>
            </w:tcBorders>
          </w:tcPr>
          <w:p>
            <w:pPr>
              <w:pStyle w:val="TableParagraph"/>
              <w:spacing w:line="184" w:lineRule="exact"/>
              <w:ind w:right="1"/>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737" w:type="dxa"/>
            <w:tcBorders>
              <w:top w:val="nil" w:sz="6" w:space="0" w:color="auto"/>
              <w:left w:val="nil" w:sz="6" w:space="0" w:color="auto"/>
              <w:bottom w:val="nil" w:sz="6" w:space="0" w:color="auto"/>
              <w:right w:val="nil" w:sz="6" w:space="0" w:color="auto"/>
            </w:tcBorders>
          </w:tcPr>
          <w:p>
            <w:pPr>
              <w:pStyle w:val="TableParagraph"/>
              <w:spacing w:line="184" w:lineRule="exact"/>
              <w:ind w:left="136"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1088" w:type="dxa"/>
            <w:tcBorders>
              <w:top w:val="nil" w:sz="6" w:space="0" w:color="auto"/>
              <w:left w:val="nil" w:sz="6" w:space="0" w:color="auto"/>
              <w:bottom w:val="nil" w:sz="6" w:space="0" w:color="auto"/>
              <w:right w:val="nil" w:sz="6" w:space="0" w:color="auto"/>
            </w:tcBorders>
          </w:tcPr>
          <w:p>
            <w:pPr>
              <w:pStyle w:val="TableParagraph"/>
              <w:spacing w:line="184" w:lineRule="exact"/>
              <w:ind w:left="240" w:right="0"/>
              <w:jc w:val="left"/>
              <w:rPr>
                <w:rFonts w:ascii="宋体" w:hAnsi="宋体" w:cs="宋体" w:eastAsia="宋体" w:hint="default"/>
                <w:sz w:val="18"/>
                <w:szCs w:val="18"/>
              </w:rPr>
            </w:pPr>
            <w:r>
              <w:rPr>
                <w:rFonts w:ascii="宋体" w:hAnsi="宋体" w:cs="宋体" w:eastAsia="宋体" w:hint="default"/>
                <w:sz w:val="18"/>
                <w:szCs w:val="18"/>
              </w:rPr>
              <w:t>王志杰</w:t>
            </w:r>
          </w:p>
        </w:tc>
        <w:tc>
          <w:tcPr>
            <w:tcW w:w="2822"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nil" w:sz="6" w:space="0" w:color="auto"/>
            </w:tcBorders>
          </w:tcPr>
          <w:p>
            <w:pPr>
              <w:pStyle w:val="TableParagraph"/>
              <w:spacing w:line="195" w:lineRule="exact"/>
              <w:ind w:right="283"/>
              <w:jc w:val="right"/>
              <w:rPr>
                <w:rFonts w:ascii="Times New Roman" w:hAnsi="Times New Roman" w:cs="Times New Roman" w:eastAsia="Times New Roman" w:hint="default"/>
                <w:sz w:val="18"/>
                <w:szCs w:val="18"/>
              </w:rPr>
            </w:pPr>
            <w:r>
              <w:rPr>
                <w:rFonts w:ascii="Times New Roman"/>
                <w:sz w:val="18"/>
              </w:rPr>
              <w:t>2000</w:t>
            </w:r>
          </w:p>
        </w:tc>
        <w:tc>
          <w:tcPr>
            <w:tcW w:w="892" w:type="dxa"/>
            <w:tcBorders>
              <w:top w:val="nil" w:sz="6" w:space="0" w:color="auto"/>
              <w:left w:val="nil" w:sz="6" w:space="0" w:color="auto"/>
              <w:bottom w:val="nil" w:sz="6" w:space="0" w:color="auto"/>
              <w:right w:val="nil" w:sz="6" w:space="0" w:color="auto"/>
            </w:tcBorders>
          </w:tcPr>
          <w:p>
            <w:pPr>
              <w:pStyle w:val="TableParagraph"/>
              <w:spacing w:line="195" w:lineRule="exact"/>
              <w:ind w:left="285" w:right="0"/>
              <w:jc w:val="left"/>
              <w:rPr>
                <w:rFonts w:ascii="Times New Roman" w:hAnsi="Times New Roman" w:cs="Times New Roman" w:eastAsia="Times New Roman" w:hint="default"/>
                <w:sz w:val="18"/>
                <w:szCs w:val="18"/>
              </w:rPr>
            </w:pPr>
            <w:r>
              <w:rPr>
                <w:rFonts w:ascii="Times New Roman"/>
                <w:sz w:val="18"/>
              </w:rPr>
              <w:t>100</w:t>
            </w:r>
          </w:p>
        </w:tc>
        <w:tc>
          <w:tcPr>
            <w:tcW w:w="728" w:type="dxa"/>
            <w:tcBorders>
              <w:top w:val="nil" w:sz="6" w:space="0" w:color="auto"/>
              <w:left w:val="nil" w:sz="6" w:space="0" w:color="auto"/>
              <w:bottom w:val="nil" w:sz="6" w:space="0" w:color="auto"/>
              <w:right w:val="nil" w:sz="6" w:space="0" w:color="auto"/>
            </w:tcBorders>
          </w:tcPr>
          <w:p>
            <w:pPr>
              <w:pStyle w:val="TableParagraph"/>
              <w:spacing w:line="195" w:lineRule="exact"/>
              <w:ind w:right="118"/>
              <w:jc w:val="right"/>
              <w:rPr>
                <w:rFonts w:ascii="Times New Roman" w:hAnsi="Times New Roman" w:cs="Times New Roman" w:eastAsia="Times New Roman" w:hint="default"/>
                <w:sz w:val="18"/>
                <w:szCs w:val="18"/>
              </w:rPr>
            </w:pPr>
            <w:r>
              <w:rPr>
                <w:rFonts w:ascii="Times New Roman"/>
                <w:sz w:val="18"/>
              </w:rPr>
              <w:t>100</w:t>
            </w:r>
          </w:p>
        </w:tc>
        <w:tc>
          <w:tcPr>
            <w:tcW w:w="1026" w:type="dxa"/>
            <w:tcBorders>
              <w:top w:val="nil" w:sz="6" w:space="0" w:color="auto"/>
              <w:left w:val="nil" w:sz="6" w:space="0" w:color="auto"/>
              <w:bottom w:val="nil" w:sz="6" w:space="0" w:color="auto"/>
              <w:right w:val="nil" w:sz="6" w:space="0" w:color="auto"/>
            </w:tcBorders>
          </w:tcPr>
          <w:p>
            <w:pPr>
              <w:pStyle w:val="TableParagraph"/>
              <w:spacing w:line="195" w:lineRule="exact"/>
              <w:ind w:right="33"/>
              <w:jc w:val="right"/>
              <w:rPr>
                <w:rFonts w:ascii="Times New Roman" w:hAnsi="Times New Roman" w:cs="Times New Roman" w:eastAsia="Times New Roman" w:hint="default"/>
                <w:sz w:val="18"/>
                <w:szCs w:val="18"/>
              </w:rPr>
            </w:pPr>
            <w:r>
              <w:rPr>
                <w:rFonts w:ascii="Times New Roman"/>
                <w:w w:val="95"/>
                <w:sz w:val="18"/>
              </w:rPr>
              <w:t>58761863-4</w:t>
            </w:r>
            <w:r>
              <w:rPr>
                <w:rFonts w:ascii="Times New Roman"/>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spacing w:before="35"/>
        <w:ind w:left="875" w:right="0" w:firstLine="0"/>
        <w:jc w:val="left"/>
        <w:rPr>
          <w:rFonts w:ascii="宋体" w:hAnsi="宋体" w:cs="宋体" w:eastAsia="宋体" w:hint="default"/>
          <w:sz w:val="21"/>
          <w:szCs w:val="21"/>
        </w:rPr>
      </w:pPr>
      <w:r>
        <w:rPr/>
        <w:pict>
          <v:group style="position:absolute;margin-left:101.000999pt;margin-top:-216.266327pt;width:675.85pt;height:211.4pt;mso-position-horizontal-relative:page;mso-position-vertical-relative:paragraph;z-index:-806560" coordorigin="2020,-4325" coordsize="13517,4228">
            <v:group style="position:absolute;left:2049;top:-4310;width:13461;height:2" coordorigin="2049,-4310" coordsize="13461,2">
              <v:shape style="position:absolute;left:2049;top:-4310;width:13461;height:2" coordorigin="2049,-4310" coordsize="13461,0" path="m2049,-4310l15510,-4310e" filled="false" stroked="true" strokeweight="1.5pt" strokecolor="#000000">
                <v:path arrowok="t"/>
              </v:shape>
              <v:shape style="position:absolute;left:4454;top:-4322;width:9977;height:802" type="#_x0000_t75" stroked="false">
                <v:imagedata r:id="rId300" o:title=""/>
              </v:shape>
            </v:group>
            <v:group style="position:absolute;left:2035;top:-113;width:2446;height:2" coordorigin="2035,-113" coordsize="2446,2">
              <v:shape style="position:absolute;left:2035;top:-113;width:2446;height:2" coordorigin="2035,-113" coordsize="2446,0" path="m2035,-113l4481,-113e" filled="false" stroked="true" strokeweight="1.5pt" strokecolor="#000000">
                <v:path arrowok="t"/>
              </v:shape>
              <v:shape style="position:absolute;left:2030;top:-3567;width:13506;height:3468" type="#_x0000_t75" stroked="false">
                <v:imagedata r:id="rId301" o:title=""/>
              </v:shape>
            </v:group>
            <v:group style="position:absolute;left:4481;top:-113;width:1166;height:2" coordorigin="4481,-113" coordsize="1166,2">
              <v:shape style="position:absolute;left:4481;top:-113;width:1166;height:2" coordorigin="4481,-113" coordsize="1166,0" path="m4481,-113l5646,-113e" filled="false" stroked="true" strokeweight="1.5pt" strokecolor="#000000">
                <v:path arrowok="t"/>
              </v:shape>
              <v:shape style="position:absolute;left:5617;top:-905;width:67;height:806" type="#_x0000_t75" stroked="false">
                <v:imagedata r:id="rId34" o:title=""/>
              </v:shape>
            </v:group>
            <v:group style="position:absolute;left:5646;top:-113;width:1355;height:2" coordorigin="5646,-113" coordsize="1355,2">
              <v:shape style="position:absolute;left:5646;top:-113;width:1355;height:2" coordorigin="5646,-113" coordsize="1355,0" path="m5646,-113l7001,-113e" filled="false" stroked="true" strokeweight="1.5pt" strokecolor="#000000">
                <v:path arrowok="t"/>
              </v:shape>
              <v:shape style="position:absolute;left:6972;top:-905;width:67;height:806" type="#_x0000_t75" stroked="false">
                <v:imagedata r:id="rId34" o:title=""/>
              </v:shape>
            </v:group>
            <v:group style="position:absolute;left:7001;top:-113;width:840;height:2" coordorigin="7001,-113" coordsize="840,2">
              <v:shape style="position:absolute;left:7001;top:-113;width:840;height:2" coordorigin="7001,-113" coordsize="840,0" path="m7001,-113l7841,-113e" filled="false" stroked="true" strokeweight="1.5pt" strokecolor="#000000">
                <v:path arrowok="t"/>
              </v:shape>
              <v:shape style="position:absolute;left:7812;top:-905;width:67;height:806" type="#_x0000_t75" stroked="false">
                <v:imagedata r:id="rId34" o:title=""/>
              </v:shape>
            </v:group>
            <v:group style="position:absolute;left:7841;top:-113;width:1155;height:2" coordorigin="7841,-113" coordsize="1155,2">
              <v:shape style="position:absolute;left:7841;top:-113;width:1155;height:2" coordorigin="7841,-113" coordsize="1155,0" path="m7841,-113l8995,-113e" filled="false" stroked="true" strokeweight="1.5pt" strokecolor="#000000">
                <v:path arrowok="t"/>
              </v:shape>
              <v:shape style="position:absolute;left:8966;top:-905;width:67;height:806" type="#_x0000_t75" stroked="false">
                <v:imagedata r:id="rId302" o:title=""/>
              </v:shape>
            </v:group>
            <v:group style="position:absolute;left:8995;top:-113;width:2520;height:2" coordorigin="8995,-113" coordsize="2520,2">
              <v:shape style="position:absolute;left:8995;top:-113;width:2520;height:2" coordorigin="8995,-113" coordsize="2520,0" path="m8995,-113l11515,-113e" filled="false" stroked="true" strokeweight="1.5pt" strokecolor="#000000">
                <v:path arrowok="t"/>
              </v:shape>
              <v:shape style="position:absolute;left:11486;top:-905;width:67;height:806" type="#_x0000_t75" stroked="false">
                <v:imagedata r:id="rId34" o:title=""/>
              </v:shape>
            </v:group>
            <v:group style="position:absolute;left:11515;top:-113;width:1095;height:2" coordorigin="11515,-113" coordsize="1095,2">
              <v:shape style="position:absolute;left:11515;top:-113;width:1095;height:2" coordorigin="11515,-113" coordsize="1095,0" path="m11515,-113l12609,-113e" filled="false" stroked="true" strokeweight="1.5pt" strokecolor="#000000">
                <v:path arrowok="t"/>
              </v:shape>
              <v:shape style="position:absolute;left:12581;top:-905;width:67;height:787" type="#_x0000_t75" stroked="false">
                <v:imagedata r:id="rId303" o:title=""/>
              </v:shape>
            </v:group>
            <v:group style="position:absolute;left:12609;top:-113;width:840;height:2" coordorigin="12609,-113" coordsize="840,2">
              <v:shape style="position:absolute;left:12609;top:-113;width:840;height:2" coordorigin="12609,-113" coordsize="840,0" path="m12609,-113l13449,-113e" filled="false" stroked="true" strokeweight="1.5pt" strokecolor="#000000">
                <v:path arrowok="t"/>
              </v:shape>
              <v:shape style="position:absolute;left:13421;top:-905;width:67;height:806" type="#_x0000_t75" stroked="false">
                <v:imagedata r:id="rId302" o:title=""/>
              </v:shape>
            </v:group>
            <v:group style="position:absolute;left:13449;top:-113;width:945;height:2" coordorigin="13449,-113" coordsize="945,2">
              <v:shape style="position:absolute;left:13449;top:-113;width:945;height:2" coordorigin="13449,-113" coordsize="945,0" path="m13449,-113l14394,-113e" filled="false" stroked="true" strokeweight="1.5pt" strokecolor="#000000">
                <v:path arrowok="t"/>
              </v:shape>
              <v:shape style="position:absolute;left:14365;top:-905;width:67;height:806" type="#_x0000_t75" stroked="false">
                <v:imagedata r:id="rId34" o:title=""/>
              </v:shape>
            </v:group>
            <v:group style="position:absolute;left:14394;top:-113;width:1116;height:2" coordorigin="14394,-113" coordsize="1116,2">
              <v:shape style="position:absolute;left:14394;top:-113;width:1116;height:2" coordorigin="14394,-113" coordsize="1116,0" path="m14394,-113l15510,-113e" filled="false" stroked="true" strokeweight="1.5pt" strokecolor="#000000">
                <v:path arrowok="t"/>
              </v:shape>
              <v:shape style="position:absolute;left:2157;top:-4198;width:6335;height:366" type="#_x0000_t202" filled="false" stroked="false">
                <v:textbox inset="0,0,0,0">
                  <w:txbxContent>
                    <w:p>
                      <w:pPr>
                        <w:tabs>
                          <w:tab w:pos="4954" w:val="left" w:leader="none"/>
                        </w:tabs>
                        <w:spacing w:line="155" w:lineRule="exact"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御银（中国）科技国际有限</w:t>
                        <w:tab/>
                      </w:r>
                      <w:r>
                        <w:rPr>
                          <w:rFonts w:ascii="宋体" w:hAnsi="宋体" w:cs="宋体" w:eastAsia="宋体" w:hint="default"/>
                          <w:spacing w:val="28"/>
                          <w:sz w:val="18"/>
                          <w:szCs w:val="18"/>
                        </w:rPr>
                        <w:t>维尔京</w:t>
                      </w:r>
                      <w:r>
                        <w:rPr>
                          <w:rFonts w:ascii="宋体" w:hAnsi="宋体" w:cs="宋体" w:eastAsia="宋体" w:hint="default"/>
                          <w:spacing w:val="-48"/>
                          <w:sz w:val="18"/>
                          <w:szCs w:val="18"/>
                        </w:rPr>
                        <w:t> </w:t>
                      </w:r>
                      <w:r>
                        <w:rPr>
                          <w:rFonts w:ascii="宋体" w:hAnsi="宋体" w:cs="宋体" w:eastAsia="宋体" w:hint="default"/>
                          <w:sz w:val="18"/>
                          <w:szCs w:val="18"/>
                        </w:rPr>
                      </w:r>
                    </w:p>
                    <w:p>
                      <w:pPr>
                        <w:tabs>
                          <w:tab w:pos="3601" w:val="left" w:leader="none"/>
                          <w:tab w:pos="5794" w:val="left" w:leader="none"/>
                        </w:tabs>
                        <w:spacing w:line="211" w:lineRule="exact" w:before="0"/>
                        <w:ind w:left="2434" w:right="0" w:firstLine="0"/>
                        <w:jc w:val="left"/>
                        <w:rPr>
                          <w:rFonts w:ascii="宋体" w:hAnsi="宋体" w:cs="宋体" w:eastAsia="宋体" w:hint="default"/>
                          <w:sz w:val="18"/>
                          <w:szCs w:val="18"/>
                        </w:rPr>
                      </w:pPr>
                      <w:r>
                        <w:rPr>
                          <w:rFonts w:ascii="宋体" w:hAnsi="宋体" w:cs="宋体" w:eastAsia="宋体" w:hint="default"/>
                          <w:sz w:val="18"/>
                          <w:szCs w:val="18"/>
                        </w:rPr>
                        <w:t>全资子公司</w:t>
                        <w:tab/>
                        <w:t>有限责任公司</w:t>
                        <w:tab/>
                        <w:t>李世宁</w:t>
                      </w:r>
                    </w:p>
                  </w:txbxContent>
                </v:textbox>
                <w10:wrap type="none"/>
              </v:shape>
              <v:shape style="position:absolute;left:10080;top:-401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贸易</w:t>
                      </w:r>
                    </w:p>
                  </w:txbxContent>
                </v:textbox>
                <w10:wrap type="none"/>
              </v:shape>
              <v:shape style="position:absolute;left:11652;top:-4012;width:85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万美元</w:t>
                      </w:r>
                    </w:p>
                  </w:txbxContent>
                </v:textbox>
                <w10:wrap type="none"/>
              </v:shape>
              <v:shape style="position:absolute;left:13076;top:-4005;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14021;top:-4005;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14772;top:-4005;width:6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1539888</w:t>
                      </w:r>
                    </w:p>
                  </w:txbxContent>
                </v:textbox>
                <w10:wrap type="none"/>
              </v:shape>
              <v:shape style="position:absolute;left:2157;top:-3825;width:5315;height:180" type="#_x0000_t202" filled="false" stroked="false">
                <v:textbox inset="0,0,0,0">
                  <w:txbxContent>
                    <w:p>
                      <w:pPr>
                        <w:tabs>
                          <w:tab w:pos="495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tab/>
                        <w:t>群岛</w:t>
                      </w:r>
                    </w:p>
                  </w:txbxContent>
                </v:textbox>
                <w10:wrap type="none"/>
              </v:shape>
              <v:shape style="position:absolute;left:12764;top:-3440;width:2550;height:180" type="#_x0000_t202" filled="false" stroked="false">
                <v:textbox inset="0,0,0,0">
                  <w:txbxContent>
                    <w:p>
                      <w:pPr>
                        <w:tabs>
                          <w:tab w:pos="801" w:val="left" w:leader="none"/>
                          <w:tab w:pos="182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持股比</w:t>
                        <w:tab/>
                        <w:t>表决权比</w:t>
                        <w:tab/>
                        <w:t>组织机构</w:t>
                      </w:r>
                    </w:p>
                  </w:txbxContent>
                </v:textbox>
                <w10:wrap type="none"/>
              </v:shape>
              <v:shape style="position:absolute;left:2816;top:-315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4617;top:-315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子公司类型</w:t>
                      </w:r>
                    </w:p>
                  </w:txbxContent>
                </v:textbox>
                <w10:wrap type="none"/>
              </v:shape>
              <v:shape style="position:absolute;left:5967;top:-31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企业类型</w:t>
                      </w:r>
                    </w:p>
                  </w:txbxContent>
                </v:textbox>
                <w10:wrap type="none"/>
              </v:shape>
              <v:shape style="position:absolute;left:7154;top:-3152;width:1718;height:180" type="#_x0000_t202" filled="false" stroked="false">
                <v:textbox inset="0,0,0,0">
                  <w:txbxContent>
                    <w:p>
                      <w:pPr>
                        <w:tabs>
                          <w:tab w:pos="81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tab/>
                        <w:t>法定代表人</w:t>
                      </w:r>
                    </w:p>
                  </w:txbxContent>
                </v:textbox>
                <w10:wrap type="none"/>
              </v:shape>
              <v:shape style="position:absolute;left:9900;top:-31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业务性质</w:t>
                      </w:r>
                    </w:p>
                  </w:txbxContent>
                </v:textbox>
                <w10:wrap type="none"/>
              </v:shape>
              <v:shape style="position:absolute;left:11707;top:-32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r>
                    </w:p>
                  </w:txbxContent>
                </v:textbox>
                <w10:wrap type="none"/>
              </v:shape>
              <v:shape style="position:absolute;left:12809;top:-3065;width:45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txbxContent>
                </v:textbox>
                <w10:wrap type="none"/>
              </v:shape>
              <v:shape style="position:absolute;left:13701;top:-3065;width:45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txbxContent>
                </v:textbox>
                <w10:wrap type="none"/>
              </v:shape>
              <v:shape style="position:absolute;left:14774;top:-306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代码</w:t>
                      </w:r>
                    </w:p>
                  </w:txbxContent>
                </v:textbox>
                <w10:wrap type="none"/>
              </v:shape>
              <v:shape style="position:absolute;left:2157;top:-192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9108;top:-1923;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件、机电设备的研发</w:t>
                      </w:r>
                    </w:p>
                  </w:txbxContent>
                </v:textbox>
                <w10:wrap type="none"/>
              </v:shape>
              <v:shape style="position:absolute;left:2157;top:-1538;width:10349;height:375" type="#_x0000_t202" filled="false" stroked="false">
                <v:textbox inset="0,0,0,0">
                  <w:txbxContent>
                    <w:p>
                      <w:pPr>
                        <w:tabs>
                          <w:tab w:pos="6950" w:val="left" w:leader="none"/>
                        </w:tabs>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珠海市御银电子科技有限公</w:t>
                        <w:tab/>
                      </w:r>
                      <w:r>
                        <w:rPr>
                          <w:rFonts w:ascii="宋体" w:hAnsi="宋体" w:cs="宋体" w:eastAsia="宋体" w:hint="default"/>
                          <w:spacing w:val="-3"/>
                          <w:sz w:val="18"/>
                          <w:szCs w:val="18"/>
                        </w:rPr>
                        <w:t>电子产品、通讯产品、计算机</w:t>
                      </w:r>
                    </w:p>
                    <w:p>
                      <w:pPr>
                        <w:tabs>
                          <w:tab w:pos="3601" w:val="left" w:leader="none"/>
                          <w:tab w:pos="4954" w:val="left" w:leader="none"/>
                          <w:tab w:pos="5794" w:val="left" w:leader="none"/>
                          <w:tab w:pos="10348" w:val="right" w:leader="none"/>
                        </w:tabs>
                        <w:spacing w:line="219" w:lineRule="exact" w:before="0"/>
                        <w:ind w:left="243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全资子公司</w:t>
                        <w:tab/>
                        <w:t>有限责任公司</w:t>
                        <w:tab/>
                        <w:t>珠海</w:t>
                        <w:tab/>
                        <w:t>周剑锋</w:t>
                      </w:r>
                      <w:r>
                        <w:rPr>
                          <w:rFonts w:ascii="Times New Roman" w:hAnsi="Times New Roman" w:cs="Times New Roman" w:eastAsia="Times New Roman" w:hint="default"/>
                          <w:sz w:val="18"/>
                          <w:szCs w:val="18"/>
                        </w:rPr>
                        <w:tab/>
                        <w:t>200</w:t>
                      </w:r>
                    </w:p>
                  </w:txbxContent>
                </v:textbox>
                <w10:wrap type="none"/>
              </v:shape>
              <v:shape style="position:absolute;left:13076;top:-1343;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v:shape style="position:absolute;left:14021;top:-1343;width:1382;height:180" type="#_x0000_t202" filled="false" stroked="false">
                <v:textbox inset="0,0,0,0">
                  <w:txbxContent>
                    <w:p>
                      <w:pPr>
                        <w:tabs>
                          <w:tab w:pos="51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tab/>
                        <w:t>77691457-1</w:t>
                      </w:r>
                    </w:p>
                  </w:txbxContent>
                </v:textbox>
                <w10:wrap type="none"/>
              </v:shape>
              <v:shape style="position:absolute;left:2157;top:-1163;width:13245;height:939" type="#_x0000_t202" filled="false" stroked="false">
                <v:textbox inset="0,0,0,0">
                  <w:txbxContent>
                    <w:p>
                      <w:pPr>
                        <w:tabs>
                          <w:tab w:pos="6950" w:val="left" w:leader="none"/>
                        </w:tabs>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司</w:t>
                      </w:r>
                      <w:r>
                        <w:rPr>
                          <w:rFonts w:ascii="Times New Roman" w:hAnsi="Times New Roman" w:cs="Times New Roman" w:eastAsia="Times New Roman" w:hint="default"/>
                          <w:sz w:val="18"/>
                          <w:szCs w:val="18"/>
                        </w:rPr>
                        <w:t>*</w:t>
                        <w:tab/>
                      </w:r>
                      <w:r>
                        <w:rPr>
                          <w:rFonts w:ascii="宋体" w:hAnsi="宋体" w:cs="宋体" w:eastAsia="宋体" w:hint="default"/>
                          <w:sz w:val="18"/>
                          <w:szCs w:val="18"/>
                        </w:rPr>
                        <w:t>软件、机电设备的研发</w:t>
                      </w:r>
                    </w:p>
                    <w:p>
                      <w:pPr>
                        <w:spacing w:line="211" w:lineRule="exact" w:before="135"/>
                        <w:ind w:left="6950" w:right="0" w:firstLine="0"/>
                        <w:jc w:val="left"/>
                        <w:rPr>
                          <w:rFonts w:ascii="宋体" w:hAnsi="宋体" w:cs="宋体" w:eastAsia="宋体" w:hint="default"/>
                          <w:sz w:val="18"/>
                          <w:szCs w:val="18"/>
                        </w:rPr>
                      </w:pPr>
                      <w:r>
                        <w:rPr>
                          <w:rFonts w:ascii="宋体" w:hAnsi="宋体" w:cs="宋体" w:eastAsia="宋体" w:hint="default"/>
                          <w:spacing w:val="12"/>
                          <w:sz w:val="18"/>
                          <w:szCs w:val="18"/>
                        </w:rPr>
                        <w:t>自动柜员机及点钞机设备的</w:t>
                      </w:r>
                      <w:r>
                        <w:rPr>
                          <w:rFonts w:ascii="宋体" w:hAnsi="宋体" w:cs="宋体" w:eastAsia="宋体" w:hint="default"/>
                          <w:sz w:val="18"/>
                          <w:szCs w:val="18"/>
                        </w:rPr>
                      </w:r>
                    </w:p>
                    <w:p>
                      <w:pPr>
                        <w:tabs>
                          <w:tab w:pos="2434" w:val="left" w:leader="none"/>
                          <w:tab w:pos="3601" w:val="left" w:leader="none"/>
                          <w:tab w:pos="4954" w:val="left" w:leader="none"/>
                          <w:tab w:pos="5794" w:val="left" w:leader="none"/>
                          <w:tab w:pos="10078" w:val="left" w:leader="none"/>
                          <w:tab w:pos="10918" w:val="left" w:leader="none"/>
                          <w:tab w:pos="11863" w:val="left" w:leader="none"/>
                          <w:tab w:pos="12374" w:val="left" w:leader="none"/>
                        </w:tabs>
                        <w:spacing w:line="194"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安徽御银电子科技有限公司</w:t>
                        <w:tab/>
                        <w:t>全资子公司</w:t>
                        <w:tab/>
                        <w:t>有限责任公司</w:t>
                        <w:tab/>
                        <w:t>安徽</w:t>
                        <w:tab/>
                        <w:t>陈国军</w:t>
                        <w:tab/>
                      </w:r>
                      <w:r>
                        <w:rPr>
                          <w:rFonts w:ascii="Times New Roman" w:hAnsi="Times New Roman" w:cs="Times New Roman" w:eastAsia="Times New Roman" w:hint="default"/>
                          <w:sz w:val="18"/>
                          <w:szCs w:val="18"/>
                        </w:rPr>
                        <w:t>500</w:t>
                        <w:tab/>
                        <w:t>100</w:t>
                        <w:tab/>
                        <w:t>100</w:t>
                        <w:tab/>
                        <w:t>67588513-4</w:t>
                      </w:r>
                    </w:p>
                    <w:p>
                      <w:pPr>
                        <w:spacing w:line="205" w:lineRule="exact" w:before="0"/>
                        <w:ind w:left="1556" w:right="0" w:firstLine="0"/>
                        <w:jc w:val="center"/>
                        <w:rPr>
                          <w:rFonts w:ascii="宋体" w:hAnsi="宋体" w:cs="宋体" w:eastAsia="宋体" w:hint="default"/>
                          <w:sz w:val="18"/>
                          <w:szCs w:val="18"/>
                        </w:rPr>
                      </w:pPr>
                      <w:r>
                        <w:rPr>
                          <w:rFonts w:ascii="宋体" w:hAnsi="宋体" w:cs="宋体" w:eastAsia="宋体" w:hint="default"/>
                          <w:sz w:val="18"/>
                          <w:szCs w:val="18"/>
                        </w:rPr>
                        <w:t>研发、销售</w:t>
                      </w:r>
                    </w:p>
                  </w:txbxContent>
                </v:textbox>
                <w10:wrap type="none"/>
              </v:shape>
            </v:group>
            <w10:wrap type="none"/>
          </v:group>
        </w:pict>
      </w:r>
      <w:r>
        <w:rPr>
          <w:rFonts w:ascii="Times New Roman" w:hAnsi="Times New Roman" w:cs="Times New Roman" w:eastAsia="Times New Roman" w:hint="default"/>
          <w:sz w:val="21"/>
          <w:szCs w:val="21"/>
        </w:rPr>
        <w:t>*</w:t>
      </w:r>
      <w:r>
        <w:rPr>
          <w:rFonts w:ascii="宋体" w:hAnsi="宋体" w:cs="宋体" w:eastAsia="宋体" w:hint="default"/>
          <w:sz w:val="21"/>
          <w:szCs w:val="21"/>
        </w:rPr>
        <w:t>子公司珠海市御银电子科技有限公司已于</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月注销。</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3"/>
          <w:szCs w:val="23"/>
        </w:rPr>
      </w:pPr>
    </w:p>
    <w:p>
      <w:pPr>
        <w:tabs>
          <w:tab w:pos="853" w:val="left" w:leader="none"/>
        </w:tabs>
        <w:spacing w:line="362" w:lineRule="auto" w:before="0"/>
        <w:ind w:left="890" w:right="9457" w:hanging="766"/>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本公司的合营和联营企业情况</w:t>
      </w:r>
      <w:r>
        <w:rPr>
          <w:rFonts w:ascii="宋体" w:hAnsi="宋体" w:cs="宋体" w:eastAsia="宋体" w:hint="default"/>
          <w:b/>
          <w:bCs/>
          <w:spacing w:val="1"/>
          <w:w w:val="99"/>
          <w:sz w:val="21"/>
          <w:szCs w:val="21"/>
        </w:rPr>
        <w:t> </w:t>
      </w:r>
      <w:r>
        <w:rPr>
          <w:rFonts w:ascii="宋体" w:hAnsi="宋体" w:cs="宋体" w:eastAsia="宋体" w:hint="default"/>
          <w:sz w:val="21"/>
          <w:szCs w:val="21"/>
        </w:rPr>
        <w:t>报告期内，本企业无合营和联营企业情况。</w:t>
      </w:r>
    </w:p>
    <w:p>
      <w:pPr>
        <w:spacing w:after="0" w:line="362" w:lineRule="auto"/>
        <w:jc w:val="left"/>
        <w:rPr>
          <w:rFonts w:ascii="宋体" w:hAnsi="宋体" w:cs="宋体" w:eastAsia="宋体" w:hint="default"/>
          <w:sz w:val="21"/>
          <w:szCs w:val="21"/>
        </w:rPr>
        <w:sectPr>
          <w:pgSz w:w="16840" w:h="11910" w:orient="landscape"/>
          <w:pgMar w:header="877" w:footer="1252" w:top="1100" w:bottom="1440" w:left="1300" w:right="1200"/>
        </w:sectPr>
      </w:pPr>
    </w:p>
    <w:p>
      <w:pPr>
        <w:spacing w:line="240" w:lineRule="auto" w:before="1"/>
        <w:rPr>
          <w:rFonts w:ascii="宋体" w:hAnsi="宋体" w:cs="宋体" w:eastAsia="宋体" w:hint="default"/>
          <w:sz w:val="25"/>
          <w:szCs w:val="25"/>
        </w:rPr>
      </w:pPr>
    </w:p>
    <w:tbl>
      <w:tblPr>
        <w:tblW w:w="0" w:type="auto"/>
        <w:jc w:val="left"/>
        <w:tblInd w:w="370" w:type="dxa"/>
        <w:tblLayout w:type="fixed"/>
        <w:tblCellMar>
          <w:top w:w="0" w:type="dxa"/>
          <w:left w:w="0" w:type="dxa"/>
          <w:bottom w:w="0" w:type="dxa"/>
          <w:right w:w="0" w:type="dxa"/>
        </w:tblCellMar>
        <w:tblLook w:val="01E0"/>
      </w:tblPr>
      <w:tblGrid>
        <w:gridCol w:w="3659"/>
        <w:gridCol w:w="3015"/>
        <w:gridCol w:w="1297"/>
      </w:tblGrid>
      <w:tr>
        <w:trPr>
          <w:trHeight w:val="358" w:hRule="exact"/>
        </w:trPr>
        <w:tc>
          <w:tcPr>
            <w:tcW w:w="3659" w:type="dxa"/>
            <w:tcBorders>
              <w:top w:val="nil" w:sz="6" w:space="0" w:color="auto"/>
              <w:left w:val="nil" w:sz="6" w:space="0" w:color="auto"/>
              <w:bottom w:val="single" w:sz="12" w:space="0" w:color="000000"/>
              <w:right w:val="nil" w:sz="6" w:space="0" w:color="auto"/>
            </w:tcBorders>
          </w:tcPr>
          <w:p>
            <w:pPr>
              <w:pStyle w:val="TableParagraph"/>
              <w:tabs>
                <w:tab w:pos="805" w:val="left" w:leader="none"/>
              </w:tabs>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本公司的其他关联方情况</w:t>
            </w:r>
            <w:r>
              <w:rPr>
                <w:rFonts w:ascii="宋体" w:hAnsi="宋体" w:cs="宋体" w:eastAsia="宋体" w:hint="default"/>
                <w:sz w:val="21"/>
                <w:szCs w:val="21"/>
              </w:rPr>
            </w:r>
          </w:p>
        </w:tc>
        <w:tc>
          <w:tcPr>
            <w:tcW w:w="4312" w:type="dxa"/>
            <w:gridSpan w:val="2"/>
            <w:tcBorders>
              <w:top w:val="nil" w:sz="6" w:space="0" w:color="auto"/>
              <w:left w:val="nil" w:sz="6" w:space="0" w:color="auto"/>
              <w:bottom w:val="single" w:sz="12" w:space="0" w:color="000000"/>
              <w:right w:val="nil" w:sz="6" w:space="0" w:color="auto"/>
            </w:tcBorders>
          </w:tcPr>
          <w:p>
            <w:pPr/>
          </w:p>
        </w:tc>
      </w:tr>
      <w:tr>
        <w:trPr>
          <w:trHeight w:val="427" w:hRule="exact"/>
        </w:trPr>
        <w:tc>
          <w:tcPr>
            <w:tcW w:w="3659" w:type="dxa"/>
            <w:tcBorders>
              <w:top w:val="single" w:sz="12" w:space="0" w:color="000000"/>
              <w:left w:val="nil" w:sz="6" w:space="0" w:color="auto"/>
              <w:bottom w:val="nil" w:sz="6" w:space="0" w:color="auto"/>
              <w:right w:val="nil" w:sz="6" w:space="0" w:color="auto"/>
            </w:tcBorders>
          </w:tcPr>
          <w:p>
            <w:pPr>
              <w:pStyle w:val="TableParagraph"/>
              <w:spacing w:line="240" w:lineRule="auto" w:before="86"/>
              <w:ind w:left="1571" w:right="0"/>
              <w:jc w:val="left"/>
              <w:rPr>
                <w:rFonts w:ascii="宋体" w:hAnsi="宋体" w:cs="宋体" w:eastAsia="宋体" w:hint="default"/>
                <w:sz w:val="18"/>
                <w:szCs w:val="18"/>
              </w:rPr>
            </w:pPr>
            <w:r>
              <w:rPr>
                <w:rFonts w:ascii="宋体" w:hAnsi="宋体" w:cs="宋体" w:eastAsia="宋体" w:hint="default"/>
                <w:sz w:val="18"/>
                <w:szCs w:val="18"/>
              </w:rPr>
              <w:t>其他关联方名称</w:t>
            </w:r>
          </w:p>
        </w:tc>
        <w:tc>
          <w:tcPr>
            <w:tcW w:w="3015" w:type="dxa"/>
            <w:tcBorders>
              <w:top w:val="single" w:sz="12" w:space="0" w:color="000000"/>
              <w:left w:val="nil" w:sz="6" w:space="0" w:color="auto"/>
              <w:bottom w:val="nil" w:sz="6" w:space="0" w:color="auto"/>
              <w:right w:val="nil" w:sz="6" w:space="0" w:color="auto"/>
            </w:tcBorders>
          </w:tcPr>
          <w:p>
            <w:pPr>
              <w:pStyle w:val="TableParagraph"/>
              <w:spacing w:line="240" w:lineRule="auto" w:before="86"/>
              <w:ind w:left="83" w:right="0"/>
              <w:jc w:val="center"/>
              <w:rPr>
                <w:rFonts w:ascii="宋体" w:hAnsi="宋体" w:cs="宋体" w:eastAsia="宋体" w:hint="default"/>
                <w:sz w:val="18"/>
                <w:szCs w:val="18"/>
              </w:rPr>
            </w:pPr>
            <w:r>
              <w:rPr>
                <w:rFonts w:ascii="宋体" w:hAnsi="宋体" w:cs="宋体" w:eastAsia="宋体" w:hint="default"/>
                <w:sz w:val="18"/>
                <w:szCs w:val="18"/>
              </w:rPr>
              <w:t>其他关联方与本公司的关系</w:t>
            </w:r>
          </w:p>
        </w:tc>
        <w:tc>
          <w:tcPr>
            <w:tcW w:w="1297" w:type="dxa"/>
            <w:tcBorders>
              <w:top w:val="single" w:sz="12" w:space="0" w:color="000000"/>
              <w:left w:val="nil" w:sz="6" w:space="0" w:color="auto"/>
              <w:bottom w:val="nil" w:sz="6" w:space="0" w:color="auto"/>
              <w:right w:val="nil" w:sz="6" w:space="0" w:color="auto"/>
            </w:tcBorders>
          </w:tcPr>
          <w:p>
            <w:pPr>
              <w:pStyle w:val="TableParagraph"/>
              <w:spacing w:line="240" w:lineRule="auto" w:before="86"/>
              <w:ind w:right="107"/>
              <w:jc w:val="right"/>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725" w:hRule="exact"/>
        </w:trPr>
        <w:tc>
          <w:tcPr>
            <w:tcW w:w="3659" w:type="dxa"/>
            <w:tcBorders>
              <w:top w:val="nil" w:sz="6" w:space="0" w:color="auto"/>
              <w:left w:val="nil" w:sz="6" w:space="0" w:color="auto"/>
              <w:bottom w:val="nil" w:sz="6" w:space="0" w:color="auto"/>
              <w:right w:val="nil" w:sz="6" w:space="0" w:color="auto"/>
            </w:tcBorders>
          </w:tcPr>
          <w:p>
            <w:pPr>
              <w:pStyle w:val="TableParagraph"/>
              <w:spacing w:line="367" w:lineRule="auto" w:before="34"/>
              <w:ind w:left="766" w:right="191"/>
              <w:jc w:val="left"/>
              <w:rPr>
                <w:rFonts w:ascii="宋体" w:hAnsi="宋体" w:cs="宋体" w:eastAsia="宋体" w:hint="default"/>
                <w:sz w:val="18"/>
                <w:szCs w:val="18"/>
              </w:rPr>
            </w:pPr>
            <w:r>
              <w:rPr>
                <w:rFonts w:ascii="宋体" w:hAnsi="宋体" w:cs="宋体" w:eastAsia="宋体" w:hint="default"/>
                <w:sz w:val="18"/>
                <w:szCs w:val="18"/>
              </w:rPr>
              <w:t>广州基准机械电子科技有限公司 广州昭耀投资服务部（有限合伙）</w:t>
            </w:r>
          </w:p>
        </w:tc>
        <w:tc>
          <w:tcPr>
            <w:tcW w:w="3015" w:type="dxa"/>
            <w:tcBorders>
              <w:top w:val="nil" w:sz="6" w:space="0" w:color="auto"/>
              <w:left w:val="nil" w:sz="6" w:space="0" w:color="auto"/>
              <w:bottom w:val="nil" w:sz="6" w:space="0" w:color="auto"/>
              <w:right w:val="nil" w:sz="6" w:space="0" w:color="auto"/>
            </w:tcBorders>
          </w:tcPr>
          <w:p>
            <w:pPr>
              <w:pStyle w:val="TableParagraph"/>
              <w:spacing w:line="367" w:lineRule="auto" w:before="34"/>
              <w:ind w:left="191" w:right="106" w:firstLine="97"/>
              <w:jc w:val="left"/>
              <w:rPr>
                <w:rFonts w:ascii="Times New Roman" w:hAnsi="Times New Roman" w:cs="Times New Roman" w:eastAsia="Times New Roman" w:hint="default"/>
                <w:sz w:val="18"/>
                <w:szCs w:val="18"/>
              </w:rPr>
            </w:pPr>
            <w:r>
              <w:rPr>
                <w:rFonts w:ascii="宋体" w:hAnsi="宋体" w:cs="宋体" w:eastAsia="宋体" w:hint="default"/>
                <w:sz w:val="18"/>
                <w:szCs w:val="18"/>
              </w:rPr>
              <w:t>本公司控股股东亲属控制的企业 本公司控股股东占其出资额的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w w:val="95"/>
                <w:sz w:val="18"/>
              </w:rPr>
              <w:t>66996551-7</w:t>
            </w:r>
            <w:r>
              <w:rPr>
                <w:rFonts w:ascii="Times New Roman"/>
                <w:sz w:val="18"/>
              </w:rPr>
            </w:r>
          </w:p>
        </w:tc>
      </w:tr>
      <w:tr>
        <w:trPr>
          <w:trHeight w:val="355" w:hRule="exact"/>
        </w:trPr>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766" w:right="0"/>
              <w:jc w:val="left"/>
              <w:rPr>
                <w:rFonts w:ascii="宋体" w:hAnsi="宋体" w:cs="宋体" w:eastAsia="宋体" w:hint="default"/>
                <w:sz w:val="18"/>
                <w:szCs w:val="18"/>
              </w:rPr>
            </w:pPr>
            <w:r>
              <w:rPr>
                <w:rFonts w:ascii="宋体" w:hAnsi="宋体" w:cs="宋体" w:eastAsia="宋体" w:hint="default"/>
                <w:sz w:val="18"/>
                <w:szCs w:val="18"/>
              </w:rPr>
              <w:t>杨文江</w:t>
            </w:r>
          </w:p>
        </w:tc>
        <w:tc>
          <w:tcPr>
            <w:tcW w:w="301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83" w:right="0"/>
              <w:jc w:val="center"/>
              <w:rPr>
                <w:rFonts w:ascii="宋体" w:hAnsi="宋体" w:cs="宋体" w:eastAsia="宋体" w:hint="default"/>
                <w:sz w:val="18"/>
                <w:szCs w:val="18"/>
              </w:rPr>
            </w:pPr>
            <w:r>
              <w:rPr>
                <w:rFonts w:ascii="宋体" w:hAnsi="宋体" w:cs="宋体" w:eastAsia="宋体" w:hint="default"/>
                <w:sz w:val="18"/>
                <w:szCs w:val="18"/>
              </w:rPr>
              <w:t>公司控股股东及关键管理人员</w:t>
            </w:r>
          </w:p>
        </w:tc>
        <w:tc>
          <w:tcPr>
            <w:tcW w:w="1297" w:type="dxa"/>
            <w:tcBorders>
              <w:top w:val="nil" w:sz="6" w:space="0" w:color="auto"/>
              <w:left w:val="nil" w:sz="6" w:space="0" w:color="auto"/>
              <w:bottom w:val="nil" w:sz="6" w:space="0" w:color="auto"/>
              <w:right w:val="nil" w:sz="6" w:space="0" w:color="auto"/>
            </w:tcBorders>
          </w:tcPr>
          <w:p>
            <w:pPr/>
          </w:p>
        </w:tc>
      </w:tr>
      <w:tr>
        <w:trPr>
          <w:trHeight w:val="360" w:hRule="exact"/>
        </w:trPr>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34"/>
              <w:ind w:left="766" w:right="0"/>
              <w:jc w:val="left"/>
              <w:rPr>
                <w:rFonts w:ascii="宋体" w:hAnsi="宋体" w:cs="宋体" w:eastAsia="宋体" w:hint="default"/>
                <w:sz w:val="18"/>
                <w:szCs w:val="18"/>
              </w:rPr>
            </w:pPr>
            <w:r>
              <w:rPr>
                <w:rFonts w:ascii="宋体" w:hAnsi="宋体" w:cs="宋体" w:eastAsia="宋体" w:hint="default"/>
                <w:sz w:val="18"/>
                <w:szCs w:val="18"/>
              </w:rPr>
              <w:t>吴宁</w:t>
            </w:r>
          </w:p>
        </w:tc>
        <w:tc>
          <w:tcPr>
            <w:tcW w:w="301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83" w:right="0"/>
              <w:jc w:val="center"/>
              <w:rPr>
                <w:rFonts w:ascii="宋体" w:hAnsi="宋体" w:cs="宋体" w:eastAsia="宋体" w:hint="default"/>
                <w:sz w:val="18"/>
                <w:szCs w:val="18"/>
              </w:rPr>
            </w:pPr>
            <w:r>
              <w:rPr>
                <w:rFonts w:ascii="宋体" w:hAnsi="宋体" w:cs="宋体" w:eastAsia="宋体" w:hint="default"/>
                <w:sz w:val="18"/>
                <w:szCs w:val="18"/>
              </w:rPr>
              <w:t>公司股东及关键管理人员</w:t>
            </w:r>
          </w:p>
        </w:tc>
        <w:tc>
          <w:tcPr>
            <w:tcW w:w="1297" w:type="dxa"/>
            <w:tcBorders>
              <w:top w:val="nil" w:sz="6" w:space="0" w:color="auto"/>
              <w:left w:val="nil" w:sz="6" w:space="0" w:color="auto"/>
              <w:bottom w:val="nil" w:sz="6" w:space="0" w:color="auto"/>
              <w:right w:val="nil" w:sz="6" w:space="0" w:color="auto"/>
            </w:tcBorders>
          </w:tcPr>
          <w:p>
            <w:pPr/>
          </w:p>
        </w:tc>
      </w:tr>
      <w:tr>
        <w:trPr>
          <w:trHeight w:val="360" w:hRule="exact"/>
        </w:trPr>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34"/>
              <w:ind w:left="766" w:right="0"/>
              <w:jc w:val="left"/>
              <w:rPr>
                <w:rFonts w:ascii="宋体" w:hAnsi="宋体" w:cs="宋体" w:eastAsia="宋体" w:hint="default"/>
                <w:sz w:val="18"/>
                <w:szCs w:val="18"/>
              </w:rPr>
            </w:pPr>
            <w:r>
              <w:rPr>
                <w:rFonts w:ascii="宋体" w:hAnsi="宋体" w:cs="宋体" w:eastAsia="宋体" w:hint="default"/>
                <w:sz w:val="18"/>
                <w:szCs w:val="18"/>
              </w:rPr>
              <w:t>王志杰</w:t>
            </w:r>
          </w:p>
        </w:tc>
        <w:tc>
          <w:tcPr>
            <w:tcW w:w="301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83" w:right="0"/>
              <w:jc w:val="center"/>
              <w:rPr>
                <w:rFonts w:ascii="宋体" w:hAnsi="宋体" w:cs="宋体" w:eastAsia="宋体" w:hint="default"/>
                <w:sz w:val="18"/>
                <w:szCs w:val="18"/>
              </w:rPr>
            </w:pPr>
            <w:r>
              <w:rPr>
                <w:rFonts w:ascii="宋体" w:hAnsi="宋体" w:cs="宋体" w:eastAsia="宋体" w:hint="default"/>
                <w:sz w:val="18"/>
                <w:szCs w:val="18"/>
              </w:rPr>
              <w:t>关键管理人员</w:t>
            </w:r>
          </w:p>
        </w:tc>
        <w:tc>
          <w:tcPr>
            <w:tcW w:w="1297" w:type="dxa"/>
            <w:tcBorders>
              <w:top w:val="nil" w:sz="6" w:space="0" w:color="auto"/>
              <w:left w:val="nil" w:sz="6" w:space="0" w:color="auto"/>
              <w:bottom w:val="nil" w:sz="6" w:space="0" w:color="auto"/>
              <w:right w:val="nil" w:sz="6" w:space="0" w:color="auto"/>
            </w:tcBorders>
          </w:tcPr>
          <w:p>
            <w:pPr/>
          </w:p>
        </w:tc>
      </w:tr>
      <w:tr>
        <w:trPr>
          <w:trHeight w:val="360" w:hRule="exact"/>
        </w:trPr>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34"/>
              <w:ind w:left="766" w:right="0"/>
              <w:jc w:val="left"/>
              <w:rPr>
                <w:rFonts w:ascii="宋体" w:hAnsi="宋体" w:cs="宋体" w:eastAsia="宋体" w:hint="default"/>
                <w:sz w:val="18"/>
                <w:szCs w:val="18"/>
              </w:rPr>
            </w:pPr>
            <w:r>
              <w:rPr>
                <w:rFonts w:ascii="宋体" w:hAnsi="宋体" w:cs="宋体" w:eastAsia="宋体" w:hint="default"/>
                <w:sz w:val="18"/>
                <w:szCs w:val="18"/>
              </w:rPr>
              <w:t>谭骅</w:t>
            </w:r>
          </w:p>
        </w:tc>
        <w:tc>
          <w:tcPr>
            <w:tcW w:w="301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83" w:right="0"/>
              <w:jc w:val="center"/>
              <w:rPr>
                <w:rFonts w:ascii="宋体" w:hAnsi="宋体" w:cs="宋体" w:eastAsia="宋体" w:hint="default"/>
                <w:sz w:val="18"/>
                <w:szCs w:val="18"/>
              </w:rPr>
            </w:pPr>
            <w:r>
              <w:rPr>
                <w:rFonts w:ascii="宋体" w:hAnsi="宋体" w:cs="宋体" w:eastAsia="宋体" w:hint="default"/>
                <w:sz w:val="18"/>
                <w:szCs w:val="18"/>
              </w:rPr>
              <w:t>关键管理人员</w:t>
            </w:r>
          </w:p>
        </w:tc>
        <w:tc>
          <w:tcPr>
            <w:tcW w:w="1297" w:type="dxa"/>
            <w:tcBorders>
              <w:top w:val="nil" w:sz="6" w:space="0" w:color="auto"/>
              <w:left w:val="nil" w:sz="6" w:space="0" w:color="auto"/>
              <w:bottom w:val="nil" w:sz="6" w:space="0" w:color="auto"/>
              <w:right w:val="nil" w:sz="6" w:space="0" w:color="auto"/>
            </w:tcBorders>
          </w:tcPr>
          <w:p>
            <w:pPr/>
          </w:p>
        </w:tc>
      </w:tr>
      <w:tr>
        <w:trPr>
          <w:trHeight w:val="360" w:hRule="exact"/>
        </w:trPr>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34"/>
              <w:ind w:left="766" w:right="0"/>
              <w:jc w:val="left"/>
              <w:rPr>
                <w:rFonts w:ascii="宋体" w:hAnsi="宋体" w:cs="宋体" w:eastAsia="宋体" w:hint="default"/>
                <w:sz w:val="18"/>
                <w:szCs w:val="18"/>
              </w:rPr>
            </w:pPr>
            <w:r>
              <w:rPr>
                <w:rFonts w:ascii="宋体" w:hAnsi="宋体" w:cs="宋体" w:eastAsia="宋体" w:hint="default"/>
                <w:sz w:val="18"/>
                <w:szCs w:val="18"/>
              </w:rPr>
              <w:t>梁晓芹</w:t>
            </w:r>
          </w:p>
        </w:tc>
        <w:tc>
          <w:tcPr>
            <w:tcW w:w="301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83" w:right="0"/>
              <w:jc w:val="center"/>
              <w:rPr>
                <w:rFonts w:ascii="宋体" w:hAnsi="宋体" w:cs="宋体" w:eastAsia="宋体" w:hint="default"/>
                <w:sz w:val="18"/>
                <w:szCs w:val="18"/>
              </w:rPr>
            </w:pPr>
            <w:r>
              <w:rPr>
                <w:rFonts w:ascii="宋体" w:hAnsi="宋体" w:cs="宋体" w:eastAsia="宋体" w:hint="default"/>
                <w:sz w:val="18"/>
                <w:szCs w:val="18"/>
              </w:rPr>
              <w:t>关键管理人员</w:t>
            </w:r>
          </w:p>
        </w:tc>
        <w:tc>
          <w:tcPr>
            <w:tcW w:w="1297" w:type="dxa"/>
            <w:tcBorders>
              <w:top w:val="nil" w:sz="6" w:space="0" w:color="auto"/>
              <w:left w:val="nil" w:sz="6" w:space="0" w:color="auto"/>
              <w:bottom w:val="nil" w:sz="6" w:space="0" w:color="auto"/>
              <w:right w:val="nil" w:sz="6" w:space="0" w:color="auto"/>
            </w:tcBorders>
          </w:tcPr>
          <w:p>
            <w:pPr/>
          </w:p>
        </w:tc>
      </w:tr>
      <w:tr>
        <w:trPr>
          <w:trHeight w:val="360" w:hRule="exact"/>
        </w:trPr>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34"/>
              <w:ind w:left="766" w:right="0"/>
              <w:jc w:val="left"/>
              <w:rPr>
                <w:rFonts w:ascii="宋体" w:hAnsi="宋体" w:cs="宋体" w:eastAsia="宋体" w:hint="default"/>
                <w:sz w:val="18"/>
                <w:szCs w:val="18"/>
              </w:rPr>
            </w:pPr>
            <w:r>
              <w:rPr>
                <w:rFonts w:ascii="宋体" w:hAnsi="宋体" w:cs="宋体" w:eastAsia="宋体" w:hint="default"/>
                <w:sz w:val="18"/>
                <w:szCs w:val="18"/>
              </w:rPr>
              <w:t>高永坚</w:t>
            </w:r>
          </w:p>
        </w:tc>
        <w:tc>
          <w:tcPr>
            <w:tcW w:w="301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83" w:right="0"/>
              <w:jc w:val="center"/>
              <w:rPr>
                <w:rFonts w:ascii="宋体" w:hAnsi="宋体" w:cs="宋体" w:eastAsia="宋体" w:hint="default"/>
                <w:sz w:val="18"/>
                <w:szCs w:val="18"/>
              </w:rPr>
            </w:pPr>
            <w:r>
              <w:rPr>
                <w:rFonts w:ascii="宋体" w:hAnsi="宋体" w:cs="宋体" w:eastAsia="宋体" w:hint="default"/>
                <w:sz w:val="18"/>
                <w:szCs w:val="18"/>
              </w:rPr>
              <w:t>关键管理人员</w:t>
            </w:r>
          </w:p>
        </w:tc>
        <w:tc>
          <w:tcPr>
            <w:tcW w:w="1297" w:type="dxa"/>
            <w:tcBorders>
              <w:top w:val="nil" w:sz="6" w:space="0" w:color="auto"/>
              <w:left w:val="nil" w:sz="6" w:space="0" w:color="auto"/>
              <w:bottom w:val="nil" w:sz="6" w:space="0" w:color="auto"/>
              <w:right w:val="nil" w:sz="6" w:space="0" w:color="auto"/>
            </w:tcBorders>
          </w:tcPr>
          <w:p>
            <w:pPr/>
          </w:p>
        </w:tc>
      </w:tr>
      <w:tr>
        <w:trPr>
          <w:trHeight w:val="360" w:hRule="exact"/>
        </w:trPr>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34"/>
              <w:ind w:left="766" w:right="0"/>
              <w:jc w:val="left"/>
              <w:rPr>
                <w:rFonts w:ascii="宋体" w:hAnsi="宋体" w:cs="宋体" w:eastAsia="宋体" w:hint="default"/>
                <w:sz w:val="18"/>
                <w:szCs w:val="18"/>
              </w:rPr>
            </w:pPr>
            <w:r>
              <w:rPr>
                <w:rFonts w:ascii="宋体" w:hAnsi="宋体" w:cs="宋体" w:eastAsia="宋体" w:hint="default"/>
                <w:sz w:val="18"/>
                <w:szCs w:val="18"/>
              </w:rPr>
              <w:t>庞泰松</w:t>
            </w:r>
          </w:p>
        </w:tc>
        <w:tc>
          <w:tcPr>
            <w:tcW w:w="301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83" w:right="0"/>
              <w:jc w:val="center"/>
              <w:rPr>
                <w:rFonts w:ascii="宋体" w:hAnsi="宋体" w:cs="宋体" w:eastAsia="宋体" w:hint="default"/>
                <w:sz w:val="18"/>
                <w:szCs w:val="18"/>
              </w:rPr>
            </w:pPr>
            <w:r>
              <w:rPr>
                <w:rFonts w:ascii="宋体" w:hAnsi="宋体" w:cs="宋体" w:eastAsia="宋体" w:hint="default"/>
                <w:sz w:val="18"/>
                <w:szCs w:val="18"/>
              </w:rPr>
              <w:t>关键管理人员</w:t>
            </w:r>
          </w:p>
        </w:tc>
        <w:tc>
          <w:tcPr>
            <w:tcW w:w="1297" w:type="dxa"/>
            <w:tcBorders>
              <w:top w:val="nil" w:sz="6" w:space="0" w:color="auto"/>
              <w:left w:val="nil" w:sz="6" w:space="0" w:color="auto"/>
              <w:bottom w:val="nil" w:sz="6" w:space="0" w:color="auto"/>
              <w:right w:val="nil" w:sz="6" w:space="0" w:color="auto"/>
            </w:tcBorders>
          </w:tcPr>
          <w:p>
            <w:pPr/>
          </w:p>
        </w:tc>
      </w:tr>
      <w:tr>
        <w:trPr>
          <w:trHeight w:val="360" w:hRule="exact"/>
        </w:trPr>
        <w:tc>
          <w:tcPr>
            <w:tcW w:w="3659" w:type="dxa"/>
            <w:tcBorders>
              <w:top w:val="nil" w:sz="6" w:space="0" w:color="auto"/>
              <w:left w:val="nil" w:sz="6" w:space="0" w:color="auto"/>
              <w:bottom w:val="nil" w:sz="6" w:space="0" w:color="auto"/>
              <w:right w:val="nil" w:sz="6" w:space="0" w:color="auto"/>
            </w:tcBorders>
          </w:tcPr>
          <w:p>
            <w:pPr>
              <w:pStyle w:val="TableParagraph"/>
              <w:spacing w:line="240" w:lineRule="auto" w:before="34"/>
              <w:ind w:left="766" w:right="0"/>
              <w:jc w:val="left"/>
              <w:rPr>
                <w:rFonts w:ascii="宋体" w:hAnsi="宋体" w:cs="宋体" w:eastAsia="宋体" w:hint="default"/>
                <w:sz w:val="18"/>
                <w:szCs w:val="18"/>
              </w:rPr>
            </w:pPr>
            <w:r>
              <w:rPr>
                <w:rFonts w:ascii="宋体" w:hAnsi="宋体" w:cs="宋体" w:eastAsia="宋体" w:hint="default"/>
                <w:sz w:val="18"/>
                <w:szCs w:val="18"/>
              </w:rPr>
              <w:t>徐德银</w:t>
            </w:r>
          </w:p>
        </w:tc>
        <w:tc>
          <w:tcPr>
            <w:tcW w:w="301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83" w:right="0"/>
              <w:jc w:val="center"/>
              <w:rPr>
                <w:rFonts w:ascii="宋体" w:hAnsi="宋体" w:cs="宋体" w:eastAsia="宋体" w:hint="default"/>
                <w:sz w:val="18"/>
                <w:szCs w:val="18"/>
              </w:rPr>
            </w:pPr>
            <w:r>
              <w:rPr>
                <w:rFonts w:ascii="宋体" w:hAnsi="宋体" w:cs="宋体" w:eastAsia="宋体" w:hint="default"/>
                <w:sz w:val="18"/>
                <w:szCs w:val="18"/>
              </w:rPr>
              <w:t>关键管理人员</w:t>
            </w:r>
          </w:p>
        </w:tc>
        <w:tc>
          <w:tcPr>
            <w:tcW w:w="1297" w:type="dxa"/>
            <w:tcBorders>
              <w:top w:val="nil" w:sz="6" w:space="0" w:color="auto"/>
              <w:left w:val="nil" w:sz="6" w:space="0" w:color="auto"/>
              <w:bottom w:val="nil" w:sz="6" w:space="0" w:color="auto"/>
              <w:right w:val="nil" w:sz="6" w:space="0" w:color="auto"/>
            </w:tcBorders>
          </w:tcPr>
          <w:p>
            <w:pPr/>
          </w:p>
        </w:tc>
      </w:tr>
      <w:tr>
        <w:trPr>
          <w:trHeight w:val="312" w:hRule="exact"/>
        </w:trPr>
        <w:tc>
          <w:tcPr>
            <w:tcW w:w="3659"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left="766" w:right="0"/>
              <w:jc w:val="left"/>
              <w:rPr>
                <w:rFonts w:ascii="宋体" w:hAnsi="宋体" w:cs="宋体" w:eastAsia="宋体" w:hint="default"/>
                <w:sz w:val="18"/>
                <w:szCs w:val="18"/>
              </w:rPr>
            </w:pPr>
            <w:r>
              <w:rPr>
                <w:rFonts w:ascii="宋体" w:hAnsi="宋体" w:cs="宋体" w:eastAsia="宋体" w:hint="default"/>
                <w:sz w:val="18"/>
                <w:szCs w:val="18"/>
              </w:rPr>
              <w:t>张成虎</w:t>
            </w:r>
          </w:p>
        </w:tc>
        <w:tc>
          <w:tcPr>
            <w:tcW w:w="3015"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left="83" w:right="0"/>
              <w:jc w:val="center"/>
              <w:rPr>
                <w:rFonts w:ascii="宋体" w:hAnsi="宋体" w:cs="宋体" w:eastAsia="宋体" w:hint="default"/>
                <w:sz w:val="18"/>
                <w:szCs w:val="18"/>
              </w:rPr>
            </w:pPr>
            <w:r>
              <w:rPr>
                <w:rFonts w:ascii="宋体" w:hAnsi="宋体" w:cs="宋体" w:eastAsia="宋体" w:hint="default"/>
                <w:sz w:val="18"/>
                <w:szCs w:val="18"/>
              </w:rPr>
              <w:t>关键管理人员</w:t>
            </w:r>
          </w:p>
        </w:tc>
        <w:tc>
          <w:tcPr>
            <w:tcW w:w="1297" w:type="dxa"/>
            <w:tcBorders>
              <w:top w:val="nil" w:sz="6" w:space="0" w:color="auto"/>
              <w:left w:val="nil" w:sz="6" w:space="0" w:color="auto"/>
              <w:bottom w:val="single" w:sz="12" w:space="0" w:color="000000"/>
              <w:right w:val="nil" w:sz="6" w:space="0" w:color="auto"/>
            </w:tcBorders>
          </w:tcPr>
          <w:p>
            <w:pPr/>
          </w:p>
        </w:tc>
      </w:tr>
    </w:tbl>
    <w:p>
      <w:pPr>
        <w:spacing w:line="240" w:lineRule="auto" w:before="3"/>
        <w:rPr>
          <w:rFonts w:ascii="宋体" w:hAnsi="宋体" w:cs="宋体" w:eastAsia="宋体" w:hint="default"/>
          <w:sz w:val="26"/>
          <w:szCs w:val="26"/>
        </w:rPr>
      </w:pPr>
    </w:p>
    <w:p>
      <w:pPr>
        <w:tabs>
          <w:tab w:pos="1175" w:val="left" w:leader="none"/>
        </w:tabs>
        <w:spacing w:before="35"/>
        <w:ind w:left="405" w:right="1281" w:firstLine="0"/>
        <w:jc w:val="left"/>
        <w:rPr>
          <w:rFonts w:ascii="宋体" w:hAnsi="宋体" w:cs="宋体" w:eastAsia="宋体" w:hint="default"/>
          <w:sz w:val="21"/>
          <w:szCs w:val="21"/>
        </w:rPr>
      </w:pPr>
      <w:r>
        <w:rPr/>
        <w:pict>
          <v:group style="position:absolute;margin-left:119.040001pt;margin-top:-236.306168pt;width:368.7pt;height:216.9pt;mso-position-horizontal-relative:page;mso-position-vertical-relative:paragraph;z-index:-805624" coordorigin="2381,-4726" coordsize="7374,4338">
            <v:shape style="position:absolute;left:5460;top:-4726;width:2999;height:407" type="#_x0000_t75" stroked="false">
              <v:imagedata r:id="rId306" o:title=""/>
            </v:shape>
            <v:shape style="position:absolute;left:2381;top:-4377;width:7374;height:3989" type="#_x0000_t75" stroked="false">
              <v:imagedata r:id="rId307" o:title=""/>
            </v:shape>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五</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关联交易情况</w:t>
      </w:r>
      <w:r>
        <w:rPr>
          <w:rFonts w:ascii="宋体" w:hAnsi="宋体" w:cs="宋体" w:eastAsia="宋体" w:hint="default"/>
          <w:sz w:val="21"/>
          <w:szCs w:val="21"/>
        </w:rPr>
      </w:r>
    </w:p>
    <w:p>
      <w:pPr>
        <w:tabs>
          <w:tab w:pos="1676" w:val="left" w:leader="none"/>
        </w:tabs>
        <w:spacing w:line="288" w:lineRule="auto" w:before="59"/>
        <w:ind w:left="1676" w:right="1281" w:hanging="539"/>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2"/>
          <w:w w:val="95"/>
          <w:sz w:val="21"/>
          <w:szCs w:val="21"/>
        </w:rPr>
        <w:t>存在控制关系且已纳入本公司合并报表范围的子公司，其相互间交易及</w:t>
      </w:r>
      <w:r>
        <w:rPr>
          <w:rFonts w:ascii="宋体" w:hAnsi="宋体" w:cs="宋体" w:eastAsia="宋体" w:hint="default"/>
          <w:b/>
          <w:bCs/>
          <w:spacing w:val="98"/>
          <w:w w:val="95"/>
          <w:sz w:val="21"/>
          <w:szCs w:val="21"/>
        </w:rPr>
        <w:t> </w:t>
      </w:r>
      <w:r>
        <w:rPr>
          <w:rFonts w:ascii="宋体" w:hAnsi="宋体" w:cs="宋体" w:eastAsia="宋体" w:hint="default"/>
          <w:b/>
          <w:bCs/>
          <w:spacing w:val="98"/>
          <w:w w:val="95"/>
          <w:sz w:val="21"/>
          <w:szCs w:val="21"/>
        </w:rPr>
      </w:r>
      <w:r>
        <w:rPr>
          <w:rFonts w:ascii="宋体" w:hAnsi="宋体" w:cs="宋体" w:eastAsia="宋体" w:hint="default"/>
          <w:b/>
          <w:bCs/>
          <w:sz w:val="21"/>
          <w:szCs w:val="21"/>
        </w:rPr>
        <w:t>母子公司交易已作抵销。</w:t>
      </w:r>
      <w:r>
        <w:rPr>
          <w:rFonts w:ascii="宋体" w:hAnsi="宋体" w:cs="宋体" w:eastAsia="宋体" w:hint="default"/>
          <w:sz w:val="21"/>
          <w:szCs w:val="21"/>
        </w:rPr>
      </w:r>
    </w:p>
    <w:p>
      <w:pPr>
        <w:spacing w:line="240" w:lineRule="auto" w:before="5"/>
        <w:rPr>
          <w:rFonts w:ascii="宋体" w:hAnsi="宋体" w:cs="宋体" w:eastAsia="宋体" w:hint="default"/>
          <w:b/>
          <w:bCs/>
          <w:sz w:val="29"/>
          <w:szCs w:val="29"/>
        </w:rPr>
      </w:pPr>
    </w:p>
    <w:p>
      <w:pPr>
        <w:tabs>
          <w:tab w:pos="1677" w:val="left" w:leader="none"/>
        </w:tabs>
        <w:spacing w:before="0"/>
        <w:ind w:left="1137" w:right="128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采购商品</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接受劳务情况</w:t>
      </w:r>
      <w:r>
        <w:rPr>
          <w:rFonts w:ascii="宋体" w:hAnsi="宋体" w:cs="宋体" w:eastAsia="宋体" w:hint="default"/>
          <w:sz w:val="21"/>
          <w:szCs w:val="21"/>
        </w:rPr>
      </w:r>
    </w:p>
    <w:p>
      <w:pPr>
        <w:spacing w:line="1987" w:lineRule="exact"/>
        <w:ind w:left="958"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24.25pt;height:99.4pt;mso-position-horizontal-relative:char;mso-position-vertical-relative:line" coordorigin="0,0" coordsize="8485,1988">
            <v:group style="position:absolute;left:29;top:15;width:8422;height:2" coordorigin="29,15" coordsize="8422,2">
              <v:shape style="position:absolute;left:29;top:15;width:8422;height:2" coordorigin="29,15" coordsize="8422,0" path="m29,15l8451,15e" filled="false" stroked="true" strokeweight="1.5pt" strokecolor="#000000">
                <v:path arrowok="t"/>
              </v:shape>
              <v:shape style="position:absolute;left:1556;top:1;width:4656;height:408" type="#_x0000_t75" stroked="false">
                <v:imagedata r:id="rId308" o:title=""/>
              </v:shape>
            </v:group>
            <v:group style="position:absolute;left:15;top:1972;width:1570;height:2" coordorigin="15,1972" coordsize="1570,2">
              <v:shape style="position:absolute;left:15;top:1972;width:1570;height:2" coordorigin="15,1972" coordsize="1570,0" path="m15,1972l1585,1972e" filled="false" stroked="true" strokeweight="1.5pt" strokecolor="#000000">
                <v:path arrowok="t"/>
              </v:shape>
              <v:shape style="position:absolute;left:10;top:352;width:8474;height:1625" type="#_x0000_t75" stroked="false">
                <v:imagedata r:id="rId309" o:title=""/>
              </v:shape>
            </v:group>
            <v:group style="position:absolute;left:1585;top:1972;width:1080;height:2" coordorigin="1585,1972" coordsize="1080,2">
              <v:shape style="position:absolute;left:1585;top:1972;width:1080;height:2" coordorigin="1585,1972" coordsize="1080,0" path="m1585,1972l2665,1972e" filled="false" stroked="true" strokeweight="1.5pt" strokecolor="#000000">
                <v:path arrowok="t"/>
              </v:shape>
              <v:shape style="position:absolute;left:2645;top:1081;width:48;height:895" type="#_x0000_t75" stroked="false">
                <v:imagedata r:id="rId310" o:title=""/>
              </v:shape>
            </v:group>
            <v:group style="position:absolute;left:2665;top:1972;width:1182;height:2" coordorigin="2665,1972" coordsize="1182,2">
              <v:shape style="position:absolute;left:2665;top:1972;width:1182;height:2" coordorigin="2665,1972" coordsize="1182,0" path="m2665,1972l3847,1972e" filled="false" stroked="true" strokeweight="1.5pt" strokecolor="#000000">
                <v:path arrowok="t"/>
              </v:shape>
              <v:shape style="position:absolute;left:3827;top:1081;width:48;height:895" type="#_x0000_t75" stroked="false">
                <v:imagedata r:id="rId311" o:title=""/>
              </v:shape>
            </v:group>
            <v:group style="position:absolute;left:3847;top:1972;width:1281;height:2" coordorigin="3847,1972" coordsize="1281,2">
              <v:shape style="position:absolute;left:3847;top:1972;width:1281;height:2" coordorigin="3847,1972" coordsize="1281,0" path="m3847,1972l5127,1972e" filled="false" stroked="true" strokeweight="1.5pt" strokecolor="#000000">
                <v:path arrowok="t"/>
              </v:shape>
              <v:shape style="position:absolute;left:5108;top:1081;width:48;height:895" type="#_x0000_t75" stroked="false">
                <v:imagedata r:id="rId311" o:title=""/>
              </v:shape>
            </v:group>
            <v:group style="position:absolute;left:5127;top:1972;width:1047;height:2" coordorigin="5127,1972" coordsize="1047,2">
              <v:shape style="position:absolute;left:5127;top:1972;width:1047;height:2" coordorigin="5127,1972" coordsize="1047,0" path="m5127,1972l6173,1972e" filled="false" stroked="true" strokeweight="1.5pt" strokecolor="#000000">
                <v:path arrowok="t"/>
              </v:shape>
              <v:shape style="position:absolute;left:6154;top:1081;width:48;height:895" type="#_x0000_t75" stroked="false">
                <v:imagedata r:id="rId310" o:title=""/>
              </v:shape>
            </v:group>
            <v:group style="position:absolute;left:6173;top:1972;width:1160;height:2" coordorigin="6173,1972" coordsize="1160,2">
              <v:shape style="position:absolute;left:6173;top:1972;width:1160;height:2" coordorigin="6173,1972" coordsize="1160,0" path="m6173,1972l7333,1972e" filled="false" stroked="true" strokeweight="1.5pt" strokecolor="#000000">
                <v:path arrowok="t"/>
              </v:shape>
              <v:shape style="position:absolute;left:7304;top:1072;width:67;height:902" type="#_x0000_t75" stroked="false">
                <v:imagedata r:id="rId312" o:title=""/>
              </v:shape>
            </v:group>
            <v:group style="position:absolute;left:7333;top:1972;width:1119;height:2" coordorigin="7333,1972" coordsize="1119,2">
              <v:shape style="position:absolute;left:7333;top:1972;width:1119;height:2" coordorigin="7333,1972" coordsize="1119,0" path="m7333,1972l8451,1972e" filled="false" stroked="true" strokeweight="1.5pt" strokecolor="#000000">
                <v:path arrowok="t"/>
              </v:shape>
              <v:shape style="position:absolute;left:539;top:52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w:t>
                      </w:r>
                    </w:p>
                  </w:txbxContent>
                </v:textbox>
                <w10:wrap type="none"/>
              </v:shape>
              <v:shape style="position:absolute;left:1769;top:352;width:720;height:531"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关联交易</w:t>
                      </w:r>
                    </w:p>
                    <w:p>
                      <w:pPr>
                        <w:spacing w:before="115"/>
                        <w:ind w:left="0" w:right="0" w:firstLine="0"/>
                        <w:jc w:val="center"/>
                        <w:rPr>
                          <w:rFonts w:ascii="宋体" w:hAnsi="宋体" w:cs="宋体" w:eastAsia="宋体" w:hint="default"/>
                          <w:sz w:val="18"/>
                          <w:szCs w:val="18"/>
                        </w:rPr>
                      </w:pPr>
                      <w:r>
                        <w:rPr>
                          <w:rFonts w:ascii="宋体" w:hAnsi="宋体" w:cs="宋体" w:eastAsia="宋体" w:hint="default"/>
                          <w:sz w:val="18"/>
                          <w:szCs w:val="18"/>
                        </w:rPr>
                        <w:t>内容</w:t>
                      </w:r>
                    </w:p>
                  </w:txbxContent>
                </v:textbox>
                <w10:wrap type="none"/>
              </v:shape>
              <v:shape style="position:absolute;left:2810;top:178;width:900;height:8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关联交易定</w:t>
                      </w:r>
                    </w:p>
                    <w:p>
                      <w:pPr>
                        <w:spacing w:line="350" w:lineRule="exact" w:before="44"/>
                        <w:ind w:left="180" w:right="0" w:hanging="180"/>
                        <w:jc w:val="left"/>
                        <w:rPr>
                          <w:rFonts w:ascii="宋体" w:hAnsi="宋体" w:cs="宋体" w:eastAsia="宋体" w:hint="default"/>
                          <w:sz w:val="18"/>
                          <w:szCs w:val="18"/>
                        </w:rPr>
                      </w:pPr>
                      <w:r>
                        <w:rPr>
                          <w:rFonts w:ascii="宋体" w:hAnsi="宋体" w:cs="宋体" w:eastAsia="宋体" w:hint="default"/>
                          <w:sz w:val="18"/>
                          <w:szCs w:val="18"/>
                        </w:rPr>
                        <w:t>价方式及决 策程序</w:t>
                      </w:r>
                    </w:p>
                  </w:txbxContent>
                </v:textbox>
                <w10:wrap type="none"/>
              </v:shape>
              <v:shape style="position:absolute;left:4653;top:172;width:1362;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24"/>
                        <w:ind w:left="642" w:right="0" w:firstLine="0"/>
                        <w:jc w:val="left"/>
                        <w:rPr>
                          <w:rFonts w:ascii="宋体" w:hAnsi="宋体" w:cs="宋体" w:eastAsia="宋体" w:hint="default"/>
                          <w:sz w:val="18"/>
                          <w:szCs w:val="18"/>
                        </w:rPr>
                      </w:pPr>
                      <w:r>
                        <w:rPr>
                          <w:rFonts w:ascii="宋体" w:hAnsi="宋体" w:cs="宋体" w:eastAsia="宋体" w:hint="default"/>
                          <w:sz w:val="18"/>
                          <w:szCs w:val="18"/>
                        </w:rPr>
                        <w:t>占同类交</w:t>
                      </w:r>
                    </w:p>
                  </w:txbxContent>
                </v:textbox>
                <w10:wrap type="none"/>
              </v:shape>
              <v:shape style="position:absolute;left:4311;top:70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6578;top:70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5249;top:882;width:81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易比例</w:t>
                      </w:r>
                      <w:r>
                        <w:rPr>
                          <w:rFonts w:ascii="Times New Roman" w:hAnsi="Times New Roman" w:cs="Times New Roman" w:eastAsia="Times New Roman" w:hint="default"/>
                          <w:sz w:val="18"/>
                          <w:szCs w:val="18"/>
                        </w:rPr>
                        <w:t>(%)</w:t>
                      </w:r>
                    </w:p>
                  </w:txbxContent>
                </v:textbox>
                <w10:wrap type="none"/>
              </v:shape>
              <v:shape style="position:absolute;left:6955;top:172;width:1343;height:90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line="350" w:lineRule="exact" w:before="54"/>
                        <w:ind w:left="532" w:right="0" w:firstLine="45"/>
                        <w:jc w:val="left"/>
                        <w:rPr>
                          <w:rFonts w:ascii="Times New Roman" w:hAnsi="Times New Roman" w:cs="Times New Roman" w:eastAsia="Times New Roman" w:hint="default"/>
                          <w:sz w:val="18"/>
                          <w:szCs w:val="18"/>
                        </w:rPr>
                      </w:pPr>
                      <w:r>
                        <w:rPr>
                          <w:rFonts w:ascii="宋体" w:hAnsi="宋体" w:cs="宋体" w:eastAsia="宋体" w:hint="default"/>
                          <w:sz w:val="18"/>
                          <w:szCs w:val="18"/>
                        </w:rPr>
                        <w:t>占同类交 易比例</w:t>
                      </w:r>
                      <w:r>
                        <w:rPr>
                          <w:rFonts w:ascii="Times New Roman" w:hAnsi="Times New Roman" w:cs="Times New Roman" w:eastAsia="Times New Roman" w:hint="default"/>
                          <w:sz w:val="18"/>
                          <w:szCs w:val="18"/>
                        </w:rPr>
                        <w:t>(%)</w:t>
                      </w:r>
                    </w:p>
                  </w:txbxContent>
                </v:textbox>
                <w10:wrap type="none"/>
              </v:shape>
              <v:shape style="position:absolute;left:137;top:1320;width:1344;height:53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1"/>
                          <w:sz w:val="18"/>
                          <w:szCs w:val="18"/>
                        </w:rPr>
                        <w:t>广州基准机械电</w:t>
                      </w:r>
                    </w:p>
                    <w:p>
                      <w:pPr>
                        <w:spacing w:before="115"/>
                        <w:ind w:left="0" w:right="0" w:firstLine="0"/>
                        <w:jc w:val="left"/>
                        <w:rPr>
                          <w:rFonts w:ascii="宋体" w:hAnsi="宋体" w:cs="宋体" w:eastAsia="宋体" w:hint="default"/>
                          <w:sz w:val="18"/>
                          <w:szCs w:val="18"/>
                        </w:rPr>
                      </w:pPr>
                      <w:r>
                        <w:rPr>
                          <w:rFonts w:ascii="宋体" w:hAnsi="宋体" w:cs="宋体" w:eastAsia="宋体" w:hint="default"/>
                          <w:sz w:val="18"/>
                          <w:szCs w:val="18"/>
                        </w:rPr>
                        <w:t>子科技有限公司</w:t>
                      </w:r>
                    </w:p>
                  </w:txbxContent>
                </v:textbox>
                <w10:wrap type="none"/>
              </v:shape>
              <v:shape style="position:absolute;left:1697;top:1282;width:913;height:647" type="#_x0000_t202" filled="false" stroked="false">
                <v:textbox inset="0,0,0,0">
                  <w:txbxContent>
                    <w:p>
                      <w:pPr>
                        <w:spacing w:line="186"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ATM </w:t>
                      </w:r>
                      <w:r>
                        <w:rPr>
                          <w:rFonts w:ascii="Times New Roman" w:hAnsi="Times New Roman" w:cs="Times New Roman" w:eastAsia="Times New Roman" w:hint="default"/>
                          <w:spacing w:val="22"/>
                          <w:sz w:val="18"/>
                          <w:szCs w:val="18"/>
                        </w:rPr>
                        <w:t> </w:t>
                      </w:r>
                      <w:r>
                        <w:rPr>
                          <w:rFonts w:ascii="宋体" w:hAnsi="宋体" w:cs="宋体" w:eastAsia="宋体" w:hint="default"/>
                          <w:spacing w:val="8"/>
                          <w:sz w:val="18"/>
                          <w:szCs w:val="18"/>
                        </w:rPr>
                        <w:t>电子</w:t>
                      </w:r>
                      <w:r>
                        <w:rPr>
                          <w:rFonts w:ascii="宋体" w:hAnsi="宋体" w:cs="宋体" w:eastAsia="宋体" w:hint="default"/>
                          <w:spacing w:val="-74"/>
                          <w:sz w:val="18"/>
                          <w:szCs w:val="18"/>
                        </w:rPr>
                        <w:t> </w:t>
                      </w:r>
                      <w:r>
                        <w:rPr>
                          <w:rFonts w:ascii="宋体" w:hAnsi="宋体" w:cs="宋体" w:eastAsia="宋体" w:hint="default"/>
                          <w:sz w:val="18"/>
                          <w:szCs w:val="18"/>
                        </w:rPr>
                      </w:r>
                    </w:p>
                    <w:p>
                      <w:pPr>
                        <w:spacing w:line="232" w:lineRule="exact" w:before="17"/>
                        <w:ind w:left="0" w:right="0" w:firstLine="0"/>
                        <w:jc w:val="left"/>
                        <w:rPr>
                          <w:rFonts w:ascii="宋体" w:hAnsi="宋体" w:cs="宋体" w:eastAsia="宋体" w:hint="default"/>
                          <w:sz w:val="18"/>
                          <w:szCs w:val="18"/>
                        </w:rPr>
                      </w:pPr>
                      <w:r>
                        <w:rPr>
                          <w:rFonts w:ascii="宋体" w:hAnsi="宋体" w:cs="宋体" w:eastAsia="宋体" w:hint="default"/>
                          <w:spacing w:val="36"/>
                          <w:sz w:val="18"/>
                          <w:szCs w:val="18"/>
                        </w:rPr>
                        <w:t>柜加工采</w:t>
                      </w:r>
                      <w:r>
                        <w:rPr>
                          <w:rFonts w:ascii="宋体" w:hAnsi="宋体" w:cs="宋体" w:eastAsia="宋体" w:hint="default"/>
                          <w:spacing w:val="-42"/>
                          <w:sz w:val="18"/>
                          <w:szCs w:val="18"/>
                        </w:rPr>
                        <w:t> </w:t>
                      </w:r>
                      <w:r>
                        <w:rPr>
                          <w:rFonts w:ascii="宋体" w:hAnsi="宋体" w:cs="宋体" w:eastAsia="宋体" w:hint="default"/>
                          <w:sz w:val="18"/>
                          <w:szCs w:val="18"/>
                        </w:rPr>
                        <w:t>购</w:t>
                      </w:r>
                    </w:p>
                  </w:txbxContent>
                </v:textbox>
                <w10:wrap type="none"/>
              </v:shape>
              <v:shape style="position:absolute;left:2777;top:1398;width:984;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依市场公允</w:t>
                      </w:r>
                      <w:r>
                        <w:rPr>
                          <w:rFonts w:ascii="宋体" w:hAnsi="宋体" w:cs="宋体" w:eastAsia="宋体" w:hint="default"/>
                          <w:spacing w:val="-74"/>
                          <w:sz w:val="18"/>
                          <w:szCs w:val="18"/>
                        </w:rPr>
                        <w:t> </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价格定价</w:t>
                      </w:r>
                    </w:p>
                  </w:txbxContent>
                </v:textbox>
                <w10:wrap type="none"/>
              </v:shape>
              <v:shape style="position:absolute;left:3989;top:151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24,752,966.62</w:t>
                      </w:r>
                    </w:p>
                  </w:txbxContent>
                </v:textbox>
                <w10:wrap type="none"/>
              </v:shape>
              <v:shape style="position:absolute;left:5666;top:1515;width:1618;height:188" type="#_x0000_t202" filled="false" stroked="false">
                <v:textbox inset="0,0,0,0">
                  <w:txbxContent>
                    <w:p>
                      <w:pPr>
                        <w:spacing w:line="187" w:lineRule="exact" w:before="0"/>
                        <w:ind w:left="0" w:right="0" w:firstLine="0"/>
                        <w:jc w:val="left"/>
                        <w:rPr>
                          <w:rFonts w:ascii="Times New Roman" w:hAnsi="Times New Roman" w:cs="Times New Roman" w:eastAsia="Times New Roman" w:hint="default"/>
                          <w:sz w:val="18"/>
                          <w:szCs w:val="18"/>
                        </w:rPr>
                      </w:pPr>
                      <w:r>
                        <w:rPr>
                          <w:rFonts w:ascii="Times New Roman"/>
                          <w:position w:val="1"/>
                          <w:sz w:val="18"/>
                        </w:rPr>
                        <w:t>32.15  </w:t>
                      </w:r>
                      <w:r>
                        <w:rPr>
                          <w:rFonts w:ascii="Times New Roman"/>
                          <w:spacing w:val="39"/>
                          <w:position w:val="1"/>
                          <w:sz w:val="18"/>
                        </w:rPr>
                        <w:t> </w:t>
                      </w:r>
                      <w:r>
                        <w:rPr>
                          <w:rFonts w:ascii="Times New Roman"/>
                          <w:sz w:val="18"/>
                        </w:rPr>
                        <w:t>14,218,643.30</w:t>
                      </w:r>
                    </w:p>
                  </w:txbxContent>
                </v:textbox>
                <w10:wrap type="none"/>
              </v:shape>
              <v:shape style="position:absolute;left:7990;top:1522;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26.29</w:t>
                      </w:r>
                    </w:p>
                  </w:txbxContent>
                </v:textbox>
                <w10:wrap type="none"/>
              </v:shape>
            </v:group>
          </v:group>
        </w:pict>
      </w:r>
      <w:r>
        <w:rPr>
          <w:rFonts w:ascii="宋体" w:hAnsi="宋体" w:cs="宋体" w:eastAsia="宋体" w:hint="default"/>
          <w:position w:val="-39"/>
          <w:sz w:val="20"/>
          <w:szCs w:val="20"/>
        </w:rPr>
      </w:r>
    </w:p>
    <w:p>
      <w:pPr>
        <w:spacing w:line="240" w:lineRule="auto" w:before="6"/>
        <w:rPr>
          <w:rFonts w:ascii="宋体" w:hAnsi="宋体" w:cs="宋体" w:eastAsia="宋体" w:hint="default"/>
          <w:b/>
          <w:bCs/>
          <w:sz w:val="28"/>
          <w:szCs w:val="28"/>
        </w:rPr>
      </w:pPr>
    </w:p>
    <w:p>
      <w:pPr>
        <w:tabs>
          <w:tab w:pos="1665" w:val="left" w:leader="none"/>
        </w:tabs>
        <w:spacing w:before="35"/>
        <w:ind w:left="1137" w:right="128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报告期无出售商品</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提供劳务情况。</w:t>
      </w:r>
      <w:r>
        <w:rPr>
          <w:rFonts w:ascii="宋体" w:hAnsi="宋体" w:cs="宋体" w:eastAsia="宋体" w:hint="default"/>
          <w:sz w:val="21"/>
          <w:szCs w:val="21"/>
        </w:rPr>
      </w:r>
    </w:p>
    <w:p>
      <w:pPr>
        <w:tabs>
          <w:tab w:pos="1676" w:val="left" w:leader="none"/>
        </w:tabs>
        <w:spacing w:before="89"/>
        <w:ind w:left="1137" w:right="128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报告期无关联托管</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承包情况。</w:t>
      </w:r>
      <w:r>
        <w:rPr>
          <w:rFonts w:ascii="宋体" w:hAnsi="宋体" w:cs="宋体" w:eastAsia="宋体" w:hint="default"/>
          <w:sz w:val="21"/>
          <w:szCs w:val="21"/>
        </w:rPr>
      </w:r>
    </w:p>
    <w:p>
      <w:pPr>
        <w:tabs>
          <w:tab w:pos="1676" w:val="left" w:leader="none"/>
        </w:tabs>
        <w:spacing w:before="89"/>
        <w:ind w:left="1137" w:right="128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报告期无关联租赁情况。</w:t>
      </w:r>
      <w:r>
        <w:rPr>
          <w:rFonts w:ascii="宋体" w:hAnsi="宋体" w:cs="宋体" w:eastAsia="宋体" w:hint="default"/>
          <w:sz w:val="21"/>
          <w:szCs w:val="21"/>
        </w:rPr>
      </w:r>
    </w:p>
    <w:p>
      <w:pPr>
        <w:tabs>
          <w:tab w:pos="1665" w:val="left" w:leader="none"/>
        </w:tabs>
        <w:spacing w:before="88"/>
        <w:ind w:left="1137" w:right="128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关联担保情况</w:t>
      </w:r>
      <w:r>
        <w:rPr>
          <w:rFonts w:ascii="宋体" w:hAnsi="宋体" w:cs="宋体" w:eastAsia="宋体" w:hint="default"/>
          <w:sz w:val="21"/>
          <w:szCs w:val="21"/>
        </w:rPr>
      </w:r>
    </w:p>
    <w:p>
      <w:pPr>
        <w:spacing w:line="2739" w:lineRule="exact"/>
        <w:ind w:left="106" w:right="0" w:firstLine="0"/>
        <w:rPr>
          <w:rFonts w:ascii="宋体" w:hAnsi="宋体" w:cs="宋体" w:eastAsia="宋体" w:hint="default"/>
          <w:sz w:val="20"/>
          <w:szCs w:val="20"/>
        </w:rPr>
      </w:pPr>
      <w:r>
        <w:rPr>
          <w:rFonts w:ascii="宋体" w:hAnsi="宋体" w:cs="宋体" w:eastAsia="宋体" w:hint="default"/>
          <w:position w:val="-54"/>
          <w:sz w:val="20"/>
          <w:szCs w:val="20"/>
        </w:rPr>
        <w:pict>
          <v:group style="width:456.25pt;height:137pt;mso-position-horizontal-relative:char;mso-position-vertical-relative:line" coordorigin="0,0" coordsize="9125,2740">
            <v:group style="position:absolute;left:29;top:15;width:9072;height:2" coordorigin="29,15" coordsize="9072,2">
              <v:shape style="position:absolute;left:29;top:15;width:9072;height:2" coordorigin="29,15" coordsize="9072,0" path="m29,15l9101,15e" filled="false" stroked="true" strokeweight="1.5pt" strokecolor="#000000">
                <v:path arrowok="t"/>
              </v:shape>
              <v:shape style="position:absolute;left:857;top:11;width:7134;height:798" type="#_x0000_t75" stroked="false">
                <v:imagedata r:id="rId313" o:title=""/>
              </v:shape>
            </v:group>
            <v:group style="position:absolute;left:15;top:2725;width:862;height:2" coordorigin="15,2725" coordsize="862,2">
              <v:shape style="position:absolute;left:15;top:2725;width:862;height:2" coordorigin="15,2725" coordsize="862,0" path="m15,2725l877,2725e" filled="false" stroked="true" strokeweight="1.5pt" strokecolor="#000000">
                <v:path arrowok="t"/>
              </v:shape>
              <v:shape style="position:absolute;left:10;top:770;width:9114;height:1968" type="#_x0000_t75" stroked="false">
                <v:imagedata r:id="rId314" o:title=""/>
              </v:shape>
            </v:group>
            <v:group style="position:absolute;left:877;top:2725;width:1395;height:2" coordorigin="877,2725" coordsize="1395,2">
              <v:shape style="position:absolute;left:877;top:2725;width:1395;height:2" coordorigin="877,2725" coordsize="1395,0" path="m877,2725l2271,2725e" filled="false" stroked="true" strokeweight="1.5pt" strokecolor="#000000">
                <v:path arrowok="t"/>
              </v:shape>
              <v:shape style="position:absolute;left:2242;top:1541;width:67;height:1198" type="#_x0000_t75" stroked="false">
                <v:imagedata r:id="rId315" o:title=""/>
              </v:shape>
            </v:group>
            <v:group style="position:absolute;left:2271;top:2725;width:1724;height:2" coordorigin="2271,2725" coordsize="1724,2">
              <v:shape style="position:absolute;left:2271;top:2725;width:1724;height:2" coordorigin="2271,2725" coordsize="1724,0" path="m2271,2725l3994,2725e" filled="false" stroked="true" strokeweight="1.5pt" strokecolor="#000000">
                <v:path arrowok="t"/>
              </v:shape>
              <v:shape style="position:absolute;left:3965;top:1541;width:67;height:1198" type="#_x0000_t75" stroked="false">
                <v:imagedata r:id="rId315" o:title=""/>
              </v:shape>
            </v:group>
            <v:group style="position:absolute;left:3994;top:2725;width:993;height:2" coordorigin="3994,2725" coordsize="993,2">
              <v:shape style="position:absolute;left:3994;top:2725;width:993;height:2" coordorigin="3994,2725" coordsize="993,0" path="m3994,2725l4987,2725e" filled="false" stroked="true" strokeweight="1.5pt" strokecolor="#000000">
                <v:path arrowok="t"/>
              </v:shape>
              <v:shape style="position:absolute;left:4958;top:1541;width:67;height:1198" type="#_x0000_t75" stroked="false">
                <v:imagedata r:id="rId315" o:title=""/>
              </v:shape>
            </v:group>
            <v:group style="position:absolute;left:4987;top:2725;width:1276;height:2" coordorigin="4987,2725" coordsize="1276,2">
              <v:shape style="position:absolute;left:4987;top:2725;width:1276;height:2" coordorigin="4987,2725" coordsize="1276,0" path="m4987,2725l6262,2725e" filled="false" stroked="true" strokeweight="1.5pt" strokecolor="#000000">
                <v:path arrowok="t"/>
              </v:shape>
              <v:shape style="position:absolute;left:6233;top:1541;width:67;height:1190" type="#_x0000_t75" stroked="false">
                <v:imagedata r:id="rId316" o:title=""/>
              </v:shape>
            </v:group>
            <v:group style="position:absolute;left:6262;top:2725;width:1701;height:2" coordorigin="6262,2725" coordsize="1701,2">
              <v:shape style="position:absolute;left:6262;top:2725;width:1701;height:2" coordorigin="6262,2725" coordsize="1701,0" path="m6262,2725l7963,2725e" filled="false" stroked="true" strokeweight="1.5pt" strokecolor="#000000">
                <v:path arrowok="t"/>
              </v:shape>
              <v:shape style="position:absolute;left:7934;top:1541;width:67;height:1198" type="#_x0000_t75" stroked="false">
                <v:imagedata r:id="rId315" o:title=""/>
              </v:shape>
            </v:group>
            <v:group style="position:absolute;left:7963;top:2725;width:1139;height:2" coordorigin="7963,2725" coordsize="1139,2">
              <v:shape style="position:absolute;left:7963;top:2725;width:1139;height:2" coordorigin="7963,2725" coordsize="1139,0" path="m7963,2725l9101,2725e" filled="false" stroked="true" strokeweight="1.5pt" strokecolor="#000000">
                <v:path arrowok="t"/>
              </v:shape>
              <v:shape style="position:absolute;left:8084;top:20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担保是否已</w:t>
                      </w:r>
                    </w:p>
                  </w:txbxContent>
                </v:textbox>
                <w10:wrap type="none"/>
              </v:shape>
              <v:shape style="position:absolute;left:184;top:39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担保方</w:t>
                      </w:r>
                    </w:p>
                  </w:txbxContent>
                </v:textbox>
                <w10:wrap type="none"/>
              </v:shape>
              <v:shape style="position:absolute;left:1219;top:39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被担保方</w:t>
                      </w:r>
                    </w:p>
                  </w:txbxContent>
                </v:textbox>
                <w10:wrap type="none"/>
              </v:shape>
              <v:shape style="position:absolute;left:2777;top:39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借款银行</w:t>
                      </w:r>
                    </w:p>
                  </w:txbxContent>
                </v:textbox>
                <w10:wrap type="none"/>
              </v:shape>
              <v:shape style="position:absolute;left:4135;top:391;width:1944;height:180" type="#_x0000_t202" filled="false" stroked="false">
                <v:textbox inset="0,0,0,0">
                  <w:txbxContent>
                    <w:p>
                      <w:pPr>
                        <w:tabs>
                          <w:tab w:pos="104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担保金额</w:t>
                        <w:tab/>
                        <w:t>担保起始日</w:t>
                      </w:r>
                    </w:p>
                  </w:txbxContent>
                </v:textbox>
                <w10:wrap type="none"/>
              </v:shape>
              <v:shape style="position:absolute;left:6668;top:39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担保到期日</w:t>
                      </w:r>
                    </w:p>
                  </w:txbxContent>
                </v:textbox>
                <w10:wrap type="none"/>
              </v:shape>
              <v:shape style="position:absolute;left:8084;top:58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经履行完毕</w:t>
                      </w:r>
                    </w:p>
                  </w:txbxContent>
                </v:textbox>
                <w10:wrap type="none"/>
              </v:shape>
              <v:shape style="position:absolute;left:184;top:972;width:4700;height:560" type="#_x0000_t202" filled="false" stroked="false">
                <v:textbox inset="0,0,0,0">
                  <w:txbxContent>
                    <w:p>
                      <w:pPr>
                        <w:tabs>
                          <w:tab w:pos="2199" w:val="left" w:leader="none"/>
                        </w:tabs>
                        <w:spacing w:line="157" w:lineRule="exact" w:before="0"/>
                        <w:ind w:left="805" w:right="0" w:firstLine="0"/>
                        <w:jc w:val="left"/>
                        <w:rPr>
                          <w:rFonts w:ascii="宋体" w:hAnsi="宋体" w:cs="宋体" w:eastAsia="宋体" w:hint="default"/>
                          <w:sz w:val="18"/>
                          <w:szCs w:val="18"/>
                        </w:rPr>
                      </w:pPr>
                      <w:r>
                        <w:rPr>
                          <w:rFonts w:ascii="宋体" w:hAnsi="宋体" w:cs="宋体" w:eastAsia="宋体" w:hint="default"/>
                          <w:spacing w:val="16"/>
                          <w:w w:val="90"/>
                          <w:sz w:val="18"/>
                          <w:szCs w:val="18"/>
                        </w:rPr>
                        <w:t>广州御银科技</w:t>
                        <w:tab/>
                      </w:r>
                      <w:r>
                        <w:rPr>
                          <w:rFonts w:ascii="宋体" w:hAnsi="宋体" w:cs="宋体" w:eastAsia="宋体" w:hint="default"/>
                          <w:sz w:val="18"/>
                          <w:szCs w:val="18"/>
                        </w:rPr>
                        <w:t>深圳发展银行股份</w:t>
                      </w:r>
                    </w:p>
                    <w:p>
                      <w:pPr>
                        <w:tabs>
                          <w:tab w:pos="4069" w:val="left" w:leader="none"/>
                        </w:tabs>
                        <w:spacing w:line="19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杨文江</w:t>
                        <w:tab/>
                      </w:r>
                      <w:r>
                        <w:rPr>
                          <w:rFonts w:ascii="Times New Roman" w:hAnsi="Times New Roman" w:cs="Times New Roman" w:eastAsia="Times New Roman" w:hint="default"/>
                          <w:sz w:val="18"/>
                          <w:szCs w:val="18"/>
                        </w:rPr>
                        <w:t>1,500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p>
                      <w:pPr>
                        <w:spacing w:line="206" w:lineRule="exact" w:before="0"/>
                        <w:ind w:left="419" w:right="0" w:firstLine="0"/>
                        <w:jc w:val="center"/>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5115;top:972;width:1028;height:570" type="#_x0000_t202" filled="false" stroked="false">
                <v:textbox inset="0,0,0,0">
                  <w:txbxContent>
                    <w:p>
                      <w:pPr>
                        <w:spacing w:line="194" w:lineRule="exact" w:before="0"/>
                        <w:ind w:left="0" w:right="0"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spacing w:line="245" w:lineRule="exact" w:before="130"/>
                        <w:ind w:left="0" w:right="0"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xbxContent>
                </v:textbox>
                <w10:wrap type="none"/>
              </v:shape>
              <v:shape style="position:absolute;left:6375;top:1162;width:139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日</w:t>
                      </w:r>
                    </w:p>
                  </w:txbxContent>
                </v:textbox>
                <w10:wrap type="none"/>
              </v:shape>
              <v:shape style="position:absolute;left:8444;top:116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否</w:t>
                      </w:r>
                    </w:p>
                  </w:txbxContent>
                </v:textbox>
                <w10:wrap type="none"/>
              </v:shape>
              <v:shape style="position:absolute;left:989;top:135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股份有限公司</w:t>
                      </w:r>
                    </w:p>
                  </w:txbxContent>
                </v:textbox>
                <w10:wrap type="none"/>
              </v:shape>
              <v:shape style="position:absolute;left:2384;top:1741;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广州农村商业银行</w:t>
                      </w:r>
                    </w:p>
                  </w:txbxContent>
                </v:textbox>
                <w10:wrap type="none"/>
              </v:shape>
              <v:shape style="position:absolute;left:989;top:1932;width:119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6"/>
                          <w:sz w:val="18"/>
                          <w:szCs w:val="18"/>
                        </w:rPr>
                        <w:t>广州御银科技</w:t>
                      </w:r>
                      <w:r>
                        <w:rPr>
                          <w:rFonts w:ascii="宋体" w:hAnsi="宋体" w:cs="宋体" w:eastAsia="宋体" w:hint="default"/>
                          <w:spacing w:val="-71"/>
                          <w:sz w:val="18"/>
                          <w:szCs w:val="18"/>
                        </w:rPr>
                        <w:t> </w:t>
                      </w:r>
                      <w:r>
                        <w:rPr>
                          <w:rFonts w:ascii="宋体" w:hAnsi="宋体" w:cs="宋体" w:eastAsia="宋体" w:hint="default"/>
                          <w:sz w:val="18"/>
                          <w:szCs w:val="18"/>
                        </w:rPr>
                      </w:r>
                    </w:p>
                  </w:txbxContent>
                </v:textbox>
                <w10:wrap type="none"/>
              </v:shape>
              <v:shape style="position:absolute;left:184;top:212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杨文江</w:t>
                      </w:r>
                    </w:p>
                  </w:txbxContent>
                </v:textbox>
                <w10:wrap type="none"/>
              </v:shape>
              <v:shape style="position:absolute;left:2384;top:2122;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股份有限公司白云</w:t>
                      </w:r>
                    </w:p>
                  </w:txbxContent>
                </v:textbox>
                <w10:wrap type="none"/>
              </v:shape>
              <v:shape style="position:absolute;left:4253;top:2122;width:63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xbxContent>
                </v:textbox>
                <w10:wrap type="none"/>
              </v:shape>
              <v:shape style="position:absolute;left:5115;top:1932;width:1028;height:570" type="#_x0000_t202" filled="false" stroked="false">
                <v:textbox inset="0,0,0,0">
                  <w:txbxContent>
                    <w:p>
                      <w:pPr>
                        <w:spacing w:line="194" w:lineRule="exact" w:before="0"/>
                        <w:ind w:left="0" w:right="0"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spacing w:line="245" w:lineRule="exact" w:before="130"/>
                        <w:ind w:left="1" w:right="0"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xbxContent>
                </v:textbox>
                <w10:wrap type="none"/>
              </v:shape>
              <v:shape style="position:absolute;left:6375;top:2122;width:130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日</w:t>
                      </w:r>
                    </w:p>
                  </w:txbxContent>
                </v:textbox>
                <w10:wrap type="none"/>
              </v:shape>
              <v:shape style="position:absolute;left:8444;top:21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否</w:t>
                      </w:r>
                    </w:p>
                  </w:txbxContent>
                </v:textbox>
                <w10:wrap type="none"/>
              </v:shape>
              <v:shape style="position:absolute;left:989;top:231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股份有限公司</w:t>
                      </w:r>
                    </w:p>
                  </w:txbxContent>
                </v:textbox>
                <w10:wrap type="none"/>
              </v:shape>
              <v:shape style="position:absolute;left:2384;top:250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新城支行</w:t>
                      </w:r>
                    </w:p>
                  </w:txbxContent>
                </v:textbox>
                <w10:wrap type="none"/>
              </v:shape>
            </v:group>
          </v:group>
        </w:pict>
      </w:r>
      <w:r>
        <w:rPr>
          <w:rFonts w:ascii="宋体" w:hAnsi="宋体" w:cs="宋体" w:eastAsia="宋体" w:hint="default"/>
          <w:position w:val="-54"/>
          <w:sz w:val="20"/>
          <w:szCs w:val="20"/>
        </w:rPr>
      </w:r>
    </w:p>
    <w:p>
      <w:pPr>
        <w:spacing w:before="90"/>
        <w:ind w:left="840" w:right="1281" w:firstLine="0"/>
        <w:jc w:val="left"/>
        <w:rPr>
          <w:rFonts w:ascii="宋体" w:hAnsi="宋体" w:cs="宋体" w:eastAsia="宋体" w:hint="default"/>
          <w:sz w:val="21"/>
          <w:szCs w:val="21"/>
        </w:rPr>
      </w:pPr>
      <w:r>
        <w:rPr>
          <w:rFonts w:ascii="宋体" w:hAnsi="宋体" w:cs="宋体" w:eastAsia="宋体" w:hint="default"/>
          <w:sz w:val="21"/>
          <w:szCs w:val="21"/>
        </w:rPr>
        <w:t>关联担保情况详见附注五</w:t>
      </w:r>
      <w:r>
        <w:rPr>
          <w:rFonts w:ascii="宋体" w:hAnsi="宋体" w:cs="宋体" w:eastAsia="宋体" w:hint="default"/>
          <w:spacing w:val="-105"/>
          <w:sz w:val="21"/>
          <w:szCs w:val="21"/>
        </w:rPr>
        <w:t>、</w:t>
      </w:r>
      <w:r>
        <w:rPr>
          <w:rFonts w:ascii="宋体" w:hAnsi="宋体" w:cs="宋体" w:eastAsia="宋体" w:hint="default"/>
          <w:sz w:val="21"/>
          <w:szCs w:val="21"/>
        </w:rPr>
        <w:t>（十七</w:t>
      </w:r>
      <w:r>
        <w:rPr>
          <w:rFonts w:ascii="宋体" w:hAnsi="宋体" w:cs="宋体" w:eastAsia="宋体" w:hint="default"/>
          <w:spacing w:val="-2"/>
          <w:sz w:val="21"/>
          <w:szCs w:val="21"/>
        </w:rPr>
        <w:t>）</w:t>
      </w:r>
      <w:r>
        <w:rPr>
          <w:rFonts w:ascii="宋体" w:hAnsi="宋体" w:cs="宋体" w:eastAsia="宋体" w:hint="default"/>
          <w:sz w:val="21"/>
          <w:szCs w:val="21"/>
        </w:rPr>
        <w:t>短期借款。</w:t>
      </w:r>
    </w:p>
    <w:p>
      <w:pPr>
        <w:spacing w:after="0"/>
        <w:jc w:val="left"/>
        <w:rPr>
          <w:rFonts w:ascii="宋体" w:hAnsi="宋体" w:cs="宋体" w:eastAsia="宋体" w:hint="default"/>
          <w:sz w:val="21"/>
          <w:szCs w:val="21"/>
        </w:rPr>
        <w:sectPr>
          <w:headerReference w:type="default" r:id="rId304"/>
          <w:footerReference w:type="default" r:id="rId305"/>
          <w:pgSz w:w="11910" w:h="16840"/>
          <w:pgMar w:header="877" w:footer="1256" w:top="1100" w:bottom="1440" w:left="1380" w:right="980"/>
          <w:pgNumType w:start="155"/>
        </w:sectPr>
      </w:pPr>
    </w:p>
    <w:p>
      <w:pPr>
        <w:spacing w:line="240" w:lineRule="auto" w:before="5"/>
        <w:rPr>
          <w:rFonts w:ascii="宋体" w:hAnsi="宋体" w:cs="宋体" w:eastAsia="宋体" w:hint="default"/>
          <w:sz w:val="27"/>
          <w:szCs w:val="27"/>
        </w:rPr>
      </w:pPr>
    </w:p>
    <w:tbl>
      <w:tblPr>
        <w:tblW w:w="0" w:type="auto"/>
        <w:jc w:val="left"/>
        <w:tblInd w:w="749" w:type="dxa"/>
        <w:tblLayout w:type="fixed"/>
        <w:tblCellMar>
          <w:top w:w="0" w:type="dxa"/>
          <w:left w:w="0" w:type="dxa"/>
          <w:bottom w:w="0" w:type="dxa"/>
          <w:right w:w="0" w:type="dxa"/>
        </w:tblCellMar>
        <w:tblLook w:val="01E0"/>
      </w:tblPr>
      <w:tblGrid>
        <w:gridCol w:w="535"/>
        <w:gridCol w:w="4709"/>
        <w:gridCol w:w="706"/>
        <w:gridCol w:w="1805"/>
      </w:tblGrid>
      <w:tr>
        <w:trPr>
          <w:trHeight w:val="1371" w:hRule="exact"/>
        </w:trPr>
        <w:tc>
          <w:tcPr>
            <w:tcW w:w="53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7"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81"/>
              <w:ind w:left="108"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w:t>
            </w:r>
            <w:r>
              <w:rPr>
                <w:rFonts w:ascii="宋体" w:hAnsi="宋体" w:cs="宋体" w:eastAsia="宋体" w:hint="default"/>
                <w:sz w:val="21"/>
                <w:szCs w:val="21"/>
              </w:rPr>
            </w:r>
          </w:p>
        </w:tc>
        <w:tc>
          <w:tcPr>
            <w:tcW w:w="470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11" w:right="0"/>
              <w:jc w:val="left"/>
              <w:rPr>
                <w:rFonts w:ascii="宋体" w:hAnsi="宋体" w:cs="宋体" w:eastAsia="宋体" w:hint="default"/>
                <w:sz w:val="21"/>
                <w:szCs w:val="21"/>
              </w:rPr>
            </w:pPr>
            <w:r>
              <w:rPr>
                <w:rFonts w:ascii="宋体" w:hAnsi="宋体" w:cs="宋体" w:eastAsia="宋体" w:hint="default"/>
                <w:b/>
                <w:bCs/>
                <w:sz w:val="21"/>
                <w:szCs w:val="21"/>
              </w:rPr>
              <w:t>报告期无关联方资金拆借情况。</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11" w:right="0"/>
              <w:jc w:val="left"/>
              <w:rPr>
                <w:rFonts w:ascii="宋体" w:hAnsi="宋体" w:cs="宋体" w:eastAsia="宋体" w:hint="default"/>
                <w:sz w:val="21"/>
                <w:szCs w:val="21"/>
              </w:rPr>
            </w:pPr>
            <w:r>
              <w:rPr>
                <w:rFonts w:ascii="宋体" w:hAnsi="宋体" w:cs="宋体" w:eastAsia="宋体" w:hint="default"/>
                <w:b/>
                <w:bCs/>
                <w:sz w:val="21"/>
                <w:szCs w:val="21"/>
              </w:rPr>
              <w:t>报告期无关联方资产转让、债务重组情况。</w:t>
            </w:r>
            <w:r>
              <w:rPr>
                <w:rFonts w:ascii="宋体" w:hAnsi="宋体" w:cs="宋体" w:eastAsia="宋体" w:hint="default"/>
                <w:sz w:val="21"/>
                <w:szCs w:val="21"/>
              </w:rPr>
            </w:r>
          </w:p>
        </w:tc>
        <w:tc>
          <w:tcPr>
            <w:tcW w:w="2510" w:type="dxa"/>
            <w:gridSpan w:val="2"/>
            <w:vMerge w:val="restart"/>
            <w:tcBorders>
              <w:top w:val="nil" w:sz="6" w:space="0" w:color="auto"/>
              <w:left w:val="nil" w:sz="6" w:space="0" w:color="auto"/>
              <w:right w:val="nil" w:sz="6" w:space="0" w:color="auto"/>
            </w:tcBorders>
          </w:tcPr>
          <w:p>
            <w:pPr/>
          </w:p>
        </w:tc>
      </w:tr>
      <w:tr>
        <w:trPr>
          <w:trHeight w:val="601" w:hRule="exact"/>
        </w:trPr>
        <w:tc>
          <w:tcPr>
            <w:tcW w:w="5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108"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w:t>
            </w:r>
            <w:r>
              <w:rPr>
                <w:rFonts w:ascii="宋体" w:hAnsi="宋体" w:cs="宋体" w:eastAsia="宋体" w:hint="default"/>
                <w:sz w:val="21"/>
                <w:szCs w:val="21"/>
              </w:rPr>
            </w:r>
          </w:p>
        </w:tc>
        <w:tc>
          <w:tcPr>
            <w:tcW w:w="47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128" w:right="0"/>
              <w:jc w:val="left"/>
              <w:rPr>
                <w:rFonts w:ascii="宋体" w:hAnsi="宋体" w:cs="宋体" w:eastAsia="宋体" w:hint="default"/>
                <w:sz w:val="21"/>
                <w:szCs w:val="21"/>
              </w:rPr>
            </w:pPr>
            <w:r>
              <w:rPr>
                <w:rFonts w:ascii="宋体" w:hAnsi="宋体" w:cs="宋体" w:eastAsia="宋体" w:hint="default"/>
                <w:b/>
                <w:bCs/>
                <w:sz w:val="21"/>
                <w:szCs w:val="21"/>
              </w:rPr>
              <w:t>其他关联交易</w:t>
            </w:r>
            <w:r>
              <w:rPr>
                <w:rFonts w:ascii="宋体" w:hAnsi="宋体" w:cs="宋体" w:eastAsia="宋体" w:hint="default"/>
                <w:sz w:val="21"/>
                <w:szCs w:val="21"/>
              </w:rPr>
            </w:r>
          </w:p>
        </w:tc>
        <w:tc>
          <w:tcPr>
            <w:tcW w:w="2510" w:type="dxa"/>
            <w:gridSpan w:val="2"/>
            <w:vMerge/>
            <w:tcBorders>
              <w:left w:val="nil" w:sz="6" w:space="0" w:color="auto"/>
              <w:right w:val="nil" w:sz="6" w:space="0" w:color="auto"/>
            </w:tcBorders>
          </w:tcPr>
          <w:p>
            <w:pPr/>
          </w:p>
        </w:tc>
      </w:tr>
      <w:tr>
        <w:trPr>
          <w:trHeight w:val="346" w:hRule="exact"/>
        </w:trPr>
        <w:tc>
          <w:tcPr>
            <w:tcW w:w="535" w:type="dxa"/>
            <w:tcBorders>
              <w:top w:val="nil" w:sz="6" w:space="0" w:color="auto"/>
              <w:left w:val="nil" w:sz="6" w:space="0" w:color="auto"/>
              <w:bottom w:val="single" w:sz="12" w:space="0" w:color="000000"/>
              <w:right w:val="nil" w:sz="6" w:space="0" w:color="auto"/>
            </w:tcBorders>
          </w:tcPr>
          <w:p>
            <w:pPr/>
          </w:p>
        </w:tc>
        <w:tc>
          <w:tcPr>
            <w:tcW w:w="4709"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left="115"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）关键管理人员报酬（万元）</w:t>
            </w:r>
          </w:p>
        </w:tc>
        <w:tc>
          <w:tcPr>
            <w:tcW w:w="2510" w:type="dxa"/>
            <w:gridSpan w:val="2"/>
            <w:vMerge/>
            <w:tcBorders>
              <w:left w:val="nil" w:sz="6" w:space="0" w:color="auto"/>
              <w:bottom w:val="single" w:sz="12" w:space="0" w:color="000000"/>
              <w:right w:val="nil" w:sz="6" w:space="0" w:color="auto"/>
            </w:tcBorders>
          </w:tcPr>
          <w:p>
            <w:pPr/>
          </w:p>
        </w:tc>
      </w:tr>
      <w:tr>
        <w:trPr>
          <w:trHeight w:val="471" w:hRule="exact"/>
        </w:trPr>
        <w:tc>
          <w:tcPr>
            <w:tcW w:w="535" w:type="dxa"/>
            <w:tcBorders>
              <w:top w:val="single" w:sz="12" w:space="0" w:color="000000"/>
              <w:left w:val="nil" w:sz="6" w:space="0" w:color="auto"/>
              <w:bottom w:val="nil" w:sz="6" w:space="0" w:color="auto"/>
              <w:right w:val="nil" w:sz="6" w:space="0" w:color="auto"/>
            </w:tcBorders>
          </w:tcPr>
          <w:p>
            <w:pPr/>
          </w:p>
        </w:tc>
        <w:tc>
          <w:tcPr>
            <w:tcW w:w="4709" w:type="dxa"/>
            <w:tcBorders>
              <w:top w:val="single" w:sz="12" w:space="0" w:color="000000"/>
              <w:left w:val="nil" w:sz="6" w:space="0" w:color="auto"/>
              <w:bottom w:val="nil" w:sz="6" w:space="0" w:color="auto"/>
              <w:right w:val="nil" w:sz="6" w:space="0" w:color="auto"/>
            </w:tcBorders>
          </w:tcPr>
          <w:p>
            <w:pPr>
              <w:pStyle w:val="TableParagraph"/>
              <w:tabs>
                <w:tab w:pos="3645" w:val="left" w:leader="none"/>
              </w:tabs>
              <w:spacing w:line="240" w:lineRule="auto" w:before="63"/>
              <w:ind w:left="866" w:right="0"/>
              <w:jc w:val="left"/>
              <w:rPr>
                <w:rFonts w:ascii="宋体" w:hAnsi="宋体" w:cs="宋体" w:eastAsia="宋体" w:hint="default"/>
                <w:sz w:val="21"/>
                <w:szCs w:val="21"/>
              </w:rPr>
            </w:pPr>
            <w:r>
              <w:rPr>
                <w:rFonts w:ascii="宋体" w:hAnsi="宋体" w:cs="宋体" w:eastAsia="宋体" w:hint="default"/>
                <w:sz w:val="21"/>
                <w:szCs w:val="21"/>
              </w:rPr>
              <w:t>项目名称</w:t>
              <w:tab/>
              <w:t>本期发生额</w:t>
            </w:r>
          </w:p>
        </w:tc>
        <w:tc>
          <w:tcPr>
            <w:tcW w:w="706" w:type="dxa"/>
            <w:tcBorders>
              <w:top w:val="single" w:sz="12" w:space="0" w:color="000000"/>
              <w:left w:val="nil" w:sz="6" w:space="0" w:color="auto"/>
              <w:bottom w:val="nil" w:sz="6" w:space="0" w:color="auto"/>
              <w:right w:val="nil" w:sz="6" w:space="0" w:color="auto"/>
            </w:tcBorders>
          </w:tcPr>
          <w:p>
            <w:pPr/>
          </w:p>
        </w:tc>
        <w:tc>
          <w:tcPr>
            <w:tcW w:w="1805" w:type="dxa"/>
            <w:tcBorders>
              <w:top w:val="single" w:sz="12" w:space="0" w:color="000000"/>
              <w:left w:val="nil" w:sz="6" w:space="0" w:color="auto"/>
              <w:bottom w:val="nil" w:sz="6" w:space="0" w:color="auto"/>
              <w:right w:val="nil" w:sz="6" w:space="0" w:color="auto"/>
            </w:tcBorders>
          </w:tcPr>
          <w:p>
            <w:pPr>
              <w:pStyle w:val="TableParagraph"/>
              <w:spacing w:line="240" w:lineRule="auto" w:before="63"/>
              <w:ind w:left="286"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05" w:hRule="exact"/>
        </w:trPr>
        <w:tc>
          <w:tcPr>
            <w:tcW w:w="535" w:type="dxa"/>
            <w:tcBorders>
              <w:top w:val="nil" w:sz="6" w:space="0" w:color="auto"/>
              <w:left w:val="nil" w:sz="6" w:space="0" w:color="auto"/>
              <w:bottom w:val="nil" w:sz="6" w:space="0" w:color="auto"/>
              <w:right w:val="nil" w:sz="6" w:space="0" w:color="auto"/>
            </w:tcBorders>
          </w:tcPr>
          <w:p>
            <w:pPr/>
          </w:p>
        </w:tc>
        <w:tc>
          <w:tcPr>
            <w:tcW w:w="4709"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016" w:right="0"/>
              <w:jc w:val="left"/>
              <w:rPr>
                <w:rFonts w:ascii="宋体" w:hAnsi="宋体" w:cs="宋体" w:eastAsia="宋体" w:hint="default"/>
                <w:sz w:val="18"/>
                <w:szCs w:val="18"/>
              </w:rPr>
            </w:pPr>
            <w:r>
              <w:rPr>
                <w:rFonts w:ascii="宋体" w:hAnsi="宋体" w:cs="宋体" w:eastAsia="宋体" w:hint="default"/>
                <w:sz w:val="18"/>
                <w:szCs w:val="18"/>
              </w:rPr>
              <w:t>杨文江</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284"/>
              <w:jc w:val="right"/>
              <w:rPr>
                <w:rFonts w:ascii="Times New Roman" w:hAnsi="Times New Roman" w:cs="Times New Roman" w:eastAsia="Times New Roman" w:hint="default"/>
                <w:sz w:val="18"/>
                <w:szCs w:val="18"/>
              </w:rPr>
            </w:pPr>
            <w:r>
              <w:rPr>
                <w:rFonts w:ascii="Times New Roman"/>
                <w:sz w:val="18"/>
              </w:rPr>
              <w:t>42.55</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4"/>
              <w:jc w:val="right"/>
              <w:rPr>
                <w:rFonts w:ascii="Times New Roman" w:hAnsi="Times New Roman" w:cs="Times New Roman" w:eastAsia="Times New Roman" w:hint="default"/>
                <w:sz w:val="18"/>
                <w:szCs w:val="18"/>
              </w:rPr>
            </w:pPr>
            <w:r>
              <w:rPr>
                <w:rFonts w:ascii="Times New Roman"/>
                <w:sz w:val="18"/>
              </w:rPr>
              <w:t>42.49</w:t>
            </w:r>
          </w:p>
        </w:tc>
      </w:tr>
      <w:tr>
        <w:trPr>
          <w:trHeight w:val="385" w:hRule="exact"/>
        </w:trPr>
        <w:tc>
          <w:tcPr>
            <w:tcW w:w="535" w:type="dxa"/>
            <w:tcBorders>
              <w:top w:val="nil" w:sz="6" w:space="0" w:color="auto"/>
              <w:left w:val="nil" w:sz="6" w:space="0" w:color="auto"/>
              <w:bottom w:val="nil" w:sz="6" w:space="0" w:color="auto"/>
              <w:right w:val="nil" w:sz="6" w:space="0" w:color="auto"/>
            </w:tcBorders>
          </w:tcPr>
          <w:p>
            <w:pPr/>
          </w:p>
        </w:tc>
        <w:tc>
          <w:tcPr>
            <w:tcW w:w="470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16" w:right="0"/>
              <w:jc w:val="left"/>
              <w:rPr>
                <w:rFonts w:ascii="宋体" w:hAnsi="宋体" w:cs="宋体" w:eastAsia="宋体" w:hint="default"/>
                <w:sz w:val="18"/>
                <w:szCs w:val="18"/>
              </w:rPr>
            </w:pPr>
            <w:r>
              <w:rPr>
                <w:rFonts w:ascii="宋体" w:hAnsi="宋体" w:cs="宋体" w:eastAsia="宋体" w:hint="default"/>
                <w:sz w:val="18"/>
                <w:szCs w:val="18"/>
              </w:rPr>
              <w:t>吴  宁</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84"/>
              <w:jc w:val="right"/>
              <w:rPr>
                <w:rFonts w:ascii="Times New Roman" w:hAnsi="Times New Roman" w:cs="Times New Roman" w:eastAsia="Times New Roman" w:hint="default"/>
                <w:sz w:val="18"/>
                <w:szCs w:val="18"/>
              </w:rPr>
            </w:pPr>
            <w:r>
              <w:rPr>
                <w:rFonts w:ascii="Times New Roman"/>
                <w:sz w:val="18"/>
              </w:rPr>
              <w:t>49.25</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8"/>
                <w:szCs w:val="18"/>
              </w:rPr>
            </w:pPr>
            <w:r>
              <w:rPr>
                <w:rFonts w:ascii="Times New Roman"/>
                <w:sz w:val="18"/>
              </w:rPr>
              <w:t>33.73</w:t>
            </w:r>
          </w:p>
        </w:tc>
      </w:tr>
      <w:tr>
        <w:trPr>
          <w:trHeight w:val="384" w:hRule="exact"/>
        </w:trPr>
        <w:tc>
          <w:tcPr>
            <w:tcW w:w="535" w:type="dxa"/>
            <w:tcBorders>
              <w:top w:val="nil" w:sz="6" w:space="0" w:color="auto"/>
              <w:left w:val="nil" w:sz="6" w:space="0" w:color="auto"/>
              <w:bottom w:val="nil" w:sz="6" w:space="0" w:color="auto"/>
              <w:right w:val="nil" w:sz="6" w:space="0" w:color="auto"/>
            </w:tcBorders>
          </w:tcPr>
          <w:p>
            <w:pPr/>
          </w:p>
        </w:tc>
        <w:tc>
          <w:tcPr>
            <w:tcW w:w="470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16" w:right="0"/>
              <w:jc w:val="left"/>
              <w:rPr>
                <w:rFonts w:ascii="宋体" w:hAnsi="宋体" w:cs="宋体" w:eastAsia="宋体" w:hint="default"/>
                <w:sz w:val="18"/>
                <w:szCs w:val="18"/>
              </w:rPr>
            </w:pPr>
            <w:r>
              <w:rPr>
                <w:rFonts w:ascii="宋体" w:hAnsi="宋体" w:cs="宋体" w:eastAsia="宋体" w:hint="default"/>
                <w:sz w:val="18"/>
                <w:szCs w:val="18"/>
              </w:rPr>
              <w:t>王志杰</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4"/>
              <w:jc w:val="right"/>
              <w:rPr>
                <w:rFonts w:ascii="Times New Roman" w:hAnsi="Times New Roman" w:cs="Times New Roman" w:eastAsia="Times New Roman" w:hint="default"/>
                <w:sz w:val="18"/>
                <w:szCs w:val="18"/>
              </w:rPr>
            </w:pPr>
            <w:r>
              <w:rPr>
                <w:rFonts w:ascii="Times New Roman"/>
                <w:sz w:val="18"/>
              </w:rPr>
              <w:t>39.47</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34.23</w:t>
            </w:r>
          </w:p>
        </w:tc>
      </w:tr>
      <w:tr>
        <w:trPr>
          <w:trHeight w:val="385" w:hRule="exact"/>
        </w:trPr>
        <w:tc>
          <w:tcPr>
            <w:tcW w:w="535" w:type="dxa"/>
            <w:tcBorders>
              <w:top w:val="nil" w:sz="6" w:space="0" w:color="auto"/>
              <w:left w:val="nil" w:sz="6" w:space="0" w:color="auto"/>
              <w:bottom w:val="nil" w:sz="6" w:space="0" w:color="auto"/>
              <w:right w:val="nil" w:sz="6" w:space="0" w:color="auto"/>
            </w:tcBorders>
          </w:tcPr>
          <w:p>
            <w:pPr/>
          </w:p>
        </w:tc>
        <w:tc>
          <w:tcPr>
            <w:tcW w:w="470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16" w:right="0"/>
              <w:jc w:val="left"/>
              <w:rPr>
                <w:rFonts w:ascii="宋体" w:hAnsi="宋体" w:cs="宋体" w:eastAsia="宋体" w:hint="default"/>
                <w:sz w:val="18"/>
                <w:szCs w:val="18"/>
              </w:rPr>
            </w:pPr>
            <w:r>
              <w:rPr>
                <w:rFonts w:ascii="宋体" w:hAnsi="宋体" w:cs="宋体" w:eastAsia="宋体" w:hint="default"/>
                <w:sz w:val="18"/>
                <w:szCs w:val="18"/>
              </w:rPr>
              <w:t>石本仁</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5"/>
              <w:jc w:val="right"/>
              <w:rPr>
                <w:rFonts w:ascii="Times New Roman" w:hAnsi="Times New Roman" w:cs="Times New Roman" w:eastAsia="Times New Roman" w:hint="default"/>
                <w:sz w:val="18"/>
                <w:szCs w:val="18"/>
              </w:rPr>
            </w:pPr>
            <w:r>
              <w:rPr>
                <w:rFonts w:ascii="Times New Roman"/>
                <w:sz w:val="18"/>
              </w:rPr>
              <w:t>6.00</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z w:val="18"/>
              </w:rPr>
              <w:t>1.00</w:t>
            </w:r>
          </w:p>
        </w:tc>
      </w:tr>
      <w:tr>
        <w:trPr>
          <w:trHeight w:val="385" w:hRule="exact"/>
        </w:trPr>
        <w:tc>
          <w:tcPr>
            <w:tcW w:w="535" w:type="dxa"/>
            <w:tcBorders>
              <w:top w:val="nil" w:sz="6" w:space="0" w:color="auto"/>
              <w:left w:val="nil" w:sz="6" w:space="0" w:color="auto"/>
              <w:bottom w:val="nil" w:sz="6" w:space="0" w:color="auto"/>
              <w:right w:val="nil" w:sz="6" w:space="0" w:color="auto"/>
            </w:tcBorders>
          </w:tcPr>
          <w:p>
            <w:pPr/>
          </w:p>
        </w:tc>
        <w:tc>
          <w:tcPr>
            <w:tcW w:w="470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16" w:right="0"/>
              <w:jc w:val="left"/>
              <w:rPr>
                <w:rFonts w:ascii="宋体" w:hAnsi="宋体" w:cs="宋体" w:eastAsia="宋体" w:hint="default"/>
                <w:sz w:val="18"/>
                <w:szCs w:val="18"/>
              </w:rPr>
            </w:pPr>
            <w:r>
              <w:rPr>
                <w:rFonts w:ascii="宋体" w:hAnsi="宋体" w:cs="宋体" w:eastAsia="宋体" w:hint="default"/>
                <w:sz w:val="18"/>
                <w:szCs w:val="18"/>
              </w:rPr>
              <w:t>张  华</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85"/>
              <w:jc w:val="right"/>
              <w:rPr>
                <w:rFonts w:ascii="Times New Roman" w:hAnsi="Times New Roman" w:cs="Times New Roman" w:eastAsia="Times New Roman" w:hint="default"/>
                <w:sz w:val="18"/>
                <w:szCs w:val="18"/>
              </w:rPr>
            </w:pPr>
            <w:r>
              <w:rPr>
                <w:rFonts w:ascii="Times New Roman"/>
                <w:sz w:val="18"/>
              </w:rPr>
              <w:t>6.00</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z w:val="18"/>
              </w:rPr>
              <w:t>1.00</w:t>
            </w:r>
          </w:p>
        </w:tc>
      </w:tr>
      <w:tr>
        <w:trPr>
          <w:trHeight w:val="368" w:hRule="exact"/>
        </w:trPr>
        <w:tc>
          <w:tcPr>
            <w:tcW w:w="535" w:type="dxa"/>
            <w:tcBorders>
              <w:top w:val="nil" w:sz="6" w:space="0" w:color="auto"/>
              <w:left w:val="nil" w:sz="6" w:space="0" w:color="auto"/>
              <w:bottom w:val="nil" w:sz="6" w:space="0" w:color="auto"/>
              <w:right w:val="nil" w:sz="6" w:space="0" w:color="auto"/>
            </w:tcBorders>
          </w:tcPr>
          <w:p>
            <w:pPr/>
          </w:p>
        </w:tc>
        <w:tc>
          <w:tcPr>
            <w:tcW w:w="470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16" w:right="0"/>
              <w:jc w:val="left"/>
              <w:rPr>
                <w:rFonts w:ascii="宋体" w:hAnsi="宋体" w:cs="宋体" w:eastAsia="宋体" w:hint="default"/>
                <w:sz w:val="18"/>
                <w:szCs w:val="18"/>
              </w:rPr>
            </w:pPr>
            <w:r>
              <w:rPr>
                <w:rFonts w:ascii="宋体" w:hAnsi="宋体" w:cs="宋体" w:eastAsia="宋体" w:hint="default"/>
                <w:sz w:val="18"/>
                <w:szCs w:val="18"/>
              </w:rPr>
              <w:t>梁晓芹</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5"/>
              <w:jc w:val="right"/>
              <w:rPr>
                <w:rFonts w:ascii="Times New Roman" w:hAnsi="Times New Roman" w:cs="Times New Roman" w:eastAsia="Times New Roman" w:hint="default"/>
                <w:sz w:val="18"/>
                <w:szCs w:val="18"/>
              </w:rPr>
            </w:pPr>
            <w:r>
              <w:rPr>
                <w:rFonts w:ascii="Times New Roman"/>
                <w:sz w:val="18"/>
              </w:rPr>
              <w:t>17.3</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15.36</w:t>
            </w:r>
          </w:p>
        </w:tc>
      </w:tr>
      <w:tr>
        <w:trPr>
          <w:trHeight w:val="338" w:hRule="exact"/>
        </w:trPr>
        <w:tc>
          <w:tcPr>
            <w:tcW w:w="535" w:type="dxa"/>
            <w:tcBorders>
              <w:top w:val="nil" w:sz="6" w:space="0" w:color="auto"/>
              <w:left w:val="nil" w:sz="6" w:space="0" w:color="auto"/>
              <w:bottom w:val="nil" w:sz="6" w:space="0" w:color="auto"/>
              <w:right w:val="nil" w:sz="6" w:space="0" w:color="auto"/>
            </w:tcBorders>
          </w:tcPr>
          <w:p>
            <w:pPr/>
          </w:p>
        </w:tc>
        <w:tc>
          <w:tcPr>
            <w:tcW w:w="4709"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016" w:right="0"/>
              <w:jc w:val="left"/>
              <w:rPr>
                <w:rFonts w:ascii="宋体" w:hAnsi="宋体" w:cs="宋体" w:eastAsia="宋体" w:hint="default"/>
                <w:sz w:val="18"/>
                <w:szCs w:val="18"/>
              </w:rPr>
            </w:pPr>
            <w:r>
              <w:rPr>
                <w:rFonts w:ascii="宋体" w:hAnsi="宋体" w:cs="宋体" w:eastAsia="宋体" w:hint="default"/>
                <w:sz w:val="18"/>
                <w:szCs w:val="18"/>
              </w:rPr>
              <w:t>龚穗娟</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84"/>
              <w:jc w:val="right"/>
              <w:rPr>
                <w:rFonts w:ascii="Times New Roman" w:hAnsi="Times New Roman" w:cs="Times New Roman" w:eastAsia="Times New Roman" w:hint="default"/>
                <w:sz w:val="18"/>
                <w:szCs w:val="18"/>
              </w:rPr>
            </w:pPr>
            <w:r>
              <w:rPr>
                <w:rFonts w:ascii="Times New Roman"/>
                <w:sz w:val="18"/>
              </w:rPr>
              <w:t>1.2</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04"/>
              <w:jc w:val="right"/>
              <w:rPr>
                <w:rFonts w:ascii="Times New Roman" w:hAnsi="Times New Roman" w:cs="Times New Roman" w:eastAsia="Times New Roman" w:hint="default"/>
                <w:sz w:val="18"/>
                <w:szCs w:val="18"/>
              </w:rPr>
            </w:pPr>
            <w:r>
              <w:rPr>
                <w:rFonts w:ascii="Times New Roman"/>
                <w:sz w:val="18"/>
              </w:rPr>
              <w:t>1.00</w:t>
            </w:r>
          </w:p>
        </w:tc>
      </w:tr>
      <w:tr>
        <w:trPr>
          <w:trHeight w:val="322" w:hRule="exact"/>
        </w:trPr>
        <w:tc>
          <w:tcPr>
            <w:tcW w:w="535" w:type="dxa"/>
            <w:tcBorders>
              <w:top w:val="nil" w:sz="6" w:space="0" w:color="auto"/>
              <w:left w:val="nil" w:sz="6" w:space="0" w:color="auto"/>
              <w:bottom w:val="nil" w:sz="6" w:space="0" w:color="auto"/>
              <w:right w:val="nil" w:sz="6" w:space="0" w:color="auto"/>
            </w:tcBorders>
          </w:tcPr>
          <w:p>
            <w:pPr/>
          </w:p>
        </w:tc>
        <w:tc>
          <w:tcPr>
            <w:tcW w:w="470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16" w:right="0"/>
              <w:jc w:val="left"/>
              <w:rPr>
                <w:rFonts w:ascii="宋体" w:hAnsi="宋体" w:cs="宋体" w:eastAsia="宋体" w:hint="default"/>
                <w:sz w:val="18"/>
                <w:szCs w:val="18"/>
              </w:rPr>
            </w:pPr>
            <w:r>
              <w:rPr>
                <w:rFonts w:ascii="宋体" w:hAnsi="宋体" w:cs="宋体" w:eastAsia="宋体" w:hint="default"/>
                <w:sz w:val="18"/>
                <w:szCs w:val="18"/>
              </w:rPr>
              <w:t>张成虎</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85"/>
              <w:jc w:val="right"/>
              <w:rPr>
                <w:rFonts w:ascii="Times New Roman" w:hAnsi="Times New Roman" w:cs="Times New Roman" w:eastAsia="Times New Roman" w:hint="default"/>
                <w:sz w:val="18"/>
                <w:szCs w:val="18"/>
              </w:rPr>
            </w:pPr>
            <w:r>
              <w:rPr>
                <w:rFonts w:ascii="Times New Roman"/>
                <w:sz w:val="18"/>
              </w:rPr>
              <w:t>7.24</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3.82</w:t>
            </w:r>
          </w:p>
        </w:tc>
      </w:tr>
      <w:tr>
        <w:trPr>
          <w:trHeight w:val="337" w:hRule="exact"/>
        </w:trPr>
        <w:tc>
          <w:tcPr>
            <w:tcW w:w="535" w:type="dxa"/>
            <w:tcBorders>
              <w:top w:val="nil" w:sz="6" w:space="0" w:color="auto"/>
              <w:left w:val="nil" w:sz="6" w:space="0" w:color="auto"/>
              <w:bottom w:val="nil" w:sz="6" w:space="0" w:color="auto"/>
              <w:right w:val="nil" w:sz="6" w:space="0" w:color="auto"/>
            </w:tcBorders>
          </w:tcPr>
          <w:p>
            <w:pPr/>
          </w:p>
        </w:tc>
        <w:tc>
          <w:tcPr>
            <w:tcW w:w="470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16" w:right="0"/>
              <w:jc w:val="left"/>
              <w:rPr>
                <w:rFonts w:ascii="宋体" w:hAnsi="宋体" w:cs="宋体" w:eastAsia="宋体" w:hint="default"/>
                <w:sz w:val="18"/>
                <w:szCs w:val="18"/>
              </w:rPr>
            </w:pPr>
            <w:r>
              <w:rPr>
                <w:rFonts w:ascii="宋体" w:hAnsi="宋体" w:cs="宋体" w:eastAsia="宋体" w:hint="default"/>
                <w:sz w:val="18"/>
                <w:szCs w:val="18"/>
              </w:rPr>
              <w:t>谭  骅</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84"/>
              <w:jc w:val="right"/>
              <w:rPr>
                <w:rFonts w:ascii="Times New Roman" w:hAnsi="Times New Roman" w:cs="Times New Roman" w:eastAsia="Times New Roman" w:hint="default"/>
                <w:sz w:val="18"/>
                <w:szCs w:val="18"/>
              </w:rPr>
            </w:pPr>
            <w:r>
              <w:rPr>
                <w:rFonts w:ascii="Times New Roman"/>
                <w:sz w:val="18"/>
              </w:rPr>
              <w:t>13.08</w:t>
            </w:r>
          </w:p>
        </w:tc>
        <w:tc>
          <w:tcPr>
            <w:tcW w:w="1805" w:type="dxa"/>
            <w:tcBorders>
              <w:top w:val="nil" w:sz="6" w:space="0" w:color="auto"/>
              <w:left w:val="nil" w:sz="6" w:space="0" w:color="auto"/>
              <w:bottom w:val="nil" w:sz="6" w:space="0" w:color="auto"/>
              <w:right w:val="nil" w:sz="6" w:space="0" w:color="auto"/>
            </w:tcBorders>
          </w:tcPr>
          <w:p>
            <w:pPr/>
          </w:p>
        </w:tc>
      </w:tr>
      <w:tr>
        <w:trPr>
          <w:trHeight w:val="369" w:hRule="exact"/>
        </w:trPr>
        <w:tc>
          <w:tcPr>
            <w:tcW w:w="535" w:type="dxa"/>
            <w:tcBorders>
              <w:top w:val="nil" w:sz="6" w:space="0" w:color="auto"/>
              <w:left w:val="nil" w:sz="6" w:space="0" w:color="auto"/>
              <w:bottom w:val="nil" w:sz="6" w:space="0" w:color="auto"/>
              <w:right w:val="nil" w:sz="6" w:space="0" w:color="auto"/>
            </w:tcBorders>
          </w:tcPr>
          <w:p>
            <w:pPr/>
          </w:p>
        </w:tc>
        <w:tc>
          <w:tcPr>
            <w:tcW w:w="4709"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016" w:right="0"/>
              <w:jc w:val="left"/>
              <w:rPr>
                <w:rFonts w:ascii="宋体" w:hAnsi="宋体" w:cs="宋体" w:eastAsia="宋体" w:hint="default"/>
                <w:sz w:val="18"/>
                <w:szCs w:val="18"/>
              </w:rPr>
            </w:pPr>
            <w:r>
              <w:rPr>
                <w:rFonts w:ascii="宋体" w:hAnsi="宋体" w:cs="宋体" w:eastAsia="宋体" w:hint="default"/>
                <w:sz w:val="18"/>
                <w:szCs w:val="18"/>
              </w:rPr>
              <w:t>庞泰松</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84"/>
              <w:jc w:val="right"/>
              <w:rPr>
                <w:rFonts w:ascii="Times New Roman" w:hAnsi="Times New Roman" w:cs="Times New Roman" w:eastAsia="Times New Roman" w:hint="default"/>
                <w:sz w:val="18"/>
                <w:szCs w:val="18"/>
              </w:rPr>
            </w:pPr>
            <w:r>
              <w:rPr>
                <w:rFonts w:ascii="Times New Roman"/>
                <w:sz w:val="18"/>
              </w:rPr>
              <w:t>17.27</w:t>
            </w:r>
          </w:p>
        </w:tc>
        <w:tc>
          <w:tcPr>
            <w:tcW w:w="1805" w:type="dxa"/>
            <w:tcBorders>
              <w:top w:val="nil" w:sz="6" w:space="0" w:color="auto"/>
              <w:left w:val="nil" w:sz="6" w:space="0" w:color="auto"/>
              <w:bottom w:val="nil" w:sz="6" w:space="0" w:color="auto"/>
              <w:right w:val="nil" w:sz="6" w:space="0" w:color="auto"/>
            </w:tcBorders>
          </w:tcPr>
          <w:p>
            <w:pPr/>
          </w:p>
        </w:tc>
      </w:tr>
      <w:tr>
        <w:trPr>
          <w:trHeight w:val="385" w:hRule="exact"/>
        </w:trPr>
        <w:tc>
          <w:tcPr>
            <w:tcW w:w="535" w:type="dxa"/>
            <w:tcBorders>
              <w:top w:val="nil" w:sz="6" w:space="0" w:color="auto"/>
              <w:left w:val="nil" w:sz="6" w:space="0" w:color="auto"/>
              <w:bottom w:val="nil" w:sz="6" w:space="0" w:color="auto"/>
              <w:right w:val="nil" w:sz="6" w:space="0" w:color="auto"/>
            </w:tcBorders>
          </w:tcPr>
          <w:p>
            <w:pPr/>
          </w:p>
        </w:tc>
        <w:tc>
          <w:tcPr>
            <w:tcW w:w="470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16" w:right="0"/>
              <w:jc w:val="left"/>
              <w:rPr>
                <w:rFonts w:ascii="宋体" w:hAnsi="宋体" w:cs="宋体" w:eastAsia="宋体" w:hint="default"/>
                <w:sz w:val="18"/>
                <w:szCs w:val="18"/>
              </w:rPr>
            </w:pPr>
            <w:r>
              <w:rPr>
                <w:rFonts w:ascii="宋体" w:hAnsi="宋体" w:cs="宋体" w:eastAsia="宋体" w:hint="default"/>
                <w:sz w:val="18"/>
                <w:szCs w:val="18"/>
              </w:rPr>
              <w:t>高永坚</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84"/>
              <w:jc w:val="right"/>
              <w:rPr>
                <w:rFonts w:ascii="Times New Roman" w:hAnsi="Times New Roman" w:cs="Times New Roman" w:eastAsia="Times New Roman" w:hint="default"/>
                <w:sz w:val="18"/>
                <w:szCs w:val="18"/>
              </w:rPr>
            </w:pPr>
            <w:r>
              <w:rPr>
                <w:rFonts w:ascii="Times New Roman"/>
                <w:sz w:val="18"/>
              </w:rPr>
              <w:t>32.24</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8"/>
                <w:szCs w:val="18"/>
              </w:rPr>
            </w:pPr>
            <w:r>
              <w:rPr>
                <w:rFonts w:ascii="Times New Roman"/>
                <w:sz w:val="18"/>
              </w:rPr>
              <w:t>26.46</w:t>
            </w:r>
          </w:p>
        </w:tc>
      </w:tr>
      <w:tr>
        <w:trPr>
          <w:trHeight w:val="384" w:hRule="exact"/>
        </w:trPr>
        <w:tc>
          <w:tcPr>
            <w:tcW w:w="535" w:type="dxa"/>
            <w:tcBorders>
              <w:top w:val="nil" w:sz="6" w:space="0" w:color="auto"/>
              <w:left w:val="nil" w:sz="6" w:space="0" w:color="auto"/>
              <w:bottom w:val="nil" w:sz="6" w:space="0" w:color="auto"/>
              <w:right w:val="nil" w:sz="6" w:space="0" w:color="auto"/>
            </w:tcBorders>
          </w:tcPr>
          <w:p>
            <w:pPr/>
          </w:p>
        </w:tc>
        <w:tc>
          <w:tcPr>
            <w:tcW w:w="470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16" w:right="0"/>
              <w:jc w:val="left"/>
              <w:rPr>
                <w:rFonts w:ascii="宋体" w:hAnsi="宋体" w:cs="宋体" w:eastAsia="宋体" w:hint="default"/>
                <w:sz w:val="18"/>
                <w:szCs w:val="18"/>
              </w:rPr>
            </w:pPr>
            <w:r>
              <w:rPr>
                <w:rFonts w:ascii="宋体" w:hAnsi="宋体" w:cs="宋体" w:eastAsia="宋体" w:hint="default"/>
                <w:sz w:val="18"/>
                <w:szCs w:val="18"/>
              </w:rPr>
              <w:t>徐德银</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4"/>
              <w:jc w:val="right"/>
              <w:rPr>
                <w:rFonts w:ascii="Times New Roman" w:hAnsi="Times New Roman" w:cs="Times New Roman" w:eastAsia="Times New Roman" w:hint="default"/>
                <w:sz w:val="18"/>
                <w:szCs w:val="18"/>
              </w:rPr>
            </w:pPr>
            <w:r>
              <w:rPr>
                <w:rFonts w:ascii="Times New Roman"/>
                <w:sz w:val="18"/>
              </w:rPr>
              <w:t>36.39</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25.97</w:t>
            </w:r>
          </w:p>
        </w:tc>
      </w:tr>
      <w:tr>
        <w:trPr>
          <w:trHeight w:val="390" w:hRule="exact"/>
        </w:trPr>
        <w:tc>
          <w:tcPr>
            <w:tcW w:w="535" w:type="dxa"/>
            <w:tcBorders>
              <w:top w:val="nil" w:sz="6" w:space="0" w:color="auto"/>
              <w:left w:val="nil" w:sz="6" w:space="0" w:color="auto"/>
              <w:bottom w:val="single" w:sz="12" w:space="0" w:color="000000"/>
              <w:right w:val="nil" w:sz="6" w:space="0" w:color="auto"/>
            </w:tcBorders>
          </w:tcPr>
          <w:p>
            <w:pPr/>
          </w:p>
        </w:tc>
        <w:tc>
          <w:tcPr>
            <w:tcW w:w="4709"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9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郑  蕾</w:t>
            </w:r>
            <w:r>
              <w:rPr>
                <w:rFonts w:ascii="Times New Roman" w:hAnsi="Times New Roman" w:cs="Times New Roman" w:eastAsia="Times New Roman" w:hint="default"/>
                <w:sz w:val="18"/>
                <w:szCs w:val="18"/>
              </w:rPr>
              <w:t>*</w:t>
            </w:r>
          </w:p>
        </w:tc>
        <w:tc>
          <w:tcPr>
            <w:tcW w:w="706"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284"/>
              <w:jc w:val="right"/>
              <w:rPr>
                <w:rFonts w:ascii="Times New Roman" w:hAnsi="Times New Roman" w:cs="Times New Roman" w:eastAsia="Times New Roman" w:hint="default"/>
                <w:sz w:val="18"/>
                <w:szCs w:val="18"/>
              </w:rPr>
            </w:pPr>
            <w:r>
              <w:rPr>
                <w:rFonts w:ascii="Times New Roman"/>
                <w:sz w:val="18"/>
              </w:rPr>
              <w:t>24.91</w:t>
            </w:r>
          </w:p>
        </w:tc>
        <w:tc>
          <w:tcPr>
            <w:tcW w:w="1805"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27.03</w:t>
            </w:r>
          </w:p>
        </w:tc>
      </w:tr>
    </w:tbl>
    <w:p>
      <w:pPr>
        <w:spacing w:line="240" w:lineRule="auto" w:before="12"/>
        <w:rPr>
          <w:rFonts w:ascii="宋体" w:hAnsi="宋体" w:cs="宋体" w:eastAsia="宋体" w:hint="default"/>
          <w:sz w:val="5"/>
          <w:szCs w:val="5"/>
        </w:rPr>
      </w:pPr>
    </w:p>
    <w:p>
      <w:pPr>
        <w:spacing w:before="44"/>
        <w:ind w:left="857" w:right="0" w:firstLine="0"/>
        <w:jc w:val="left"/>
        <w:rPr>
          <w:rFonts w:ascii="宋体" w:hAnsi="宋体" w:cs="宋体" w:eastAsia="宋体" w:hint="default"/>
          <w:sz w:val="18"/>
          <w:szCs w:val="18"/>
        </w:rPr>
      </w:pPr>
      <w:r>
        <w:rPr/>
        <w:pict>
          <v:group style="position:absolute;margin-left:119.040001pt;margin-top:-271.447968pt;width:391pt;height:265.350pt;mso-position-horizontal-relative:page;mso-position-vertical-relative:paragraph;z-index:-805600" coordorigin="2381,-5429" coordsize="7820,5307">
            <v:shape style="position:absolute;left:6019;top:-5429;width:2194;height:526" type="#_x0000_t75" stroked="false">
              <v:imagedata r:id="rId317" o:title=""/>
            </v:shape>
            <v:shape style="position:absolute;left:2381;top:-4961;width:7819;height:4838" type="#_x0000_t75" stroked="false">
              <v:imagedata r:id="rId318" o:title=""/>
            </v:shape>
            <w10:wrap type="none"/>
          </v:group>
        </w:pict>
      </w:r>
      <w:r>
        <w:rPr>
          <w:rFonts w:ascii="宋体" w:hAnsi="宋体" w:cs="宋体" w:eastAsia="宋体" w:hint="default"/>
          <w:sz w:val="18"/>
          <w:szCs w:val="18"/>
        </w:rPr>
        <w:t>*郑蕾女士于</w:t>
      </w:r>
      <w:r>
        <w:rPr>
          <w:rFonts w:ascii="宋体" w:hAnsi="宋体" w:cs="宋体" w:eastAsia="宋体" w:hint="default"/>
          <w:spacing w:val="-46"/>
          <w:sz w:val="18"/>
          <w:szCs w:val="18"/>
        </w:rPr>
        <w:t> </w:t>
      </w: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30</w:t>
      </w:r>
      <w:r>
        <w:rPr>
          <w:rFonts w:ascii="宋体" w:hAnsi="宋体" w:cs="宋体" w:eastAsia="宋体" w:hint="default"/>
          <w:spacing w:val="-46"/>
          <w:sz w:val="18"/>
          <w:szCs w:val="18"/>
        </w:rPr>
        <w:t> </w:t>
      </w:r>
      <w:r>
        <w:rPr>
          <w:rFonts w:ascii="宋体" w:hAnsi="宋体" w:cs="宋体" w:eastAsia="宋体" w:hint="default"/>
          <w:sz w:val="18"/>
          <w:szCs w:val="18"/>
        </w:rPr>
        <w:t>日正式辞去公司副总经理、董事会秘书职务。</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1"/>
          <w:szCs w:val="21"/>
        </w:rPr>
      </w:pPr>
    </w:p>
    <w:p>
      <w:pPr>
        <w:spacing w:line="328" w:lineRule="auto" w:before="0"/>
        <w:ind w:left="1400" w:right="5154" w:hanging="543"/>
        <w:jc w:val="left"/>
        <w:rPr>
          <w:rFonts w:ascii="宋体" w:hAnsi="宋体" w:cs="宋体" w:eastAsia="宋体" w:hint="default"/>
          <w:sz w:val="21"/>
          <w:szCs w:val="21"/>
        </w:rPr>
      </w:pPr>
      <w:r>
        <w:rPr/>
        <w:pict>
          <v:group style="position:absolute;margin-left:119.010002pt;margin-top:35.363815pt;width:402.6pt;height:207.2pt;mso-position-horizontal-relative:page;mso-position-vertical-relative:paragraph;z-index:-804808" coordorigin="2380,707" coordsize="8052,4144">
            <v:group style="position:absolute;left:2410;top:722;width:7986;height:2" coordorigin="2410,722" coordsize="7986,2">
              <v:shape style="position:absolute;left:2410;top:722;width:7986;height:2" coordorigin="2410,722" coordsize="7986,0" path="m2410,722l10396,722e" filled="false" stroked="true" strokeweight="1.5pt" strokecolor="#000000">
                <v:path arrowok="t"/>
              </v:shape>
              <v:shape style="position:absolute;left:3552;top:708;width:4519;height:432" type="#_x0000_t75" stroked="false">
                <v:imagedata r:id="rId319" o:title=""/>
              </v:shape>
              <v:shape style="position:absolute;left:3552;top:1083;width:6880;height:442" type="#_x0000_t75" stroked="false">
                <v:imagedata r:id="rId320" o:title=""/>
              </v:shape>
            </v:group>
            <v:group style="position:absolute;left:2395;top:4836;width:1186;height:2" coordorigin="2395,4836" coordsize="1186,2">
              <v:shape style="position:absolute;left:2395;top:4836;width:1186;height:2" coordorigin="2395,4836" coordsize="1186,0" path="m2395,4836l3581,4836e" filled="false" stroked="true" strokeweight="1.5pt" strokecolor="#000000">
                <v:path arrowok="t"/>
              </v:shape>
            </v:group>
            <v:group style="position:absolute;left:3581;top:4836;width:1701;height:2" coordorigin="3581,4836" coordsize="1701,2">
              <v:shape style="position:absolute;left:3581;top:4836;width:1701;height:2" coordorigin="3581,4836" coordsize="1701,0" path="m3581,4836l5281,4836e" filled="false" stroked="true" strokeweight="1.5pt" strokecolor="#000000">
                <v:path arrowok="t"/>
              </v:shape>
            </v:group>
            <v:group style="position:absolute;left:5281;top:4836;width:1469;height:2" coordorigin="5281,4836" coordsize="1469,2">
              <v:shape style="position:absolute;left:5281;top:4836;width:1469;height:2" coordorigin="5281,4836" coordsize="1469,0" path="m5281,4836l6750,4836e" filled="false" stroked="true" strokeweight="1.5pt" strokecolor="#000000">
                <v:path arrowok="t"/>
              </v:shape>
            </v:group>
            <v:group style="position:absolute;left:6750;top:4836;width:1283;height:2" coordorigin="6750,4836" coordsize="1283,2">
              <v:shape style="position:absolute;left:6750;top:4836;width:1283;height:2" coordorigin="6750,4836" coordsize="1283,0" path="m6750,4836l8033,4836e" filled="false" stroked="true" strokeweight="1.5pt" strokecolor="#000000">
                <v:path arrowok="t"/>
              </v:shape>
            </v:group>
            <v:group style="position:absolute;left:8033;top:4836;width:1276;height:2" coordorigin="8033,4836" coordsize="1276,2">
              <v:shape style="position:absolute;left:8033;top:4836;width:1276;height:2" coordorigin="8033,4836" coordsize="1276,0" path="m8033,4836l9308,4836e" filled="false" stroked="true" strokeweight="1.5pt" strokecolor="#000000">
                <v:path arrowok="t"/>
              </v:shape>
              <v:shape style="position:absolute;left:2390;top:1476;width:8032;height:3344" type="#_x0000_t75" stroked="false">
                <v:imagedata r:id="rId321" o:title=""/>
              </v:shape>
            </v:group>
            <v:group style="position:absolute;left:9308;top:4836;width:1088;height:2" coordorigin="9308,4836" coordsize="1088,2">
              <v:shape style="position:absolute;left:9308;top:4836;width:1088;height:2" coordorigin="9308,4836" coordsize="1088,0" path="m9308,4836l10396,4836e" filled="false" stroked="true" strokeweight="1.5pt" strokecolor="#000000">
                <v:path arrowok="t"/>
              </v:shape>
              <v:shape style="position:absolute;left:6301;top:83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857;top:83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636;top:10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项目名称</w:t>
                      </w:r>
                    </w:p>
                  </w:txbxContent>
                </v:textbox>
                <w10:wrap type="none"/>
              </v:shape>
              <v:shape style="position:absolute;left:4165;top:102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w:t>
                      </w:r>
                    </w:p>
                  </w:txbxContent>
                </v:textbox>
                <w10:wrap type="none"/>
              </v:shape>
              <v:shape style="position:absolute;left:5660;top:12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036;top:12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8315;top:12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9494;top:12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2518;top:17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预付账款</w:t>
                      </w:r>
                    </w:p>
                  </w:txbxContent>
                </v:textbox>
                <w10:wrap type="none"/>
              </v:shape>
              <v:shape style="position:absolute;left:3692;top:1571;width:1491;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广州基准机械电子</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科技有限公司</w:t>
                      </w:r>
                    </w:p>
                  </w:txbxContent>
                </v:textbox>
                <w10:wrap type="none"/>
              </v:shape>
              <v:shape style="position:absolute;left:5701;top:173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9,273,662.14</w:t>
                      </w:r>
                    </w:p>
                  </w:txbxContent>
                </v:textbox>
                <w10:wrap type="none"/>
              </v:shape>
              <v:shape style="position:absolute;left:8261;top:173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8,873,144.77</w:t>
                      </w:r>
                    </w:p>
                  </w:txbxContent>
                </v:textbox>
                <w10:wrap type="none"/>
              </v:shape>
              <v:shape style="position:absolute;left:2518;top:262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w:t>
                      </w:r>
                    </w:p>
                  </w:txbxContent>
                </v:textbox>
                <w10:wrap type="none"/>
              </v:shape>
              <v:shape style="position:absolute;left:3692;top:30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梁晓芹</w:t>
                      </w:r>
                    </w:p>
                  </w:txbxContent>
                </v:textbox>
                <w10:wrap type="none"/>
              </v:shape>
              <v:shape style="position:absolute;left:6017;top:3013;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6,000.00</w:t>
                      </w:r>
                    </w:p>
                  </w:txbxContent>
                </v:textbox>
                <w10:wrap type="none"/>
              </v:shape>
              <v:shape style="position:absolute;left:7434;top:3013;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300.00</w:t>
                      </w:r>
                    </w:p>
                  </w:txbxContent>
                </v:textbox>
                <w10:wrap type="none"/>
              </v:shape>
              <v:shape style="position:absolute;left:3692;top:3422;width:540;height:53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张成虎</w:t>
                      </w:r>
                    </w:p>
                    <w:p>
                      <w:pPr>
                        <w:spacing w:before="117"/>
                        <w:ind w:left="0" w:right="0" w:firstLine="0"/>
                        <w:jc w:val="left"/>
                        <w:rPr>
                          <w:rFonts w:ascii="宋体" w:hAnsi="宋体" w:cs="宋体" w:eastAsia="宋体" w:hint="default"/>
                          <w:sz w:val="18"/>
                          <w:szCs w:val="18"/>
                        </w:rPr>
                      </w:pPr>
                      <w:r>
                        <w:rPr>
                          <w:rFonts w:ascii="宋体" w:hAnsi="宋体" w:cs="宋体" w:eastAsia="宋体" w:hint="default"/>
                          <w:sz w:val="18"/>
                          <w:szCs w:val="18"/>
                        </w:rPr>
                        <w:t>高永坚</w:t>
                      </w:r>
                    </w:p>
                  </w:txbxContent>
                </v:textbox>
                <w10:wrap type="none"/>
              </v:shape>
              <v:shape style="position:absolute;left:5927;top:3398;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65,196.15</w:t>
                      </w:r>
                    </w:p>
                  </w:txbxContent>
                </v:textbox>
                <w10:wrap type="none"/>
              </v:shape>
              <v:shape style="position:absolute;left:7298;top:3398;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3,259.81</w:t>
                      </w:r>
                    </w:p>
                  </w:txbxContent>
                </v:textbox>
                <w10:wrap type="none"/>
              </v:shape>
              <v:shape style="position:absolute;left:8395;top:339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180,197.88</w:t>
                      </w:r>
                    </w:p>
                  </w:txbxContent>
                </v:textbox>
                <w10:wrap type="none"/>
              </v:shape>
              <v:shape style="position:absolute;left:9659;top:3398;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9,009.89</w:t>
                      </w:r>
                    </w:p>
                  </w:txbxContent>
                </v:textbox>
                <w10:wrap type="none"/>
              </v:shape>
              <v:shape style="position:absolute;left:5837;top:378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231,288.28</w:t>
                      </w:r>
                    </w:p>
                  </w:txbxContent>
                </v:textbox>
                <w10:wrap type="none"/>
              </v:shape>
              <v:shape style="position:absolute;left:7216;top:3782;width:71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11,564.41</w:t>
                      </w:r>
                    </w:p>
                  </w:txbxContent>
                </v:textbox>
                <w10:wrap type="none"/>
              </v:shape>
              <v:shape style="position:absolute;left:8395;top:378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285,035.58</w:t>
                      </w:r>
                    </w:p>
                  </w:txbxContent>
                </v:textbox>
                <w10:wrap type="none"/>
              </v:shape>
              <v:shape style="position:absolute;left:9569;top:378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14,251.78</w:t>
                      </w:r>
                    </w:p>
                  </w:txbxContent>
                </v:textbox>
                <w10:wrap type="none"/>
              </v:shape>
              <v:shape style="position:absolute;left:3692;top:415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庞泰松</w:t>
                      </w:r>
                    </w:p>
                  </w:txbxContent>
                </v:textbox>
                <w10:wrap type="none"/>
              </v:shape>
              <v:shape style="position:absolute;left:5837;top:4166;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224,490.24</w:t>
                      </w:r>
                    </w:p>
                  </w:txbxContent>
                </v:textbox>
                <w10:wrap type="none"/>
              </v:shape>
              <v:shape style="position:absolute;left:7216;top:4166;width:71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11,224.51</w:t>
                      </w:r>
                    </w:p>
                  </w:txbxContent>
                </v:textbox>
                <w10:wrap type="none"/>
              </v:shape>
              <v:shape style="position:absolute;left:3692;top:454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徐德银</w:t>
                      </w:r>
                    </w:p>
                  </w:txbxContent>
                </v:textbox>
                <w10:wrap type="none"/>
              </v:shape>
              <v:shape style="position:absolute;left:5837;top:455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139,663.99</w:t>
                      </w:r>
                    </w:p>
                  </w:txbxContent>
                </v:textbox>
                <w10:wrap type="none"/>
              </v:shape>
              <v:shape style="position:absolute;left:7298;top:4551;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6,983.20</w:t>
                      </w:r>
                    </w:p>
                  </w:txbxContent>
                </v:textbox>
                <w10:wrap type="none"/>
              </v:shape>
              <v:shape style="position:absolute;left:8395;top:4551;width:1896;height:180" type="#_x0000_t202" filled="false" stroked="false">
                <v:textbox inset="0,0,0,0">
                  <w:txbxContent>
                    <w:p>
                      <w:pPr>
                        <w:tabs>
                          <w:tab w:pos="1174"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200,000.00</w:t>
                        <w:tab/>
                        <w:t>10,000.00</w:t>
                      </w:r>
                    </w:p>
                  </w:txbxContent>
                </v:textbox>
                <w10:wrap type="none"/>
              </v:shape>
            </v:group>
            <w10:wrap type="none"/>
          </v:group>
        </w:pict>
      </w: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w:t>
      </w:r>
      <w:r>
        <w:rPr>
          <w:rFonts w:ascii="宋体" w:hAnsi="宋体" w:cs="宋体" w:eastAsia="宋体" w:hint="default"/>
          <w:b/>
          <w:bCs/>
          <w:spacing w:val="27"/>
          <w:sz w:val="21"/>
          <w:szCs w:val="21"/>
        </w:rPr>
        <w:t> </w:t>
      </w:r>
      <w:r>
        <w:rPr>
          <w:rFonts w:ascii="宋体" w:hAnsi="宋体" w:cs="宋体" w:eastAsia="宋体" w:hint="default"/>
          <w:b/>
          <w:bCs/>
          <w:sz w:val="21"/>
          <w:szCs w:val="21"/>
        </w:rPr>
        <w:t>关联方应收应付款项</w:t>
      </w:r>
      <w:r>
        <w:rPr>
          <w:rFonts w:ascii="宋体" w:hAnsi="宋体" w:cs="宋体" w:eastAsia="宋体" w:hint="default"/>
          <w:b/>
          <w:bCs/>
          <w:spacing w:val="1"/>
          <w:w w:val="99"/>
          <w:sz w:val="21"/>
          <w:szCs w:val="21"/>
        </w:rPr>
        <w:t> </w:t>
      </w:r>
      <w:r>
        <w:rPr>
          <w:rFonts w:ascii="宋体" w:hAnsi="宋体" w:cs="宋体" w:eastAsia="宋体" w:hint="default"/>
          <w:sz w:val="21"/>
          <w:szCs w:val="21"/>
        </w:rPr>
        <w:t>上市公司应收关联方款项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6"/>
          <w:szCs w:val="16"/>
        </w:rPr>
      </w:pPr>
    </w:p>
    <w:p>
      <w:pPr>
        <w:tabs>
          <w:tab w:pos="773" w:val="left" w:leader="none"/>
        </w:tabs>
        <w:spacing w:before="35"/>
        <w:ind w:left="140" w:right="0" w:firstLine="0"/>
        <w:jc w:val="left"/>
        <w:rPr>
          <w:rFonts w:ascii="宋体" w:hAnsi="宋体" w:cs="宋体" w:eastAsia="宋体" w:hint="default"/>
          <w:sz w:val="21"/>
          <w:szCs w:val="21"/>
        </w:rPr>
      </w:pPr>
      <w:r>
        <w:rPr>
          <w:rFonts w:ascii="宋体" w:hAnsi="宋体" w:cs="宋体" w:eastAsia="宋体" w:hint="default"/>
          <w:b/>
          <w:bCs/>
          <w:w w:val="95"/>
          <w:sz w:val="21"/>
          <w:szCs w:val="21"/>
        </w:rPr>
        <w:t>八、</w:t>
        <w:tab/>
      </w:r>
      <w:r>
        <w:rPr>
          <w:rFonts w:ascii="宋体" w:hAnsi="宋体" w:cs="宋体" w:eastAsia="宋体" w:hint="default"/>
          <w:b/>
          <w:bCs/>
          <w:sz w:val="21"/>
          <w:szCs w:val="21"/>
        </w:rPr>
        <w:t>股份支付</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7" w:footer="1256" w:top="1100" w:bottom="1440" w:left="1660" w:right="1360"/>
        </w:sectPr>
      </w:pPr>
    </w:p>
    <w:p>
      <w:pPr>
        <w:spacing w:line="240" w:lineRule="auto" w:before="2"/>
        <w:rPr>
          <w:rFonts w:ascii="宋体" w:hAnsi="宋体" w:cs="宋体" w:eastAsia="宋体" w:hint="default"/>
          <w:b/>
          <w:bCs/>
          <w:sz w:val="28"/>
          <w:szCs w:val="28"/>
        </w:rPr>
      </w:pPr>
    </w:p>
    <w:p>
      <w:pPr>
        <w:tabs>
          <w:tab w:pos="755" w:val="left" w:leader="none"/>
        </w:tabs>
        <w:spacing w:before="35"/>
        <w:ind w:left="140"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股份支付总体情况</w:t>
      </w:r>
      <w:r>
        <w:rPr>
          <w:rFonts w:ascii="宋体" w:hAnsi="宋体" w:cs="宋体" w:eastAsia="宋体" w:hint="default"/>
          <w:sz w:val="21"/>
          <w:szCs w:val="21"/>
        </w:rPr>
      </w:r>
    </w:p>
    <w:p>
      <w:pPr>
        <w:spacing w:line="391" w:lineRule="auto" w:before="79"/>
        <w:ind w:left="769" w:right="581" w:firstLine="0"/>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2011</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6</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15</w:t>
      </w:r>
      <w:r>
        <w:rPr>
          <w:rFonts w:ascii="宋体" w:hAnsi="宋体" w:cs="宋体" w:eastAsia="宋体" w:hint="default"/>
          <w:spacing w:val="-2"/>
          <w:sz w:val="21"/>
          <w:szCs w:val="21"/>
        </w:rPr>
        <w:t>日，公司第三届董事会第二十一次会议审议通过了《关于确定公司</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股票期权激励计划首次授权日的议案》，确定本次激励计划的股票期权授权日</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z w:val="21"/>
          <w:szCs w:val="21"/>
        </w:rPr>
        <w:t>为</w:t>
      </w: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月</w:t>
      </w:r>
      <w:r>
        <w:rPr>
          <w:rFonts w:ascii="Times New Roman" w:hAnsi="Times New Roman" w:cs="Times New Roman" w:eastAsia="Times New Roman" w:hint="default"/>
          <w:sz w:val="21"/>
          <w:szCs w:val="21"/>
        </w:rPr>
        <w:t>16</w:t>
      </w:r>
      <w:r>
        <w:rPr>
          <w:rFonts w:ascii="宋体" w:hAnsi="宋体" w:cs="宋体" w:eastAsia="宋体" w:hint="default"/>
          <w:sz w:val="21"/>
          <w:szCs w:val="21"/>
        </w:rPr>
        <w:t>日，向符合授权条件的</w:t>
      </w:r>
      <w:r>
        <w:rPr>
          <w:rFonts w:ascii="Times New Roman" w:hAnsi="Times New Roman" w:cs="Times New Roman" w:eastAsia="Times New Roman" w:hint="default"/>
          <w:sz w:val="21"/>
          <w:szCs w:val="21"/>
        </w:rPr>
        <w:t>29</w:t>
      </w:r>
      <w:r>
        <w:rPr>
          <w:rFonts w:ascii="宋体" w:hAnsi="宋体" w:cs="宋体" w:eastAsia="宋体" w:hint="default"/>
          <w:sz w:val="21"/>
          <w:szCs w:val="21"/>
        </w:rPr>
        <w:t>名激励对象授予</w:t>
      </w:r>
      <w:r>
        <w:rPr>
          <w:rFonts w:ascii="Times New Roman" w:hAnsi="Times New Roman" w:cs="Times New Roman" w:eastAsia="Times New Roman" w:hint="default"/>
          <w:sz w:val="21"/>
          <w:szCs w:val="21"/>
        </w:rPr>
        <w:t>292.50</w:t>
      </w:r>
      <w:r>
        <w:rPr>
          <w:rFonts w:ascii="宋体" w:hAnsi="宋体" w:cs="宋体" w:eastAsia="宋体" w:hint="default"/>
          <w:sz w:val="21"/>
          <w:szCs w:val="21"/>
        </w:rPr>
        <w:t>万份股票期权。</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股票期权分五次行权，每个行权期可行权数量为</w:t>
      </w:r>
      <w:r>
        <w:rPr>
          <w:rFonts w:ascii="Times New Roman" w:hAnsi="Times New Roman" w:cs="Times New Roman" w:eastAsia="Times New Roman" w:hint="default"/>
          <w:sz w:val="21"/>
          <w:szCs w:val="21"/>
        </w:rPr>
        <w:t>58.50</w:t>
      </w:r>
      <w:r>
        <w:rPr>
          <w:rFonts w:ascii="宋体" w:hAnsi="宋体" w:cs="宋体" w:eastAsia="宋体" w:hint="default"/>
          <w:sz w:val="21"/>
          <w:szCs w:val="21"/>
        </w:rPr>
        <w:t>万份，可行权数量占获授</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期权数量的</w:t>
      </w:r>
      <w:r>
        <w:rPr>
          <w:rFonts w:ascii="Times New Roman" w:hAnsi="Times New Roman" w:cs="Times New Roman" w:eastAsia="Times New Roman" w:hint="default"/>
          <w:sz w:val="21"/>
          <w:szCs w:val="21"/>
        </w:rPr>
        <w:t>20%</w:t>
      </w:r>
      <w:r>
        <w:rPr>
          <w:rFonts w:ascii="宋体" w:hAnsi="宋体" w:cs="宋体" w:eastAsia="宋体" w:hint="default"/>
          <w:sz w:val="21"/>
          <w:szCs w:val="21"/>
        </w:rPr>
        <w:t>。</w:t>
      </w:r>
    </w:p>
    <w:p>
      <w:pPr>
        <w:spacing w:line="240" w:lineRule="auto" w:before="0"/>
        <w:rPr>
          <w:rFonts w:ascii="宋体" w:hAnsi="宋体" w:cs="宋体" w:eastAsia="宋体" w:hint="default"/>
          <w:sz w:val="22"/>
          <w:szCs w:val="22"/>
        </w:rPr>
      </w:pPr>
    </w:p>
    <w:p>
      <w:pPr>
        <w:tabs>
          <w:tab w:pos="853" w:val="left" w:leader="none"/>
        </w:tabs>
        <w:spacing w:before="153"/>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以权益结算的股份支付情况</w:t>
      </w:r>
      <w:r>
        <w:rPr>
          <w:rFonts w:ascii="宋体" w:hAnsi="宋体" w:cs="宋体" w:eastAsia="宋体" w:hint="default"/>
          <w:sz w:val="21"/>
          <w:szCs w:val="21"/>
        </w:rPr>
      </w:r>
    </w:p>
    <w:p>
      <w:pPr>
        <w:spacing w:line="398" w:lineRule="auto" w:before="79"/>
        <w:ind w:left="850" w:right="789" w:firstLine="0"/>
        <w:jc w:val="both"/>
        <w:rPr>
          <w:rFonts w:ascii="宋体" w:hAnsi="宋体" w:cs="宋体" w:eastAsia="宋体" w:hint="default"/>
          <w:sz w:val="21"/>
          <w:szCs w:val="21"/>
        </w:rPr>
      </w:pPr>
      <w:r>
        <w:rPr>
          <w:rFonts w:ascii="宋体" w:hAnsi="宋体" w:cs="宋体" w:eastAsia="宋体" w:hint="default"/>
          <w:spacing w:val="2"/>
          <w:sz w:val="21"/>
          <w:szCs w:val="21"/>
        </w:rPr>
        <w:t>根据《企业会计准则第</w:t>
      </w:r>
      <w:r>
        <w:rPr>
          <w:rFonts w:ascii="Times New Roman" w:hAnsi="Times New Roman" w:cs="Times New Roman" w:eastAsia="Times New Roman" w:hint="default"/>
          <w:spacing w:val="2"/>
          <w:sz w:val="21"/>
          <w:szCs w:val="21"/>
        </w:rPr>
        <w:t>22</w:t>
      </w:r>
      <w:r>
        <w:rPr>
          <w:rFonts w:ascii="宋体" w:hAnsi="宋体" w:cs="宋体" w:eastAsia="宋体" w:hint="default"/>
          <w:spacing w:val="2"/>
          <w:sz w:val="21"/>
          <w:szCs w:val="21"/>
        </w:rPr>
        <w:t>号-金融工具确认和计量》中关于公允价值确定的</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相关规定，公司选择</w:t>
      </w:r>
      <w:r>
        <w:rPr>
          <w:rFonts w:ascii="Times New Roman" w:hAnsi="Times New Roman" w:cs="Times New Roman" w:eastAsia="Times New Roman" w:hint="default"/>
          <w:sz w:val="21"/>
          <w:szCs w:val="21"/>
        </w:rPr>
        <w:t>Black-Scholes</w:t>
      </w:r>
      <w:r>
        <w:rPr>
          <w:rFonts w:ascii="宋体" w:hAnsi="宋体" w:cs="宋体" w:eastAsia="宋体" w:hint="default"/>
          <w:sz w:val="21"/>
          <w:szCs w:val="21"/>
        </w:rPr>
        <w:t>模型对授予的股票期权的公允价值进行测</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1"/>
          <w:sz w:val="21"/>
          <w:szCs w:val="21"/>
        </w:rPr>
        <w:t>算。由于激励对象的准确行权时间和数量无法预估，且股票期权对应的股票</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1"/>
          <w:sz w:val="21"/>
          <w:szCs w:val="21"/>
        </w:rPr>
        <w:t>占御银股份总股本的比例不大，故我们的估算未考虑激励对象行权产生的业</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绩摊薄效应。</w:t>
      </w:r>
    </w:p>
    <w:p>
      <w:pPr>
        <w:spacing w:line="267" w:lineRule="exact" w:before="0"/>
        <w:ind w:left="834"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Black-Scholes</w:t>
      </w:r>
      <w:r>
        <w:rPr>
          <w:rFonts w:ascii="宋体" w:hAnsi="宋体" w:cs="宋体" w:eastAsia="宋体" w:hint="default"/>
          <w:sz w:val="21"/>
          <w:szCs w:val="21"/>
        </w:rPr>
        <w:t>模型公式及相关参数如下：</w:t>
      </w:r>
    </w:p>
    <w:p>
      <w:pPr>
        <w:spacing w:line="240" w:lineRule="auto" w:before="12"/>
        <w:rPr>
          <w:rFonts w:ascii="宋体" w:hAnsi="宋体" w:cs="宋体" w:eastAsia="宋体" w:hint="default"/>
          <w:sz w:val="22"/>
          <w:szCs w:val="22"/>
        </w:rPr>
      </w:pPr>
    </w:p>
    <w:p>
      <w:pPr>
        <w:spacing w:line="157" w:lineRule="exact" w:before="64"/>
        <w:ind w:left="2960" w:right="5123" w:firstLine="0"/>
        <w:jc w:val="center"/>
        <w:rPr>
          <w:rFonts w:ascii="Symbol" w:hAnsi="Symbol" w:cs="Symbol" w:eastAsia="Symbol" w:hint="default"/>
          <w:sz w:val="22"/>
          <w:szCs w:val="22"/>
        </w:rPr>
      </w:pPr>
      <w:r>
        <w:rPr>
          <w:rFonts w:ascii="Symbol" w:hAnsi="Symbol" w:cs="Symbol" w:eastAsia="Symbol" w:hint="default"/>
          <w:w w:val="95"/>
          <w:sz w:val="22"/>
          <w:szCs w:val="22"/>
        </w:rPr>
        <w:t></w:t>
      </w:r>
      <w:r>
        <w:rPr>
          <w:rFonts w:ascii="Symbol" w:hAnsi="Symbol" w:cs="Symbol" w:eastAsia="Symbol" w:hint="default"/>
          <w:w w:val="95"/>
          <w:sz w:val="14"/>
          <w:szCs w:val="14"/>
        </w:rPr>
        <w:t></w:t>
      </w:r>
      <w:r>
        <w:rPr>
          <w:rFonts w:ascii="Symbol" w:hAnsi="Symbol" w:cs="Symbol" w:eastAsia="Symbol" w:hint="default"/>
          <w:spacing w:val="-25"/>
          <w:w w:val="95"/>
          <w:sz w:val="14"/>
          <w:szCs w:val="14"/>
        </w:rPr>
        <w:t></w:t>
      </w:r>
      <w:r>
        <w:rPr>
          <w:rFonts w:ascii="Times New Roman" w:hAnsi="Times New Roman" w:cs="Times New Roman" w:eastAsia="Times New Roman" w:hint="default"/>
          <w:spacing w:val="-25"/>
          <w:w w:val="95"/>
          <w:sz w:val="14"/>
          <w:szCs w:val="14"/>
        </w:rPr>
      </w:r>
      <w:r>
        <w:rPr>
          <w:rFonts w:ascii="Times New Roman" w:hAnsi="Times New Roman" w:cs="Times New Roman" w:eastAsia="Times New Roman" w:hint="default"/>
          <w:i/>
          <w:w w:val="95"/>
          <w:sz w:val="14"/>
          <w:szCs w:val="14"/>
        </w:rPr>
        <w:t>R</w:t>
      </w:r>
      <w:r>
        <w:rPr>
          <w:rFonts w:ascii="Times New Roman" w:hAnsi="Times New Roman" w:cs="Times New Roman" w:eastAsia="Times New Roman" w:hint="default"/>
          <w:i/>
          <w:spacing w:val="-24"/>
          <w:w w:val="95"/>
          <w:sz w:val="14"/>
          <w:szCs w:val="14"/>
        </w:rPr>
        <w:t> </w:t>
      </w:r>
      <w:r>
        <w:rPr>
          <w:rFonts w:ascii="Times New Roman" w:hAnsi="Times New Roman" w:cs="Times New Roman" w:eastAsia="Times New Roman" w:hint="default"/>
          <w:i/>
          <w:w w:val="95"/>
          <w:position w:val="-2"/>
          <w:sz w:val="10"/>
          <w:szCs w:val="10"/>
        </w:rPr>
        <w:t>f</w:t>
      </w:r>
      <w:r>
        <w:rPr>
          <w:rFonts w:ascii="Times New Roman" w:hAnsi="Times New Roman" w:cs="Times New Roman" w:eastAsia="Times New Roman" w:hint="default"/>
          <w:i/>
          <w:spacing w:val="-11"/>
          <w:w w:val="95"/>
          <w:position w:val="-2"/>
          <w:sz w:val="10"/>
          <w:szCs w:val="10"/>
        </w:rPr>
        <w:t> </w:t>
      </w:r>
      <w:r>
        <w:rPr>
          <w:rFonts w:ascii="Times New Roman" w:hAnsi="Times New Roman" w:cs="Times New Roman" w:eastAsia="Times New Roman" w:hint="default"/>
          <w:i/>
          <w:w w:val="95"/>
          <w:sz w:val="14"/>
          <w:szCs w:val="14"/>
        </w:rPr>
        <w:t>T</w:t>
      </w:r>
      <w:r>
        <w:rPr>
          <w:rFonts w:ascii="Times New Roman" w:hAnsi="Times New Roman" w:cs="Times New Roman" w:eastAsia="Times New Roman" w:hint="default"/>
          <w:i/>
          <w:spacing w:val="-16"/>
          <w:w w:val="95"/>
          <w:sz w:val="14"/>
          <w:szCs w:val="14"/>
        </w:rPr>
        <w:t> </w:t>
      </w:r>
      <w:r>
        <w:rPr>
          <w:rFonts w:ascii="Symbol" w:hAnsi="Symbol" w:cs="Symbol" w:eastAsia="Symbol" w:hint="default"/>
          <w:w w:val="95"/>
          <w:sz w:val="22"/>
          <w:szCs w:val="22"/>
        </w:rPr>
        <w:t></w:t>
      </w:r>
      <w:r>
        <w:rPr>
          <w:rFonts w:ascii="Symbol" w:hAnsi="Symbol" w:cs="Symbol" w:eastAsia="Symbol" w:hint="default"/>
          <w:sz w:val="22"/>
          <w:szCs w:val="22"/>
        </w:rPr>
      </w:r>
    </w:p>
    <w:p>
      <w:pPr>
        <w:tabs>
          <w:tab w:pos="3472" w:val="left" w:leader="none"/>
        </w:tabs>
        <w:spacing w:line="286" w:lineRule="exact" w:before="0"/>
        <w:ind w:left="892" w:right="0" w:firstLine="0"/>
        <w:jc w:val="left"/>
        <w:rPr>
          <w:rFonts w:ascii="Symbol" w:hAnsi="Symbol" w:cs="Symbol" w:eastAsia="Symbol" w:hint="default"/>
          <w:sz w:val="31"/>
          <w:szCs w:val="31"/>
        </w:rPr>
      </w:pPr>
      <w:r>
        <w:rPr/>
        <w:pict>
          <v:shape style="position:absolute;margin-left:286.019989pt;margin-top:7.143477pt;width:3.5pt;height:6.95pt;mso-position-horizontal-relative:page;mso-position-vertical-relative:paragraph;z-index:-804688" type="#_x0000_t202" filled="false" stroked="false">
            <v:textbox inset="0,0,0,0">
              <w:txbxContent>
                <w:p>
                  <w:pPr>
                    <w:spacing w:line="138" w:lineRule="exact" w:before="0"/>
                    <w:ind w:left="0" w:right="0" w:firstLine="0"/>
                    <w:jc w:val="left"/>
                    <w:rPr>
                      <w:rFonts w:ascii="Times New Roman" w:hAnsi="Times New Roman" w:cs="Times New Roman" w:eastAsia="Times New Roman" w:hint="default"/>
                      <w:sz w:val="14"/>
                      <w:szCs w:val="14"/>
                    </w:rPr>
                  </w:pPr>
                  <w:r>
                    <w:rPr>
                      <w:rFonts w:ascii="Times New Roman"/>
                      <w:w w:val="98"/>
                      <w:sz w:val="14"/>
                    </w:rPr>
                    <w:t>2</w:t>
                  </w:r>
                  <w:r>
                    <w:rPr>
                      <w:rFonts w:ascii="Times New Roman"/>
                      <w:sz w:val="14"/>
                    </w:rPr>
                  </w:r>
                </w:p>
              </w:txbxContent>
            </v:textbox>
            <w10:wrap type="none"/>
          </v:shape>
        </w:pict>
      </w:r>
      <w:r>
        <w:rPr>
          <w:rFonts w:ascii="Times New Roman" w:hAnsi="Times New Roman" w:cs="Times New Roman" w:eastAsia="Times New Roman" w:hint="default"/>
          <w:w w:val="103"/>
          <w:sz w:val="23"/>
          <w:szCs w:val="23"/>
        </w:rPr>
        <w:t>C</w:t>
      </w:r>
      <w:r>
        <w:rPr>
          <w:rFonts w:ascii="Times New Roman" w:hAnsi="Times New Roman" w:cs="Times New Roman" w:eastAsia="Times New Roman" w:hint="default"/>
          <w:spacing w:val="6"/>
          <w:sz w:val="23"/>
          <w:szCs w:val="23"/>
        </w:rPr>
        <w:t> </w:t>
      </w:r>
      <w:r>
        <w:rPr>
          <w:rFonts w:ascii="Symbol" w:hAnsi="Symbol" w:cs="Symbol" w:eastAsia="Symbol" w:hint="default"/>
          <w:w w:val="103"/>
          <w:sz w:val="23"/>
          <w:szCs w:val="23"/>
        </w:rPr>
        <w:t></w:t>
      </w:r>
      <w:r>
        <w:rPr>
          <w:rFonts w:ascii="Times New Roman" w:hAnsi="Times New Roman" w:cs="Times New Roman" w:eastAsia="Times New Roman" w:hint="default"/>
          <w:spacing w:val="10"/>
          <w:sz w:val="23"/>
          <w:szCs w:val="23"/>
        </w:rPr>
        <w:t> </w:t>
      </w:r>
      <w:r>
        <w:rPr>
          <w:rFonts w:ascii="Times New Roman" w:hAnsi="Times New Roman" w:cs="Times New Roman" w:eastAsia="Times New Roman" w:hint="default"/>
          <w:i/>
          <w:w w:val="103"/>
          <w:sz w:val="23"/>
          <w:szCs w:val="23"/>
        </w:rPr>
        <w:t>S</w:t>
      </w:r>
      <w:r>
        <w:rPr>
          <w:rFonts w:ascii="Times New Roman" w:hAnsi="Times New Roman" w:cs="Times New Roman" w:eastAsia="Times New Roman" w:hint="default"/>
          <w:i/>
          <w:spacing w:val="-4"/>
          <w:sz w:val="23"/>
          <w:szCs w:val="23"/>
        </w:rPr>
        <w:t> </w:t>
      </w:r>
      <w:r>
        <w:rPr>
          <w:rFonts w:ascii="Symbol" w:hAnsi="Symbol" w:cs="Symbol" w:eastAsia="Symbol" w:hint="default"/>
          <w:w w:val="103"/>
          <w:sz w:val="23"/>
          <w:szCs w:val="23"/>
        </w:rPr>
        <w:t></w:t>
      </w:r>
      <w:r>
        <w:rPr>
          <w:rFonts w:ascii="Times New Roman" w:hAnsi="Times New Roman" w:cs="Times New Roman" w:eastAsia="Times New Roman" w:hint="default"/>
          <w:spacing w:val="-3"/>
          <w:sz w:val="23"/>
          <w:szCs w:val="23"/>
        </w:rPr>
        <w:t> </w:t>
      </w:r>
      <w:r>
        <w:rPr>
          <w:rFonts w:ascii="Times New Roman" w:hAnsi="Times New Roman" w:cs="Times New Roman" w:eastAsia="Times New Roman" w:hint="default"/>
          <w:i/>
          <w:w w:val="103"/>
          <w:sz w:val="23"/>
          <w:szCs w:val="23"/>
        </w:rPr>
        <w:t>N</w:t>
      </w:r>
      <w:r>
        <w:rPr>
          <w:rFonts w:ascii="Times New Roman" w:hAnsi="Times New Roman" w:cs="Times New Roman" w:eastAsia="Times New Roman" w:hint="default"/>
          <w:i/>
          <w:spacing w:val="-30"/>
          <w:sz w:val="23"/>
          <w:szCs w:val="23"/>
        </w:rPr>
        <w:t> </w:t>
      </w:r>
      <w:r>
        <w:rPr>
          <w:rFonts w:ascii="Symbol" w:hAnsi="Symbol" w:cs="Symbol" w:eastAsia="Symbol" w:hint="default"/>
          <w:spacing w:val="-4"/>
          <w:w w:val="76"/>
          <w:sz w:val="31"/>
          <w:szCs w:val="31"/>
        </w:rPr>
        <w:t></w:t>
      </w:r>
      <w:r>
        <w:rPr>
          <w:rFonts w:ascii="Times New Roman" w:hAnsi="Times New Roman" w:cs="Times New Roman" w:eastAsia="Times New Roman" w:hint="default"/>
          <w:i/>
          <w:spacing w:val="7"/>
          <w:w w:val="103"/>
          <w:sz w:val="23"/>
          <w:szCs w:val="23"/>
        </w:rPr>
        <w:t>d</w:t>
      </w:r>
      <w:r>
        <w:rPr>
          <w:rFonts w:ascii="Times New Roman" w:hAnsi="Times New Roman" w:cs="Times New Roman" w:eastAsia="Times New Roman" w:hint="default"/>
          <w:w w:val="98"/>
          <w:position w:val="-5"/>
          <w:sz w:val="14"/>
          <w:szCs w:val="14"/>
        </w:rPr>
        <w:t>1</w:t>
      </w:r>
      <w:r>
        <w:rPr>
          <w:rFonts w:ascii="Times New Roman" w:hAnsi="Times New Roman" w:cs="Times New Roman" w:eastAsia="Times New Roman" w:hint="default"/>
          <w:spacing w:val="-3"/>
          <w:position w:val="-5"/>
          <w:sz w:val="14"/>
          <w:szCs w:val="14"/>
        </w:rPr>
        <w:t> </w:t>
      </w:r>
      <w:r>
        <w:rPr>
          <w:rFonts w:ascii="Symbol" w:hAnsi="Symbol" w:cs="Symbol" w:eastAsia="Symbol" w:hint="default"/>
          <w:w w:val="76"/>
          <w:sz w:val="31"/>
          <w:szCs w:val="31"/>
        </w:rPr>
        <w:t></w:t>
      </w:r>
      <w:r>
        <w:rPr>
          <w:rFonts w:ascii="Times New Roman" w:hAnsi="Times New Roman" w:cs="Times New Roman" w:eastAsia="Times New Roman" w:hint="default"/>
          <w:spacing w:val="-50"/>
          <w:sz w:val="31"/>
          <w:szCs w:val="31"/>
        </w:rPr>
        <w:t> </w:t>
      </w:r>
      <w:r>
        <w:rPr>
          <w:rFonts w:ascii="Symbol" w:hAnsi="Symbol" w:cs="Symbol" w:eastAsia="Symbol" w:hint="default"/>
          <w:w w:val="103"/>
          <w:sz w:val="23"/>
          <w:szCs w:val="23"/>
        </w:rPr>
        <w:t></w:t>
      </w:r>
      <w:r>
        <w:rPr>
          <w:rFonts w:ascii="Times New Roman" w:hAnsi="Times New Roman" w:cs="Times New Roman" w:eastAsia="Times New Roman" w:hint="default"/>
          <w:spacing w:val="11"/>
          <w:sz w:val="23"/>
          <w:szCs w:val="23"/>
        </w:rPr>
        <w:t> </w:t>
      </w:r>
      <w:r>
        <w:rPr>
          <w:rFonts w:ascii="Times New Roman" w:hAnsi="Times New Roman" w:cs="Times New Roman" w:eastAsia="Times New Roman" w:hint="default"/>
          <w:i/>
          <w:w w:val="103"/>
          <w:sz w:val="23"/>
          <w:szCs w:val="23"/>
        </w:rPr>
        <w:t>X</w:t>
      </w:r>
      <w:r>
        <w:rPr>
          <w:rFonts w:ascii="Times New Roman" w:hAnsi="Times New Roman" w:cs="Times New Roman" w:eastAsia="Times New Roman" w:hint="default"/>
          <w:i/>
          <w:spacing w:val="16"/>
          <w:sz w:val="23"/>
          <w:szCs w:val="23"/>
        </w:rPr>
        <w:t> </w:t>
      </w:r>
      <w:r>
        <w:rPr>
          <w:rFonts w:ascii="Symbol" w:hAnsi="Symbol" w:cs="Symbol" w:eastAsia="Symbol" w:hint="default"/>
          <w:w w:val="103"/>
          <w:sz w:val="23"/>
          <w:szCs w:val="23"/>
        </w:rPr>
        <w:t></w:t>
      </w:r>
      <w:r>
        <w:rPr>
          <w:rFonts w:ascii="Times New Roman" w:hAnsi="Times New Roman" w:cs="Times New Roman" w:eastAsia="Times New Roman" w:hint="default"/>
          <w:spacing w:val="-20"/>
          <w:sz w:val="23"/>
          <w:szCs w:val="23"/>
        </w:rPr>
        <w:t> </w:t>
      </w:r>
      <w:r>
        <w:rPr>
          <w:rFonts w:ascii="Times New Roman" w:hAnsi="Times New Roman" w:cs="Times New Roman" w:eastAsia="Times New Roman" w:hint="default"/>
          <w:i/>
          <w:w w:val="103"/>
          <w:sz w:val="23"/>
          <w:szCs w:val="23"/>
        </w:rPr>
        <w:t>e</w:t>
      </w:r>
      <w:r>
        <w:rPr>
          <w:rFonts w:ascii="Times New Roman" w:hAnsi="Times New Roman" w:cs="Times New Roman" w:eastAsia="Times New Roman" w:hint="default"/>
          <w:i/>
          <w:sz w:val="23"/>
          <w:szCs w:val="23"/>
        </w:rPr>
        <w:tab/>
      </w:r>
      <w:r>
        <w:rPr>
          <w:rFonts w:ascii="Symbol" w:hAnsi="Symbol" w:cs="Symbol" w:eastAsia="Symbol" w:hint="default"/>
          <w:w w:val="103"/>
          <w:sz w:val="23"/>
          <w:szCs w:val="23"/>
        </w:rPr>
        <w:t></w:t>
      </w:r>
      <w:r>
        <w:rPr>
          <w:rFonts w:ascii="Times New Roman" w:hAnsi="Times New Roman" w:cs="Times New Roman" w:eastAsia="Times New Roman" w:hint="default"/>
          <w:spacing w:val="-5"/>
          <w:sz w:val="23"/>
          <w:szCs w:val="23"/>
        </w:rPr>
        <w:t> </w:t>
      </w:r>
      <w:r>
        <w:rPr>
          <w:rFonts w:ascii="Times New Roman" w:hAnsi="Times New Roman" w:cs="Times New Roman" w:eastAsia="Times New Roman" w:hint="default"/>
          <w:i/>
          <w:w w:val="103"/>
          <w:sz w:val="23"/>
          <w:szCs w:val="23"/>
        </w:rPr>
        <w:t>N</w:t>
      </w:r>
      <w:r>
        <w:rPr>
          <w:rFonts w:ascii="Times New Roman" w:hAnsi="Times New Roman" w:cs="Times New Roman" w:eastAsia="Times New Roman" w:hint="default"/>
          <w:i/>
          <w:spacing w:val="-29"/>
          <w:sz w:val="23"/>
          <w:szCs w:val="23"/>
        </w:rPr>
        <w:t> </w:t>
      </w:r>
      <w:r>
        <w:rPr>
          <w:rFonts w:ascii="Symbol" w:hAnsi="Symbol" w:cs="Symbol" w:eastAsia="Symbol" w:hint="default"/>
          <w:spacing w:val="-5"/>
          <w:w w:val="76"/>
          <w:sz w:val="31"/>
          <w:szCs w:val="31"/>
        </w:rPr>
        <w:t></w:t>
      </w:r>
      <w:r>
        <w:rPr>
          <w:rFonts w:ascii="Times New Roman" w:hAnsi="Times New Roman" w:cs="Times New Roman" w:eastAsia="Times New Roman" w:hint="default"/>
          <w:i/>
          <w:w w:val="103"/>
          <w:sz w:val="23"/>
          <w:szCs w:val="23"/>
        </w:rPr>
        <w:t>d</w:t>
      </w:r>
      <w:r>
        <w:rPr>
          <w:rFonts w:ascii="Times New Roman" w:hAnsi="Times New Roman" w:cs="Times New Roman" w:eastAsia="Times New Roman" w:hint="default"/>
          <w:i/>
          <w:sz w:val="23"/>
          <w:szCs w:val="23"/>
        </w:rPr>
        <w:t> </w:t>
      </w:r>
      <w:r>
        <w:rPr>
          <w:rFonts w:ascii="Times New Roman" w:hAnsi="Times New Roman" w:cs="Times New Roman" w:eastAsia="Times New Roman" w:hint="default"/>
          <w:i/>
          <w:spacing w:val="20"/>
          <w:sz w:val="23"/>
          <w:szCs w:val="23"/>
        </w:rPr>
        <w:t> </w:t>
      </w:r>
      <w:r>
        <w:rPr>
          <w:rFonts w:ascii="Symbol" w:hAnsi="Symbol" w:cs="Symbol" w:eastAsia="Symbol" w:hint="default"/>
          <w:w w:val="76"/>
          <w:sz w:val="31"/>
          <w:szCs w:val="31"/>
        </w:rPr>
        <w:t></w:t>
      </w:r>
      <w:r>
        <w:rPr>
          <w:rFonts w:ascii="Symbol" w:hAnsi="Symbol" w:cs="Symbol" w:eastAsia="Symbol" w:hint="default"/>
          <w:sz w:val="31"/>
          <w:szCs w:val="31"/>
        </w:rPr>
      </w:r>
    </w:p>
    <w:p>
      <w:pPr>
        <w:spacing w:line="240" w:lineRule="auto" w:before="6"/>
        <w:rPr>
          <w:rFonts w:ascii="Symbol" w:hAnsi="Symbol" w:cs="Symbol" w:eastAsia="Symbol" w:hint="default"/>
          <w:sz w:val="24"/>
          <w:szCs w:val="24"/>
        </w:rPr>
      </w:pPr>
    </w:p>
    <w:p>
      <w:pPr>
        <w:spacing w:after="0" w:line="240" w:lineRule="auto"/>
        <w:rPr>
          <w:rFonts w:ascii="Symbol" w:hAnsi="Symbol" w:cs="Symbol" w:eastAsia="Symbol" w:hint="default"/>
          <w:sz w:val="24"/>
          <w:szCs w:val="24"/>
        </w:rPr>
        <w:sectPr>
          <w:pgSz w:w="11910" w:h="16840"/>
          <w:pgMar w:header="877" w:footer="1256" w:top="1100" w:bottom="1440" w:left="1660" w:right="1680"/>
        </w:sectPr>
      </w:pPr>
    </w:p>
    <w:p>
      <w:pPr>
        <w:spacing w:line="240" w:lineRule="auto" w:before="10"/>
        <w:rPr>
          <w:rFonts w:ascii="Symbol" w:hAnsi="Symbol" w:cs="Symbol" w:eastAsia="Symbol" w:hint="default"/>
          <w:sz w:val="24"/>
          <w:szCs w:val="24"/>
        </w:rPr>
      </w:pPr>
    </w:p>
    <w:p>
      <w:pPr>
        <w:spacing w:before="0"/>
        <w:ind w:left="0" w:right="0" w:firstLine="0"/>
        <w:jc w:val="right"/>
        <w:rPr>
          <w:rFonts w:ascii="Symbol" w:hAnsi="Symbol" w:cs="Symbol" w:eastAsia="Symbol" w:hint="default"/>
          <w:sz w:val="24"/>
          <w:szCs w:val="24"/>
        </w:rPr>
      </w:pPr>
      <w:r>
        <w:rPr/>
        <w:pict>
          <v:group style="position:absolute;margin-left:151.431503pt;margin-top:8.876428pt;width:120.3pt;height:16.05pt;mso-position-horizontal-relative:page;mso-position-vertical-relative:paragraph;z-index:23800" coordorigin="3029,178" coordsize="2406,321">
            <v:group style="position:absolute;left:4151;top:377;width:30;height:18" coordorigin="4151,377" coordsize="30,18">
              <v:shape style="position:absolute;left:4151;top:377;width:30;height:18" coordorigin="4151,377" coordsize="30,18" path="m4151,395l4181,377e" filled="false" stroked="true" strokeweight=".497pt" strokecolor="#000000">
                <v:path arrowok="t"/>
              </v:shape>
            </v:group>
            <v:group style="position:absolute;left:4181;top:382;width:45;height:80" coordorigin="4181,382" coordsize="45,80">
              <v:shape style="position:absolute;left:4181;top:382;width:45;height:80" coordorigin="4181,382" coordsize="45,80" path="m4181,382l4225,461e" filled="false" stroked="true" strokeweight=".995pt" strokecolor="#000000">
                <v:path arrowok="t"/>
              </v:shape>
            </v:group>
            <v:group style="position:absolute;left:4230;top:224;width:233;height:237" coordorigin="4230,224" coordsize="233,237">
              <v:shape style="position:absolute;left:4230;top:224;width:233;height:237" coordorigin="4230,224" coordsize="233,237" path="m4230,461l4289,224,4463,224e" filled="false" stroked="true" strokeweight=".497pt" strokecolor="#000000">
                <v:path arrowok="t"/>
              </v:shape>
            </v:group>
            <v:group style="position:absolute;left:3034;top:182;width:2396;height:2" coordorigin="3034,182" coordsize="2396,2">
              <v:shape style="position:absolute;left:3034;top:182;width:2396;height:2" coordorigin="3034,182" coordsize="2396,0" path="m3034,182l5429,182e" filled="false" stroked="true" strokeweight=".497pt" strokecolor="#000000">
                <v:path arrowok="t"/>
              </v:shape>
              <v:shape style="position:absolute;left:3029;top:178;width:2406;height:321" type="#_x0000_t202" filled="false" stroked="false">
                <v:textbox inset="0,0,0,0">
                  <w:txbxContent>
                    <w:p>
                      <w:pPr>
                        <w:spacing w:line="298" w:lineRule="exact" w:before="22"/>
                        <w:ind w:left="0" w:right="57" w:firstLine="0"/>
                        <w:jc w:val="center"/>
                        <w:rPr>
                          <w:rFonts w:ascii="Times New Roman" w:hAnsi="Times New Roman" w:cs="Times New Roman" w:eastAsia="Times New Roman" w:hint="default"/>
                          <w:sz w:val="24"/>
                          <w:szCs w:val="24"/>
                        </w:rPr>
                      </w:pPr>
                      <w:r>
                        <w:rPr>
                          <w:rFonts w:ascii="Symbol" w:hAnsi="Symbol" w:cs="Symbol" w:eastAsia="Symbol" w:hint="default"/>
                          <w:i/>
                          <w:sz w:val="25"/>
                          <w:szCs w:val="25"/>
                        </w:rPr>
                        <w:t></w:t>
                      </w:r>
                      <w:r>
                        <w:rPr>
                          <w:rFonts w:ascii="Symbol" w:hAnsi="Symbol" w:cs="Symbol" w:eastAsia="Symbol" w:hint="default"/>
                          <w:i/>
                          <w:spacing w:val="57"/>
                          <w:sz w:val="25"/>
                          <w:szCs w:val="25"/>
                        </w:rPr>
                        <w:t></w:t>
                      </w:r>
                      <w:r>
                        <w:rPr>
                          <w:rFonts w:ascii="Times New Roman" w:hAnsi="Times New Roman" w:cs="Times New Roman" w:eastAsia="Times New Roman" w:hint="default"/>
                          <w:i/>
                          <w:spacing w:val="57"/>
                          <w:sz w:val="25"/>
                          <w:szCs w:val="25"/>
                        </w:rPr>
                      </w:r>
                      <w:r>
                        <w:rPr>
                          <w:rFonts w:ascii="Times New Roman" w:hAnsi="Times New Roman" w:cs="Times New Roman" w:eastAsia="Times New Roman" w:hint="default"/>
                          <w:i/>
                          <w:sz w:val="24"/>
                          <w:szCs w:val="24"/>
                        </w:rPr>
                        <w:t>T</w:t>
                      </w:r>
                      <w:r>
                        <w:rPr>
                          <w:rFonts w:ascii="Times New Roman" w:hAnsi="Times New Roman" w:cs="Times New Roman" w:eastAsia="Times New Roman" w:hint="default"/>
                          <w:sz w:val="24"/>
                          <w:szCs w:val="24"/>
                        </w:rPr>
                      </w:r>
                    </w:p>
                  </w:txbxContent>
                </v:textbox>
                <w10:wrap type="none"/>
              </v:shape>
            </v:group>
            <w10:wrap type="none"/>
          </v:group>
        </w:pict>
      </w:r>
      <w:r>
        <w:rPr>
          <w:rFonts w:ascii="Times New Roman" w:hAnsi="Times New Roman" w:cs="Times New Roman" w:eastAsia="Times New Roman" w:hint="default"/>
          <w:i/>
          <w:spacing w:val="3"/>
          <w:sz w:val="24"/>
          <w:szCs w:val="24"/>
        </w:rPr>
        <w:t>d</w:t>
      </w:r>
      <w:r>
        <w:rPr>
          <w:rFonts w:ascii="Times New Roman" w:hAnsi="Times New Roman" w:cs="Times New Roman" w:eastAsia="Times New Roman" w:hint="default"/>
          <w:spacing w:val="3"/>
          <w:position w:val="-5"/>
          <w:sz w:val="14"/>
          <w:szCs w:val="14"/>
        </w:rPr>
        <w:t>1 </w:t>
      </w:r>
      <w:r>
        <w:rPr>
          <w:rFonts w:ascii="Times New Roman" w:hAnsi="Times New Roman" w:cs="Times New Roman" w:eastAsia="Times New Roman" w:hint="default"/>
          <w:spacing w:val="8"/>
          <w:position w:val="-5"/>
          <w:sz w:val="14"/>
          <w:szCs w:val="14"/>
        </w:rPr>
        <w:t> </w:t>
      </w:r>
      <w:r>
        <w:rPr>
          <w:rFonts w:ascii="Symbol" w:hAnsi="Symbol" w:cs="Symbol" w:eastAsia="Symbol" w:hint="default"/>
          <w:sz w:val="24"/>
          <w:szCs w:val="24"/>
        </w:rPr>
        <w:t></w:t>
      </w:r>
    </w:p>
    <w:p>
      <w:pPr>
        <w:spacing w:before="47"/>
        <w:ind w:left="40" w:right="-13" w:firstLine="0"/>
        <w:jc w:val="left"/>
        <w:rPr>
          <w:rFonts w:ascii="Times New Roman" w:hAnsi="Times New Roman" w:cs="Times New Roman" w:eastAsia="Times New Roman" w:hint="default"/>
          <w:sz w:val="14"/>
          <w:szCs w:val="14"/>
        </w:rPr>
      </w:pPr>
      <w:r>
        <w:rPr/>
        <w:br w:type="column"/>
      </w:r>
      <w:r>
        <w:rPr>
          <w:rFonts w:ascii="Times New Roman" w:hAnsi="Times New Roman" w:cs="Times New Roman" w:eastAsia="Times New Roman" w:hint="default"/>
          <w:sz w:val="24"/>
          <w:szCs w:val="24"/>
        </w:rPr>
        <w:t>ln</w:t>
      </w:r>
      <w:r>
        <w:rPr>
          <w:rFonts w:ascii="Symbol" w:hAnsi="Symbol" w:cs="Symbol" w:eastAsia="Symbol" w:hint="default"/>
          <w:sz w:val="31"/>
          <w:szCs w:val="31"/>
        </w:rPr>
        <w:t></w:t>
      </w:r>
      <w:r>
        <w:rPr>
          <w:rFonts w:ascii="Times New Roman" w:hAnsi="Times New Roman" w:cs="Times New Roman" w:eastAsia="Times New Roman" w:hint="default"/>
          <w:i/>
          <w:sz w:val="24"/>
          <w:szCs w:val="24"/>
        </w:rPr>
        <w:t>S</w:t>
      </w:r>
      <w:r>
        <w:rPr>
          <w:rFonts w:ascii="Times New Roman" w:hAnsi="Times New Roman" w:cs="Times New Roman" w:eastAsia="Times New Roman" w:hint="default"/>
          <w:i/>
          <w:spacing w:val="-13"/>
          <w:sz w:val="24"/>
          <w:szCs w:val="24"/>
        </w:rPr>
        <w:t> </w:t>
      </w:r>
      <w:r>
        <w:rPr>
          <w:rFonts w:ascii="Times New Roman" w:hAnsi="Times New Roman" w:cs="Times New Roman" w:eastAsia="Times New Roman" w:hint="default"/>
          <w:sz w:val="24"/>
          <w:szCs w:val="24"/>
        </w:rPr>
        <w:t>/</w:t>
      </w:r>
      <w:r>
        <w:rPr>
          <w:rFonts w:ascii="Times New Roman" w:hAnsi="Times New Roman" w:cs="Times New Roman" w:eastAsia="Times New Roman" w:hint="default"/>
          <w:spacing w:val="-10"/>
          <w:sz w:val="24"/>
          <w:szCs w:val="24"/>
        </w:rPr>
        <w:t> </w:t>
      </w:r>
      <w:r>
        <w:rPr>
          <w:rFonts w:ascii="Times New Roman" w:hAnsi="Times New Roman" w:cs="Times New Roman" w:eastAsia="Times New Roman" w:hint="default"/>
          <w:i/>
          <w:sz w:val="24"/>
          <w:szCs w:val="24"/>
        </w:rPr>
        <w:t>X</w:t>
      </w:r>
      <w:r>
        <w:rPr>
          <w:rFonts w:ascii="Times New Roman" w:hAnsi="Times New Roman" w:cs="Times New Roman" w:eastAsia="Times New Roman" w:hint="default"/>
          <w:i/>
          <w:spacing w:val="-21"/>
          <w:sz w:val="24"/>
          <w:szCs w:val="24"/>
        </w:rPr>
        <w:t> </w:t>
      </w:r>
      <w:r>
        <w:rPr>
          <w:rFonts w:ascii="Symbol" w:hAnsi="Symbol" w:cs="Symbol" w:eastAsia="Symbol" w:hint="default"/>
          <w:sz w:val="31"/>
          <w:szCs w:val="31"/>
        </w:rPr>
        <w:t></w:t>
      </w:r>
      <w:r>
        <w:rPr>
          <w:rFonts w:ascii="Symbol" w:hAnsi="Symbol" w:cs="Symbol" w:eastAsia="Symbol" w:hint="default"/>
          <w:spacing w:val="-55"/>
          <w:sz w:val="31"/>
          <w:szCs w:val="31"/>
        </w:rPr>
        <w:t></w:t>
      </w:r>
      <w:r>
        <w:rPr>
          <w:rFonts w:ascii="Times New Roman" w:hAnsi="Times New Roman" w:cs="Times New Roman" w:eastAsia="Times New Roman" w:hint="default"/>
          <w:spacing w:val="-55"/>
          <w:sz w:val="31"/>
          <w:szCs w:val="31"/>
        </w:rPr>
      </w:r>
      <w:r>
        <w:rPr>
          <w:rFonts w:ascii="Symbol" w:hAnsi="Symbol" w:cs="Symbol" w:eastAsia="Symbol" w:hint="default"/>
          <w:sz w:val="24"/>
          <w:szCs w:val="24"/>
        </w:rPr>
        <w:t></w:t>
      </w:r>
      <w:r>
        <w:rPr>
          <w:rFonts w:ascii="Symbol" w:hAnsi="Symbol" w:cs="Symbol" w:eastAsia="Symbol" w:hint="default"/>
          <w:spacing w:val="-11"/>
          <w:sz w:val="24"/>
          <w:szCs w:val="24"/>
        </w:rPr>
        <w:t></w:t>
      </w:r>
      <w:r>
        <w:rPr>
          <w:rFonts w:ascii="Times New Roman" w:hAnsi="Times New Roman" w:cs="Times New Roman" w:eastAsia="Times New Roman" w:hint="default"/>
          <w:spacing w:val="-11"/>
          <w:sz w:val="24"/>
          <w:szCs w:val="24"/>
        </w:rPr>
      </w:r>
      <w:r>
        <w:rPr>
          <w:rFonts w:ascii="Times New Roman" w:hAnsi="Times New Roman" w:cs="Times New Roman" w:eastAsia="Times New Roman" w:hint="default"/>
          <w:i/>
          <w:sz w:val="24"/>
          <w:szCs w:val="24"/>
        </w:rPr>
        <w:t>R</w:t>
      </w:r>
      <w:r>
        <w:rPr>
          <w:rFonts w:ascii="Times New Roman" w:hAnsi="Times New Roman" w:cs="Times New Roman" w:eastAsia="Times New Roman" w:hint="default"/>
          <w:i/>
          <w:spacing w:val="-36"/>
          <w:sz w:val="24"/>
          <w:szCs w:val="24"/>
        </w:rPr>
        <w:t> </w:t>
      </w:r>
      <w:r>
        <w:rPr>
          <w:rFonts w:ascii="Times New Roman" w:hAnsi="Times New Roman" w:cs="Times New Roman" w:eastAsia="Times New Roman" w:hint="default"/>
          <w:i/>
          <w:position w:val="-5"/>
          <w:sz w:val="14"/>
          <w:szCs w:val="14"/>
        </w:rPr>
        <w:t>f</w:t>
      </w:r>
      <w:r>
        <w:rPr>
          <w:rFonts w:ascii="Times New Roman" w:hAnsi="Times New Roman" w:cs="Times New Roman" w:eastAsia="Times New Roman" w:hint="default"/>
          <w:sz w:val="14"/>
          <w:szCs w:val="14"/>
        </w:rPr>
      </w:r>
    </w:p>
    <w:p>
      <w:pPr>
        <w:spacing w:before="108"/>
        <w:ind w:left="-2" w:right="0" w:firstLine="0"/>
        <w:jc w:val="left"/>
        <w:rPr>
          <w:rFonts w:ascii="Times New Roman" w:hAnsi="Times New Roman" w:cs="Times New Roman" w:eastAsia="Times New Roman" w:hint="default"/>
          <w:sz w:val="24"/>
          <w:szCs w:val="24"/>
        </w:rPr>
      </w:pPr>
      <w:r>
        <w:rPr/>
        <w:br w:type="column"/>
      </w:r>
      <w:r>
        <w:rPr>
          <w:rFonts w:ascii="Times New Roman" w:hAnsi="Times New Roman" w:cs="Times New Roman" w:eastAsia="Times New Roman" w:hint="default"/>
          <w:i/>
          <w:sz w:val="24"/>
          <w:szCs w:val="24"/>
        </w:rPr>
        <w:t>T </w:t>
      </w:r>
      <w:r>
        <w:rPr>
          <w:rFonts w:ascii="Symbol" w:hAnsi="Symbol" w:cs="Symbol" w:eastAsia="Symbol" w:hint="default"/>
          <w:sz w:val="24"/>
          <w:szCs w:val="24"/>
        </w:rPr>
        <w:t></w:t>
      </w:r>
      <w:r>
        <w:rPr>
          <w:rFonts w:ascii="Times New Roman" w:hAnsi="Times New Roman" w:cs="Times New Roman" w:eastAsia="Times New Roman" w:hint="default"/>
          <w:sz w:val="24"/>
          <w:szCs w:val="24"/>
        </w:rPr>
      </w:r>
      <w:r>
        <w:rPr>
          <w:rFonts w:ascii="Times New Roman" w:hAnsi="Times New Roman" w:cs="Times New Roman" w:eastAsia="Times New Roman" w:hint="default"/>
          <w:i/>
          <w:sz w:val="24"/>
          <w:szCs w:val="24"/>
        </w:rPr>
        <w:t>T</w:t>
      </w:r>
      <w:r>
        <w:rPr>
          <w:rFonts w:ascii="Symbol" w:hAnsi="Symbol" w:cs="Symbol" w:eastAsia="Symbol" w:hint="default"/>
          <w:i/>
          <w:sz w:val="25"/>
          <w:szCs w:val="25"/>
        </w:rPr>
        <w:t></w:t>
      </w:r>
      <w:r>
        <w:rPr>
          <w:rFonts w:ascii="Times New Roman" w:hAnsi="Times New Roman" w:cs="Times New Roman" w:eastAsia="Times New Roman" w:hint="default"/>
          <w:i/>
          <w:sz w:val="25"/>
          <w:szCs w:val="25"/>
        </w:rPr>
      </w:r>
      <w:r>
        <w:rPr>
          <w:rFonts w:ascii="Times New Roman" w:hAnsi="Times New Roman" w:cs="Times New Roman" w:eastAsia="Times New Roman" w:hint="default"/>
          <w:position w:val="11"/>
          <w:sz w:val="14"/>
          <w:szCs w:val="14"/>
        </w:rPr>
        <w:t>2  </w:t>
      </w:r>
      <w:r>
        <w:rPr>
          <w:rFonts w:ascii="Times New Roman" w:hAnsi="Times New Roman" w:cs="Times New Roman" w:eastAsia="Times New Roman" w:hint="default"/>
          <w:sz w:val="24"/>
          <w:szCs w:val="24"/>
        </w:rPr>
        <w:t>/</w:t>
      </w:r>
      <w:r>
        <w:rPr>
          <w:rFonts w:ascii="Times New Roman" w:hAnsi="Times New Roman" w:cs="Times New Roman" w:eastAsia="Times New Roman" w:hint="default"/>
          <w:spacing w:val="-42"/>
          <w:sz w:val="24"/>
          <w:szCs w:val="24"/>
        </w:rPr>
        <w:t> </w:t>
      </w:r>
      <w:r>
        <w:rPr>
          <w:rFonts w:ascii="Times New Roman" w:hAnsi="Times New Roman" w:cs="Times New Roman" w:eastAsia="Times New Roman" w:hint="default"/>
          <w:sz w:val="24"/>
          <w:szCs w:val="24"/>
        </w:rPr>
        <w:t>2</w:t>
      </w:r>
    </w:p>
    <w:p>
      <w:pPr>
        <w:spacing w:after="0"/>
        <w:jc w:val="left"/>
        <w:rPr>
          <w:rFonts w:ascii="Times New Roman" w:hAnsi="Times New Roman" w:cs="Times New Roman" w:eastAsia="Times New Roman" w:hint="default"/>
          <w:sz w:val="24"/>
          <w:szCs w:val="24"/>
        </w:rPr>
        <w:sectPr>
          <w:type w:val="continuous"/>
          <w:pgSz w:w="11910" w:h="16840"/>
          <w:pgMar w:top="1100" w:bottom="1240" w:left="1660" w:right="1680"/>
          <w:cols w:num="3" w:equalWidth="0">
            <w:col w:w="1307" w:space="40"/>
            <w:col w:w="1323" w:space="40"/>
            <w:col w:w="5860"/>
          </w:cols>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7"/>
          <w:szCs w:val="27"/>
        </w:rPr>
      </w:pPr>
    </w:p>
    <w:p>
      <w:pPr>
        <w:spacing w:before="53"/>
        <w:ind w:left="895" w:right="0" w:firstLine="0"/>
        <w:jc w:val="left"/>
        <w:rPr>
          <w:rFonts w:ascii="Symbol" w:hAnsi="Symbol" w:cs="Symbol" w:eastAsia="Symbol" w:hint="default"/>
          <w:sz w:val="25"/>
          <w:szCs w:val="25"/>
        </w:rPr>
      </w:pPr>
      <w:r>
        <w:rPr/>
        <w:pict>
          <v:group style="position:absolute;margin-left:182.632507pt;margin-top:3.689943pt;width:16.1pt;height:13.85pt;mso-position-horizontal-relative:page;mso-position-vertical-relative:paragraph;z-index:23848" coordorigin="3653,74" coordsize="322,277">
            <v:group style="position:absolute;left:3658;top:230;width:30;height:18" coordorigin="3658,230" coordsize="30,18">
              <v:shape style="position:absolute;left:3658;top:230;width:30;height:18" coordorigin="3658,230" coordsize="30,18" path="m3658,248l3688,230e" filled="false" stroked="true" strokeweight=".495pt" strokecolor="#000000">
                <v:path arrowok="t"/>
              </v:shape>
            </v:group>
            <v:group style="position:absolute;left:3688;top:235;width:45;height:80" coordorigin="3688,235" coordsize="45,80">
              <v:shape style="position:absolute;left:3688;top:235;width:45;height:80" coordorigin="3688,235" coordsize="45,80" path="m3688,235l3732,314e" filled="false" stroked="true" strokeweight=".991pt" strokecolor="#000000">
                <v:path arrowok="t"/>
              </v:shape>
            </v:group>
            <v:group style="position:absolute;left:3738;top:79;width:232;height:236" coordorigin="3738,79" coordsize="232,236">
              <v:shape style="position:absolute;left:3738;top:79;width:232;height:236" coordorigin="3738,79" coordsize="232,236" path="m3738,314l3797,79,3970,79e" filled="false" stroked="true" strokeweight=".495pt" strokecolor="#000000">
                <v:path arrowok="t"/>
              </v:shape>
              <v:shape style="position:absolute;left:3653;top:74;width:322;height:277" type="#_x0000_t202" filled="false" stroked="false">
                <v:textbox inset="0,0,0,0">
                  <w:txbxContent>
                    <w:p>
                      <w:pPr>
                        <w:spacing w:line="261" w:lineRule="exact" w:before="16"/>
                        <w:ind w:left="144" w:right="0" w:firstLine="0"/>
                        <w:jc w:val="left"/>
                        <w:rPr>
                          <w:rFonts w:ascii="Times New Roman" w:hAnsi="Times New Roman" w:cs="Times New Roman" w:eastAsia="Times New Roman" w:hint="default"/>
                          <w:sz w:val="23"/>
                          <w:szCs w:val="23"/>
                        </w:rPr>
                      </w:pPr>
                      <w:r>
                        <w:rPr>
                          <w:rFonts w:ascii="Times New Roman"/>
                          <w:i/>
                          <w:w w:val="102"/>
                          <w:sz w:val="23"/>
                        </w:rPr>
                        <w:t>T</w:t>
                      </w:r>
                      <w:r>
                        <w:rPr>
                          <w:rFonts w:ascii="Times New Roman"/>
                          <w:sz w:val="23"/>
                        </w:rPr>
                      </w:r>
                    </w:p>
                  </w:txbxContent>
                </v:textbox>
                <w10:wrap type="none"/>
              </v:shape>
            </v:group>
            <w10:wrap type="none"/>
          </v:group>
        </w:pict>
      </w:r>
      <w:r>
        <w:rPr>
          <w:rFonts w:ascii="Times New Roman" w:hAnsi="Times New Roman" w:cs="Times New Roman" w:eastAsia="Times New Roman" w:hint="default"/>
          <w:i/>
          <w:w w:val="105"/>
          <w:sz w:val="23"/>
          <w:szCs w:val="23"/>
        </w:rPr>
        <w:t>d </w:t>
      </w:r>
      <w:r>
        <w:rPr>
          <w:rFonts w:ascii="Times New Roman" w:hAnsi="Times New Roman" w:cs="Times New Roman" w:eastAsia="Times New Roman" w:hint="default"/>
          <w:w w:val="105"/>
          <w:position w:val="-5"/>
          <w:sz w:val="13"/>
          <w:szCs w:val="13"/>
        </w:rPr>
        <w:t>2  </w:t>
      </w:r>
      <w:r>
        <w:rPr>
          <w:rFonts w:ascii="Symbol" w:hAnsi="Symbol" w:cs="Symbol" w:eastAsia="Symbol" w:hint="default"/>
          <w:w w:val="105"/>
          <w:sz w:val="23"/>
          <w:szCs w:val="23"/>
        </w:rPr>
        <w:t></w:t>
      </w:r>
      <w:r>
        <w:rPr>
          <w:rFonts w:ascii="Times New Roman" w:hAnsi="Times New Roman" w:cs="Times New Roman" w:eastAsia="Times New Roman" w:hint="default"/>
          <w:w w:val="105"/>
          <w:sz w:val="23"/>
          <w:szCs w:val="23"/>
        </w:rPr>
      </w:r>
      <w:r>
        <w:rPr>
          <w:rFonts w:ascii="Times New Roman" w:hAnsi="Times New Roman" w:cs="Times New Roman" w:eastAsia="Times New Roman" w:hint="default"/>
          <w:i/>
          <w:spacing w:val="3"/>
          <w:w w:val="105"/>
          <w:sz w:val="23"/>
          <w:szCs w:val="23"/>
        </w:rPr>
        <w:t>d</w:t>
      </w:r>
      <w:r>
        <w:rPr>
          <w:rFonts w:ascii="Times New Roman" w:hAnsi="Times New Roman" w:cs="Times New Roman" w:eastAsia="Times New Roman" w:hint="default"/>
          <w:spacing w:val="3"/>
          <w:w w:val="105"/>
          <w:position w:val="-5"/>
          <w:sz w:val="13"/>
          <w:szCs w:val="13"/>
        </w:rPr>
        <w:t>1 </w:t>
      </w:r>
      <w:r>
        <w:rPr>
          <w:rFonts w:ascii="Symbol" w:hAnsi="Symbol" w:cs="Symbol" w:eastAsia="Symbol" w:hint="default"/>
          <w:w w:val="105"/>
          <w:sz w:val="23"/>
          <w:szCs w:val="23"/>
        </w:rPr>
        <w:t></w:t>
      </w:r>
      <w:r>
        <w:rPr>
          <w:rFonts w:ascii="Symbol" w:hAnsi="Symbol" w:cs="Symbol" w:eastAsia="Symbol" w:hint="default"/>
          <w:spacing w:val="-21"/>
          <w:w w:val="105"/>
          <w:sz w:val="23"/>
          <w:szCs w:val="23"/>
        </w:rPr>
        <w:t></w:t>
      </w:r>
      <w:r>
        <w:rPr>
          <w:rFonts w:ascii="Times New Roman" w:hAnsi="Times New Roman" w:cs="Times New Roman" w:eastAsia="Times New Roman" w:hint="default"/>
          <w:spacing w:val="-21"/>
          <w:w w:val="105"/>
          <w:sz w:val="23"/>
          <w:szCs w:val="23"/>
        </w:rPr>
      </w:r>
      <w:r>
        <w:rPr>
          <w:rFonts w:ascii="Symbol" w:hAnsi="Symbol" w:cs="Symbol" w:eastAsia="Symbol" w:hint="default"/>
          <w:i/>
          <w:w w:val="105"/>
          <w:sz w:val="25"/>
          <w:szCs w:val="25"/>
        </w:rPr>
        <w:t></w:t>
      </w:r>
      <w:r>
        <w:rPr>
          <w:rFonts w:ascii="Symbol" w:hAnsi="Symbol" w:cs="Symbol" w:eastAsia="Symbol" w:hint="default"/>
          <w:sz w:val="25"/>
          <w:szCs w:val="25"/>
        </w:rPr>
      </w:r>
    </w:p>
    <w:p>
      <w:pPr>
        <w:spacing w:line="240" w:lineRule="auto" w:before="0"/>
        <w:rPr>
          <w:rFonts w:ascii="Symbol" w:hAnsi="Symbol" w:cs="Symbol" w:eastAsia="Symbol" w:hint="default"/>
          <w:i/>
          <w:sz w:val="26"/>
          <w:szCs w:val="26"/>
        </w:rPr>
      </w:pPr>
    </w:p>
    <w:p>
      <w:pPr>
        <w:spacing w:before="35"/>
        <w:ind w:left="857" w:right="0" w:firstLine="0"/>
        <w:jc w:val="left"/>
        <w:rPr>
          <w:rFonts w:ascii="宋体" w:hAnsi="宋体" w:cs="宋体" w:eastAsia="宋体" w:hint="default"/>
          <w:sz w:val="21"/>
          <w:szCs w:val="21"/>
        </w:rPr>
      </w:pPr>
      <w:r>
        <w:rPr>
          <w:rFonts w:ascii="宋体" w:hAnsi="宋体" w:cs="宋体" w:eastAsia="宋体" w:hint="default"/>
          <w:spacing w:val="-4"/>
          <w:sz w:val="21"/>
          <w:szCs w:val="21"/>
        </w:rPr>
        <w:t>其中：</w:t>
      </w:r>
      <w:r>
        <w:rPr>
          <w:rFonts w:ascii="Times New Roman" w:hAnsi="Times New Roman" w:cs="Times New Roman" w:eastAsia="Times New Roman" w:hint="default"/>
          <w:spacing w:val="-4"/>
          <w:sz w:val="21"/>
          <w:szCs w:val="21"/>
        </w:rPr>
        <w:t>C</w:t>
      </w:r>
      <w:r>
        <w:rPr>
          <w:rFonts w:ascii="宋体" w:hAnsi="宋体" w:cs="宋体" w:eastAsia="宋体" w:hint="default"/>
          <w:spacing w:val="-4"/>
          <w:sz w:val="21"/>
          <w:szCs w:val="21"/>
        </w:rPr>
        <w:t>为期权的理论价值，</w:t>
      </w:r>
      <w:r>
        <w:rPr>
          <w:rFonts w:ascii="Times New Roman" w:hAnsi="Times New Roman" w:cs="Times New Roman" w:eastAsia="Times New Roman" w:hint="default"/>
          <w:spacing w:val="-4"/>
          <w:sz w:val="21"/>
          <w:szCs w:val="21"/>
        </w:rPr>
        <w:t>S</w:t>
      </w:r>
      <w:r>
        <w:rPr>
          <w:rFonts w:ascii="宋体" w:hAnsi="宋体" w:cs="宋体" w:eastAsia="宋体" w:hint="default"/>
          <w:spacing w:val="-4"/>
          <w:sz w:val="21"/>
          <w:szCs w:val="21"/>
        </w:rPr>
        <w:t>为标的股票授予日的价格，</w:t>
      </w:r>
      <w:r>
        <w:rPr>
          <w:rFonts w:ascii="Times New Roman" w:hAnsi="Times New Roman" w:cs="Times New Roman" w:eastAsia="Times New Roman" w:hint="default"/>
          <w:spacing w:val="-4"/>
          <w:sz w:val="21"/>
          <w:szCs w:val="21"/>
        </w:rPr>
        <w:t>X</w:t>
      </w:r>
      <w:r>
        <w:rPr>
          <w:rFonts w:ascii="宋体" w:hAnsi="宋体" w:cs="宋体" w:eastAsia="宋体" w:hint="default"/>
          <w:spacing w:val="-4"/>
          <w:sz w:val="21"/>
          <w:szCs w:val="21"/>
        </w:rPr>
        <w:t>为期权的行权价格，</w:t>
      </w:r>
    </w:p>
    <w:p>
      <w:pPr>
        <w:spacing w:line="240" w:lineRule="auto" w:before="2"/>
        <w:rPr>
          <w:rFonts w:ascii="宋体" w:hAnsi="宋体" w:cs="宋体" w:eastAsia="宋体" w:hint="default"/>
          <w:sz w:val="14"/>
          <w:szCs w:val="14"/>
        </w:rPr>
      </w:pPr>
    </w:p>
    <w:p>
      <w:pPr>
        <w:spacing w:line="398" w:lineRule="auto" w:before="45"/>
        <w:ind w:left="769" w:right="0" w:firstLine="132"/>
        <w:jc w:val="left"/>
        <w:rPr>
          <w:rFonts w:ascii="宋体" w:hAnsi="宋体" w:cs="宋体" w:eastAsia="宋体" w:hint="default"/>
          <w:sz w:val="21"/>
          <w:szCs w:val="21"/>
        </w:rPr>
      </w:pPr>
      <w:r>
        <w:rPr>
          <w:rFonts w:ascii="Times New Roman" w:hAnsi="Times New Roman" w:cs="Times New Roman" w:eastAsia="Times New Roman" w:hint="default"/>
          <w:i/>
          <w:sz w:val="23"/>
          <w:szCs w:val="23"/>
        </w:rPr>
        <w:t>R </w:t>
      </w:r>
      <w:r>
        <w:rPr>
          <w:rFonts w:ascii="Times New Roman" w:hAnsi="Times New Roman" w:cs="Times New Roman" w:eastAsia="Times New Roman" w:hint="default"/>
          <w:i/>
          <w:position w:val="-5"/>
          <w:sz w:val="14"/>
          <w:szCs w:val="14"/>
        </w:rPr>
        <w:t>f</w:t>
      </w:r>
      <w:r>
        <w:rPr>
          <w:rFonts w:ascii="Times New Roman" w:hAnsi="Times New Roman" w:cs="Times New Roman" w:eastAsia="Times New Roman" w:hint="default"/>
          <w:i/>
          <w:spacing w:val="18"/>
          <w:position w:val="-5"/>
          <w:sz w:val="14"/>
          <w:szCs w:val="14"/>
        </w:rPr>
        <w:t> </w:t>
      </w:r>
      <w:r>
        <w:rPr>
          <w:rFonts w:ascii="宋体" w:hAnsi="宋体" w:cs="宋体" w:eastAsia="宋体" w:hint="default"/>
          <w:spacing w:val="-3"/>
          <w:sz w:val="21"/>
          <w:szCs w:val="21"/>
        </w:rPr>
        <w:t>为无风险收益率的连续复利率，</w:t>
      </w:r>
      <w:r>
        <w:rPr>
          <w:rFonts w:ascii="Times New Roman" w:hAnsi="Times New Roman" w:cs="Times New Roman" w:eastAsia="Times New Roman" w:hint="default"/>
          <w:spacing w:val="-3"/>
          <w:sz w:val="21"/>
          <w:szCs w:val="21"/>
        </w:rPr>
        <w:t>T</w:t>
      </w:r>
      <w:r>
        <w:rPr>
          <w:rFonts w:ascii="宋体" w:hAnsi="宋体" w:cs="宋体" w:eastAsia="宋体" w:hint="default"/>
          <w:spacing w:val="-3"/>
          <w:sz w:val="21"/>
          <w:szCs w:val="21"/>
        </w:rPr>
        <w:t>为期权的剩余存续期限，δ为期权标的股</w:t>
      </w:r>
      <w:r>
        <w:rPr>
          <w:rFonts w:ascii="宋体" w:hAnsi="宋体" w:cs="宋体" w:eastAsia="宋体" w:hint="default"/>
          <w:sz w:val="21"/>
          <w:szCs w:val="21"/>
        </w:rPr>
        <w:t> 票价格的波动率，</w:t>
      </w:r>
      <w:r>
        <w:rPr>
          <w:rFonts w:ascii="Times New Roman" w:hAnsi="Times New Roman" w:cs="Times New Roman" w:eastAsia="Times New Roman" w:hint="default"/>
          <w:sz w:val="21"/>
          <w:szCs w:val="21"/>
        </w:rPr>
        <w:t>N(</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是累计正态分布函数，</w:t>
      </w:r>
      <w:r>
        <w:rPr>
          <w:rFonts w:ascii="Times New Roman" w:hAnsi="Times New Roman" w:cs="Times New Roman" w:eastAsia="Times New Roman" w:hint="default"/>
          <w:sz w:val="21"/>
          <w:szCs w:val="21"/>
        </w:rPr>
        <w:t>ln(</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是自然对数函数。 相关参数取值如下：</w:t>
      </w:r>
    </w:p>
    <w:p>
      <w:pPr>
        <w:spacing w:before="54"/>
        <w:ind w:left="665"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）行权价格：本激励计划中股票期权行权价格为人民币</w:t>
      </w:r>
      <w:r>
        <w:rPr>
          <w:rFonts w:ascii="Times New Roman" w:hAnsi="Times New Roman" w:cs="Times New Roman" w:eastAsia="Times New Roman" w:hint="default"/>
          <w:sz w:val="21"/>
          <w:szCs w:val="21"/>
        </w:rPr>
        <w:t>11.85</w:t>
      </w:r>
      <w:r>
        <w:rPr>
          <w:rFonts w:ascii="宋体" w:hAnsi="宋体" w:cs="宋体" w:eastAsia="宋体" w:hint="default"/>
          <w:sz w:val="21"/>
          <w:szCs w:val="21"/>
        </w:rPr>
        <w:t>元。</w:t>
      </w:r>
    </w:p>
    <w:p>
      <w:pPr>
        <w:spacing w:line="386" w:lineRule="auto" w:before="177"/>
        <w:ind w:left="753" w:right="0" w:hanging="106"/>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）授权日的价格：</w:t>
      </w:r>
      <w:r>
        <w:rPr>
          <w:rFonts w:ascii="Times New Roman" w:hAnsi="Times New Roman" w:cs="Times New Roman" w:eastAsia="Times New Roman" w:hint="default"/>
          <w:spacing w:val="-1"/>
          <w:sz w:val="21"/>
          <w:szCs w:val="21"/>
        </w:rPr>
        <w:t>11.85</w:t>
      </w:r>
      <w:r>
        <w:rPr>
          <w:rFonts w:ascii="宋体" w:hAnsi="宋体" w:cs="宋体" w:eastAsia="宋体" w:hint="default"/>
          <w:spacing w:val="-1"/>
          <w:sz w:val="21"/>
          <w:szCs w:val="21"/>
        </w:rPr>
        <w:t>元（注：暂取本激励计划公告前一交易日收盘价为参</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数计算，而期权的公允价值最终以授权日公司股票的收盘价为参数计算）。</w:t>
      </w:r>
    </w:p>
    <w:p>
      <w:pPr>
        <w:spacing w:before="65"/>
        <w:ind w:left="647" w:right="0" w:firstLine="0"/>
        <w:jc w:val="left"/>
        <w:rPr>
          <w:rFonts w:ascii="宋体" w:hAnsi="宋体" w:cs="宋体" w:eastAsia="宋体" w:hint="default"/>
          <w:sz w:val="21"/>
          <w:szCs w:val="21"/>
        </w:rPr>
      </w:pPr>
      <w:r>
        <w:rPr>
          <w:rFonts w:ascii="宋体" w:hAnsi="宋体" w:cs="宋体" w:eastAsia="宋体" w:hint="default"/>
          <w:spacing w:val="-4"/>
          <w:sz w:val="21"/>
          <w:szCs w:val="21"/>
        </w:rPr>
        <w:t>（</w:t>
      </w:r>
      <w:r>
        <w:rPr>
          <w:rFonts w:ascii="Times New Roman" w:hAnsi="Times New Roman" w:cs="Times New Roman" w:eastAsia="Times New Roman" w:hint="default"/>
          <w:spacing w:val="-4"/>
          <w:sz w:val="21"/>
          <w:szCs w:val="21"/>
        </w:rPr>
        <w:t>3</w:t>
      </w:r>
      <w:r>
        <w:rPr>
          <w:rFonts w:ascii="宋体" w:hAnsi="宋体" w:cs="宋体" w:eastAsia="宋体" w:hint="default"/>
          <w:spacing w:val="-4"/>
          <w:sz w:val="21"/>
          <w:szCs w:val="21"/>
        </w:rPr>
        <w:t>）剩余存续期限：每个行权期的股票期权剩余存续期限分别为</w:t>
      </w:r>
      <w:r>
        <w:rPr>
          <w:rFonts w:ascii="Times New Roman" w:hAnsi="Times New Roman" w:cs="Times New Roman" w:eastAsia="Times New Roman" w:hint="default"/>
          <w:spacing w:val="-4"/>
          <w:sz w:val="21"/>
          <w:szCs w:val="21"/>
        </w:rPr>
        <w:t>2</w:t>
      </w:r>
      <w:r>
        <w:rPr>
          <w:rFonts w:ascii="宋体" w:hAnsi="宋体" w:cs="宋体" w:eastAsia="宋体" w:hint="default"/>
          <w:spacing w:val="-4"/>
          <w:sz w:val="21"/>
          <w:szCs w:val="21"/>
        </w:rPr>
        <w:t>年、</w:t>
      </w:r>
      <w:r>
        <w:rPr>
          <w:rFonts w:ascii="Times New Roman" w:hAnsi="Times New Roman" w:cs="Times New Roman" w:eastAsia="Times New Roman" w:hint="default"/>
          <w:spacing w:val="-4"/>
          <w:sz w:val="21"/>
          <w:szCs w:val="21"/>
        </w:rPr>
        <w:t>3</w:t>
      </w:r>
      <w:r>
        <w:rPr>
          <w:rFonts w:ascii="宋体" w:hAnsi="宋体" w:cs="宋体" w:eastAsia="宋体" w:hint="default"/>
          <w:spacing w:val="-4"/>
          <w:sz w:val="21"/>
          <w:szCs w:val="21"/>
        </w:rPr>
        <w:t>年、</w:t>
      </w:r>
      <w:r>
        <w:rPr>
          <w:rFonts w:ascii="Times New Roman" w:hAnsi="Times New Roman" w:cs="Times New Roman" w:eastAsia="Times New Roman" w:hint="default"/>
          <w:spacing w:val="-4"/>
          <w:sz w:val="21"/>
          <w:szCs w:val="21"/>
        </w:rPr>
        <w:t>4</w:t>
      </w:r>
      <w:r>
        <w:rPr>
          <w:rFonts w:ascii="宋体" w:hAnsi="宋体" w:cs="宋体" w:eastAsia="宋体" w:hint="default"/>
          <w:spacing w:val="-4"/>
          <w:sz w:val="21"/>
          <w:szCs w:val="21"/>
        </w:rPr>
        <w:t>年、</w:t>
      </w:r>
    </w:p>
    <w:p>
      <w:pPr>
        <w:spacing w:before="177"/>
        <w:ind w:left="75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年。</w:t>
      </w:r>
    </w:p>
    <w:p>
      <w:pPr>
        <w:spacing w:before="177"/>
        <w:ind w:left="665"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）历史波动率：数值为</w:t>
      </w:r>
      <w:r>
        <w:rPr>
          <w:rFonts w:ascii="Times New Roman" w:hAnsi="Times New Roman" w:cs="Times New Roman" w:eastAsia="Times New Roman" w:hint="default"/>
          <w:sz w:val="21"/>
          <w:szCs w:val="21"/>
        </w:rPr>
        <w:t>40.26%</w:t>
      </w:r>
      <w:r>
        <w:rPr>
          <w:rFonts w:ascii="宋体" w:hAnsi="宋体" w:cs="宋体" w:eastAsia="宋体" w:hint="default"/>
          <w:sz w:val="21"/>
          <w:szCs w:val="21"/>
        </w:rPr>
        <w:t>。</w:t>
      </w:r>
    </w:p>
    <w:p>
      <w:pPr>
        <w:spacing w:after="0"/>
        <w:jc w:val="left"/>
        <w:rPr>
          <w:rFonts w:ascii="宋体" w:hAnsi="宋体" w:cs="宋体" w:eastAsia="宋体" w:hint="default"/>
          <w:sz w:val="21"/>
          <w:szCs w:val="21"/>
        </w:rPr>
        <w:sectPr>
          <w:type w:val="continuous"/>
          <w:pgSz w:w="11910" w:h="16840"/>
          <w:pgMar w:top="1100" w:bottom="1240" w:left="1660" w:right="1680"/>
        </w:sectPr>
      </w:pPr>
    </w:p>
    <w:p>
      <w:pPr>
        <w:spacing w:line="240" w:lineRule="auto" w:before="8"/>
        <w:rPr>
          <w:rFonts w:ascii="宋体" w:hAnsi="宋体" w:cs="宋体" w:eastAsia="宋体" w:hint="default"/>
          <w:sz w:val="26"/>
          <w:szCs w:val="26"/>
        </w:rPr>
      </w:pPr>
    </w:p>
    <w:p>
      <w:pPr>
        <w:spacing w:line="391" w:lineRule="auto" w:before="35"/>
        <w:ind w:left="973" w:right="328" w:hanging="106"/>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）无风险收益率：以中国人民银行制定的金融机构存款基准利率来代替无风 险收益率。以中国人民银行制定的</w:t>
      </w:r>
      <w:r>
        <w:rPr>
          <w:rFonts w:ascii="Times New Roman" w:hAnsi="Times New Roman" w:cs="Times New Roman" w:eastAsia="Times New Roman" w:hint="default"/>
          <w:sz w:val="21"/>
          <w:szCs w:val="21"/>
        </w:rPr>
        <w:t>2</w:t>
      </w:r>
      <w:r>
        <w:rPr>
          <w:rFonts w:ascii="宋体" w:hAnsi="宋体" w:cs="宋体" w:eastAsia="宋体" w:hint="default"/>
          <w:sz w:val="21"/>
          <w:szCs w:val="21"/>
        </w:rPr>
        <w:t>年期存款基准利率</w:t>
      </w:r>
      <w:r>
        <w:rPr>
          <w:rFonts w:ascii="Times New Roman" w:hAnsi="Times New Roman" w:cs="Times New Roman" w:eastAsia="Times New Roman" w:hint="default"/>
          <w:sz w:val="21"/>
          <w:szCs w:val="21"/>
        </w:rPr>
        <w:t>3.25%</w:t>
      </w:r>
      <w:r>
        <w:rPr>
          <w:rFonts w:ascii="宋体" w:hAnsi="宋体" w:cs="宋体" w:eastAsia="宋体" w:hint="default"/>
          <w:sz w:val="21"/>
          <w:szCs w:val="21"/>
        </w:rPr>
        <w:t>代替在第一行权期 行权的股票期权的无风险收益率；以</w:t>
      </w:r>
      <w:r>
        <w:rPr>
          <w:rFonts w:ascii="Times New Roman" w:hAnsi="Times New Roman" w:cs="Times New Roman" w:eastAsia="Times New Roman" w:hint="default"/>
          <w:sz w:val="21"/>
          <w:szCs w:val="21"/>
        </w:rPr>
        <w:t>3</w:t>
      </w:r>
      <w:r>
        <w:rPr>
          <w:rFonts w:ascii="宋体" w:hAnsi="宋体" w:cs="宋体" w:eastAsia="宋体" w:hint="default"/>
          <w:sz w:val="21"/>
          <w:szCs w:val="21"/>
        </w:rPr>
        <w:t>年期存款基准利率</w:t>
      </w:r>
      <w:r>
        <w:rPr>
          <w:rFonts w:ascii="Times New Roman" w:hAnsi="Times New Roman" w:cs="Times New Roman" w:eastAsia="Times New Roman" w:hint="default"/>
          <w:sz w:val="21"/>
          <w:szCs w:val="21"/>
        </w:rPr>
        <w:t>3.85%</w:t>
      </w:r>
      <w:r>
        <w:rPr>
          <w:rFonts w:ascii="宋体" w:hAnsi="宋体" w:cs="宋体" w:eastAsia="宋体" w:hint="default"/>
          <w:sz w:val="21"/>
          <w:szCs w:val="21"/>
        </w:rPr>
        <w:t>代替在第二和第 三行权期行权的股票期权的无风险收益率；以</w:t>
      </w:r>
      <w:r>
        <w:rPr>
          <w:rFonts w:ascii="Times New Roman" w:hAnsi="Times New Roman" w:cs="Times New Roman" w:eastAsia="Times New Roman" w:hint="default"/>
          <w:sz w:val="21"/>
          <w:szCs w:val="21"/>
        </w:rPr>
        <w:t>5</w:t>
      </w:r>
      <w:r>
        <w:rPr>
          <w:rFonts w:ascii="宋体" w:hAnsi="宋体" w:cs="宋体" w:eastAsia="宋体" w:hint="default"/>
          <w:sz w:val="21"/>
          <w:szCs w:val="21"/>
        </w:rPr>
        <w:t>年期存款基准利率</w:t>
      </w:r>
      <w:r>
        <w:rPr>
          <w:rFonts w:ascii="Times New Roman" w:hAnsi="Times New Roman" w:cs="Times New Roman" w:eastAsia="Times New Roman" w:hint="default"/>
          <w:sz w:val="21"/>
          <w:szCs w:val="21"/>
        </w:rPr>
        <w:t>4.20%</w:t>
      </w:r>
      <w:r>
        <w:rPr>
          <w:rFonts w:ascii="宋体" w:hAnsi="宋体" w:cs="宋体" w:eastAsia="宋体" w:hint="default"/>
          <w:sz w:val="21"/>
          <w:szCs w:val="21"/>
        </w:rPr>
        <w:t>代替在 第四和第五行权期行权的股票期权的无风险收益率。 </w:t>
      </w:r>
      <w:r>
        <w:rPr>
          <w:rFonts w:ascii="宋体" w:hAnsi="宋体" w:cs="宋体" w:eastAsia="宋体" w:hint="default"/>
          <w:spacing w:val="-2"/>
          <w:sz w:val="21"/>
          <w:szCs w:val="21"/>
        </w:rPr>
        <w:t>根据上述参数，计算得出公司本激励计划首次授予的股票期权的公允价值如下：</w:t>
      </w:r>
    </w:p>
    <w:tbl>
      <w:tblPr>
        <w:tblW w:w="0" w:type="auto"/>
        <w:jc w:val="left"/>
        <w:tblInd w:w="116" w:type="dxa"/>
        <w:tblLayout w:type="fixed"/>
        <w:tblCellMar>
          <w:top w:w="0" w:type="dxa"/>
          <w:left w:w="0" w:type="dxa"/>
          <w:bottom w:w="0" w:type="dxa"/>
          <w:right w:w="0" w:type="dxa"/>
        </w:tblCellMar>
        <w:tblLook w:val="01E0"/>
      </w:tblPr>
      <w:tblGrid>
        <w:gridCol w:w="2274"/>
        <w:gridCol w:w="3020"/>
        <w:gridCol w:w="3023"/>
      </w:tblGrid>
      <w:tr>
        <w:trPr>
          <w:trHeight w:val="445"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
              <w:jc w:val="center"/>
              <w:rPr>
                <w:rFonts w:ascii="宋体" w:hAnsi="宋体" w:cs="宋体" w:eastAsia="宋体" w:hint="default"/>
                <w:sz w:val="21"/>
                <w:szCs w:val="21"/>
              </w:rPr>
            </w:pPr>
            <w:r>
              <w:rPr>
                <w:rFonts w:ascii="宋体" w:hAnsi="宋体" w:cs="宋体" w:eastAsia="宋体" w:hint="default"/>
                <w:b/>
                <w:bCs/>
                <w:sz w:val="21"/>
                <w:szCs w:val="21"/>
              </w:rPr>
              <w:t>行权期</w:t>
            </w:r>
            <w:r>
              <w:rPr>
                <w:rFonts w:ascii="宋体" w:hAnsi="宋体" w:cs="宋体" w:eastAsia="宋体" w:hint="default"/>
                <w:sz w:val="21"/>
                <w:szCs w:val="21"/>
              </w:rPr>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1" w:right="0"/>
              <w:jc w:val="center"/>
              <w:rPr>
                <w:rFonts w:ascii="宋体" w:hAnsi="宋体" w:cs="宋体" w:eastAsia="宋体" w:hint="default"/>
                <w:sz w:val="21"/>
                <w:szCs w:val="21"/>
              </w:rPr>
            </w:pPr>
            <w:r>
              <w:rPr>
                <w:rFonts w:ascii="宋体" w:hAnsi="宋体" w:cs="宋体" w:eastAsia="宋体" w:hint="default"/>
                <w:b/>
                <w:bCs/>
                <w:sz w:val="21"/>
                <w:szCs w:val="21"/>
              </w:rPr>
              <w:t>期权份数（万份）</w:t>
            </w:r>
            <w:r>
              <w:rPr>
                <w:rFonts w:ascii="宋体" w:hAnsi="宋体" w:cs="宋体" w:eastAsia="宋体" w:hint="default"/>
                <w:sz w:val="21"/>
                <w:szCs w:val="21"/>
              </w:rPr>
            </w:r>
          </w:p>
        </w:tc>
        <w:tc>
          <w:tcPr>
            <w:tcW w:w="3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1" w:right="0"/>
              <w:jc w:val="center"/>
              <w:rPr>
                <w:rFonts w:ascii="宋体" w:hAnsi="宋体" w:cs="宋体" w:eastAsia="宋体" w:hint="default"/>
                <w:sz w:val="21"/>
                <w:szCs w:val="21"/>
              </w:rPr>
            </w:pPr>
            <w:r>
              <w:rPr>
                <w:rFonts w:ascii="宋体" w:hAnsi="宋体" w:cs="宋体" w:eastAsia="宋体" w:hint="default"/>
                <w:b/>
                <w:bCs/>
                <w:sz w:val="21"/>
                <w:szCs w:val="21"/>
              </w:rPr>
              <w:t>公允价值（万元）</w:t>
            </w:r>
            <w:r>
              <w:rPr>
                <w:rFonts w:ascii="宋体" w:hAnsi="宋体" w:cs="宋体" w:eastAsia="宋体" w:hint="default"/>
                <w:sz w:val="21"/>
                <w:szCs w:val="21"/>
              </w:rPr>
            </w:r>
          </w:p>
        </w:tc>
      </w:tr>
      <w:tr>
        <w:trPr>
          <w:trHeight w:val="445"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宋体" w:hAnsi="宋体" w:cs="宋体" w:eastAsia="宋体" w:hint="default"/>
                <w:sz w:val="21"/>
                <w:szCs w:val="21"/>
              </w:rPr>
            </w:pPr>
            <w:r>
              <w:rPr>
                <w:rFonts w:ascii="宋体" w:hAnsi="宋体" w:cs="宋体" w:eastAsia="宋体" w:hint="default"/>
                <w:sz w:val="21"/>
                <w:szCs w:val="21"/>
              </w:rPr>
              <w:t>第一个行权期</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21"/>
                <w:szCs w:val="21"/>
              </w:rPr>
            </w:pPr>
            <w:r>
              <w:rPr>
                <w:rFonts w:ascii="Times New Roman"/>
                <w:sz w:val="21"/>
              </w:rPr>
              <w:t>58.50</w:t>
            </w:r>
          </w:p>
        </w:tc>
        <w:tc>
          <w:tcPr>
            <w:tcW w:w="3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21"/>
                <w:szCs w:val="21"/>
              </w:rPr>
            </w:pPr>
            <w:r>
              <w:rPr>
                <w:rFonts w:ascii="Times New Roman"/>
                <w:sz w:val="21"/>
              </w:rPr>
              <w:t>156.62</w:t>
            </w:r>
          </w:p>
        </w:tc>
      </w:tr>
      <w:tr>
        <w:trPr>
          <w:trHeight w:val="444"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宋体" w:hAnsi="宋体" w:cs="宋体" w:eastAsia="宋体" w:hint="default"/>
                <w:sz w:val="21"/>
                <w:szCs w:val="21"/>
              </w:rPr>
            </w:pPr>
            <w:r>
              <w:rPr>
                <w:rFonts w:ascii="宋体" w:hAnsi="宋体" w:cs="宋体" w:eastAsia="宋体" w:hint="default"/>
                <w:sz w:val="21"/>
                <w:szCs w:val="21"/>
              </w:rPr>
              <w:t>第二个行权期</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21"/>
                <w:szCs w:val="21"/>
              </w:rPr>
            </w:pPr>
            <w:r>
              <w:rPr>
                <w:rFonts w:ascii="Times New Roman"/>
                <w:sz w:val="21"/>
              </w:rPr>
              <w:t>58.50</w:t>
            </w:r>
          </w:p>
        </w:tc>
        <w:tc>
          <w:tcPr>
            <w:tcW w:w="3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21"/>
                <w:szCs w:val="21"/>
              </w:rPr>
            </w:pPr>
            <w:r>
              <w:rPr>
                <w:rFonts w:ascii="Times New Roman"/>
                <w:sz w:val="21"/>
              </w:rPr>
              <w:t>202.75</w:t>
            </w:r>
          </w:p>
        </w:tc>
      </w:tr>
      <w:tr>
        <w:trPr>
          <w:trHeight w:val="445"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
              <w:jc w:val="center"/>
              <w:rPr>
                <w:rFonts w:ascii="宋体" w:hAnsi="宋体" w:cs="宋体" w:eastAsia="宋体" w:hint="default"/>
                <w:sz w:val="21"/>
                <w:szCs w:val="21"/>
              </w:rPr>
            </w:pPr>
            <w:r>
              <w:rPr>
                <w:rFonts w:ascii="宋体" w:hAnsi="宋体" w:cs="宋体" w:eastAsia="宋体" w:hint="default"/>
                <w:sz w:val="21"/>
                <w:szCs w:val="21"/>
              </w:rPr>
              <w:t>第三个行权期</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0"/>
              <w:jc w:val="center"/>
              <w:rPr>
                <w:rFonts w:ascii="Times New Roman" w:hAnsi="Times New Roman" w:cs="Times New Roman" w:eastAsia="Times New Roman" w:hint="default"/>
                <w:sz w:val="21"/>
                <w:szCs w:val="21"/>
              </w:rPr>
            </w:pPr>
            <w:r>
              <w:rPr>
                <w:rFonts w:ascii="Times New Roman"/>
                <w:sz w:val="21"/>
              </w:rPr>
              <w:t>58.50</w:t>
            </w:r>
          </w:p>
        </w:tc>
        <w:tc>
          <w:tcPr>
            <w:tcW w:w="3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0"/>
              <w:jc w:val="center"/>
              <w:rPr>
                <w:rFonts w:ascii="Times New Roman" w:hAnsi="Times New Roman" w:cs="Times New Roman" w:eastAsia="Times New Roman" w:hint="default"/>
                <w:sz w:val="21"/>
                <w:szCs w:val="21"/>
              </w:rPr>
            </w:pPr>
            <w:r>
              <w:rPr>
                <w:rFonts w:ascii="Times New Roman"/>
                <w:sz w:val="21"/>
              </w:rPr>
              <w:t>238.92</w:t>
            </w:r>
          </w:p>
        </w:tc>
      </w:tr>
      <w:tr>
        <w:trPr>
          <w:trHeight w:val="445"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
              <w:jc w:val="center"/>
              <w:rPr>
                <w:rFonts w:ascii="宋体" w:hAnsi="宋体" w:cs="宋体" w:eastAsia="宋体" w:hint="default"/>
                <w:sz w:val="21"/>
                <w:szCs w:val="21"/>
              </w:rPr>
            </w:pPr>
            <w:r>
              <w:rPr>
                <w:rFonts w:ascii="宋体" w:hAnsi="宋体" w:cs="宋体" w:eastAsia="宋体" w:hint="default"/>
                <w:sz w:val="21"/>
                <w:szCs w:val="21"/>
              </w:rPr>
              <w:t>第四个行权期</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0"/>
              <w:jc w:val="center"/>
              <w:rPr>
                <w:rFonts w:ascii="Times New Roman" w:hAnsi="Times New Roman" w:cs="Times New Roman" w:eastAsia="Times New Roman" w:hint="default"/>
                <w:sz w:val="21"/>
                <w:szCs w:val="21"/>
              </w:rPr>
            </w:pPr>
            <w:r>
              <w:rPr>
                <w:rFonts w:ascii="Times New Roman"/>
                <w:sz w:val="21"/>
              </w:rPr>
              <w:t>58.50</w:t>
            </w:r>
          </w:p>
        </w:tc>
        <w:tc>
          <w:tcPr>
            <w:tcW w:w="3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0"/>
              <w:jc w:val="center"/>
              <w:rPr>
                <w:rFonts w:ascii="Times New Roman" w:hAnsi="Times New Roman" w:cs="Times New Roman" w:eastAsia="Times New Roman" w:hint="default"/>
                <w:sz w:val="21"/>
                <w:szCs w:val="21"/>
              </w:rPr>
            </w:pPr>
            <w:r>
              <w:rPr>
                <w:rFonts w:ascii="Times New Roman"/>
                <w:sz w:val="21"/>
              </w:rPr>
              <w:t>275.95</w:t>
            </w:r>
          </w:p>
        </w:tc>
      </w:tr>
      <w:tr>
        <w:trPr>
          <w:trHeight w:val="445"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
              <w:jc w:val="center"/>
              <w:rPr>
                <w:rFonts w:ascii="宋体" w:hAnsi="宋体" w:cs="宋体" w:eastAsia="宋体" w:hint="default"/>
                <w:sz w:val="21"/>
                <w:szCs w:val="21"/>
              </w:rPr>
            </w:pPr>
            <w:r>
              <w:rPr>
                <w:rFonts w:ascii="宋体" w:hAnsi="宋体" w:cs="宋体" w:eastAsia="宋体" w:hint="default"/>
                <w:sz w:val="21"/>
                <w:szCs w:val="21"/>
              </w:rPr>
              <w:t>第五个行权期</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0"/>
              <w:jc w:val="center"/>
              <w:rPr>
                <w:rFonts w:ascii="Times New Roman" w:hAnsi="Times New Roman" w:cs="Times New Roman" w:eastAsia="Times New Roman" w:hint="default"/>
                <w:sz w:val="21"/>
                <w:szCs w:val="21"/>
              </w:rPr>
            </w:pPr>
            <w:r>
              <w:rPr>
                <w:rFonts w:ascii="Times New Roman"/>
                <w:sz w:val="21"/>
              </w:rPr>
              <w:t>58.50</w:t>
            </w:r>
          </w:p>
        </w:tc>
        <w:tc>
          <w:tcPr>
            <w:tcW w:w="3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0"/>
              <w:jc w:val="center"/>
              <w:rPr>
                <w:rFonts w:ascii="Times New Roman" w:hAnsi="Times New Roman" w:cs="Times New Roman" w:eastAsia="Times New Roman" w:hint="default"/>
                <w:sz w:val="21"/>
                <w:szCs w:val="21"/>
              </w:rPr>
            </w:pPr>
            <w:r>
              <w:rPr>
                <w:rFonts w:ascii="Times New Roman"/>
                <w:sz w:val="21"/>
              </w:rPr>
              <w:t>304.62</w:t>
            </w:r>
          </w:p>
        </w:tc>
      </w:tr>
      <w:tr>
        <w:trPr>
          <w:trHeight w:val="445"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Times New Roman" w:hAnsi="Times New Roman" w:cs="Times New Roman" w:eastAsia="Times New Roman" w:hint="default"/>
                <w:sz w:val="21"/>
                <w:szCs w:val="21"/>
              </w:rPr>
            </w:pPr>
            <w:r>
              <w:rPr>
                <w:rFonts w:ascii="Times New Roman"/>
                <w:b/>
                <w:sz w:val="21"/>
              </w:rPr>
              <w:t>292.50</w:t>
            </w:r>
            <w:r>
              <w:rPr>
                <w:rFonts w:ascii="Times New Roman"/>
                <w:sz w:val="21"/>
              </w:rPr>
            </w:r>
          </w:p>
        </w:tc>
        <w:tc>
          <w:tcPr>
            <w:tcW w:w="3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 w:right="0"/>
              <w:jc w:val="center"/>
              <w:rPr>
                <w:rFonts w:ascii="Times New Roman" w:hAnsi="Times New Roman" w:cs="Times New Roman" w:eastAsia="Times New Roman" w:hint="default"/>
                <w:sz w:val="21"/>
                <w:szCs w:val="21"/>
              </w:rPr>
            </w:pPr>
            <w:r>
              <w:rPr>
                <w:rFonts w:ascii="Times New Roman"/>
                <w:b/>
                <w:sz w:val="21"/>
              </w:rPr>
              <w:t>1,178.86</w:t>
            </w:r>
            <w:r>
              <w:rPr>
                <w:rFonts w:ascii="Times New Roman"/>
                <w:sz w:val="21"/>
              </w:rPr>
            </w:r>
          </w:p>
        </w:tc>
      </w:tr>
    </w:tbl>
    <w:p>
      <w:pPr>
        <w:spacing w:line="240" w:lineRule="auto" w:before="10"/>
        <w:rPr>
          <w:rFonts w:ascii="宋体" w:hAnsi="宋体" w:cs="宋体" w:eastAsia="宋体" w:hint="default"/>
          <w:sz w:val="28"/>
          <w:szCs w:val="28"/>
        </w:rPr>
      </w:pPr>
    </w:p>
    <w:p>
      <w:pPr>
        <w:tabs>
          <w:tab w:pos="1073" w:val="left" w:leader="none"/>
        </w:tabs>
        <w:spacing w:before="35"/>
        <w:ind w:left="345" w:right="328"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以股份支付服务情况</w:t>
      </w:r>
      <w:r>
        <w:rPr>
          <w:rFonts w:ascii="宋体" w:hAnsi="宋体" w:cs="宋体" w:eastAsia="宋体" w:hint="default"/>
          <w:sz w:val="21"/>
          <w:szCs w:val="21"/>
        </w:rPr>
      </w:r>
    </w:p>
    <w:p>
      <w:pPr>
        <w:spacing w:line="297" w:lineRule="auto" w:before="69"/>
        <w:ind w:left="1077" w:right="515" w:firstLine="0"/>
        <w:jc w:val="left"/>
        <w:rPr>
          <w:rFonts w:ascii="宋体" w:hAnsi="宋体" w:cs="宋体" w:eastAsia="宋体" w:hint="default"/>
          <w:sz w:val="21"/>
          <w:szCs w:val="21"/>
        </w:rPr>
      </w:pPr>
      <w:r>
        <w:rPr>
          <w:rFonts w:ascii="宋体" w:hAnsi="宋体" w:cs="宋体" w:eastAsia="宋体" w:hint="default"/>
          <w:sz w:val="21"/>
          <w:szCs w:val="21"/>
        </w:rPr>
        <w:t>本期以股份支付换取的职工服务总额</w:t>
      </w:r>
      <w:r>
        <w:rPr>
          <w:rFonts w:ascii="宋体" w:hAnsi="宋体" w:cs="宋体" w:eastAsia="宋体" w:hint="default"/>
          <w:spacing w:val="-45"/>
          <w:sz w:val="21"/>
          <w:szCs w:val="21"/>
        </w:rPr>
        <w:t> </w:t>
      </w:r>
      <w:r>
        <w:rPr>
          <w:rFonts w:ascii="Times New Roman" w:hAnsi="Times New Roman" w:cs="Times New Roman" w:eastAsia="Times New Roman" w:hint="default"/>
          <w:spacing w:val="-2"/>
          <w:sz w:val="21"/>
          <w:szCs w:val="21"/>
        </w:rPr>
        <w:t>2,532,530.11</w:t>
      </w:r>
      <w:r>
        <w:rPr>
          <w:rFonts w:ascii="Times New Roman" w:hAnsi="Times New Roman" w:cs="Times New Roman" w:eastAsia="Times New Roman" w:hint="default"/>
          <w:spacing w:val="8"/>
          <w:sz w:val="21"/>
          <w:szCs w:val="21"/>
        </w:rPr>
        <w:t> </w:t>
      </w:r>
      <w:r>
        <w:rPr>
          <w:rFonts w:ascii="宋体" w:hAnsi="宋体" w:cs="宋体" w:eastAsia="宋体" w:hint="default"/>
          <w:spacing w:val="-9"/>
          <w:sz w:val="21"/>
          <w:szCs w:val="21"/>
        </w:rPr>
        <w:t>元，详见附注五、（二十六）</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资本公积及（三十二）管理费用。</w:t>
      </w:r>
    </w:p>
    <w:p>
      <w:pPr>
        <w:spacing w:line="240" w:lineRule="auto" w:before="0"/>
        <w:rPr>
          <w:rFonts w:ascii="宋体" w:hAnsi="宋体" w:cs="宋体" w:eastAsia="宋体" w:hint="default"/>
          <w:sz w:val="20"/>
          <w:szCs w:val="20"/>
        </w:rPr>
      </w:pPr>
    </w:p>
    <w:p>
      <w:pPr>
        <w:tabs>
          <w:tab w:pos="1073" w:val="left" w:leader="none"/>
        </w:tabs>
        <w:spacing w:before="133"/>
        <w:ind w:left="345" w:right="328" w:firstLine="0"/>
        <w:jc w:val="left"/>
        <w:rPr>
          <w:rFonts w:ascii="宋体" w:hAnsi="宋体" w:cs="宋体" w:eastAsia="宋体" w:hint="default"/>
          <w:sz w:val="21"/>
          <w:szCs w:val="21"/>
        </w:rPr>
      </w:pPr>
      <w:r>
        <w:rPr>
          <w:rFonts w:ascii="宋体" w:hAnsi="宋体" w:cs="宋体" w:eastAsia="宋体" w:hint="default"/>
          <w:b/>
          <w:bCs/>
          <w:w w:val="95"/>
          <w:sz w:val="21"/>
          <w:szCs w:val="21"/>
        </w:rPr>
        <w:t>九、</w:t>
        <w:tab/>
      </w:r>
      <w:r>
        <w:rPr>
          <w:rFonts w:ascii="宋体" w:hAnsi="宋体" w:cs="宋体" w:eastAsia="宋体" w:hint="default"/>
          <w:b/>
          <w:bCs/>
          <w:sz w:val="21"/>
          <w:szCs w:val="21"/>
        </w:rPr>
        <w:t>或有事项</w:t>
      </w:r>
      <w:r>
        <w:rPr>
          <w:rFonts w:ascii="宋体" w:hAnsi="宋体" w:cs="宋体" w:eastAsia="宋体" w:hint="default"/>
          <w:sz w:val="21"/>
          <w:szCs w:val="21"/>
        </w:rPr>
      </w:r>
    </w:p>
    <w:p>
      <w:pPr>
        <w:tabs>
          <w:tab w:pos="1073" w:val="left" w:leader="none"/>
        </w:tabs>
        <w:spacing w:before="85"/>
        <w:ind w:left="345" w:right="328"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未决诉讼或仲裁形成的或有负债及其财务影响</w:t>
      </w:r>
      <w:r>
        <w:rPr>
          <w:rFonts w:ascii="宋体" w:hAnsi="宋体" w:cs="宋体" w:eastAsia="宋体" w:hint="default"/>
          <w:sz w:val="21"/>
          <w:szCs w:val="21"/>
        </w:rPr>
      </w:r>
    </w:p>
    <w:p>
      <w:pPr>
        <w:spacing w:line="297" w:lineRule="auto" w:before="69"/>
        <w:ind w:left="1093" w:right="570" w:hanging="1"/>
        <w:jc w:val="left"/>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39"/>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日，本公司无需要披露的未决诉讼或仲裁形成的或有负 债及其财务影响。</w:t>
      </w:r>
    </w:p>
    <w:p>
      <w:pPr>
        <w:spacing w:line="240" w:lineRule="auto" w:before="0"/>
        <w:rPr>
          <w:rFonts w:ascii="宋体" w:hAnsi="宋体" w:cs="宋体" w:eastAsia="宋体" w:hint="default"/>
          <w:sz w:val="20"/>
          <w:szCs w:val="20"/>
        </w:rPr>
      </w:pPr>
    </w:p>
    <w:p>
      <w:pPr>
        <w:tabs>
          <w:tab w:pos="1081" w:val="left" w:leader="none"/>
        </w:tabs>
        <w:spacing w:before="133"/>
        <w:ind w:left="345" w:right="328"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为其他单位提供债务担保形成的或有负债及其财务影响</w:t>
      </w:r>
      <w:r>
        <w:rPr>
          <w:rFonts w:ascii="宋体" w:hAnsi="宋体" w:cs="宋体" w:eastAsia="宋体" w:hint="default"/>
          <w:sz w:val="21"/>
          <w:szCs w:val="21"/>
        </w:rPr>
      </w:r>
    </w:p>
    <w:p>
      <w:pPr>
        <w:spacing w:line="328" w:lineRule="auto" w:before="109"/>
        <w:ind w:left="1109" w:right="575" w:firstLine="0"/>
        <w:jc w:val="left"/>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日，本公司无需要披露的为其他单位提供债务担保形成 的或有负债及其财务影响。</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1073" w:val="left" w:leader="none"/>
        </w:tabs>
        <w:spacing w:before="0"/>
        <w:ind w:left="345" w:right="328"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其他或有负债</w:t>
      </w:r>
      <w:r>
        <w:rPr>
          <w:rFonts w:ascii="宋体" w:hAnsi="宋体" w:cs="宋体" w:eastAsia="宋体" w:hint="default"/>
          <w:sz w:val="21"/>
          <w:szCs w:val="21"/>
        </w:rPr>
      </w:r>
    </w:p>
    <w:p>
      <w:pPr>
        <w:spacing w:before="109"/>
        <w:ind w:left="1077" w:right="328" w:firstLine="0"/>
        <w:jc w:val="left"/>
        <w:rPr>
          <w:rFonts w:ascii="宋体" w:hAnsi="宋体" w:cs="宋体" w:eastAsia="宋体" w:hint="default"/>
          <w:sz w:val="21"/>
          <w:szCs w:val="21"/>
        </w:rPr>
      </w:pPr>
      <w:r>
        <w:rPr>
          <w:rFonts w:ascii="宋体" w:hAnsi="宋体" w:cs="宋体" w:eastAsia="宋体" w:hint="default"/>
          <w:sz w:val="21"/>
          <w:szCs w:val="21"/>
        </w:rPr>
        <w:t>预计负债的情况详见附注五、（二十四）预计负债。</w:t>
      </w:r>
    </w:p>
    <w:p>
      <w:pPr>
        <w:spacing w:before="126"/>
        <w:ind w:left="1077" w:right="328" w:firstLine="0"/>
        <w:jc w:val="left"/>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日，本公司无其他需要披露的重大或有事项。</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25"/>
          <w:szCs w:val="25"/>
        </w:rPr>
      </w:pPr>
    </w:p>
    <w:p>
      <w:pPr>
        <w:tabs>
          <w:tab w:pos="1073" w:val="left" w:leader="none"/>
        </w:tabs>
        <w:spacing w:before="0"/>
        <w:ind w:left="345" w:right="328" w:firstLine="0"/>
        <w:jc w:val="left"/>
        <w:rPr>
          <w:rFonts w:ascii="宋体" w:hAnsi="宋体" w:cs="宋体" w:eastAsia="宋体" w:hint="default"/>
          <w:sz w:val="21"/>
          <w:szCs w:val="21"/>
        </w:rPr>
      </w:pPr>
      <w:r>
        <w:rPr>
          <w:rFonts w:ascii="宋体" w:hAnsi="宋体" w:cs="宋体" w:eastAsia="宋体" w:hint="default"/>
          <w:b/>
          <w:bCs/>
          <w:w w:val="95"/>
          <w:sz w:val="21"/>
          <w:szCs w:val="21"/>
        </w:rPr>
        <w:t>十、</w:t>
        <w:tab/>
      </w:r>
      <w:r>
        <w:rPr>
          <w:rFonts w:ascii="宋体" w:hAnsi="宋体" w:cs="宋体" w:eastAsia="宋体" w:hint="default"/>
          <w:b/>
          <w:bCs/>
          <w:sz w:val="21"/>
          <w:szCs w:val="21"/>
        </w:rPr>
        <w:t>承诺事项</w:t>
      </w:r>
      <w:r>
        <w:rPr>
          <w:rFonts w:ascii="宋体" w:hAnsi="宋体" w:cs="宋体" w:eastAsia="宋体" w:hint="default"/>
          <w:sz w:val="21"/>
          <w:szCs w:val="21"/>
        </w:rPr>
      </w:r>
    </w:p>
    <w:p>
      <w:pPr>
        <w:tabs>
          <w:tab w:pos="1073" w:val="left" w:leader="none"/>
        </w:tabs>
        <w:spacing w:before="125"/>
        <w:ind w:left="345" w:right="328"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重大承诺事项</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7" w:footer="1256" w:top="1100" w:bottom="1440" w:left="1440" w:right="1680"/>
        </w:sectPr>
      </w:pPr>
    </w:p>
    <w:p>
      <w:pPr>
        <w:spacing w:line="240" w:lineRule="auto" w:before="5"/>
        <w:rPr>
          <w:rFonts w:ascii="宋体" w:hAnsi="宋体" w:cs="宋体" w:eastAsia="宋体" w:hint="default"/>
          <w:b/>
          <w:bCs/>
          <w:sz w:val="27"/>
          <w:szCs w:val="27"/>
        </w:rPr>
      </w:pPr>
    </w:p>
    <w:p>
      <w:pPr>
        <w:spacing w:before="35"/>
        <w:ind w:left="885" w:right="0" w:firstLine="0"/>
        <w:jc w:val="left"/>
        <w:rPr>
          <w:rFonts w:ascii="宋体" w:hAnsi="宋体" w:cs="宋体" w:eastAsia="宋体" w:hint="default"/>
          <w:sz w:val="21"/>
          <w:szCs w:val="21"/>
        </w:rPr>
      </w:pPr>
      <w:r>
        <w:rPr>
          <w:rFonts w:ascii="Times New Roman" w:hAnsi="Times New Roman" w:cs="Times New Roman" w:eastAsia="Times New Roman" w:hint="default"/>
          <w:b/>
          <w:bCs/>
          <w:spacing w:val="-5"/>
          <w:sz w:val="21"/>
          <w:szCs w:val="21"/>
        </w:rPr>
        <w:t>1</w:t>
      </w:r>
      <w:r>
        <w:rPr>
          <w:rFonts w:ascii="宋体" w:hAnsi="宋体" w:cs="宋体" w:eastAsia="宋体" w:hint="default"/>
          <w:b/>
          <w:bCs/>
          <w:spacing w:val="-5"/>
          <w:sz w:val="21"/>
          <w:szCs w:val="21"/>
        </w:rPr>
        <w:t>、与关联方相关的重大承诺事项明细详见本附注七、（五）</w:t>
      </w:r>
      <w:r>
        <w:rPr>
          <w:rFonts w:ascii="Times New Roman" w:hAnsi="Times New Roman" w:cs="Times New Roman" w:eastAsia="Times New Roman" w:hint="default"/>
          <w:b/>
          <w:bCs/>
          <w:spacing w:val="-5"/>
          <w:sz w:val="21"/>
          <w:szCs w:val="21"/>
        </w:rPr>
        <w:t>6</w:t>
      </w:r>
      <w:r>
        <w:rPr>
          <w:rFonts w:ascii="宋体" w:hAnsi="宋体" w:cs="宋体" w:eastAsia="宋体" w:hint="default"/>
          <w:b/>
          <w:bCs/>
          <w:spacing w:val="-5"/>
          <w:sz w:val="21"/>
          <w:szCs w:val="21"/>
        </w:rPr>
        <w:t>、关联担保情况。</w:t>
      </w:r>
      <w:r>
        <w:rPr>
          <w:rFonts w:ascii="宋体" w:hAnsi="宋体" w:cs="宋体" w:eastAsia="宋体" w:hint="default"/>
          <w:spacing w:val="-5"/>
          <w:sz w:val="21"/>
          <w:szCs w:val="21"/>
        </w:rPr>
      </w:r>
    </w:p>
    <w:p>
      <w:pPr>
        <w:spacing w:line="304" w:lineRule="auto" w:before="89"/>
        <w:ind w:left="980" w:right="634" w:hanging="12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、参与发行</w:t>
      </w:r>
      <w:r>
        <w:rPr>
          <w:rFonts w:ascii="宋体" w:hAnsi="宋体" w:cs="宋体" w:eastAsia="宋体" w:hint="default"/>
          <w:b/>
          <w:bCs/>
          <w:spacing w:val="-54"/>
          <w:sz w:val="21"/>
          <w:szCs w:val="21"/>
        </w:rPr>
        <w:t> </w:t>
      </w: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年招商银行第一期中小企业集合中期票据进度情况：</w:t>
      </w:r>
      <w:r>
        <w:rPr>
          <w:rFonts w:ascii="宋体" w:hAnsi="宋体" w:cs="宋体" w:eastAsia="宋体" w:hint="default"/>
          <w:b/>
          <w:bCs/>
          <w:w w:val="99"/>
          <w:sz w:val="21"/>
          <w:szCs w:val="21"/>
        </w:rPr>
        <w:t> </w:t>
      </w:r>
      <w:r>
        <w:rPr>
          <w:rFonts w:ascii="宋体" w:hAnsi="宋体" w:cs="宋体" w:eastAsia="宋体" w:hint="default"/>
          <w:sz w:val="21"/>
          <w:szCs w:val="21"/>
        </w:rPr>
        <w:t>为了节约财务费用，改善公司负债结构，降低融资成本，为公司实现持续发</w:t>
      </w:r>
    </w:p>
    <w:p>
      <w:pPr>
        <w:spacing w:line="408" w:lineRule="auto" w:before="136"/>
        <w:ind w:left="875" w:right="635" w:firstLine="104"/>
        <w:jc w:val="left"/>
        <w:rPr>
          <w:rFonts w:ascii="宋体" w:hAnsi="宋体" w:cs="宋体" w:eastAsia="宋体" w:hint="default"/>
          <w:sz w:val="21"/>
          <w:szCs w:val="21"/>
        </w:rPr>
      </w:pPr>
      <w:r>
        <w:rPr>
          <w:rFonts w:ascii="宋体" w:hAnsi="宋体" w:cs="宋体" w:eastAsia="宋体" w:hint="default"/>
          <w:sz w:val="21"/>
          <w:szCs w:val="21"/>
        </w:rPr>
        <w:t>展提供强有力的资金保障，公司参加了2011年招商银行第一期中小企业集合 中期票据并申请在全国银行间债券市场发行，公司将筹集的资金用于综合流 动资金周转及优化公司债务结构。具体发行中期票据的方案如下： </w:t>
      </w:r>
      <w:r>
        <w:rPr>
          <w:rFonts w:ascii="Times New Roman" w:hAnsi="Times New Roman" w:cs="Times New Roman" w:eastAsia="Times New Roman" w:hint="default"/>
          <w:sz w:val="21"/>
          <w:szCs w:val="21"/>
        </w:rPr>
        <w:t>1</w:t>
      </w:r>
      <w:r>
        <w:rPr>
          <w:rFonts w:ascii="宋体" w:hAnsi="宋体" w:cs="宋体" w:eastAsia="宋体" w:hint="default"/>
          <w:sz w:val="21"/>
          <w:szCs w:val="21"/>
        </w:rPr>
        <w:t>、票据名称：</w:t>
      </w:r>
      <w:r>
        <w:rPr>
          <w:rFonts w:ascii="Times New Roman" w:hAnsi="Times New Roman" w:cs="Times New Roman" w:eastAsia="Times New Roman" w:hint="default"/>
          <w:sz w:val="21"/>
          <w:szCs w:val="21"/>
        </w:rPr>
        <w:t>2011</w:t>
      </w:r>
      <w:r>
        <w:rPr>
          <w:rFonts w:ascii="宋体" w:hAnsi="宋体" w:cs="宋体" w:eastAsia="宋体" w:hint="default"/>
          <w:sz w:val="21"/>
          <w:szCs w:val="21"/>
        </w:rPr>
        <w:t>年招商银行第一期中小企业集合中期票据；</w:t>
      </w:r>
    </w:p>
    <w:p>
      <w:pPr>
        <w:spacing w:before="14"/>
        <w:ind w:left="87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、票据代码：待定；</w:t>
      </w:r>
    </w:p>
    <w:p>
      <w:pPr>
        <w:spacing w:before="177"/>
        <w:ind w:left="87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、票据期限：</w:t>
      </w:r>
      <w:r>
        <w:rPr>
          <w:rFonts w:ascii="Times New Roman" w:hAnsi="Times New Roman" w:cs="Times New Roman" w:eastAsia="Times New Roman" w:hint="default"/>
          <w:sz w:val="21"/>
          <w:szCs w:val="21"/>
        </w:rPr>
        <w:t>3</w:t>
      </w:r>
      <w:r>
        <w:rPr>
          <w:rFonts w:ascii="宋体" w:hAnsi="宋体" w:cs="宋体" w:eastAsia="宋体" w:hint="default"/>
          <w:sz w:val="21"/>
          <w:szCs w:val="21"/>
        </w:rPr>
        <w:t>年；</w:t>
      </w:r>
    </w:p>
    <w:p>
      <w:pPr>
        <w:spacing w:before="177"/>
        <w:ind w:left="87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、发行规模：人民币</w:t>
      </w:r>
      <w:r>
        <w:rPr>
          <w:rFonts w:ascii="Times New Roman" w:hAnsi="Times New Roman" w:cs="Times New Roman" w:eastAsia="Times New Roman" w:hint="default"/>
          <w:sz w:val="21"/>
          <w:szCs w:val="21"/>
        </w:rPr>
        <w:t>1</w:t>
      </w:r>
      <w:r>
        <w:rPr>
          <w:rFonts w:ascii="宋体" w:hAnsi="宋体" w:cs="宋体" w:eastAsia="宋体" w:hint="default"/>
          <w:sz w:val="21"/>
          <w:szCs w:val="21"/>
        </w:rPr>
        <w:t>亿元；</w:t>
      </w:r>
    </w:p>
    <w:p>
      <w:pPr>
        <w:spacing w:before="177"/>
        <w:ind w:left="87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、发行利率：根据公司发行时市场情况确定，以注册通知书为准；</w:t>
      </w:r>
    </w:p>
    <w:p>
      <w:pPr>
        <w:spacing w:before="177"/>
        <w:ind w:left="87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、承销费率：年化费率</w:t>
      </w:r>
      <w:r>
        <w:rPr>
          <w:rFonts w:ascii="Times New Roman" w:hAnsi="Times New Roman" w:cs="Times New Roman" w:eastAsia="Times New Roman" w:hint="default"/>
          <w:sz w:val="21"/>
          <w:szCs w:val="21"/>
        </w:rPr>
        <w:t>0.4%</w:t>
      </w:r>
      <w:r>
        <w:rPr>
          <w:rFonts w:ascii="宋体" w:hAnsi="宋体" w:cs="宋体" w:eastAsia="宋体" w:hint="default"/>
          <w:sz w:val="21"/>
          <w:szCs w:val="21"/>
        </w:rPr>
        <w:t>；</w:t>
      </w:r>
    </w:p>
    <w:p>
      <w:pPr>
        <w:spacing w:before="177"/>
        <w:ind w:left="87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、发行方式：以余额包销方式在全国银行间债券市场公开发行；</w:t>
      </w:r>
    </w:p>
    <w:p>
      <w:pPr>
        <w:spacing w:before="177"/>
        <w:ind w:left="87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宋体" w:hAnsi="宋体" w:cs="宋体" w:eastAsia="宋体" w:hint="default"/>
          <w:sz w:val="21"/>
          <w:szCs w:val="21"/>
        </w:rPr>
        <w:t>、主承销商：招商银行股份有限公司；</w:t>
      </w:r>
    </w:p>
    <w:p>
      <w:pPr>
        <w:spacing w:before="177"/>
        <w:ind w:left="87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9</w:t>
      </w:r>
      <w:r>
        <w:rPr>
          <w:rFonts w:ascii="宋体" w:hAnsi="宋体" w:cs="宋体" w:eastAsia="宋体" w:hint="default"/>
          <w:sz w:val="21"/>
          <w:szCs w:val="21"/>
        </w:rPr>
        <w:t>、兑付方式：到期一次还本付息；</w:t>
      </w:r>
    </w:p>
    <w:p>
      <w:pPr>
        <w:spacing w:line="398" w:lineRule="auto" w:before="177"/>
        <w:ind w:left="875" w:right="0" w:firstLine="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10</w:t>
      </w:r>
      <w:r>
        <w:rPr>
          <w:rFonts w:ascii="宋体" w:hAnsi="宋体" w:cs="宋体" w:eastAsia="宋体" w:hint="default"/>
          <w:spacing w:val="-2"/>
          <w:sz w:val="21"/>
          <w:szCs w:val="21"/>
        </w:rPr>
        <w:t>、担保事项：深圳市中小企业信用融资担保集团有限公司为上述发行中期票</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据融资提供担保，公司以</w:t>
      </w:r>
      <w:r>
        <w:rPr>
          <w:rFonts w:ascii="Times New Roman" w:hAnsi="Times New Roman" w:cs="Times New Roman" w:eastAsia="Times New Roman" w:hint="default"/>
          <w:sz w:val="21"/>
          <w:szCs w:val="21"/>
        </w:rPr>
        <w:t>1,000</w:t>
      </w:r>
      <w:r>
        <w:rPr>
          <w:rFonts w:ascii="宋体" w:hAnsi="宋体" w:cs="宋体" w:eastAsia="宋体" w:hint="default"/>
          <w:sz w:val="21"/>
          <w:szCs w:val="21"/>
        </w:rPr>
        <w:t>台</w:t>
      </w:r>
      <w:r>
        <w:rPr>
          <w:rFonts w:ascii="Times New Roman" w:hAnsi="Times New Roman" w:cs="Times New Roman" w:eastAsia="Times New Roman" w:hint="default"/>
          <w:sz w:val="21"/>
          <w:szCs w:val="21"/>
        </w:rPr>
        <w:t>ATM</w:t>
      </w:r>
      <w:r>
        <w:rPr>
          <w:rFonts w:ascii="宋体" w:hAnsi="宋体" w:cs="宋体" w:eastAsia="宋体" w:hint="default"/>
          <w:sz w:val="21"/>
          <w:szCs w:val="21"/>
        </w:rPr>
        <w:t>设备抵押和董事长杨文江先生为深圳市</w:t>
      </w:r>
      <w:r>
        <w:rPr>
          <w:rFonts w:ascii="宋体" w:hAnsi="宋体" w:cs="宋体" w:eastAsia="宋体" w:hint="default"/>
          <w:spacing w:val="-46"/>
          <w:sz w:val="21"/>
          <w:szCs w:val="21"/>
        </w:rPr>
        <w:t> </w:t>
      </w:r>
      <w:r>
        <w:rPr>
          <w:rFonts w:ascii="宋体" w:hAnsi="宋体" w:cs="宋体" w:eastAsia="宋体" w:hint="default"/>
          <w:spacing w:val="-2"/>
          <w:sz w:val="21"/>
          <w:szCs w:val="21"/>
        </w:rPr>
        <w:t>中小企业信用融资担保集团有限公司提供反担保，担保期限从发行中期票据之</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日起，至中期票据到期还本付息完毕之日止； </w:t>
      </w:r>
      <w:r>
        <w:rPr>
          <w:rFonts w:ascii="宋体" w:hAnsi="宋体" w:cs="宋体" w:eastAsia="宋体" w:hint="default"/>
          <w:spacing w:val="-2"/>
          <w:sz w:val="21"/>
          <w:szCs w:val="21"/>
        </w:rPr>
        <w:t>截止</w:t>
      </w:r>
      <w:r>
        <w:rPr>
          <w:rFonts w:ascii="Times New Roman" w:hAnsi="Times New Roman" w:cs="Times New Roman" w:eastAsia="Times New Roman" w:hint="default"/>
          <w:spacing w:val="-2"/>
          <w:sz w:val="21"/>
          <w:szCs w:val="21"/>
        </w:rPr>
        <w:t>2011</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12</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31</w:t>
      </w:r>
      <w:r>
        <w:rPr>
          <w:rFonts w:ascii="宋体" w:hAnsi="宋体" w:cs="宋体" w:eastAsia="宋体" w:hint="default"/>
          <w:spacing w:val="-2"/>
          <w:sz w:val="21"/>
          <w:szCs w:val="21"/>
        </w:rPr>
        <w:t>日，</w:t>
      </w:r>
      <w:r>
        <w:rPr>
          <w:rFonts w:ascii="Times New Roman" w:hAnsi="Times New Roman" w:cs="Times New Roman" w:eastAsia="Times New Roman" w:hint="default"/>
          <w:spacing w:val="-2"/>
          <w:sz w:val="21"/>
          <w:szCs w:val="21"/>
        </w:rPr>
        <w:t>2011</w:t>
      </w:r>
      <w:r>
        <w:rPr>
          <w:rFonts w:ascii="宋体" w:hAnsi="宋体" w:cs="宋体" w:eastAsia="宋体" w:hint="default"/>
          <w:spacing w:val="-2"/>
          <w:sz w:val="21"/>
          <w:szCs w:val="21"/>
        </w:rPr>
        <w:t>年招商银行第一期中小企业集合中期票据已经通过</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pacing w:val="-2"/>
          <w:sz w:val="21"/>
          <w:szCs w:val="21"/>
        </w:rPr>
        <w:t>交易商协会审批，目前招商银行股份有限公司正筹备在全国银行间债券市场公</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开发行事宜。</w:t>
      </w:r>
    </w:p>
    <w:p>
      <w:pPr>
        <w:spacing w:before="84"/>
        <w:ind w:left="87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、截止</w:t>
      </w:r>
      <w:r>
        <w:rPr>
          <w:rFonts w:ascii="宋体" w:hAnsi="宋体" w:cs="宋体" w:eastAsia="宋体" w:hint="default"/>
          <w:b/>
          <w:bCs/>
          <w:spacing w:val="-54"/>
          <w:sz w:val="21"/>
          <w:szCs w:val="21"/>
        </w:rPr>
        <w:t> </w:t>
      </w: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6"/>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日，本公司无其他需要披露的重大承诺事项。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spacing w:before="0"/>
        <w:ind w:left="125" w:right="0" w:firstLine="0"/>
        <w:jc w:val="left"/>
        <w:rPr>
          <w:rFonts w:ascii="宋体" w:hAnsi="宋体" w:cs="宋体" w:eastAsia="宋体" w:hint="default"/>
          <w:sz w:val="21"/>
          <w:szCs w:val="21"/>
        </w:rPr>
      </w:pPr>
      <w:r>
        <w:rPr>
          <w:rFonts w:ascii="宋体" w:hAnsi="宋体" w:cs="宋体" w:eastAsia="宋体" w:hint="default"/>
          <w:b/>
          <w:bCs/>
          <w:sz w:val="21"/>
          <w:szCs w:val="21"/>
        </w:rPr>
        <w:t>十一、</w:t>
      </w:r>
      <w:r>
        <w:rPr>
          <w:rFonts w:ascii="宋体" w:hAnsi="宋体" w:cs="宋体" w:eastAsia="宋体" w:hint="default"/>
          <w:b/>
          <w:bCs/>
          <w:spacing w:val="-11"/>
          <w:sz w:val="21"/>
          <w:szCs w:val="21"/>
        </w:rPr>
        <w:t> </w:t>
      </w:r>
      <w:r>
        <w:rPr>
          <w:rFonts w:ascii="宋体" w:hAnsi="宋体" w:cs="宋体" w:eastAsia="宋体" w:hint="default"/>
          <w:b/>
          <w:bCs/>
          <w:sz w:val="21"/>
          <w:szCs w:val="21"/>
        </w:rPr>
        <w:t>资产负债表日后事项</w:t>
      </w:r>
      <w:r>
        <w:rPr>
          <w:rFonts w:ascii="宋体" w:hAnsi="宋体" w:cs="宋体" w:eastAsia="宋体" w:hint="default"/>
          <w:sz w:val="21"/>
          <w:szCs w:val="21"/>
        </w:rPr>
      </w:r>
    </w:p>
    <w:p>
      <w:pPr>
        <w:tabs>
          <w:tab w:pos="854" w:val="left" w:leader="none"/>
        </w:tabs>
        <w:spacing w:before="125"/>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资产负债表日后利润分配情况说明</w:t>
      </w:r>
      <w:r>
        <w:rPr>
          <w:rFonts w:ascii="宋体" w:hAnsi="宋体" w:cs="宋体" w:eastAsia="宋体" w:hint="default"/>
          <w:sz w:val="21"/>
          <w:szCs w:val="21"/>
        </w:rPr>
      </w:r>
    </w:p>
    <w:p>
      <w:pPr>
        <w:spacing w:before="110"/>
        <w:ind w:left="875" w:right="0" w:firstLine="0"/>
        <w:jc w:val="left"/>
        <w:rPr>
          <w:rFonts w:ascii="宋体" w:hAnsi="宋体" w:cs="宋体" w:eastAsia="宋体" w:hint="default"/>
          <w:sz w:val="21"/>
          <w:szCs w:val="21"/>
        </w:rPr>
      </w:pPr>
      <w:r>
        <w:rPr>
          <w:rFonts w:ascii="宋体" w:hAnsi="宋体" w:cs="宋体" w:eastAsia="宋体" w:hint="default"/>
          <w:sz w:val="21"/>
          <w:szCs w:val="21"/>
        </w:rPr>
        <w:t>公司董事会的</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年度利润分配及资本公积金转增预案：</w:t>
      </w:r>
    </w:p>
    <w:p>
      <w:pPr>
        <w:spacing w:before="79"/>
        <w:ind w:left="875" w:right="0" w:firstLine="0"/>
        <w:jc w:val="left"/>
        <w:rPr>
          <w:rFonts w:ascii="宋体" w:hAnsi="宋体" w:cs="宋体" w:eastAsia="宋体" w:hint="default"/>
          <w:sz w:val="21"/>
          <w:szCs w:val="21"/>
        </w:rPr>
      </w:pPr>
      <w:r>
        <w:rPr>
          <w:rFonts w:ascii="Times New Roman" w:hAnsi="Times New Roman" w:cs="Times New Roman" w:eastAsia="Times New Roman" w:hint="default"/>
          <w:spacing w:val="-7"/>
          <w:sz w:val="21"/>
          <w:szCs w:val="21"/>
        </w:rPr>
        <w:t>1</w:t>
      </w:r>
      <w:r>
        <w:rPr>
          <w:rFonts w:ascii="宋体" w:hAnsi="宋体" w:cs="宋体" w:eastAsia="宋体" w:hint="default"/>
          <w:spacing w:val="-7"/>
          <w:sz w:val="21"/>
          <w:szCs w:val="21"/>
        </w:rPr>
        <w:t>、利润分配预案：以</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日的总股本</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34,443.045 </w:t>
      </w:r>
      <w:r>
        <w:rPr>
          <w:rFonts w:ascii="宋体" w:hAnsi="宋体" w:cs="宋体" w:eastAsia="宋体" w:hint="default"/>
          <w:spacing w:val="-5"/>
          <w:sz w:val="21"/>
          <w:szCs w:val="21"/>
        </w:rPr>
        <w:t>万股为基数，拟</w:t>
      </w:r>
    </w:p>
    <w:p>
      <w:pPr>
        <w:spacing w:before="177"/>
        <w:ind w:left="875" w:right="0" w:firstLine="0"/>
        <w:jc w:val="left"/>
        <w:rPr>
          <w:rFonts w:ascii="宋体" w:hAnsi="宋体" w:cs="宋体" w:eastAsia="宋体" w:hint="default"/>
          <w:sz w:val="21"/>
          <w:szCs w:val="21"/>
        </w:rPr>
      </w:pPr>
      <w:r>
        <w:rPr>
          <w:rFonts w:ascii="宋体" w:hAnsi="宋体" w:cs="宋体" w:eastAsia="宋体" w:hint="default"/>
          <w:sz w:val="21"/>
          <w:szCs w:val="21"/>
        </w:rPr>
        <w:t>按每</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0 </w:t>
      </w:r>
      <w:r>
        <w:rPr>
          <w:rFonts w:ascii="宋体" w:hAnsi="宋体" w:cs="宋体" w:eastAsia="宋体" w:hint="default"/>
          <w:sz w:val="21"/>
          <w:szCs w:val="21"/>
        </w:rPr>
        <w:t>股</w:t>
      </w:r>
      <w:r>
        <w:rPr>
          <w:rFonts w:ascii="宋体" w:hAnsi="宋体" w:cs="宋体" w:eastAsia="宋体" w:hint="default"/>
          <w:spacing w:val="-2"/>
          <w:sz w:val="21"/>
          <w:szCs w:val="21"/>
        </w:rPr>
        <w:t>派</w:t>
      </w:r>
      <w:r>
        <w:rPr>
          <w:rFonts w:ascii="宋体" w:hAnsi="宋体" w:cs="宋体" w:eastAsia="宋体" w:hint="default"/>
          <w:sz w:val="21"/>
          <w:szCs w:val="21"/>
        </w:rPr>
        <w:t>发现金股利</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0.5</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元（含</w:t>
      </w:r>
      <w:r>
        <w:rPr>
          <w:rFonts w:ascii="宋体" w:hAnsi="宋体" w:cs="宋体" w:eastAsia="宋体" w:hint="default"/>
          <w:spacing w:val="-2"/>
          <w:sz w:val="21"/>
          <w:szCs w:val="21"/>
        </w:rPr>
        <w:t>税</w:t>
      </w:r>
      <w:r>
        <w:rPr>
          <w:rFonts w:ascii="宋体" w:hAnsi="宋体" w:cs="宋体" w:eastAsia="宋体" w:hint="default"/>
          <w:spacing w:val="-105"/>
          <w:sz w:val="21"/>
          <w:szCs w:val="21"/>
        </w:rPr>
        <w:t>）</w:t>
      </w:r>
      <w:r>
        <w:rPr>
          <w:rFonts w:ascii="宋体" w:hAnsi="宋体" w:cs="宋体" w:eastAsia="宋体" w:hint="default"/>
          <w:sz w:val="21"/>
          <w:szCs w:val="21"/>
        </w:rPr>
        <w:t>，共计</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50 </w:t>
      </w:r>
      <w:r>
        <w:rPr>
          <w:rFonts w:ascii="宋体" w:hAnsi="宋体" w:cs="宋体" w:eastAsia="宋体" w:hint="default"/>
          <w:spacing w:val="-2"/>
          <w:sz w:val="21"/>
          <w:szCs w:val="21"/>
        </w:rPr>
        <w:t>元；</w:t>
      </w:r>
      <w:r>
        <w:rPr>
          <w:rFonts w:ascii="宋体" w:hAnsi="宋体" w:cs="宋体" w:eastAsia="宋体" w:hint="default"/>
          <w:sz w:val="21"/>
          <w:szCs w:val="21"/>
        </w:rPr>
      </w:r>
    </w:p>
    <w:p>
      <w:pPr>
        <w:spacing w:before="177"/>
        <w:ind w:left="87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、资本公积金转增股本预案：以</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年年末总股本</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34,443.045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万股为基数，</w:t>
      </w:r>
    </w:p>
    <w:p>
      <w:pPr>
        <w:spacing w:before="177"/>
        <w:ind w:left="875" w:right="0" w:firstLine="0"/>
        <w:jc w:val="left"/>
        <w:rPr>
          <w:rFonts w:ascii="宋体" w:hAnsi="宋体" w:cs="宋体" w:eastAsia="宋体" w:hint="default"/>
          <w:sz w:val="21"/>
          <w:szCs w:val="21"/>
        </w:rPr>
      </w:pPr>
      <w:r>
        <w:rPr>
          <w:rFonts w:ascii="宋体" w:hAnsi="宋体" w:cs="宋体" w:eastAsia="宋体" w:hint="default"/>
          <w:sz w:val="21"/>
          <w:szCs w:val="21"/>
        </w:rPr>
        <w:t>拟以资本公积金向全体股东每</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股转增</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w:t>
      </w:r>
    </w:p>
    <w:p>
      <w:pPr>
        <w:spacing w:after="0"/>
        <w:jc w:val="left"/>
        <w:rPr>
          <w:rFonts w:ascii="宋体" w:hAnsi="宋体" w:cs="宋体" w:eastAsia="宋体" w:hint="default"/>
          <w:sz w:val="21"/>
          <w:szCs w:val="21"/>
        </w:rPr>
        <w:sectPr>
          <w:pgSz w:w="11910" w:h="16840"/>
          <w:pgMar w:header="877" w:footer="1256" w:top="1100" w:bottom="1440" w:left="1660" w:right="1680"/>
        </w:sectPr>
      </w:pPr>
    </w:p>
    <w:p>
      <w:pPr>
        <w:spacing w:line="240" w:lineRule="auto" w:before="12"/>
        <w:rPr>
          <w:rFonts w:ascii="宋体" w:hAnsi="宋体" w:cs="宋体" w:eastAsia="宋体" w:hint="default"/>
          <w:sz w:val="28"/>
          <w:szCs w:val="28"/>
        </w:rPr>
      </w:pPr>
    </w:p>
    <w:p>
      <w:pPr>
        <w:tabs>
          <w:tab w:pos="1373" w:val="left" w:leader="none"/>
        </w:tabs>
        <w:spacing w:line="328" w:lineRule="auto" w:before="35"/>
        <w:ind w:left="1395" w:right="4296" w:hanging="75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其他资产负债表日后事项说明</w:t>
      </w:r>
      <w:r>
        <w:rPr>
          <w:rFonts w:ascii="宋体" w:hAnsi="宋体" w:cs="宋体" w:eastAsia="宋体" w:hint="default"/>
          <w:b/>
          <w:bCs/>
          <w:spacing w:val="1"/>
          <w:w w:val="99"/>
          <w:sz w:val="21"/>
          <w:szCs w:val="21"/>
        </w:rPr>
        <w:t> </w:t>
      </w:r>
      <w:r>
        <w:rPr>
          <w:rFonts w:ascii="宋体" w:hAnsi="宋体" w:cs="宋体" w:eastAsia="宋体" w:hint="default"/>
          <w:sz w:val="21"/>
          <w:szCs w:val="21"/>
        </w:rPr>
        <w:t>本公司无其他需要披露的资产负债表日后事项。</w:t>
      </w: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7" w:footer="1256" w:top="1100" w:bottom="1440" w:left="1140" w:right="660"/>
        </w:sectPr>
      </w:pPr>
    </w:p>
    <w:p>
      <w:pPr>
        <w:spacing w:line="240" w:lineRule="auto" w:before="3"/>
        <w:rPr>
          <w:rFonts w:ascii="宋体" w:hAnsi="宋体" w:cs="宋体" w:eastAsia="宋体" w:hint="default"/>
          <w:sz w:val="14"/>
          <w:szCs w:val="14"/>
        </w:rPr>
      </w:pPr>
    </w:p>
    <w:p>
      <w:pPr>
        <w:spacing w:before="0"/>
        <w:ind w:left="645" w:right="-19" w:firstLine="0"/>
        <w:jc w:val="left"/>
        <w:rPr>
          <w:rFonts w:ascii="宋体" w:hAnsi="宋体" w:cs="宋体" w:eastAsia="宋体" w:hint="default"/>
          <w:sz w:val="21"/>
          <w:szCs w:val="21"/>
        </w:rPr>
      </w:pPr>
      <w:r>
        <w:rPr>
          <w:rFonts w:ascii="宋体" w:hAnsi="宋体" w:cs="宋体" w:eastAsia="宋体" w:hint="default"/>
          <w:b/>
          <w:bCs/>
          <w:sz w:val="21"/>
          <w:szCs w:val="21"/>
        </w:rPr>
        <w:t>十二、</w:t>
      </w:r>
      <w:r>
        <w:rPr>
          <w:rFonts w:ascii="宋体" w:hAnsi="宋体" w:cs="宋体" w:eastAsia="宋体" w:hint="default"/>
          <w:b/>
          <w:bCs/>
          <w:spacing w:val="-12"/>
          <w:sz w:val="21"/>
          <w:szCs w:val="21"/>
        </w:rPr>
        <w:t> </w:t>
      </w:r>
      <w:r>
        <w:rPr>
          <w:rFonts w:ascii="宋体" w:hAnsi="宋体" w:cs="宋体" w:eastAsia="宋体" w:hint="default"/>
          <w:b/>
          <w:bCs/>
          <w:sz w:val="21"/>
          <w:szCs w:val="21"/>
        </w:rPr>
        <w:t>其他重要事项说明</w:t>
      </w:r>
      <w:r>
        <w:rPr>
          <w:rFonts w:ascii="宋体" w:hAnsi="宋体" w:cs="宋体" w:eastAsia="宋体" w:hint="default"/>
          <w:sz w:val="21"/>
          <w:szCs w:val="21"/>
        </w:rPr>
      </w:r>
    </w:p>
    <w:p>
      <w:pPr>
        <w:tabs>
          <w:tab w:pos="1373" w:val="left" w:leader="none"/>
        </w:tabs>
        <w:spacing w:before="125"/>
        <w:ind w:left="645" w:right="-19"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以公允价值计量的资产和负债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71"/>
        <w:ind w:left="645" w:right="0" w:firstLine="0"/>
        <w:jc w:val="left"/>
        <w:rPr>
          <w:rFonts w:ascii="宋体" w:hAnsi="宋体" w:cs="宋体" w:eastAsia="宋体" w:hint="default"/>
          <w:sz w:val="21"/>
          <w:szCs w:val="21"/>
        </w:rPr>
      </w:pPr>
      <w:r>
        <w:rPr>
          <w:rFonts w:ascii="宋体" w:hAnsi="宋体" w:cs="宋体" w:eastAsia="宋体" w:hint="default"/>
          <w:sz w:val="21"/>
          <w:szCs w:val="21"/>
        </w:rPr>
        <w:t>单位：人民币万元</w:t>
      </w:r>
    </w:p>
    <w:p>
      <w:pPr>
        <w:spacing w:after="0"/>
        <w:jc w:val="left"/>
        <w:rPr>
          <w:rFonts w:ascii="宋体" w:hAnsi="宋体" w:cs="宋体" w:eastAsia="宋体" w:hint="default"/>
          <w:sz w:val="21"/>
          <w:szCs w:val="21"/>
        </w:rPr>
        <w:sectPr>
          <w:type w:val="continuous"/>
          <w:pgSz w:w="11910" w:h="16840"/>
          <w:pgMar w:top="1100" w:bottom="1240" w:left="1140" w:right="660"/>
          <w:cols w:num="2" w:equalWidth="0">
            <w:col w:w="4115" w:space="1990"/>
            <w:col w:w="4005"/>
          </w:cols>
        </w:sectPr>
      </w:pPr>
    </w:p>
    <w:p>
      <w:pPr>
        <w:spacing w:line="240" w:lineRule="auto" w:before="12"/>
        <w:rPr>
          <w:rFonts w:ascii="宋体" w:hAnsi="宋体" w:cs="宋体" w:eastAsia="宋体" w:hint="default"/>
          <w:sz w:val="9"/>
          <w:szCs w:val="9"/>
        </w:rPr>
      </w:pPr>
    </w:p>
    <w:p>
      <w:pPr>
        <w:spacing w:line="5401" w:lineRule="exact"/>
        <w:ind w:left="1240" w:right="0" w:firstLine="0"/>
        <w:rPr>
          <w:rFonts w:ascii="宋体" w:hAnsi="宋体" w:cs="宋体" w:eastAsia="宋体" w:hint="default"/>
          <w:sz w:val="20"/>
          <w:szCs w:val="20"/>
        </w:rPr>
      </w:pPr>
      <w:r>
        <w:rPr>
          <w:rFonts w:ascii="宋体" w:hAnsi="宋体" w:cs="宋体" w:eastAsia="宋体" w:hint="default"/>
          <w:position w:val="-107"/>
          <w:sz w:val="20"/>
          <w:szCs w:val="20"/>
        </w:rPr>
        <w:pict>
          <v:group style="width:425.65pt;height:270.1pt;mso-position-horizontal-relative:char;mso-position-vertical-relative:line" coordorigin="0,0" coordsize="8513,5402">
            <v:group style="position:absolute;left:29;top:15;width:8463;height:2" coordorigin="29,15" coordsize="8463,2">
              <v:shape style="position:absolute;left:29;top:15;width:8463;height:2" coordorigin="29,15" coordsize="8463,0" path="m29,15l8492,15e" filled="false" stroked="true" strokeweight="1.5pt" strokecolor="#000000">
                <v:path arrowok="t"/>
              </v:shape>
              <v:shape style="position:absolute;left:2363;top:1;width:5170;height:806" type="#_x0000_t75" stroked="false">
                <v:imagedata r:id="rId322" o:title=""/>
              </v:shape>
            </v:group>
            <v:group style="position:absolute;left:15;top:5386;width:2378;height:2" coordorigin="15,5386" coordsize="2378,2">
              <v:shape style="position:absolute;left:15;top:5386;width:2378;height:2" coordorigin="15,5386" coordsize="2378,0" path="m15,5386l2392,5386e" filled="false" stroked="true" strokeweight="1.5pt" strokecolor="#000000">
                <v:path arrowok="t"/>
              </v:shape>
            </v:group>
            <v:group style="position:absolute;left:2392;top:5386;width:1134;height:2" coordorigin="2392,5386" coordsize="1134,2">
              <v:shape style="position:absolute;left:2392;top:5386;width:1134;height:2" coordorigin="2392,5386" coordsize="1134,0" path="m2392,5386l3526,5386e" filled="false" stroked="true" strokeweight="1.5pt" strokecolor="#000000">
                <v:path arrowok="t"/>
              </v:shape>
            </v:group>
            <v:group style="position:absolute;left:3526;top:5386;width:1307;height:2" coordorigin="3526,5386" coordsize="1307,2">
              <v:shape style="position:absolute;left:3526;top:5386;width:1307;height:2" coordorigin="3526,5386" coordsize="1307,0" path="m3526,5386l4833,5386e" filled="false" stroked="true" strokeweight="1.5pt" strokecolor="#000000">
                <v:path arrowok="t"/>
              </v:shape>
            </v:group>
            <v:group style="position:absolute;left:4833;top:5386;width:1559;height:2" coordorigin="4833,5386" coordsize="1559,2">
              <v:shape style="position:absolute;left:4833;top:5386;width:1559;height:2" coordorigin="4833,5386" coordsize="1559,0" path="m4833,5386l6392,5386e" filled="false" stroked="true" strokeweight="1.5pt" strokecolor="#000000">
                <v:path arrowok="t"/>
              </v:shape>
            </v:group>
            <v:group style="position:absolute;left:6392;top:5386;width:1103;height:2" coordorigin="6392,5386" coordsize="1103,2">
              <v:shape style="position:absolute;left:6392;top:5386;width:1103;height:2" coordorigin="6392,5386" coordsize="1103,0" path="m6392,5386l7495,5386e" filled="false" stroked="true" strokeweight="1.5pt" strokecolor="#000000">
                <v:path arrowok="t"/>
              </v:shape>
              <v:shape style="position:absolute;left:10;top:760;width:8502;height:4612" type="#_x0000_t75" stroked="false">
                <v:imagedata r:id="rId323" o:title=""/>
              </v:shape>
            </v:group>
            <v:group style="position:absolute;left:7495;top:5386;width:998;height:2" coordorigin="7495,5386" coordsize="998,2">
              <v:shape style="position:absolute;left:7495;top:5386;width:998;height:2" coordorigin="7495,5386" coordsize="998,0" path="m7495,5386l8492,5386e" filled="false" stroked="true" strokeweight="1.5pt" strokecolor="#000000">
                <v:path arrowok="t"/>
              </v:shape>
              <v:shape style="position:absolute;left:3644;top:127;width:3664;height:180" type="#_x0000_t202" filled="false" stroked="false">
                <v:textbox inset="0,0,0,0">
                  <w:txbxContent>
                    <w:p>
                      <w:pPr>
                        <w:tabs>
                          <w:tab w:pos="1342" w:val="left" w:leader="none"/>
                          <w:tab w:pos="294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本期公允价值</w:t>
                        <w:tab/>
                        <w:t>计入权益的累计</w:t>
                        <w:tab/>
                        <w:t>本期计提</w:t>
                      </w:r>
                    </w:p>
                  </w:txbxContent>
                </v:textbox>
                <w10:wrap type="none"/>
              </v:shape>
              <v:shape style="position:absolute;left:1033;top:31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2603;top:3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年初金额</w:t>
                      </w:r>
                    </w:p>
                  </w:txbxContent>
                </v:textbox>
                <w10:wrap type="none"/>
              </v:shape>
              <v:shape style="position:absolute;left:7635;top:3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期末金额</w:t>
                      </w:r>
                    </w:p>
                  </w:txbxContent>
                </v:textbox>
                <w10:wrap type="none"/>
              </v:shape>
              <v:shape style="position:absolute;left:3824;top:502;width:3394;height:180" type="#_x0000_t202" filled="false" stroked="false">
                <v:textbox inset="0,0,0,0">
                  <w:txbxContent>
                    <w:p>
                      <w:pPr>
                        <w:tabs>
                          <w:tab w:pos="1252" w:val="left" w:leader="none"/>
                          <w:tab w:pos="285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变动损益</w:t>
                        <w:tab/>
                        <w:t>公允价值变动</w:t>
                        <w:tab/>
                        <w:t>的减值</w:t>
                      </w:r>
                    </w:p>
                  </w:txbxContent>
                </v:textbox>
                <w10:wrap type="none"/>
              </v:shape>
              <v:shape style="position:absolute;left:137;top:886;width:2166;height:246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金融资产</w:t>
                      </w:r>
                    </w:p>
                    <w:p>
                      <w:pPr>
                        <w:spacing w:line="360" w:lineRule="auto" w:before="148"/>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以公允价值计量且其变动</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14"/>
                          <w:sz w:val="18"/>
                          <w:szCs w:val="18"/>
                        </w:rPr>
                        <w:t>计入当期损益的金融资产</w:t>
                      </w:r>
                      <w:r>
                        <w:rPr>
                          <w:rFonts w:ascii="宋体" w:hAnsi="宋体" w:cs="宋体" w:eastAsia="宋体" w:hint="default"/>
                          <w:spacing w:val="-74"/>
                          <w:sz w:val="18"/>
                          <w:szCs w:val="18"/>
                        </w:rPr>
                        <w:t> </w:t>
                      </w:r>
                      <w:r>
                        <w:rPr>
                          <w:rFonts w:ascii="宋体" w:hAnsi="宋体" w:cs="宋体" w:eastAsia="宋体" w:hint="default"/>
                          <w:sz w:val="18"/>
                          <w:szCs w:val="18"/>
                        </w:rPr>
                      </w:r>
                    </w:p>
                    <w:p>
                      <w:pPr>
                        <w:spacing w:before="49"/>
                        <w:ind w:left="0" w:right="0" w:firstLine="0"/>
                        <w:jc w:val="left"/>
                        <w:rPr>
                          <w:rFonts w:ascii="宋体" w:hAnsi="宋体" w:cs="宋体" w:eastAsia="宋体" w:hint="default"/>
                          <w:sz w:val="18"/>
                          <w:szCs w:val="18"/>
                        </w:rPr>
                      </w:pPr>
                      <w:r>
                        <w:rPr>
                          <w:rFonts w:ascii="宋体" w:hAnsi="宋体" w:cs="宋体" w:eastAsia="宋体" w:hint="default"/>
                          <w:sz w:val="18"/>
                          <w:szCs w:val="18"/>
                        </w:rPr>
                        <w:t>（不含衍生金融资产）</w:t>
                      </w:r>
                    </w:p>
                    <w:p>
                      <w:pPr>
                        <w:spacing w:before="149"/>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衍生金融资产</w:t>
                      </w:r>
                    </w:p>
                    <w:p>
                      <w:pPr>
                        <w:spacing w:line="370" w:lineRule="atLeast" w:before="14"/>
                        <w:ind w:left="0" w:right="58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 金融资产小计</w:t>
                      </w:r>
                    </w:p>
                  </w:txbxContent>
                </v:textbox>
                <w10:wrap type="none"/>
              </v:shape>
              <v:shape style="position:absolute;left:2703;top:2795;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28,120.00</w:t>
                      </w:r>
                    </w:p>
                  </w:txbxContent>
                </v:textbox>
                <w10:wrap type="none"/>
              </v:shape>
              <v:shape style="position:absolute;left:4235;top:2795;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393.30</w:t>
                      </w:r>
                    </w:p>
                  </w:txbxContent>
                </v:textbox>
                <w10:wrap type="none"/>
              </v:shape>
              <v:shape style="position:absolute;left:5508;top:2795;width:78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-12,278.90</w:t>
                      </w:r>
                    </w:p>
                  </w:txbxContent>
                </v:textbox>
                <w10:wrap type="none"/>
              </v:shape>
              <v:shape style="position:absolute;left:7664;top:2795;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13,457.74</w:t>
                      </w:r>
                    </w:p>
                  </w:txbxContent>
                </v:textbox>
                <w10:wrap type="none"/>
              </v:shape>
              <v:shape style="position:absolute;left:2703;top:3179;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28,120.00</w:t>
                      </w:r>
                    </w:p>
                  </w:txbxContent>
                </v:textbox>
                <w10:wrap type="none"/>
              </v:shape>
              <v:shape style="position:absolute;left:4235;top:3179;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393.30</w:t>
                      </w:r>
                    </w:p>
                  </w:txbxContent>
                </v:textbox>
                <w10:wrap type="none"/>
              </v:shape>
              <v:shape style="position:absolute;left:5508;top:3179;width:78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-12,278.90</w:t>
                      </w:r>
                    </w:p>
                  </w:txbxContent>
                </v:textbox>
                <w10:wrap type="none"/>
              </v:shape>
              <v:shape style="position:absolute;left:7664;top:3179;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13,457.74</w:t>
                      </w:r>
                    </w:p>
                  </w:txbxContent>
                </v:textbox>
                <w10:wrap type="none"/>
              </v:shape>
              <v:shape style="position:absolute;left:137;top:3557;width:1260;height:133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投资性房地产</w:t>
                      </w:r>
                    </w:p>
                    <w:p>
                      <w:pPr>
                        <w:spacing w:line="391" w:lineRule="auto" w:before="148"/>
                        <w:ind w:left="0" w:right="0" w:firstLine="0"/>
                        <w:jc w:val="left"/>
                        <w:rPr>
                          <w:rFonts w:ascii="宋体" w:hAnsi="宋体" w:cs="宋体" w:eastAsia="宋体" w:hint="default"/>
                          <w:sz w:val="18"/>
                          <w:szCs w:val="18"/>
                        </w:rPr>
                      </w:pPr>
                      <w:r>
                        <w:rPr>
                          <w:rFonts w:ascii="宋体" w:hAnsi="宋体" w:cs="宋体" w:eastAsia="宋体" w:hint="default"/>
                          <w:sz w:val="18"/>
                          <w:szCs w:val="18"/>
                        </w:rPr>
                        <w:t>生产性生物资产 其他</w:t>
                      </w:r>
                    </w:p>
                    <w:p>
                      <w:pPr>
                        <w:spacing w:before="36"/>
                        <w:ind w:left="0" w:right="0" w:firstLine="0"/>
                        <w:jc w:val="left"/>
                        <w:rPr>
                          <w:rFonts w:ascii="宋体" w:hAnsi="宋体" w:cs="宋体" w:eastAsia="宋体" w:hint="default"/>
                          <w:sz w:val="18"/>
                          <w:szCs w:val="18"/>
                        </w:rPr>
                      </w:pPr>
                      <w:r>
                        <w:rPr>
                          <w:rFonts w:ascii="宋体" w:hAnsi="宋体" w:cs="宋体" w:eastAsia="宋体" w:hint="default"/>
                          <w:sz w:val="18"/>
                          <w:szCs w:val="18"/>
                        </w:rPr>
                        <w:t>上述合计</w:t>
                      </w:r>
                    </w:p>
                  </w:txbxContent>
                </v:textbox>
                <w10:wrap type="none"/>
              </v:shape>
              <v:shape style="position:absolute;left:2703;top:4718;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28,120.00</w:t>
                      </w:r>
                    </w:p>
                  </w:txbxContent>
                </v:textbox>
                <w10:wrap type="none"/>
              </v:shape>
              <v:shape style="position:absolute;left:4235;top:4718;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393.30</w:t>
                      </w:r>
                    </w:p>
                  </w:txbxContent>
                </v:textbox>
                <w10:wrap type="none"/>
              </v:shape>
              <v:shape style="position:absolute;left:5508;top:4718;width:78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-12,278.90</w:t>
                      </w:r>
                    </w:p>
                  </w:txbxContent>
                </v:textbox>
                <w10:wrap type="none"/>
              </v:shape>
              <v:shape style="position:absolute;left:7664;top:4718;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13,457.74</w:t>
                      </w:r>
                    </w:p>
                  </w:txbxContent>
                </v:textbox>
                <w10:wrap type="none"/>
              </v:shape>
              <v:shape style="position:absolute;left:137;top:509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金融负债</w:t>
                      </w:r>
                    </w:p>
                  </w:txbxContent>
                </v:textbox>
                <w10:wrap type="none"/>
              </v:shape>
            </v:group>
          </v:group>
        </w:pict>
      </w:r>
      <w:r>
        <w:rPr>
          <w:rFonts w:ascii="宋体" w:hAnsi="宋体" w:cs="宋体" w:eastAsia="宋体" w:hint="default"/>
          <w:position w:val="-107"/>
          <w:sz w:val="20"/>
          <w:szCs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tabs>
          <w:tab w:pos="1373" w:val="left" w:leader="none"/>
        </w:tabs>
        <w:spacing w:before="35"/>
        <w:ind w:left="64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截止</w:t>
      </w:r>
      <w:r>
        <w:rPr>
          <w:rFonts w:ascii="宋体" w:hAnsi="宋体" w:cs="宋体" w:eastAsia="宋体" w:hint="default"/>
          <w:b/>
          <w:bCs/>
          <w:spacing w:val="-53"/>
          <w:sz w:val="21"/>
          <w:szCs w:val="21"/>
        </w:rPr>
        <w:t> </w:t>
      </w: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Times New Roman" w:hAnsi="Times New Roman" w:cs="Times New Roman" w:eastAsia="Times New Roman" w:hint="default"/>
          <w:b/>
          <w:bCs/>
          <w:spacing w:val="-1"/>
          <w:sz w:val="21"/>
          <w:szCs w:val="21"/>
        </w:rPr>
        <w:t>31 </w:t>
      </w:r>
      <w:r>
        <w:rPr>
          <w:rFonts w:ascii="宋体" w:hAnsi="宋体" w:cs="宋体" w:eastAsia="宋体" w:hint="default"/>
          <w:b/>
          <w:bCs/>
          <w:sz w:val="21"/>
          <w:szCs w:val="21"/>
        </w:rPr>
        <w:t>日，本公司无其他需要披露的其他重要事项。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spacing w:before="0"/>
        <w:ind w:left="1173" w:right="4296" w:firstLine="0"/>
        <w:jc w:val="left"/>
        <w:rPr>
          <w:rFonts w:ascii="宋体" w:hAnsi="宋体" w:cs="宋体" w:eastAsia="宋体" w:hint="default"/>
          <w:sz w:val="21"/>
          <w:szCs w:val="21"/>
        </w:rPr>
      </w:pPr>
      <w:r>
        <w:rPr>
          <w:rFonts w:ascii="宋体" w:hAnsi="宋体" w:cs="宋体" w:eastAsia="宋体" w:hint="default"/>
          <w:b/>
          <w:bCs/>
          <w:sz w:val="21"/>
          <w:szCs w:val="21"/>
        </w:rPr>
        <w:t>十三、</w:t>
      </w:r>
      <w:r>
        <w:rPr>
          <w:rFonts w:ascii="宋体" w:hAnsi="宋体" w:cs="宋体" w:eastAsia="宋体" w:hint="default"/>
          <w:b/>
          <w:bCs/>
          <w:spacing w:val="5"/>
          <w:sz w:val="21"/>
          <w:szCs w:val="21"/>
        </w:rPr>
        <w:t> </w:t>
      </w:r>
      <w:r>
        <w:rPr>
          <w:rFonts w:ascii="宋体" w:hAnsi="宋体" w:cs="宋体" w:eastAsia="宋体" w:hint="default"/>
          <w:b/>
          <w:bCs/>
          <w:sz w:val="21"/>
          <w:szCs w:val="21"/>
        </w:rPr>
        <w:t>母公司财务报表主要项目注释</w:t>
      </w:r>
      <w:r>
        <w:rPr>
          <w:rFonts w:ascii="宋体" w:hAnsi="宋体" w:cs="宋体" w:eastAsia="宋体" w:hint="default"/>
          <w:sz w:val="21"/>
          <w:szCs w:val="21"/>
        </w:rPr>
      </w:r>
    </w:p>
    <w:p>
      <w:pPr>
        <w:spacing w:before="125"/>
        <w:ind w:left="1377" w:right="0" w:firstLine="0"/>
        <w:jc w:val="left"/>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w:t>
      </w:r>
    </w:p>
    <w:p>
      <w:pPr>
        <w:tabs>
          <w:tab w:pos="1373" w:val="left" w:leader="none"/>
        </w:tabs>
        <w:spacing w:before="126"/>
        <w:ind w:left="645" w:right="4296"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应收账款</w:t>
      </w:r>
      <w:r>
        <w:rPr>
          <w:rFonts w:ascii="宋体" w:hAnsi="宋体" w:cs="宋体" w:eastAsia="宋体" w:hint="default"/>
          <w:sz w:val="21"/>
          <w:szCs w:val="21"/>
        </w:rPr>
      </w:r>
    </w:p>
    <w:p>
      <w:pPr>
        <w:tabs>
          <w:tab w:pos="1916" w:val="left" w:leader="none"/>
        </w:tabs>
        <w:spacing w:before="109"/>
        <w:ind w:left="1377" w:right="4296" w:firstLine="0"/>
        <w:jc w:val="left"/>
        <w:rPr>
          <w:rFonts w:ascii="宋体" w:hAnsi="宋体" w:cs="宋体" w:eastAsia="宋体" w:hint="default"/>
          <w:sz w:val="21"/>
          <w:szCs w:val="21"/>
        </w:rPr>
      </w:pPr>
      <w:r>
        <w:rPr/>
        <w:pict>
          <v:shape style="position:absolute;margin-left:247.139694pt;margin-top:60.731876pt;width:69.5pt;height:18.75pt;mso-position-horizontal-relative:page;mso-position-vertical-relative:paragraph;z-index:-804160" type="#_x0000_t202" filled="false" stroked="false">
            <v:textbox inset="0,0,0,0">
              <w:txbxContent>
                <w:p>
                  <w:pPr>
                    <w:spacing w:before="41"/>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shape style="position:absolute;margin-left:349.019409pt;margin-top:60.731876pt;width:68.1pt;height:18.75pt;mso-position-horizontal-relative:page;mso-position-vertical-relative:paragraph;z-index:-804136" type="#_x0000_t202" filled="false" stroked="false">
            <v:textbox inset="0,0,0,0">
              <w:txbxContent>
                <w:p>
                  <w:pPr>
                    <w:spacing w:before="41"/>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shape style="position:absolute;margin-left:448.259399pt;margin-top:60.731876pt;width:68.1pt;height:18.75pt;mso-position-horizontal-relative:page;mso-position-vertical-relative:paragraph;z-index:-804112" type="#_x0000_t202" filled="false" stroked="false">
            <v:textbox inset="0,0,0,0">
              <w:txbxContent>
                <w:p>
                  <w:pPr>
                    <w:spacing w:before="41"/>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group style="position:absolute;margin-left:62.759998pt;margin-top:20.771877pt;width:491.05pt;height:154.8pt;mso-position-horizontal-relative:page;mso-position-vertical-relative:paragraph;z-index:-803920" coordorigin="1255,415" coordsize="9821,3096">
            <v:group style="position:absolute;left:1274;top:430;width:9766;height:2" coordorigin="1274,430" coordsize="9766,2">
              <v:shape style="position:absolute;left:1274;top:430;width:9766;height:2" coordorigin="1274,430" coordsize="9766,0" path="m1274,430l11040,430e" filled="false" stroked="true" strokeweight="1.5pt" strokecolor="#000000">
                <v:path arrowok="t"/>
              </v:shape>
              <v:shape style="position:absolute;left:2802;top:417;width:4303;height:432" type="#_x0000_t75" stroked="false">
                <v:imagedata r:id="rId324" o:title=""/>
              </v:shape>
              <v:shape style="position:absolute;left:2812;top:801;width:8248;height:424" type="#_x0000_t75" stroked="false">
                <v:imagedata r:id="rId325" o:title=""/>
              </v:shape>
              <v:shape style="position:absolute;left:2802;top:1176;width:8274;height:442" type="#_x0000_t75" stroked="false">
                <v:imagedata r:id="rId326" o:title=""/>
              </v:shape>
            </v:group>
            <v:group style="position:absolute;left:2726;top:1599;width:104;height:375" coordorigin="2726,1599" coordsize="104,375">
              <v:shape style="position:absolute;left:2726;top:1599;width:104;height:375" coordorigin="2726,1599" coordsize="104,375" path="m2726,1973l2830,1973,2830,1599,2726,1599,2726,1973xe" filled="true" fillcolor="#ffffff" stroked="false">
                <v:path arrowok="t"/>
                <v:fill type="solid"/>
              </v:shape>
            </v:group>
            <v:group style="position:absolute;left:1276;top:1599;width:107;height:375" coordorigin="1276,1599" coordsize="107,375">
              <v:shape style="position:absolute;left:1276;top:1599;width:107;height:375" coordorigin="1276,1599" coordsize="107,375" path="m1276,1973l1382,1973,1382,1599,1276,1599,1276,1973xe" filled="true" fillcolor="#ffffff" stroked="false">
                <v:path arrowok="t"/>
                <v:fill type="solid"/>
              </v:shape>
            </v:group>
            <v:group style="position:absolute;left:4144;top:1599;width:104;height:375" coordorigin="4144,1599" coordsize="104,375">
              <v:shape style="position:absolute;left:4144;top:1599;width:104;height:375" coordorigin="4144,1599" coordsize="104,375" path="m4144,1973l4247,1973,4247,1599,4144,1599,4144,1973xe" filled="true" fillcolor="#ffffff" stroked="false">
                <v:path arrowok="t"/>
                <v:fill type="solid"/>
              </v:shape>
            </v:group>
            <v:group style="position:absolute;left:2840;top:1599;width:102;height:375" coordorigin="2840,1599" coordsize="102,375">
              <v:shape style="position:absolute;left:2840;top:1599;width:102;height:375" coordorigin="2840,1599" coordsize="102,375" path="m2840,1973l2942,1973,2942,1599,2840,1599,2840,1973xe" filled="true" fillcolor="#ffffff" stroked="false">
                <v:path arrowok="t"/>
                <v:fill type="solid"/>
              </v:shape>
            </v:group>
            <v:group style="position:absolute;left:2942;top:1599;width:1202;height:375" coordorigin="2942,1599" coordsize="1202,375">
              <v:shape style="position:absolute;left:2942;top:1599;width:1202;height:375" coordorigin="2942,1599" coordsize="1202,375" path="m2942,1973l4144,1973,4144,1599,2942,1599,2942,1973xe" filled="true" fillcolor="#ffffff" stroked="false">
                <v:path arrowok="t"/>
                <v:fill type="solid"/>
              </v:shape>
            </v:group>
            <v:group style="position:absolute;left:4952;top:1599;width:104;height:375" coordorigin="4952,1599" coordsize="104,375">
              <v:shape style="position:absolute;left:4952;top:1599;width:104;height:375" coordorigin="4952,1599" coordsize="104,375" path="m4952,1973l5056,1973,5056,1599,4952,1599,4952,1973xe" filled="true" fillcolor="#ffffff" stroked="false">
                <v:path arrowok="t"/>
                <v:fill type="solid"/>
              </v:shape>
            </v:group>
            <v:group style="position:absolute;left:4258;top:1599;width:102;height:375" coordorigin="4258,1599" coordsize="102,375">
              <v:shape style="position:absolute;left:4258;top:1599;width:102;height:375" coordorigin="4258,1599" coordsize="102,375" path="m4258,1973l4360,1973,4360,1599,4258,1599,4258,1973xe" filled="true" fillcolor="#ffffff" stroked="false">
                <v:path arrowok="t"/>
                <v:fill type="solid"/>
              </v:shape>
            </v:group>
            <v:group style="position:absolute;left:4360;top:1599;width:593;height:375" coordorigin="4360,1599" coordsize="593,375">
              <v:shape style="position:absolute;left:4360;top:1599;width:593;height:375" coordorigin="4360,1599" coordsize="593,375" path="m4360,1973l4952,1973,4952,1599,4360,1599,4360,1973xe" filled="true" fillcolor="#ffffff" stroked="false">
                <v:path arrowok="t"/>
                <v:fill type="solid"/>
              </v:shape>
            </v:group>
            <v:group style="position:absolute;left:6229;top:1599;width:104;height:375" coordorigin="6229,1599" coordsize="104,375">
              <v:shape style="position:absolute;left:6229;top:1599;width:104;height:375" coordorigin="6229,1599" coordsize="104,375" path="m6229,1973l6332,1973,6332,1599,6229,1599,6229,1973xe" filled="true" fillcolor="#ffffff" stroked="false">
                <v:path arrowok="t"/>
                <v:fill type="solid"/>
              </v:shape>
            </v:group>
            <v:group style="position:absolute;left:5066;top:1599;width:102;height:375" coordorigin="5066,1599" coordsize="102,375">
              <v:shape style="position:absolute;left:5066;top:1599;width:102;height:375" coordorigin="5066,1599" coordsize="102,375" path="m5066,1973l5168,1973,5168,1599,5066,1599,5066,1973xe" filled="true" fillcolor="#ffffff" stroked="false">
                <v:path arrowok="t"/>
                <v:fill type="solid"/>
              </v:shape>
            </v:group>
            <v:group style="position:absolute;left:5168;top:1599;width:1061;height:375" coordorigin="5168,1599" coordsize="1061,375">
              <v:shape style="position:absolute;left:5168;top:1599;width:1061;height:375" coordorigin="5168,1599" coordsize="1061,375" path="m5168,1973l6229,1973,6229,1599,5168,1599,5168,1973xe" filled="true" fillcolor="#ffffff" stroked="false">
                <v:path arrowok="t"/>
                <v:fill type="solid"/>
              </v:shape>
            </v:group>
            <v:group style="position:absolute;left:6342;top:1599;width:724;height:375" coordorigin="6342,1599" coordsize="724,375">
              <v:shape style="position:absolute;left:6342;top:1599;width:724;height:375" coordorigin="6342,1599" coordsize="724,375" path="m6342,1973l7066,1973,7066,1599,6342,1599,6342,1973xe" filled="true" fillcolor="#ffffff" stroked="false">
                <v:path arrowok="t"/>
                <v:fill type="solid"/>
              </v:shape>
            </v:group>
            <v:group style="position:absolute;left:6445;top:1630;width:518;height:312" coordorigin="6445,1630" coordsize="518,312">
              <v:shape style="position:absolute;left:6445;top:1630;width:518;height:312" coordorigin="6445,1630" coordsize="518,312" path="m6445,1942l6962,1942,6962,1630,6445,1630,6445,1942xe" filled="true" fillcolor="#ffffff" stroked="false">
                <v:path arrowok="t"/>
                <v:fill type="solid"/>
              </v:shape>
            </v:group>
            <v:group style="position:absolute;left:8239;top:1599;width:104;height:375" coordorigin="8239,1599" coordsize="104,375">
              <v:shape style="position:absolute;left:8239;top:1599;width:104;height:375" coordorigin="8239,1599" coordsize="104,375" path="m8239,1973l8342,1973,8342,1599,8239,1599,8239,1973xe" filled="true" fillcolor="#ffffff" stroked="false">
                <v:path arrowok="t"/>
                <v:fill type="solid"/>
              </v:shape>
            </v:group>
            <v:group style="position:absolute;left:7076;top:1599;width:102;height:375" coordorigin="7076,1599" coordsize="102,375">
              <v:shape style="position:absolute;left:7076;top:1599;width:102;height:375" coordorigin="7076,1599" coordsize="102,375" path="m7076,1973l7178,1973,7178,1599,7076,1599,7076,1973xe" filled="true" fillcolor="#ffffff" stroked="false">
                <v:path arrowok="t"/>
                <v:fill type="solid"/>
              </v:shape>
            </v:group>
            <v:group style="position:absolute;left:7178;top:1599;width:1061;height:375" coordorigin="7178,1599" coordsize="1061,375">
              <v:shape style="position:absolute;left:7178;top:1599;width:1061;height:375" coordorigin="7178,1599" coordsize="1061,375" path="m7178,1973l8239,1973,8239,1599,7178,1599,7178,1973xe" filled="true" fillcolor="#ffffff" stroked="false">
                <v:path arrowok="t"/>
                <v:fill type="solid"/>
              </v:shape>
            </v:group>
            <v:group style="position:absolute;left:8352;top:1599;width:700;height:375" coordorigin="8352,1599" coordsize="700,375">
              <v:shape style="position:absolute;left:8352;top:1599;width:700;height:375" coordorigin="8352,1599" coordsize="700,375" path="m8352,1973l9052,1973,9052,1599,8352,1599,8352,1973xe" filled="true" fillcolor="#ffffff" stroked="false">
                <v:path arrowok="t"/>
                <v:fill type="solid"/>
              </v:shape>
            </v:group>
            <v:group style="position:absolute;left:8455;top:1630;width:494;height:312" coordorigin="8455,1630" coordsize="494,312">
              <v:shape style="position:absolute;left:8455;top:1630;width:494;height:312" coordorigin="8455,1630" coordsize="494,312" path="m8455,1942l8948,1942,8948,1630,8455,1630,8455,1942xe" filled="true" fillcolor="#ffffff" stroked="false">
                <v:path arrowok="t"/>
                <v:fill type="solid"/>
              </v:shape>
            </v:group>
            <v:group style="position:absolute;left:10224;top:1599;width:104;height:375" coordorigin="10224,1599" coordsize="104,375">
              <v:shape style="position:absolute;left:10224;top:1599;width:104;height:375" coordorigin="10224,1599" coordsize="104,375" path="m10224,1973l10327,1973,10327,1599,10224,1599,10224,1973xe" filled="true" fillcolor="#ffffff" stroked="false">
                <v:path arrowok="t"/>
                <v:fill type="solid"/>
              </v:shape>
            </v:group>
            <v:group style="position:absolute;left:9061;top:1599;width:104;height:375" coordorigin="9061,1599" coordsize="104,375">
              <v:shape style="position:absolute;left:9061;top:1599;width:104;height:375" coordorigin="9061,1599" coordsize="104,375" path="m9061,1973l9164,1973,9164,1599,9061,1599,9061,1973xe" filled="true" fillcolor="#ffffff" stroked="false">
                <v:path arrowok="t"/>
                <v:fill type="solid"/>
              </v:shape>
            </v:group>
            <v:group style="position:absolute;left:9164;top:1599;width:1060;height:375" coordorigin="9164,1599" coordsize="1060,375">
              <v:shape style="position:absolute;left:9164;top:1599;width:1060;height:375" coordorigin="9164,1599" coordsize="1060,375" path="m9164,1973l10224,1973,10224,1599,9164,1599,9164,1973xe" filled="true" fillcolor="#ffffff" stroked="false">
                <v:path arrowok="t"/>
                <v:fill type="solid"/>
              </v:shape>
            </v:group>
            <v:group style="position:absolute;left:10337;top:1599;width:704;height:375" coordorigin="10337,1599" coordsize="704,375">
              <v:shape style="position:absolute;left:10337;top:1599;width:704;height:375" coordorigin="10337,1599" coordsize="704,375" path="m10337,1973l11040,1973,11040,1599,10337,1599,10337,1973xe" filled="true" fillcolor="#ffffff" stroked="false">
                <v:path arrowok="t"/>
                <v:fill type="solid"/>
              </v:shape>
            </v:group>
            <v:group style="position:absolute;left:10440;top:1630;width:492;height:312" coordorigin="10440,1630" coordsize="492,312">
              <v:shape style="position:absolute;left:10440;top:1630;width:492;height:312" coordorigin="10440,1630" coordsize="492,312" path="m10440,1942l10932,1942,10932,1630,10440,1630,10440,1942xe" filled="true" fillcolor="#ffffff" stroked="false">
                <v:path arrowok="t"/>
                <v:fill type="solid"/>
              </v:shape>
              <v:shape style="position:absolute;left:1255;top:1570;width:9811;height:1942" type="#_x0000_t75" stroked="false">
                <v:imagedata r:id="rId327" o:title=""/>
              </v:shape>
              <v:shape style="position:absolute;left:4592;top:5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694;top:5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874;top:92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种类</w:t>
                      </w:r>
                    </w:p>
                  </w:txbxContent>
                </v:textbox>
                <w10:wrap type="none"/>
              </v:shape>
              <v:shape style="position:absolute;left:3587;top:92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5705;top:92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703;top:92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9688;top:92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应收账款账龄分析</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2"/>
          <w:szCs w:val="22"/>
        </w:rPr>
      </w:pPr>
    </w:p>
    <w:tbl>
      <w:tblPr>
        <w:tblW w:w="0" w:type="auto"/>
        <w:jc w:val="left"/>
        <w:tblInd w:w="207" w:type="dxa"/>
        <w:tblLayout w:type="fixed"/>
        <w:tblCellMar>
          <w:top w:w="0" w:type="dxa"/>
          <w:left w:w="0" w:type="dxa"/>
          <w:bottom w:w="0" w:type="dxa"/>
          <w:right w:w="0" w:type="dxa"/>
        </w:tblCellMar>
        <w:tblLook w:val="01E0"/>
      </w:tblPr>
      <w:tblGrid>
        <w:gridCol w:w="1570"/>
        <w:gridCol w:w="1281"/>
        <w:gridCol w:w="875"/>
        <w:gridCol w:w="1210"/>
        <w:gridCol w:w="808"/>
        <w:gridCol w:w="1202"/>
        <w:gridCol w:w="829"/>
        <w:gridCol w:w="1157"/>
        <w:gridCol w:w="850"/>
      </w:tblGrid>
      <w:tr>
        <w:trPr>
          <w:trHeight w:val="772" w:hRule="exact"/>
        </w:trPr>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年以</w:t>
            </w:r>
            <w:r>
              <w:rPr>
                <w:rFonts w:ascii="宋体" w:hAnsi="宋体" w:cs="宋体" w:eastAsia="宋体" w:hint="default"/>
                <w:spacing w:val="-90"/>
                <w:sz w:val="18"/>
                <w:szCs w:val="18"/>
              </w:rPr>
              <w:t>内</w:t>
            </w:r>
            <w:r>
              <w:rPr>
                <w:rFonts w:ascii="宋体" w:hAnsi="宋体" w:cs="宋体" w:eastAsia="宋体" w:hint="default"/>
                <w:sz w:val="18"/>
                <w:szCs w:val="18"/>
              </w:rPr>
              <w:t>（含</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9"/>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47" w:right="0"/>
              <w:jc w:val="center"/>
              <w:rPr>
                <w:rFonts w:ascii="Times New Roman" w:hAnsi="Times New Roman" w:cs="Times New Roman" w:eastAsia="Times New Roman" w:hint="default"/>
                <w:sz w:val="18"/>
                <w:szCs w:val="18"/>
              </w:rPr>
            </w:pPr>
            <w:r>
              <w:rPr>
                <w:rFonts w:ascii="Times New Roman"/>
                <w:sz w:val="18"/>
              </w:rPr>
              <w:t>107,809,557.42</w:t>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349" w:right="0"/>
              <w:jc w:val="left"/>
              <w:rPr>
                <w:rFonts w:ascii="Times New Roman" w:hAnsi="Times New Roman" w:cs="Times New Roman" w:eastAsia="Times New Roman" w:hint="default"/>
                <w:sz w:val="18"/>
                <w:szCs w:val="18"/>
              </w:rPr>
            </w:pPr>
            <w:r>
              <w:rPr>
                <w:rFonts w:ascii="Times New Roman"/>
                <w:sz w:val="18"/>
              </w:rPr>
              <w:t>69.67</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0" w:right="0"/>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55" w:right="0"/>
              <w:jc w:val="center"/>
              <w:rPr>
                <w:rFonts w:ascii="Times New Roman" w:hAnsi="Times New Roman" w:cs="Times New Roman" w:eastAsia="Times New Roman" w:hint="default"/>
                <w:sz w:val="18"/>
                <w:szCs w:val="18"/>
              </w:rPr>
            </w:pPr>
            <w:r>
              <w:rPr>
                <w:rFonts w:ascii="Times New Roman"/>
                <w:sz w:val="18"/>
              </w:rPr>
              <w:t>5,390,477.87</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4" w:right="0"/>
              <w:jc w:val="left"/>
              <w:rPr>
                <w:rFonts w:ascii="Times New Roman" w:hAnsi="Times New Roman" w:cs="Times New Roman" w:eastAsia="Times New Roman" w:hint="default"/>
                <w:sz w:val="18"/>
                <w:szCs w:val="18"/>
              </w:rPr>
            </w:pPr>
            <w:r>
              <w:rPr>
                <w:rFonts w:ascii="宋体" w:hAnsi="宋体" w:cs="宋体" w:eastAsia="宋体" w:hint="default"/>
                <w:spacing w:val="-12"/>
                <w:sz w:val="18"/>
                <w:szCs w:val="18"/>
              </w:rPr>
              <w:t>比例（</w:t>
            </w:r>
            <w:r>
              <w:rPr>
                <w:rFonts w:ascii="Times New Roman" w:hAnsi="Times New Roman" w:cs="Times New Roman" w:eastAsia="Times New Roman" w:hint="default"/>
                <w:spacing w:val="-12"/>
                <w:sz w:val="18"/>
                <w:szCs w:val="18"/>
              </w:rPr>
              <w:t>%</w:t>
            </w: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365" w:right="0"/>
              <w:jc w:val="left"/>
              <w:rPr>
                <w:rFonts w:ascii="Times New Roman" w:hAnsi="Times New Roman" w:cs="Times New Roman" w:eastAsia="Times New Roman" w:hint="default"/>
                <w:sz w:val="18"/>
                <w:szCs w:val="18"/>
              </w:rPr>
            </w:pPr>
            <w:r>
              <w:rPr>
                <w:rFonts w:ascii="Times New Roman"/>
                <w:sz w:val="18"/>
              </w:rPr>
              <w:t>5.00</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1" w:right="0"/>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56" w:right="0"/>
              <w:jc w:val="center"/>
              <w:rPr>
                <w:rFonts w:ascii="Times New Roman" w:hAnsi="Times New Roman" w:cs="Times New Roman" w:eastAsia="Times New Roman" w:hint="default"/>
                <w:sz w:val="18"/>
                <w:szCs w:val="18"/>
              </w:rPr>
            </w:pPr>
            <w:r>
              <w:rPr>
                <w:rFonts w:ascii="Times New Roman"/>
                <w:sz w:val="18"/>
              </w:rPr>
              <w:t>51,286,109.69</w:t>
            </w:r>
          </w:p>
        </w:tc>
        <w:tc>
          <w:tcPr>
            <w:tcW w:w="829" w:type="dxa"/>
            <w:tcBorders>
              <w:top w:val="nil" w:sz="6" w:space="0" w:color="auto"/>
              <w:left w:val="nil" w:sz="6" w:space="0" w:color="auto"/>
              <w:bottom w:val="nil" w:sz="6" w:space="0" w:color="auto"/>
              <w:right w:val="nil" w:sz="6" w:space="0" w:color="auto"/>
            </w:tcBorders>
          </w:tcPr>
          <w:p>
            <w:pPr>
              <w:pStyle w:val="TableParagraph"/>
              <w:spacing w:line="408" w:lineRule="auto" w:before="44"/>
              <w:ind w:left="252" w:right="155" w:hanging="198"/>
              <w:jc w:val="left"/>
              <w:rPr>
                <w:rFonts w:ascii="Times New Roman" w:hAnsi="Times New Roman" w:cs="Times New Roman" w:eastAsia="Times New Roman" w:hint="default"/>
                <w:sz w:val="18"/>
                <w:szCs w:val="18"/>
              </w:rPr>
            </w:pPr>
            <w:r>
              <w:rPr>
                <w:rFonts w:ascii="宋体" w:hAnsi="宋体" w:cs="宋体" w:eastAsia="宋体" w:hint="default"/>
                <w:spacing w:val="-19"/>
                <w:sz w:val="18"/>
                <w:szCs w:val="18"/>
              </w:rPr>
              <w:t>比例（</w:t>
            </w:r>
            <w:r>
              <w:rPr>
                <w:rFonts w:ascii="Times New Roman" w:hAnsi="Times New Roman" w:cs="Times New Roman" w:eastAsia="Times New Roman" w:hint="default"/>
                <w:spacing w:val="-19"/>
                <w:sz w:val="18"/>
                <w:szCs w:val="18"/>
              </w:rPr>
              <w:t>%</w:t>
            </w:r>
            <w:r>
              <w:rPr>
                <w:rFonts w:ascii="Times New Roman" w:hAnsi="Times New Roman" w:cs="Times New Roman" w:eastAsia="Times New Roman" w:hint="default"/>
                <w:spacing w:val="-43"/>
                <w:sz w:val="18"/>
                <w:szCs w:val="18"/>
              </w:rPr>
              <w:t> </w:t>
            </w:r>
            <w:r>
              <w:rPr>
                <w:rFonts w:ascii="Times New Roman" w:hAnsi="Times New Roman" w:cs="Times New Roman" w:eastAsia="Times New Roman" w:hint="default"/>
                <w:sz w:val="18"/>
                <w:szCs w:val="18"/>
              </w:rPr>
              <w:t>53.64</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center"/>
              <w:rPr>
                <w:rFonts w:ascii="Times New Roman" w:hAnsi="Times New Roman" w:cs="Times New Roman" w:eastAsia="Times New Roman" w:hint="default"/>
                <w:sz w:val="18"/>
                <w:szCs w:val="18"/>
              </w:rPr>
            </w:pPr>
            <w:r>
              <w:rPr>
                <w:rFonts w:ascii="Times New Roman"/>
                <w:sz w:val="18"/>
              </w:rPr>
              <w:t>2,564,305.48</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4" w:right="0"/>
              <w:jc w:val="center"/>
              <w:rPr>
                <w:rFonts w:ascii="宋体" w:hAnsi="宋体" w:cs="宋体" w:eastAsia="宋体" w:hint="default"/>
                <w:sz w:val="18"/>
                <w:szCs w:val="18"/>
              </w:rPr>
            </w:pPr>
            <w:r>
              <w:rPr>
                <w:rFonts w:ascii="宋体" w:hAnsi="宋体" w:cs="宋体" w:eastAsia="宋体" w:hint="default"/>
                <w:sz w:val="18"/>
                <w:szCs w:val="18"/>
              </w:rPr>
              <w:t>比</w:t>
            </w:r>
            <w:r>
              <w:rPr>
                <w:rFonts w:ascii="宋体" w:hAnsi="宋体" w:cs="宋体" w:eastAsia="宋体" w:hint="default"/>
                <w:spacing w:val="-75"/>
                <w:sz w:val="18"/>
                <w:szCs w:val="18"/>
              </w:rPr>
              <w:t>例</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42" w:right="0"/>
              <w:jc w:val="center"/>
              <w:rPr>
                <w:rFonts w:ascii="Times New Roman" w:hAnsi="Times New Roman" w:cs="Times New Roman" w:eastAsia="Times New Roman" w:hint="default"/>
                <w:sz w:val="18"/>
                <w:szCs w:val="18"/>
              </w:rPr>
            </w:pPr>
            <w:r>
              <w:rPr>
                <w:rFonts w:ascii="Times New Roman"/>
                <w:sz w:val="18"/>
              </w:rPr>
              <w:t>5.00</w:t>
            </w:r>
          </w:p>
        </w:tc>
      </w:tr>
      <w:tr>
        <w:trPr>
          <w:trHeight w:val="385" w:hRule="exact"/>
        </w:trPr>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2"/>
              <w:jc w:val="right"/>
              <w:rPr>
                <w:rFonts w:ascii="Times New Roman" w:hAnsi="Times New Roman" w:cs="Times New Roman" w:eastAsia="Times New Roman" w:hint="default"/>
                <w:sz w:val="18"/>
                <w:szCs w:val="18"/>
              </w:rPr>
            </w:pPr>
            <w:r>
              <w:rPr>
                <w:rFonts w:ascii="Times New Roman"/>
                <w:spacing w:val="-1"/>
                <w:sz w:val="18"/>
              </w:rPr>
              <w:t>9,903,737.69</w:t>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8"/>
              <w:jc w:val="right"/>
              <w:rPr>
                <w:rFonts w:ascii="Times New Roman" w:hAnsi="Times New Roman" w:cs="Times New Roman" w:eastAsia="Times New Roman" w:hint="default"/>
                <w:sz w:val="18"/>
                <w:szCs w:val="18"/>
              </w:rPr>
            </w:pPr>
            <w:r>
              <w:rPr>
                <w:rFonts w:ascii="Times New Roman"/>
                <w:sz w:val="18"/>
              </w:rPr>
              <w:t>6.40</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2"/>
              <w:jc w:val="right"/>
              <w:rPr>
                <w:rFonts w:ascii="Times New Roman" w:hAnsi="Times New Roman" w:cs="Times New Roman" w:eastAsia="Times New Roman" w:hint="default"/>
                <w:sz w:val="18"/>
                <w:szCs w:val="18"/>
              </w:rPr>
            </w:pPr>
            <w:r>
              <w:rPr>
                <w:rFonts w:ascii="Times New Roman"/>
                <w:sz w:val="18"/>
              </w:rPr>
              <w:t>990,373.77</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5"/>
              <w:jc w:val="right"/>
              <w:rPr>
                <w:rFonts w:ascii="Times New Roman" w:hAnsi="Times New Roman" w:cs="Times New Roman" w:eastAsia="Times New Roman" w:hint="default"/>
                <w:sz w:val="18"/>
                <w:szCs w:val="18"/>
              </w:rPr>
            </w:pPr>
            <w:r>
              <w:rPr>
                <w:rFonts w:ascii="Times New Roman"/>
                <w:sz w:val="18"/>
              </w:rPr>
              <w:t>10.00</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2"/>
              <w:jc w:val="right"/>
              <w:rPr>
                <w:rFonts w:ascii="Times New Roman" w:hAnsi="Times New Roman" w:cs="Times New Roman" w:eastAsia="Times New Roman" w:hint="default"/>
                <w:sz w:val="18"/>
                <w:szCs w:val="18"/>
              </w:rPr>
            </w:pPr>
            <w:r>
              <w:rPr>
                <w:rFonts w:ascii="Times New Roman"/>
                <w:spacing w:val="-1"/>
                <w:sz w:val="18"/>
              </w:rPr>
              <w:t>41,710,380.91</w:t>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82"/>
              <w:ind w:left="82" w:right="0"/>
              <w:jc w:val="center"/>
              <w:rPr>
                <w:rFonts w:ascii="Times New Roman" w:hAnsi="Times New Roman" w:cs="Times New Roman" w:eastAsia="Times New Roman" w:hint="default"/>
                <w:sz w:val="18"/>
                <w:szCs w:val="18"/>
              </w:rPr>
            </w:pPr>
            <w:r>
              <w:rPr>
                <w:rFonts w:ascii="Times New Roman"/>
                <w:sz w:val="18"/>
              </w:rPr>
              <w:t>43.62</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2"/>
              <w:jc w:val="right"/>
              <w:rPr>
                <w:rFonts w:ascii="Times New Roman" w:hAnsi="Times New Roman" w:cs="Times New Roman" w:eastAsia="Times New Roman" w:hint="default"/>
                <w:sz w:val="18"/>
                <w:szCs w:val="18"/>
              </w:rPr>
            </w:pPr>
            <w:r>
              <w:rPr>
                <w:rFonts w:ascii="Times New Roman"/>
                <w:spacing w:val="-1"/>
                <w:sz w:val="18"/>
              </w:rPr>
              <w:t>4,171,038.09</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93"/>
              <w:jc w:val="right"/>
              <w:rPr>
                <w:rFonts w:ascii="Times New Roman" w:hAnsi="Times New Roman" w:cs="Times New Roman" w:eastAsia="Times New Roman" w:hint="default"/>
                <w:sz w:val="18"/>
                <w:szCs w:val="18"/>
              </w:rPr>
            </w:pPr>
            <w:r>
              <w:rPr>
                <w:rFonts w:ascii="Times New Roman"/>
                <w:sz w:val="18"/>
              </w:rPr>
              <w:t>10.00</w:t>
            </w:r>
          </w:p>
        </w:tc>
      </w:tr>
      <w:tr>
        <w:trPr>
          <w:trHeight w:val="384" w:hRule="exact"/>
        </w:trPr>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2"/>
              <w:jc w:val="right"/>
              <w:rPr>
                <w:rFonts w:ascii="Times New Roman" w:hAnsi="Times New Roman" w:cs="Times New Roman" w:eastAsia="Times New Roman" w:hint="default"/>
                <w:sz w:val="18"/>
                <w:szCs w:val="18"/>
              </w:rPr>
            </w:pPr>
            <w:r>
              <w:rPr>
                <w:rFonts w:ascii="Times New Roman"/>
                <w:spacing w:val="-1"/>
                <w:sz w:val="18"/>
              </w:rPr>
              <w:t>35,295,876.17</w:t>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9"/>
              <w:jc w:val="right"/>
              <w:rPr>
                <w:rFonts w:ascii="Times New Roman" w:hAnsi="Times New Roman" w:cs="Times New Roman" w:eastAsia="Times New Roman" w:hint="default"/>
                <w:sz w:val="18"/>
                <w:szCs w:val="18"/>
              </w:rPr>
            </w:pPr>
            <w:r>
              <w:rPr>
                <w:rFonts w:ascii="Times New Roman"/>
                <w:sz w:val="18"/>
              </w:rPr>
              <w:t>22.81</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2"/>
              <w:jc w:val="right"/>
              <w:rPr>
                <w:rFonts w:ascii="Times New Roman" w:hAnsi="Times New Roman" w:cs="Times New Roman" w:eastAsia="Times New Roman" w:hint="default"/>
                <w:sz w:val="18"/>
                <w:szCs w:val="18"/>
              </w:rPr>
            </w:pPr>
            <w:r>
              <w:rPr>
                <w:rFonts w:ascii="Times New Roman"/>
                <w:spacing w:val="-1"/>
                <w:sz w:val="18"/>
              </w:rPr>
              <w:t>17,647,938.09</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25"/>
              <w:jc w:val="right"/>
              <w:rPr>
                <w:rFonts w:ascii="Times New Roman" w:hAnsi="Times New Roman" w:cs="Times New Roman" w:eastAsia="Times New Roman" w:hint="default"/>
                <w:sz w:val="18"/>
                <w:szCs w:val="18"/>
              </w:rPr>
            </w:pPr>
            <w:r>
              <w:rPr>
                <w:rFonts w:ascii="Times New Roman"/>
                <w:sz w:val="18"/>
              </w:rPr>
              <w:t>50.00</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2"/>
              <w:jc w:val="right"/>
              <w:rPr>
                <w:rFonts w:ascii="Times New Roman" w:hAnsi="Times New Roman" w:cs="Times New Roman" w:eastAsia="Times New Roman" w:hint="default"/>
                <w:sz w:val="18"/>
                <w:szCs w:val="18"/>
              </w:rPr>
            </w:pPr>
            <w:r>
              <w:rPr>
                <w:rFonts w:ascii="Times New Roman"/>
                <w:spacing w:val="-1"/>
                <w:sz w:val="18"/>
              </w:rPr>
              <w:t>2,598,383.76</w:t>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72" w:right="0"/>
              <w:jc w:val="center"/>
              <w:rPr>
                <w:rFonts w:ascii="Times New Roman" w:hAnsi="Times New Roman" w:cs="Times New Roman" w:eastAsia="Times New Roman" w:hint="default"/>
                <w:sz w:val="18"/>
                <w:szCs w:val="18"/>
              </w:rPr>
            </w:pPr>
            <w:r>
              <w:rPr>
                <w:rFonts w:ascii="Times New Roman"/>
                <w:sz w:val="18"/>
              </w:rPr>
              <w:t>2.72</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2"/>
              <w:jc w:val="right"/>
              <w:rPr>
                <w:rFonts w:ascii="Times New Roman" w:hAnsi="Times New Roman" w:cs="Times New Roman" w:eastAsia="Times New Roman" w:hint="default"/>
                <w:sz w:val="18"/>
                <w:szCs w:val="18"/>
              </w:rPr>
            </w:pPr>
            <w:r>
              <w:rPr>
                <w:rFonts w:ascii="Times New Roman"/>
                <w:spacing w:val="-1"/>
                <w:sz w:val="18"/>
              </w:rPr>
              <w:t>1,299,191.88</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3"/>
              <w:jc w:val="right"/>
              <w:rPr>
                <w:rFonts w:ascii="Times New Roman" w:hAnsi="Times New Roman" w:cs="Times New Roman" w:eastAsia="Times New Roman" w:hint="default"/>
                <w:sz w:val="18"/>
                <w:szCs w:val="18"/>
              </w:rPr>
            </w:pPr>
            <w:r>
              <w:rPr>
                <w:rFonts w:ascii="Times New Roman"/>
                <w:sz w:val="18"/>
              </w:rPr>
              <w:t>50.00</w:t>
            </w:r>
          </w:p>
        </w:tc>
      </w:tr>
      <w:tr>
        <w:trPr>
          <w:trHeight w:val="385" w:hRule="exact"/>
        </w:trPr>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2"/>
              <w:jc w:val="right"/>
              <w:rPr>
                <w:rFonts w:ascii="Times New Roman" w:hAnsi="Times New Roman" w:cs="Times New Roman" w:eastAsia="Times New Roman" w:hint="default"/>
                <w:sz w:val="18"/>
                <w:szCs w:val="18"/>
              </w:rPr>
            </w:pPr>
            <w:r>
              <w:rPr>
                <w:rFonts w:ascii="Times New Roman"/>
                <w:spacing w:val="-1"/>
                <w:sz w:val="18"/>
              </w:rPr>
              <w:t>1,736,263.20</w:t>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8"/>
              <w:jc w:val="right"/>
              <w:rPr>
                <w:rFonts w:ascii="Times New Roman" w:hAnsi="Times New Roman" w:cs="Times New Roman" w:eastAsia="Times New Roman" w:hint="default"/>
                <w:sz w:val="18"/>
                <w:szCs w:val="18"/>
              </w:rPr>
            </w:pPr>
            <w:r>
              <w:rPr>
                <w:rFonts w:ascii="Times New Roman"/>
                <w:sz w:val="18"/>
              </w:rPr>
              <w:t>1.12</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2"/>
              <w:jc w:val="right"/>
              <w:rPr>
                <w:rFonts w:ascii="Times New Roman" w:hAnsi="Times New Roman" w:cs="Times New Roman" w:eastAsia="Times New Roman" w:hint="default"/>
                <w:sz w:val="18"/>
                <w:szCs w:val="18"/>
              </w:rPr>
            </w:pPr>
            <w:r>
              <w:rPr>
                <w:rFonts w:ascii="Times New Roman"/>
                <w:spacing w:val="-1"/>
                <w:sz w:val="18"/>
              </w:rPr>
              <w:t>1,562,636.88</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25"/>
              <w:jc w:val="right"/>
              <w:rPr>
                <w:rFonts w:ascii="Times New Roman" w:hAnsi="Times New Roman" w:cs="Times New Roman" w:eastAsia="Times New Roman" w:hint="default"/>
                <w:sz w:val="18"/>
                <w:szCs w:val="18"/>
              </w:rPr>
            </w:pPr>
            <w:r>
              <w:rPr>
                <w:rFonts w:ascii="Times New Roman"/>
                <w:sz w:val="18"/>
              </w:rPr>
              <w:t>90.00</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2"/>
              <w:jc w:val="right"/>
              <w:rPr>
                <w:rFonts w:ascii="Times New Roman" w:hAnsi="Times New Roman" w:cs="Times New Roman" w:eastAsia="Times New Roman" w:hint="default"/>
                <w:sz w:val="18"/>
                <w:szCs w:val="18"/>
              </w:rPr>
            </w:pPr>
            <w:r>
              <w:rPr>
                <w:rFonts w:ascii="Times New Roman"/>
                <w:sz w:val="18"/>
              </w:rPr>
              <w:t>19,888.00</w:t>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72" w:right="0"/>
              <w:jc w:val="center"/>
              <w:rPr>
                <w:rFonts w:ascii="Times New Roman" w:hAnsi="Times New Roman" w:cs="Times New Roman" w:eastAsia="Times New Roman" w:hint="default"/>
                <w:sz w:val="18"/>
                <w:szCs w:val="18"/>
              </w:rPr>
            </w:pPr>
            <w:r>
              <w:rPr>
                <w:rFonts w:ascii="Times New Roman"/>
                <w:sz w:val="18"/>
              </w:rPr>
              <w:t>0.02</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2"/>
              <w:jc w:val="right"/>
              <w:rPr>
                <w:rFonts w:ascii="Times New Roman" w:hAnsi="Times New Roman" w:cs="Times New Roman" w:eastAsia="Times New Roman" w:hint="default"/>
                <w:sz w:val="18"/>
                <w:szCs w:val="18"/>
              </w:rPr>
            </w:pPr>
            <w:r>
              <w:rPr>
                <w:rFonts w:ascii="Times New Roman"/>
                <w:sz w:val="18"/>
              </w:rPr>
              <w:t>17,899.20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3"/>
              <w:jc w:val="right"/>
              <w:rPr>
                <w:rFonts w:ascii="Times New Roman" w:hAnsi="Times New Roman" w:cs="Times New Roman" w:eastAsia="Times New Roman" w:hint="default"/>
                <w:sz w:val="18"/>
                <w:szCs w:val="18"/>
              </w:rPr>
            </w:pPr>
            <w:r>
              <w:rPr>
                <w:rFonts w:ascii="Times New Roman"/>
                <w:sz w:val="18"/>
              </w:rPr>
              <w:t>90.00</w:t>
            </w:r>
          </w:p>
        </w:tc>
      </w:tr>
      <w:tr>
        <w:trPr>
          <w:trHeight w:val="390" w:hRule="exact"/>
        </w:trPr>
        <w:tc>
          <w:tcPr>
            <w:tcW w:w="1570"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54"/>
              <w:jc w:val="center"/>
              <w:rPr>
                <w:rFonts w:ascii="宋体" w:hAnsi="宋体" w:cs="宋体" w:eastAsia="宋体" w:hint="default"/>
                <w:sz w:val="18"/>
                <w:szCs w:val="18"/>
              </w:rPr>
            </w:pPr>
            <w:r>
              <w:rPr>
                <w:rFonts w:ascii="宋体" w:hAnsi="宋体" w:cs="宋体" w:eastAsia="宋体" w:hint="default"/>
                <w:sz w:val="18"/>
                <w:szCs w:val="18"/>
              </w:rPr>
              <w:t>合计</w:t>
            </w:r>
          </w:p>
        </w:tc>
        <w:tc>
          <w:tcPr>
            <w:tcW w:w="1281"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51"/>
              <w:jc w:val="right"/>
              <w:rPr>
                <w:rFonts w:ascii="Times New Roman" w:hAnsi="Times New Roman" w:cs="Times New Roman" w:eastAsia="Times New Roman" w:hint="default"/>
                <w:sz w:val="18"/>
                <w:szCs w:val="18"/>
              </w:rPr>
            </w:pPr>
            <w:r>
              <w:rPr>
                <w:rFonts w:ascii="Times New Roman"/>
                <w:spacing w:val="-1"/>
                <w:sz w:val="18"/>
              </w:rPr>
              <w:t>154,745,434.48</w:t>
            </w:r>
          </w:p>
        </w:tc>
        <w:tc>
          <w:tcPr>
            <w:tcW w:w="875"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17"/>
              <w:jc w:val="right"/>
              <w:rPr>
                <w:rFonts w:ascii="Times New Roman" w:hAnsi="Times New Roman" w:cs="Times New Roman" w:eastAsia="Times New Roman" w:hint="default"/>
                <w:sz w:val="18"/>
                <w:szCs w:val="18"/>
              </w:rPr>
            </w:pPr>
            <w:r>
              <w:rPr>
                <w:rFonts w:ascii="Times New Roman"/>
                <w:sz w:val="18"/>
              </w:rPr>
              <w:t>100.00</w:t>
            </w:r>
          </w:p>
        </w:tc>
        <w:tc>
          <w:tcPr>
            <w:tcW w:w="1210"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52"/>
              <w:jc w:val="right"/>
              <w:rPr>
                <w:rFonts w:ascii="Times New Roman" w:hAnsi="Times New Roman" w:cs="Times New Roman" w:eastAsia="Times New Roman" w:hint="default"/>
                <w:sz w:val="18"/>
                <w:szCs w:val="18"/>
              </w:rPr>
            </w:pPr>
            <w:r>
              <w:rPr>
                <w:rFonts w:ascii="Times New Roman"/>
                <w:spacing w:val="-1"/>
                <w:sz w:val="18"/>
              </w:rPr>
              <w:t>25,591,426.61</w:t>
            </w:r>
          </w:p>
        </w:tc>
        <w:tc>
          <w:tcPr>
            <w:tcW w:w="808"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22"/>
              <w:jc w:val="right"/>
              <w:rPr>
                <w:rFonts w:ascii="Times New Roman" w:hAnsi="Times New Roman" w:cs="Times New Roman" w:eastAsia="Times New Roman" w:hint="default"/>
                <w:sz w:val="18"/>
                <w:szCs w:val="18"/>
              </w:rPr>
            </w:pPr>
            <w:r>
              <w:rPr>
                <w:rFonts w:ascii="Times New Roman"/>
                <w:sz w:val="18"/>
              </w:rPr>
              <w:t>16.54</w:t>
            </w:r>
          </w:p>
        </w:tc>
        <w:tc>
          <w:tcPr>
            <w:tcW w:w="1202"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52"/>
              <w:jc w:val="right"/>
              <w:rPr>
                <w:rFonts w:ascii="Times New Roman" w:hAnsi="Times New Roman" w:cs="Times New Roman" w:eastAsia="Times New Roman" w:hint="default"/>
                <w:sz w:val="18"/>
                <w:szCs w:val="18"/>
              </w:rPr>
            </w:pPr>
            <w:r>
              <w:rPr>
                <w:rFonts w:ascii="Times New Roman"/>
                <w:spacing w:val="-1"/>
                <w:sz w:val="18"/>
              </w:rPr>
              <w:t>95,614,762.36</w:t>
            </w:r>
          </w:p>
        </w:tc>
        <w:tc>
          <w:tcPr>
            <w:tcW w:w="829"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5"/>
              <w:jc w:val="center"/>
              <w:rPr>
                <w:rFonts w:ascii="Times New Roman" w:hAnsi="Times New Roman" w:cs="Times New Roman" w:eastAsia="Times New Roman" w:hint="default"/>
                <w:sz w:val="18"/>
                <w:szCs w:val="18"/>
              </w:rPr>
            </w:pPr>
            <w:r>
              <w:rPr>
                <w:rFonts w:ascii="Times New Roman"/>
                <w:sz w:val="18"/>
              </w:rPr>
              <w:t>100.00</w:t>
            </w:r>
          </w:p>
        </w:tc>
        <w:tc>
          <w:tcPr>
            <w:tcW w:w="1157"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52"/>
              <w:jc w:val="right"/>
              <w:rPr>
                <w:rFonts w:ascii="Times New Roman" w:hAnsi="Times New Roman" w:cs="Times New Roman" w:eastAsia="Times New Roman" w:hint="default"/>
                <w:sz w:val="18"/>
                <w:szCs w:val="18"/>
              </w:rPr>
            </w:pPr>
            <w:r>
              <w:rPr>
                <w:rFonts w:ascii="Times New Roman"/>
                <w:spacing w:val="-1"/>
                <w:sz w:val="18"/>
              </w:rPr>
              <w:t>8,052,434.65</w:t>
            </w:r>
          </w:p>
        </w:tc>
        <w:tc>
          <w:tcPr>
            <w:tcW w:w="850"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93"/>
              <w:jc w:val="right"/>
              <w:rPr>
                <w:rFonts w:ascii="Times New Roman" w:hAnsi="Times New Roman" w:cs="Times New Roman" w:eastAsia="Times New Roman" w:hint="default"/>
                <w:sz w:val="18"/>
                <w:szCs w:val="18"/>
              </w:rPr>
            </w:pPr>
            <w:r>
              <w:rPr>
                <w:rFonts w:ascii="Times New Roman"/>
                <w:sz w:val="18"/>
              </w:rPr>
              <w:t>8.42</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00" w:bottom="1240" w:left="1140" w:right="660"/>
        </w:sectPr>
      </w:pPr>
    </w:p>
    <w:p>
      <w:pPr>
        <w:spacing w:line="240" w:lineRule="auto" w:before="12"/>
        <w:rPr>
          <w:rFonts w:ascii="宋体" w:hAnsi="宋体" w:cs="宋体" w:eastAsia="宋体" w:hint="default"/>
          <w:b/>
          <w:bCs/>
          <w:sz w:val="28"/>
          <w:szCs w:val="28"/>
        </w:rPr>
      </w:pPr>
    </w:p>
    <w:p>
      <w:pPr>
        <w:tabs>
          <w:tab w:pos="1916" w:val="left" w:leader="none"/>
        </w:tabs>
        <w:spacing w:before="35"/>
        <w:ind w:left="1377" w:right="1541" w:firstLine="0"/>
        <w:jc w:val="left"/>
        <w:rPr>
          <w:rFonts w:ascii="宋体" w:hAnsi="宋体" w:cs="宋体" w:eastAsia="宋体" w:hint="default"/>
          <w:sz w:val="21"/>
          <w:szCs w:val="21"/>
        </w:rPr>
      </w:pPr>
      <w:r>
        <w:rPr/>
        <w:pict>
          <v:group style="position:absolute;margin-left:62.25pt;margin-top:17.073994pt;width:491.55pt;height:287.9pt;mso-position-horizontal-relative:page;mso-position-vertical-relative:paragraph;z-index:-803368" coordorigin="1245,341" coordsize="9831,5758">
            <v:group style="position:absolute;left:1274;top:356;width:5885;height:2" coordorigin="1274,356" coordsize="5885,2">
              <v:shape style="position:absolute;left:1274;top:356;width:5885;height:2" coordorigin="1274,356" coordsize="5885,0" path="m1274,356l7159,356e" filled="false" stroked="true" strokeweight="1.5pt" strokecolor="#000000">
                <v:path arrowok="t"/>
              </v:shape>
            </v:group>
            <v:group style="position:absolute;left:7159;top:356;width:3881;height:2" coordorigin="7159,356" coordsize="3881,2">
              <v:shape style="position:absolute;left:7159;top:356;width:3881;height:2" coordorigin="7159,356" coordsize="3881,0" path="m7159,356l11040,356e" filled="false" stroked="true" strokeweight="1.5pt" strokecolor="#000000">
                <v:path arrowok="t"/>
              </v:shape>
              <v:shape style="position:absolute;left:2970;top:343;width:4198;height:432" type="#_x0000_t75" stroked="false">
                <v:imagedata r:id="rId328" o:title=""/>
              </v:shape>
              <v:shape style="position:absolute;left:2970;top:727;width:8106;height:1192" type="#_x0000_t75" stroked="false">
                <v:imagedata r:id="rId329" o:title=""/>
              </v:shape>
            </v:group>
            <v:group style="position:absolute;left:1276;top:1899;width:1722;height:1124" coordorigin="1276,1899" coordsize="1722,1124">
              <v:shape style="position:absolute;left:1276;top:1899;width:1722;height:1124" coordorigin="1276,1899" coordsize="1722,1124" path="m1276,3022l2998,3022,2998,1899,1276,1899,1276,3022xe" filled="true" fillcolor="#ffffff" stroked="false">
                <v:path arrowok="t"/>
                <v:fill type="solid"/>
              </v:shape>
            </v:group>
            <v:group style="position:absolute;left:1382;top:1899;width:1514;height:375" coordorigin="1382,1899" coordsize="1514,375">
              <v:shape style="position:absolute;left:1382;top:1899;width:1514;height:375" coordorigin="1382,1899" coordsize="1514,375" path="m1382,2273l2896,2273,2896,1899,1382,1899,1382,2273xe" filled="true" fillcolor="#ffffff" stroked="false">
                <v:path arrowok="t"/>
                <v:fill type="solid"/>
              </v:shape>
            </v:group>
            <v:group style="position:absolute;left:1382;top:2273;width:1514;height:375" coordorigin="1382,2273" coordsize="1514,375">
              <v:shape style="position:absolute;left:1382;top:2273;width:1514;height:375" coordorigin="1382,2273" coordsize="1514,375" path="m1382,2648l2896,2648,2896,2273,1382,2273,1382,2648xe" filled="true" fillcolor="#ffffff" stroked="false">
                <v:path arrowok="t"/>
                <v:fill type="solid"/>
              </v:shape>
            </v:group>
            <v:group style="position:absolute;left:1382;top:2648;width:1514;height:375" coordorigin="1382,2648" coordsize="1514,375">
              <v:shape style="position:absolute;left:1382;top:2648;width:1514;height:375" coordorigin="1382,2648" coordsize="1514,375" path="m1382,3022l2896,3022,2896,2648,1382,2648,1382,3022xe" filled="true" fillcolor="#ffffff" stroked="false">
                <v:path arrowok="t"/>
                <v:fill type="solid"/>
              </v:shape>
            </v:group>
            <v:group style="position:absolute;left:3008;top:1899;width:1380;height:1124" coordorigin="3008,1899" coordsize="1380,1124">
              <v:shape style="position:absolute;left:3008;top:1899;width:1380;height:1124" coordorigin="3008,1899" coordsize="1380,1124" path="m3008,3022l4388,3022,4388,1899,3008,1899,3008,3022xe" filled="true" fillcolor="#ffffff" stroked="false">
                <v:path arrowok="t"/>
                <v:fill type="solid"/>
              </v:shape>
            </v:group>
            <v:group style="position:absolute;left:3110;top:2273;width:1176;height:375" coordorigin="3110,2273" coordsize="1176,375">
              <v:shape style="position:absolute;left:3110;top:2273;width:1176;height:375" coordorigin="3110,2273" coordsize="1176,375" path="m3110,2648l4286,2648,4286,2273,3110,2273,3110,2648xe" filled="true" fillcolor="#ffffff" stroked="false">
                <v:path arrowok="t"/>
                <v:fill type="solid"/>
              </v:shape>
            </v:group>
            <v:group style="position:absolute;left:4399;top:1899;width:735;height:1124" coordorigin="4399,1899" coordsize="735,1124">
              <v:shape style="position:absolute;left:4399;top:1899;width:735;height:1124" coordorigin="4399,1899" coordsize="735,1124" path="m4399,3022l5134,3022,5134,1899,4399,1899,4399,3022xe" filled="true" fillcolor="#ffffff" stroked="false">
                <v:path arrowok="t"/>
                <v:fill type="solid"/>
              </v:shape>
            </v:group>
            <v:group style="position:absolute;left:4502;top:2273;width:528;height:375" coordorigin="4502,2273" coordsize="528,375">
              <v:shape style="position:absolute;left:4502;top:2273;width:528;height:375" coordorigin="4502,2273" coordsize="528,375" path="m4502,2648l5030,2648,5030,2273,4502,2273,4502,2648xe" filled="true" fillcolor="#ffffff" stroked="false">
                <v:path arrowok="t"/>
                <v:fill type="solid"/>
              </v:shape>
            </v:group>
            <v:group style="position:absolute;left:5144;top:1899;width:1266;height:1124" coordorigin="5144,1899" coordsize="1266,1124">
              <v:shape style="position:absolute;left:5144;top:1899;width:1266;height:1124" coordorigin="5144,1899" coordsize="1266,1124" path="m5144,3022l6410,3022,6410,1899,5144,1899,5144,3022xe" filled="true" fillcolor="#ffffff" stroked="false">
                <v:path arrowok="t"/>
                <v:fill type="solid"/>
              </v:shape>
            </v:group>
            <v:group style="position:absolute;left:5246;top:2273;width:1061;height:375" coordorigin="5246,2273" coordsize="1061,375">
              <v:shape style="position:absolute;left:5246;top:2273;width:1061;height:375" coordorigin="5246,2273" coordsize="1061,375" path="m5246,2648l6307,2648,6307,2273,5246,2273,5246,2648xe" filled="true" fillcolor="#ffffff" stroked="false">
                <v:path arrowok="t"/>
                <v:fill type="solid"/>
              </v:shape>
            </v:group>
            <v:group style="position:absolute;left:6420;top:1899;width:710;height:1124" coordorigin="6420,1899" coordsize="710,1124">
              <v:shape style="position:absolute;left:6420;top:1899;width:710;height:1124" coordorigin="6420,1899" coordsize="710,1124" path="m6420,3022l7129,3022,7129,1899,6420,1899,6420,3022xe" filled="true" fillcolor="#ffffff" stroked="false">
                <v:path arrowok="t"/>
                <v:fill type="solid"/>
              </v:shape>
            </v:group>
            <v:group style="position:absolute;left:6523;top:2273;width:503;height:375" coordorigin="6523,2273" coordsize="503,375">
              <v:shape style="position:absolute;left:6523;top:2273;width:503;height:375" coordorigin="6523,2273" coordsize="503,375" path="m6523,2648l7026,2648,7026,2273,6523,2273,6523,2648xe" filled="true" fillcolor="#ffffff" stroked="false">
                <v:path arrowok="t"/>
                <v:fill type="solid"/>
              </v:shape>
            </v:group>
            <v:group style="position:absolute;left:7139;top:1899;width:1266;height:1124" coordorigin="7139,1899" coordsize="1266,1124">
              <v:shape style="position:absolute;left:7139;top:1899;width:1266;height:1124" coordorigin="7139,1899" coordsize="1266,1124" path="m7139,3022l8405,3022,8405,1899,7139,1899,7139,3022xe" filled="true" fillcolor="#ffffff" stroked="false">
                <v:path arrowok="t"/>
                <v:fill type="solid"/>
              </v:shape>
            </v:group>
            <v:group style="position:absolute;left:7242;top:2273;width:1060;height:375" coordorigin="7242,2273" coordsize="1060,375">
              <v:shape style="position:absolute;left:7242;top:2273;width:1060;height:375" coordorigin="7242,2273" coordsize="1060,375" path="m7242,2648l8302,2648,8302,2273,7242,2273,7242,2648xe" filled="true" fillcolor="#ffffff" stroked="false">
                <v:path arrowok="t"/>
                <v:fill type="solid"/>
              </v:shape>
            </v:group>
            <v:group style="position:absolute;left:8416;top:1899;width:646;height:1124" coordorigin="8416,1899" coordsize="646,1124">
              <v:shape style="position:absolute;left:8416;top:1899;width:646;height:1124" coordorigin="8416,1899" coordsize="646,1124" path="m8416,3022l9061,3022,9061,1899,8416,1899,8416,3022xe" filled="true" fillcolor="#ffffff" stroked="false">
                <v:path arrowok="t"/>
                <v:fill type="solid"/>
              </v:shape>
            </v:group>
            <v:group style="position:absolute;left:8518;top:2273;width:441;height:375" coordorigin="8518,2273" coordsize="441,375">
              <v:shape style="position:absolute;left:8518;top:2273;width:441;height:375" coordorigin="8518,2273" coordsize="441,375" path="m8518,2648l8958,2648,8958,2273,8518,2273,8518,2648xe" filled="true" fillcolor="#ffffff" stroked="false">
                <v:path arrowok="t"/>
                <v:fill type="solid"/>
              </v:shape>
            </v:group>
            <v:group style="position:absolute;left:9071;top:1899;width:1266;height:1124" coordorigin="9071,1899" coordsize="1266,1124">
              <v:shape style="position:absolute;left:9071;top:1899;width:1266;height:1124" coordorigin="9071,1899" coordsize="1266,1124" path="m9071,3022l10337,3022,10337,1899,9071,1899,9071,3022xe" filled="true" fillcolor="#ffffff" stroked="false">
                <v:path arrowok="t"/>
                <v:fill type="solid"/>
              </v:shape>
            </v:group>
            <v:group style="position:absolute;left:9174;top:2273;width:1060;height:375" coordorigin="9174,2273" coordsize="1060,375">
              <v:shape style="position:absolute;left:9174;top:2273;width:1060;height:375" coordorigin="9174,2273" coordsize="1060,375" path="m9174,2648l10234,2648,10234,2273,9174,2273,9174,2648xe" filled="true" fillcolor="#ffffff" stroked="false">
                <v:path arrowok="t"/>
                <v:fill type="solid"/>
              </v:shape>
            </v:group>
            <v:group style="position:absolute;left:10348;top:1899;width:693;height:1124" coordorigin="10348,1899" coordsize="693,1124">
              <v:shape style="position:absolute;left:10348;top:1899;width:693;height:1124" coordorigin="10348,1899" coordsize="693,1124" path="m10348,3022l11040,3022,11040,1899,10348,1899,10348,3022xe" filled="true" fillcolor="#ffffff" stroked="false">
                <v:path arrowok="t"/>
                <v:fill type="solid"/>
              </v:shape>
            </v:group>
            <v:group style="position:absolute;left:10450;top:2273;width:483;height:375" coordorigin="10450,2273" coordsize="483,375">
              <v:shape style="position:absolute;left:10450;top:2273;width:483;height:375" coordorigin="10450,2273" coordsize="483,375" path="m10450,2648l10932,2648,10932,2273,10450,2273,10450,2648xe" filled="true" fillcolor="#ffffff" stroked="false">
                <v:path arrowok="t"/>
                <v:fill type="solid"/>
              </v:shape>
              <v:shape style="position:absolute;left:1246;top:1861;width:9830;height:1190" type="#_x0000_t75" stroked="false">
                <v:imagedata r:id="rId330" o:title=""/>
              </v:shape>
            </v:group>
            <v:group style="position:absolute;left:1276;top:3033;width:1722;height:749" coordorigin="1276,3033" coordsize="1722,749">
              <v:shape style="position:absolute;left:1276;top:3033;width:1722;height:749" coordorigin="1276,3033" coordsize="1722,749" path="m1276,3782l2998,3782,2998,3033,1276,3033,1276,3782xe" filled="true" fillcolor="#ffffff" stroked="false">
                <v:path arrowok="t"/>
                <v:fill type="solid"/>
              </v:shape>
            </v:group>
            <v:group style="position:absolute;left:1382;top:3033;width:1514;height:375" coordorigin="1382,3033" coordsize="1514,375">
              <v:shape style="position:absolute;left:1382;top:3033;width:1514;height:375" coordorigin="1382,3033" coordsize="1514,375" path="m1382,3407l2896,3407,2896,3033,1382,3033,1382,3407xe" filled="true" fillcolor="#ffffff" stroked="false">
                <v:path arrowok="t"/>
                <v:fill type="solid"/>
              </v:shape>
            </v:group>
            <v:group style="position:absolute;left:1382;top:3407;width:1514;height:375" coordorigin="1382,3407" coordsize="1514,375">
              <v:shape style="position:absolute;left:1382;top:3407;width:1514;height:375" coordorigin="1382,3407" coordsize="1514,375" path="m1382,3782l2896,3782,2896,3407,1382,3407,1382,3782xe" filled="true" fillcolor="#ffffff" stroked="false">
                <v:path arrowok="t"/>
                <v:fill type="solid"/>
              </v:shape>
            </v:group>
            <v:group style="position:absolute;left:3008;top:3033;width:1380;height:749" coordorigin="3008,3033" coordsize="1380,749">
              <v:shape style="position:absolute;left:3008;top:3033;width:1380;height:749" coordorigin="3008,3033" coordsize="1380,749" path="m3008,3782l4388,3782,4388,3033,3008,3033,3008,3782xe" filled="true" fillcolor="#ffffff" stroked="false">
                <v:path arrowok="t"/>
                <v:fill type="solid"/>
              </v:shape>
            </v:group>
            <v:group style="position:absolute;left:3110;top:3220;width:1176;height:375" coordorigin="3110,3220" coordsize="1176,375">
              <v:shape style="position:absolute;left:3110;top:3220;width:1176;height:375" coordorigin="3110,3220" coordsize="1176,375" path="m3110,3595l4286,3595,4286,3220,3110,3220,3110,3595xe" filled="true" fillcolor="#ffffff" stroked="false">
                <v:path arrowok="t"/>
                <v:fill type="solid"/>
              </v:shape>
            </v:group>
            <v:group style="position:absolute;left:4399;top:3033;width:735;height:749" coordorigin="4399,3033" coordsize="735,749">
              <v:shape style="position:absolute;left:4399;top:3033;width:735;height:749" coordorigin="4399,3033" coordsize="735,749" path="m4399,3782l5134,3782,5134,3033,4399,3033,4399,3782xe" filled="true" fillcolor="#ffffff" stroked="false">
                <v:path arrowok="t"/>
                <v:fill type="solid"/>
              </v:shape>
            </v:group>
            <v:group style="position:absolute;left:4502;top:3220;width:528;height:375" coordorigin="4502,3220" coordsize="528,375">
              <v:shape style="position:absolute;left:4502;top:3220;width:528;height:375" coordorigin="4502,3220" coordsize="528,375" path="m4502,3595l5030,3595,5030,3220,4502,3220,4502,3595xe" filled="true" fillcolor="#ffffff" stroked="false">
                <v:path arrowok="t"/>
                <v:fill type="solid"/>
              </v:shape>
            </v:group>
            <v:group style="position:absolute;left:5144;top:3033;width:1266;height:749" coordorigin="5144,3033" coordsize="1266,749">
              <v:shape style="position:absolute;left:5144;top:3033;width:1266;height:749" coordorigin="5144,3033" coordsize="1266,749" path="m5144,3782l6410,3782,6410,3033,5144,3033,5144,3782xe" filled="true" fillcolor="#ffffff" stroked="false">
                <v:path arrowok="t"/>
                <v:fill type="solid"/>
              </v:shape>
            </v:group>
            <v:group style="position:absolute;left:5246;top:3220;width:1061;height:375" coordorigin="5246,3220" coordsize="1061,375">
              <v:shape style="position:absolute;left:5246;top:3220;width:1061;height:375" coordorigin="5246,3220" coordsize="1061,375" path="m5246,3595l6307,3595,6307,3220,5246,3220,5246,3595xe" filled="true" fillcolor="#ffffff" stroked="false">
                <v:path arrowok="t"/>
                <v:fill type="solid"/>
              </v:shape>
            </v:group>
            <v:group style="position:absolute;left:6420;top:3033;width:710;height:749" coordorigin="6420,3033" coordsize="710,749">
              <v:shape style="position:absolute;left:6420;top:3033;width:710;height:749" coordorigin="6420,3033" coordsize="710,749" path="m6420,3782l7129,3782,7129,3033,6420,3033,6420,3782xe" filled="true" fillcolor="#ffffff" stroked="false">
                <v:path arrowok="t"/>
                <v:fill type="solid"/>
              </v:shape>
            </v:group>
            <v:group style="position:absolute;left:6523;top:3220;width:503;height:375" coordorigin="6523,3220" coordsize="503,375">
              <v:shape style="position:absolute;left:6523;top:3220;width:503;height:375" coordorigin="6523,3220" coordsize="503,375" path="m6523,3595l7026,3595,7026,3220,6523,3220,6523,3595xe" filled="true" fillcolor="#ffffff" stroked="false">
                <v:path arrowok="t"/>
                <v:fill type="solid"/>
              </v:shape>
            </v:group>
            <v:group style="position:absolute;left:7139;top:3033;width:1266;height:749" coordorigin="7139,3033" coordsize="1266,749">
              <v:shape style="position:absolute;left:7139;top:3033;width:1266;height:749" coordorigin="7139,3033" coordsize="1266,749" path="m7139,3782l8405,3782,8405,3033,7139,3033,7139,3782xe" filled="true" fillcolor="#ffffff" stroked="false">
                <v:path arrowok="t"/>
                <v:fill type="solid"/>
              </v:shape>
            </v:group>
            <v:group style="position:absolute;left:7242;top:3220;width:1060;height:375" coordorigin="7242,3220" coordsize="1060,375">
              <v:shape style="position:absolute;left:7242;top:3220;width:1060;height:375" coordorigin="7242,3220" coordsize="1060,375" path="m7242,3595l8302,3595,8302,3220,7242,3220,7242,3595xe" filled="true" fillcolor="#ffffff" stroked="false">
                <v:path arrowok="t"/>
                <v:fill type="solid"/>
              </v:shape>
            </v:group>
            <v:group style="position:absolute;left:8416;top:3033;width:646;height:749" coordorigin="8416,3033" coordsize="646,749">
              <v:shape style="position:absolute;left:8416;top:3033;width:646;height:749" coordorigin="8416,3033" coordsize="646,749" path="m8416,3782l9061,3782,9061,3033,8416,3033,8416,3782xe" filled="true" fillcolor="#ffffff" stroked="false">
                <v:path arrowok="t"/>
                <v:fill type="solid"/>
              </v:shape>
            </v:group>
            <v:group style="position:absolute;left:8518;top:3220;width:441;height:375" coordorigin="8518,3220" coordsize="441,375">
              <v:shape style="position:absolute;left:8518;top:3220;width:441;height:375" coordorigin="8518,3220" coordsize="441,375" path="m8518,3595l8958,3595,8958,3220,8518,3220,8518,3595xe" filled="true" fillcolor="#ffffff" stroked="false">
                <v:path arrowok="t"/>
                <v:fill type="solid"/>
              </v:shape>
            </v:group>
            <v:group style="position:absolute;left:9071;top:3033;width:1266;height:749" coordorigin="9071,3033" coordsize="1266,749">
              <v:shape style="position:absolute;left:9071;top:3033;width:1266;height:749" coordorigin="9071,3033" coordsize="1266,749" path="m9071,3782l10337,3782,10337,3033,9071,3033,9071,3782xe" filled="true" fillcolor="#ffffff" stroked="false">
                <v:path arrowok="t"/>
                <v:fill type="solid"/>
              </v:shape>
            </v:group>
            <v:group style="position:absolute;left:9174;top:3220;width:1060;height:375" coordorigin="9174,3220" coordsize="1060,375">
              <v:shape style="position:absolute;left:9174;top:3220;width:1060;height:375" coordorigin="9174,3220" coordsize="1060,375" path="m9174,3595l10234,3595,10234,3220,9174,3220,9174,3595xe" filled="true" fillcolor="#ffffff" stroked="false">
                <v:path arrowok="t"/>
                <v:fill type="solid"/>
              </v:shape>
            </v:group>
            <v:group style="position:absolute;left:10348;top:3033;width:693;height:749" coordorigin="10348,3033" coordsize="693,749">
              <v:shape style="position:absolute;left:10348;top:3033;width:693;height:749" coordorigin="10348,3033" coordsize="693,749" path="m10348,3782l11040,3782,11040,3033,10348,3033,10348,3782xe" filled="true" fillcolor="#ffffff" stroked="false">
                <v:path arrowok="t"/>
                <v:fill type="solid"/>
              </v:shape>
            </v:group>
            <v:group style="position:absolute;left:10450;top:3220;width:483;height:375" coordorigin="10450,3220" coordsize="483,375">
              <v:shape style="position:absolute;left:10450;top:3220;width:483;height:375" coordorigin="10450,3220" coordsize="483,375" path="m10450,3595l10932,3595,10932,3220,10450,3220,10450,3595xe" filled="true" fillcolor="#ffffff" stroked="false">
                <v:path arrowok="t"/>
                <v:fill type="solid"/>
              </v:shape>
              <v:shape style="position:absolute;left:1246;top:2993;width:9830;height:817" type="#_x0000_t75" stroked="false">
                <v:imagedata r:id="rId331" o:title=""/>
              </v:shape>
            </v:group>
            <v:group style="position:absolute;left:2896;top:3791;width:102;height:375" coordorigin="2896,3791" coordsize="102,375">
              <v:shape style="position:absolute;left:2896;top:3791;width:102;height:375" coordorigin="2896,3791" coordsize="102,375" path="m2896,4166l2998,4166,2998,3791,2896,3791,2896,4166xe" filled="true" fillcolor="#ffffff" stroked="false">
                <v:path arrowok="t"/>
                <v:fill type="solid"/>
              </v:shape>
            </v:group>
            <v:group style="position:absolute;left:1276;top:3791;width:107;height:375" coordorigin="1276,3791" coordsize="107,375">
              <v:shape style="position:absolute;left:1276;top:3791;width:107;height:375" coordorigin="1276,3791" coordsize="107,375" path="m1276,4166l1382,4166,1382,3791,1276,3791,1276,4166xe" filled="true" fillcolor="#ffffff" stroked="false">
                <v:path arrowok="t"/>
                <v:fill type="solid"/>
              </v:shape>
            </v:group>
            <v:group style="position:absolute;left:1382;top:3791;width:1514;height:375" coordorigin="1382,3791" coordsize="1514,375">
              <v:shape style="position:absolute;left:1382;top:3791;width:1514;height:375" coordorigin="1382,3791" coordsize="1514,375" path="m1382,4166l2896,4166,2896,3791,1382,3791,1382,4166xe" filled="true" fillcolor="#ffffff" stroked="false">
                <v:path arrowok="t"/>
                <v:fill type="solid"/>
              </v:shape>
            </v:group>
            <v:group style="position:absolute;left:4286;top:3791;width:102;height:375" coordorigin="4286,3791" coordsize="102,375">
              <v:shape style="position:absolute;left:4286;top:3791;width:102;height:375" coordorigin="4286,3791" coordsize="102,375" path="m4286,4166l4388,4166,4388,3791,4286,3791,4286,4166xe" filled="true" fillcolor="#ffffff" stroked="false">
                <v:path arrowok="t"/>
                <v:fill type="solid"/>
              </v:shape>
            </v:group>
            <v:group style="position:absolute;left:3008;top:3791;width:102;height:375" coordorigin="3008,3791" coordsize="102,375">
              <v:shape style="position:absolute;left:3008;top:3791;width:102;height:375" coordorigin="3008,3791" coordsize="102,375" path="m3008,4166l3110,4166,3110,3791,3008,3791,3008,4166xe" filled="true" fillcolor="#ffffff" stroked="false">
                <v:path arrowok="t"/>
                <v:fill type="solid"/>
              </v:shape>
            </v:group>
            <v:group style="position:absolute;left:3110;top:3791;width:1176;height:375" coordorigin="3110,3791" coordsize="1176,375">
              <v:shape style="position:absolute;left:3110;top:3791;width:1176;height:375" coordorigin="3110,3791" coordsize="1176,375" path="m3110,4166l4286,4166,4286,3791,3110,3791,3110,4166xe" filled="true" fillcolor="#ffffff" stroked="false">
                <v:path arrowok="t"/>
                <v:fill type="solid"/>
              </v:shape>
            </v:group>
            <v:group style="position:absolute;left:5030;top:3791;width:104;height:375" coordorigin="5030,3791" coordsize="104,375">
              <v:shape style="position:absolute;left:5030;top:3791;width:104;height:375" coordorigin="5030,3791" coordsize="104,375" path="m5030,4166l5134,4166,5134,3791,5030,3791,5030,4166xe" filled="true" fillcolor="#ffffff" stroked="false">
                <v:path arrowok="t"/>
                <v:fill type="solid"/>
              </v:shape>
            </v:group>
            <v:group style="position:absolute;left:4399;top:3791;width:104;height:375" coordorigin="4399,3791" coordsize="104,375">
              <v:shape style="position:absolute;left:4399;top:3791;width:104;height:375" coordorigin="4399,3791" coordsize="104,375" path="m4399,4166l4502,4166,4502,3791,4399,3791,4399,4166xe" filled="true" fillcolor="#ffffff" stroked="false">
                <v:path arrowok="t"/>
                <v:fill type="solid"/>
              </v:shape>
            </v:group>
            <v:group style="position:absolute;left:4502;top:3791;width:528;height:375" coordorigin="4502,3791" coordsize="528,375">
              <v:shape style="position:absolute;left:4502;top:3791;width:528;height:375" coordorigin="4502,3791" coordsize="528,375" path="m4502,4166l5030,4166,5030,3791,4502,3791,4502,4166xe" filled="true" fillcolor="#ffffff" stroked="false">
                <v:path arrowok="t"/>
                <v:fill type="solid"/>
              </v:shape>
            </v:group>
            <v:group style="position:absolute;left:6307;top:3791;width:104;height:375" coordorigin="6307,3791" coordsize="104,375">
              <v:shape style="position:absolute;left:6307;top:3791;width:104;height:375" coordorigin="6307,3791" coordsize="104,375" path="m6307,4166l6410,4166,6410,3791,6307,3791,6307,4166xe" filled="true" fillcolor="#ffffff" stroked="false">
                <v:path arrowok="t"/>
                <v:fill type="solid"/>
              </v:shape>
            </v:group>
            <v:group style="position:absolute;left:5144;top:3791;width:102;height:375" coordorigin="5144,3791" coordsize="102,375">
              <v:shape style="position:absolute;left:5144;top:3791;width:102;height:375" coordorigin="5144,3791" coordsize="102,375" path="m5144,4166l5246,4166,5246,3791,5144,3791,5144,4166xe" filled="true" fillcolor="#ffffff" stroked="false">
                <v:path arrowok="t"/>
                <v:fill type="solid"/>
              </v:shape>
            </v:group>
            <v:group style="position:absolute;left:5246;top:3791;width:1061;height:375" coordorigin="5246,3791" coordsize="1061,375">
              <v:shape style="position:absolute;left:5246;top:3791;width:1061;height:375" coordorigin="5246,3791" coordsize="1061,375" path="m5246,4166l6307,4166,6307,3791,5246,3791,5246,4166xe" filled="true" fillcolor="#ffffff" stroked="false">
                <v:path arrowok="t"/>
                <v:fill type="solid"/>
              </v:shape>
            </v:group>
            <v:group style="position:absolute;left:7026;top:3791;width:104;height:375" coordorigin="7026,3791" coordsize="104,375">
              <v:shape style="position:absolute;left:7026;top:3791;width:104;height:375" coordorigin="7026,3791" coordsize="104,375" path="m7026,4166l7129,4166,7129,3791,7026,3791,7026,4166xe" filled="true" fillcolor="#ffffff" stroked="false">
                <v:path arrowok="t"/>
                <v:fill type="solid"/>
              </v:shape>
            </v:group>
            <v:group style="position:absolute;left:6420;top:3791;width:104;height:375" coordorigin="6420,3791" coordsize="104,375">
              <v:shape style="position:absolute;left:6420;top:3791;width:104;height:375" coordorigin="6420,3791" coordsize="104,375" path="m6420,4166l6523,4166,6523,3791,6420,3791,6420,4166xe" filled="true" fillcolor="#ffffff" stroked="false">
                <v:path arrowok="t"/>
                <v:fill type="solid"/>
              </v:shape>
            </v:group>
            <v:group style="position:absolute;left:6523;top:3791;width:503;height:375" coordorigin="6523,3791" coordsize="503,375">
              <v:shape style="position:absolute;left:6523;top:3791;width:503;height:375" coordorigin="6523,3791" coordsize="503,375" path="m6523,4166l7026,4166,7026,3791,6523,3791,6523,4166xe" filled="true" fillcolor="#ffffff" stroked="false">
                <v:path arrowok="t"/>
                <v:fill type="solid"/>
              </v:shape>
            </v:group>
            <v:group style="position:absolute;left:8302;top:3791;width:104;height:375" coordorigin="8302,3791" coordsize="104,375">
              <v:shape style="position:absolute;left:8302;top:3791;width:104;height:375" coordorigin="8302,3791" coordsize="104,375" path="m8302,4166l8405,4166,8405,3791,8302,3791,8302,4166xe" filled="true" fillcolor="#ffffff" stroked="false">
                <v:path arrowok="t"/>
                <v:fill type="solid"/>
              </v:shape>
            </v:group>
            <v:group style="position:absolute;left:7139;top:3791;width:104;height:375" coordorigin="7139,3791" coordsize="104,375">
              <v:shape style="position:absolute;left:7139;top:3791;width:104;height:375" coordorigin="7139,3791" coordsize="104,375" path="m7139,4166l7242,4166,7242,3791,7139,3791,7139,4166xe" filled="true" fillcolor="#ffffff" stroked="false">
                <v:path arrowok="t"/>
                <v:fill type="solid"/>
              </v:shape>
            </v:group>
            <v:group style="position:absolute;left:7242;top:3791;width:1060;height:375" coordorigin="7242,3791" coordsize="1060,375">
              <v:shape style="position:absolute;left:7242;top:3791;width:1060;height:375" coordorigin="7242,3791" coordsize="1060,375" path="m7242,4166l8302,4166,8302,3791,7242,3791,7242,4166xe" filled="true" fillcolor="#ffffff" stroked="false">
                <v:path arrowok="t"/>
                <v:fill type="solid"/>
              </v:shape>
            </v:group>
            <v:group style="position:absolute;left:8958;top:3791;width:104;height:375" coordorigin="8958,3791" coordsize="104,375">
              <v:shape style="position:absolute;left:8958;top:3791;width:104;height:375" coordorigin="8958,3791" coordsize="104,375" path="m8958,4166l9061,4166,9061,3791,8958,3791,8958,4166xe" filled="true" fillcolor="#ffffff" stroked="false">
                <v:path arrowok="t"/>
                <v:fill type="solid"/>
              </v:shape>
            </v:group>
            <v:group style="position:absolute;left:8416;top:3791;width:102;height:375" coordorigin="8416,3791" coordsize="102,375">
              <v:shape style="position:absolute;left:8416;top:3791;width:102;height:375" coordorigin="8416,3791" coordsize="102,375" path="m8416,4166l8518,4166,8518,3791,8416,3791,8416,4166xe" filled="true" fillcolor="#ffffff" stroked="false">
                <v:path arrowok="t"/>
                <v:fill type="solid"/>
              </v:shape>
            </v:group>
            <v:group style="position:absolute;left:8518;top:3791;width:441;height:375" coordorigin="8518,3791" coordsize="441,375">
              <v:shape style="position:absolute;left:8518;top:3791;width:441;height:375" coordorigin="8518,3791" coordsize="441,375" path="m8518,4166l8958,4166,8958,3791,8518,3791,8518,4166xe" filled="true" fillcolor="#ffffff" stroked="false">
                <v:path arrowok="t"/>
                <v:fill type="solid"/>
              </v:shape>
            </v:group>
            <v:group style="position:absolute;left:10234;top:3791;width:104;height:375" coordorigin="10234,3791" coordsize="104,375">
              <v:shape style="position:absolute;left:10234;top:3791;width:104;height:375" coordorigin="10234,3791" coordsize="104,375" path="m10234,4166l10337,4166,10337,3791,10234,3791,10234,4166xe" filled="true" fillcolor="#ffffff" stroked="false">
                <v:path arrowok="t"/>
                <v:fill type="solid"/>
              </v:shape>
            </v:group>
            <v:group style="position:absolute;left:9071;top:3791;width:104;height:375" coordorigin="9071,3791" coordsize="104,375">
              <v:shape style="position:absolute;left:9071;top:3791;width:104;height:375" coordorigin="9071,3791" coordsize="104,375" path="m9071,4166l9174,4166,9174,3791,9071,3791,9071,4166xe" filled="true" fillcolor="#ffffff" stroked="false">
                <v:path arrowok="t"/>
                <v:fill type="solid"/>
              </v:shape>
            </v:group>
            <v:group style="position:absolute;left:9174;top:3791;width:1060;height:375" coordorigin="9174,3791" coordsize="1060,375">
              <v:shape style="position:absolute;left:9174;top:3791;width:1060;height:375" coordorigin="9174,3791" coordsize="1060,375" path="m9174,4166l10234,4166,10234,3791,9174,3791,9174,4166xe" filled="true" fillcolor="#ffffff" stroked="false">
                <v:path arrowok="t"/>
                <v:fill type="solid"/>
              </v:shape>
            </v:group>
            <v:group style="position:absolute;left:10932;top:3791;width:108;height:375" coordorigin="10932,3791" coordsize="108,375">
              <v:shape style="position:absolute;left:10932;top:3791;width:108;height:375" coordorigin="10932,3791" coordsize="108,375" path="m10932,4166l11040,4166,11040,3791,10932,3791,10932,4166xe" filled="true" fillcolor="#ffffff" stroked="false">
                <v:path arrowok="t"/>
                <v:fill type="solid"/>
              </v:shape>
            </v:group>
            <v:group style="position:absolute;left:10348;top:3791;width:102;height:375" coordorigin="10348,3791" coordsize="102,375">
              <v:shape style="position:absolute;left:10348;top:3791;width:102;height:375" coordorigin="10348,3791" coordsize="102,375" path="m10348,4166l10450,4166,10450,3791,10348,3791,10348,4166xe" filled="true" fillcolor="#ffffff" stroked="false">
                <v:path arrowok="t"/>
                <v:fill type="solid"/>
              </v:shape>
            </v:group>
            <v:group style="position:absolute;left:10450;top:3791;width:483;height:375" coordorigin="10450,3791" coordsize="483,375">
              <v:shape style="position:absolute;left:10450;top:3791;width:483;height:375" coordorigin="10450,3791" coordsize="483,375" path="m10450,4166l10932,4166,10932,3791,10450,3791,10450,4166xe" filled="true" fillcolor="#ffffff" stroked="false">
                <v:path arrowok="t"/>
                <v:fill type="solid"/>
              </v:shape>
            </v:group>
            <v:group style="position:absolute;left:1260;top:6084;width:1739;height:2" coordorigin="1260,6084" coordsize="1739,2">
              <v:shape style="position:absolute;left:1260;top:6084;width:1739;height:2" coordorigin="1260,6084" coordsize="1739,0" path="m1260,6084l2999,6084e" filled="false" stroked="true" strokeweight="1.5pt" strokecolor="#000000">
                <v:path arrowok="t"/>
              </v:shape>
            </v:group>
            <v:group style="position:absolute;left:2999;top:6084;width:1391;height:2" coordorigin="2999,6084" coordsize="1391,2">
              <v:shape style="position:absolute;left:2999;top:6084;width:1391;height:2" coordorigin="2999,6084" coordsize="1391,0" path="m2999,6084l4390,6084e" filled="false" stroked="true" strokeweight="1.5pt" strokecolor="#000000">
                <v:path arrowok="t"/>
              </v:shape>
            </v:group>
            <v:group style="position:absolute;left:4390;top:6084;width:746;height:2" coordorigin="4390,6084" coordsize="746,2">
              <v:shape style="position:absolute;left:4390;top:6084;width:746;height:2" coordorigin="4390,6084" coordsize="746,0" path="m4390,6084l5135,6084e" filled="false" stroked="true" strokeweight="1.5pt" strokecolor="#000000">
                <v:path arrowok="t"/>
              </v:shape>
            </v:group>
            <v:group style="position:absolute;left:5135;top:6084;width:1276;height:2" coordorigin="5135,6084" coordsize="1276,2">
              <v:shape style="position:absolute;left:5135;top:6084;width:1276;height:2" coordorigin="5135,6084" coordsize="1276,0" path="m5135,6084l6410,6084e" filled="false" stroked="true" strokeweight="1.5pt" strokecolor="#000000">
                <v:path arrowok="t"/>
              </v:shape>
            </v:group>
            <v:group style="position:absolute;left:6410;top:6084;width:719;height:2" coordorigin="6410,6084" coordsize="719,2">
              <v:shape style="position:absolute;left:6410;top:6084;width:719;height:2" coordorigin="6410,6084" coordsize="719,0" path="m6410,6084l7129,6084e" filled="false" stroked="true" strokeweight="1.5pt" strokecolor="#000000">
                <v:path arrowok="t"/>
              </v:shape>
            </v:group>
            <v:group style="position:absolute;left:7129;top:6084;width:1276;height:2" coordorigin="7129,6084" coordsize="1276,2">
              <v:shape style="position:absolute;left:7129;top:6084;width:1276;height:2" coordorigin="7129,6084" coordsize="1276,0" path="m7129,6084l8405,6084e" filled="false" stroked="true" strokeweight="1.5pt" strokecolor="#000000">
                <v:path arrowok="t"/>
              </v:shape>
            </v:group>
            <v:group style="position:absolute;left:8405;top:6084;width:657;height:2" coordorigin="8405,6084" coordsize="657,2">
              <v:shape style="position:absolute;left:8405;top:6084;width:657;height:2" coordorigin="8405,6084" coordsize="657,0" path="m8405,6084l9061,6084e" filled="false" stroked="true" strokeweight="1.5pt" strokecolor="#000000">
                <v:path arrowok="t"/>
              </v:shape>
            </v:group>
            <v:group style="position:absolute;left:9061;top:6084;width:1276;height:2" coordorigin="9061,6084" coordsize="1276,2">
              <v:shape style="position:absolute;left:9061;top:6084;width:1276;height:2" coordorigin="9061,6084" coordsize="1276,0" path="m9061,6084l10337,6084e" filled="false" stroked="true" strokeweight="1.5pt" strokecolor="#000000">
                <v:path arrowok="t"/>
              </v:shape>
              <v:shape style="position:absolute;left:1246;top:3753;width:9830;height:2316" type="#_x0000_t75" stroked="false">
                <v:imagedata r:id="rId332" o:title=""/>
              </v:shape>
            </v:group>
            <v:group style="position:absolute;left:10337;top:6084;width:704;height:2" coordorigin="10337,6084" coordsize="704,2">
              <v:shape style="position:absolute;left:10337;top:6084;width:704;height:2" coordorigin="10337,6084" coordsize="704,0" path="m10337,6084l11040,6084e" filled="false" stroked="true" strokeweight="1.5pt" strokecolor="#000000">
                <v:path arrowok="t"/>
              </v:shape>
              <v:shape style="position:absolute;left:4708;top:4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726;top:4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710;top:85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5776;top:85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740;top:85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9692;top:85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1958;top:104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种类</w:t>
                      </w:r>
                    </w:p>
                  </w:txbxContent>
                </v:textbox>
                <w10:wrap type="none"/>
              </v:shape>
              <v:shape style="position:absolute;left:4618;top:123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6625;top:123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8588;top:123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10542;top:123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3548;top:1425;width:7428;height:378" type="#_x0000_t202" filled="false" stroked="false">
                <v:textbox inset="0,0,0,0">
                  <w:txbxContent>
                    <w:p>
                      <w:pPr>
                        <w:tabs>
                          <w:tab w:pos="2079" w:val="left" w:leader="none"/>
                          <w:tab w:pos="4075" w:val="left" w:leader="none"/>
                          <w:tab w:pos="6007" w:val="left" w:leader="none"/>
                        </w:tabs>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tab/>
                        <w:t>金额</w:t>
                        <w:tab/>
                        <w:t>金额</w:t>
                        <w:tab/>
                        <w:t>金额</w:t>
                      </w:r>
                    </w:p>
                    <w:p>
                      <w:pPr>
                        <w:tabs>
                          <w:tab w:pos="3002" w:val="left" w:leader="none"/>
                          <w:tab w:pos="4965" w:val="left" w:leader="none"/>
                          <w:tab w:pos="6917" w:val="left" w:leader="none"/>
                        </w:tabs>
                        <w:spacing w:line="221" w:lineRule="exact" w:before="0"/>
                        <w:ind w:left="99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tab/>
                        <w:t>（</w:t>
                      </w:r>
                      <w:r>
                        <w:rPr>
                          <w:rFonts w:ascii="Times New Roman" w:hAnsi="Times New Roman" w:cs="Times New Roman" w:eastAsia="Times New Roman" w:hint="default"/>
                          <w:sz w:val="18"/>
                          <w:szCs w:val="18"/>
                        </w:rPr>
                        <w:t>%</w:t>
                      </w:r>
                      <w:r>
                        <w:rPr>
                          <w:rFonts w:ascii="宋体" w:hAnsi="宋体" w:cs="宋体" w:eastAsia="宋体" w:hint="default"/>
                          <w:sz w:val="18"/>
                          <w:szCs w:val="18"/>
                        </w:rPr>
                        <w:t>）</w:t>
                        <w:tab/>
                        <w:t>（</w:t>
                      </w:r>
                      <w:r>
                        <w:rPr>
                          <w:rFonts w:ascii="Times New Roman" w:hAnsi="Times New Roman" w:cs="Times New Roman" w:eastAsia="Times New Roman" w:hint="default"/>
                          <w:sz w:val="18"/>
                          <w:szCs w:val="18"/>
                        </w:rPr>
                        <w:t>%</w:t>
                      </w:r>
                      <w:r>
                        <w:rPr>
                          <w:rFonts w:ascii="宋体" w:hAnsi="宋体" w:cs="宋体" w:eastAsia="宋体" w:hint="default"/>
                          <w:sz w:val="18"/>
                          <w:szCs w:val="18"/>
                        </w:rPr>
                        <w:t>）</w:t>
                        <w:tab/>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382;top:1996;width:1440;height:92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单项金额重大并单</w:t>
                      </w:r>
                    </w:p>
                    <w:p>
                      <w:pPr>
                        <w:spacing w:line="370" w:lineRule="atLeas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项计提坏账准备的 应收账款</w:t>
                      </w:r>
                    </w:p>
                  </w:txbxContent>
                </v:textbox>
                <w10:wrap type="none"/>
              </v:shape>
              <v:shape style="position:absolute;left:1382;top:4274;width:1440;height:1698"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组合小计</w:t>
                      </w:r>
                    </w:p>
                    <w:p>
                      <w:pPr>
                        <w:spacing w:line="381" w:lineRule="auto" w:before="149"/>
                        <w:ind w:left="0" w:right="0" w:firstLine="0"/>
                        <w:jc w:val="both"/>
                        <w:rPr>
                          <w:rFonts w:ascii="宋体" w:hAnsi="宋体" w:cs="宋体" w:eastAsia="宋体" w:hint="default"/>
                          <w:sz w:val="18"/>
                          <w:szCs w:val="18"/>
                        </w:rPr>
                      </w:pPr>
                      <w:r>
                        <w:rPr>
                          <w:rFonts w:ascii="宋体" w:hAnsi="宋体" w:cs="宋体" w:eastAsia="宋体" w:hint="default"/>
                          <w:sz w:val="18"/>
                          <w:szCs w:val="18"/>
                        </w:rPr>
                        <w:t>单项金额虽不重大 但单项计提坏账准 备的应收账款</w:t>
                      </w:r>
                    </w:p>
                    <w:p>
                      <w:pPr>
                        <w:spacing w:before="42"/>
                        <w:ind w:left="71"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应收账款按种类披露</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9"/>
          <w:szCs w:val="19"/>
        </w:rPr>
      </w:pPr>
    </w:p>
    <w:tbl>
      <w:tblPr>
        <w:tblCellSpacing w:w="5" w:type="dxa"/>
        <w:tblW w:w="0" w:type="auto"/>
        <w:jc w:val="left"/>
        <w:tblInd w:w="135" w:type="dxa"/>
        <w:tblLayout w:type="fixed"/>
        <w:tblCellMar>
          <w:top w:w="0" w:type="dxa"/>
          <w:left w:w="0" w:type="dxa"/>
          <w:bottom w:w="0" w:type="dxa"/>
          <w:right w:w="0" w:type="dxa"/>
        </w:tblCellMar>
        <w:tblLook w:val="01E0"/>
      </w:tblPr>
      <w:tblGrid>
        <w:gridCol w:w="1727"/>
        <w:gridCol w:w="1391"/>
        <w:gridCol w:w="745"/>
        <w:gridCol w:w="1276"/>
        <w:gridCol w:w="719"/>
        <w:gridCol w:w="1276"/>
        <w:gridCol w:w="656"/>
        <w:gridCol w:w="1276"/>
        <w:gridCol w:w="698"/>
      </w:tblGrid>
      <w:tr>
        <w:trPr>
          <w:trHeight w:val="749" w:hRule="exact"/>
        </w:trPr>
        <w:tc>
          <w:tcPr>
            <w:tcW w:w="1727" w:type="dxa"/>
            <w:tcBorders>
              <w:top w:val="nil" w:sz="4" w:space="0" w:color="auto"/>
              <w:left w:val="nil" w:sz="6" w:space="0" w:color="auto"/>
              <w:bottom w:val="nil" w:sz="4" w:space="0" w:color="auto"/>
              <w:right w:val="nil" w:sz="4" w:space="0" w:color="auto"/>
            </w:tcBorders>
          </w:tcPr>
          <w:p>
            <w:pPr>
              <w:pStyle w:val="TableParagraph"/>
              <w:spacing w:line="381" w:lineRule="auto" w:before="41"/>
              <w:ind w:left="106" w:right="173"/>
              <w:jc w:val="left"/>
              <w:rPr>
                <w:rFonts w:ascii="宋体" w:hAnsi="宋体" w:cs="宋体" w:eastAsia="宋体" w:hint="default"/>
                <w:sz w:val="18"/>
                <w:szCs w:val="18"/>
              </w:rPr>
            </w:pPr>
            <w:r>
              <w:rPr>
                <w:rFonts w:ascii="宋体" w:hAnsi="宋体" w:cs="宋体" w:eastAsia="宋体" w:hint="default"/>
                <w:sz w:val="18"/>
                <w:szCs w:val="18"/>
              </w:rPr>
              <w:t>按组合计提坏账准 备的应收账款</w:t>
            </w:r>
          </w:p>
        </w:tc>
        <w:tc>
          <w:tcPr>
            <w:tcW w:w="1391" w:type="dxa"/>
            <w:tcBorders>
              <w:top w:val="nil" w:sz="4" w:space="0" w:color="auto"/>
              <w:left w:val="nil" w:sz="4" w:space="0" w:color="auto"/>
              <w:bottom w:val="nil" w:sz="4" w:space="0" w:color="auto"/>
              <w:right w:val="nil" w:sz="4" w:space="0" w:color="auto"/>
            </w:tcBorders>
          </w:tcPr>
          <w:p>
            <w:pPr/>
          </w:p>
        </w:tc>
        <w:tc>
          <w:tcPr>
            <w:tcW w:w="745" w:type="dxa"/>
            <w:tcBorders>
              <w:top w:val="nil" w:sz="4" w:space="0" w:color="auto"/>
              <w:left w:val="nil" w:sz="4" w:space="0" w:color="auto"/>
              <w:bottom w:val="nil" w:sz="4" w:space="0" w:color="auto"/>
              <w:right w:val="nil" w:sz="4" w:space="0" w:color="auto"/>
            </w:tcBorders>
          </w:tcPr>
          <w:p>
            <w:pPr/>
          </w:p>
        </w:tc>
        <w:tc>
          <w:tcPr>
            <w:tcW w:w="1276" w:type="dxa"/>
            <w:tcBorders>
              <w:top w:val="nil" w:sz="4" w:space="0" w:color="auto"/>
              <w:left w:val="nil" w:sz="4" w:space="0" w:color="auto"/>
              <w:bottom w:val="nil" w:sz="4" w:space="0" w:color="auto"/>
              <w:right w:val="nil" w:sz="4" w:space="0" w:color="auto"/>
            </w:tcBorders>
          </w:tcPr>
          <w:p>
            <w:pPr/>
          </w:p>
        </w:tc>
        <w:tc>
          <w:tcPr>
            <w:tcW w:w="719" w:type="dxa"/>
            <w:tcBorders>
              <w:top w:val="nil" w:sz="4" w:space="0" w:color="auto"/>
              <w:left w:val="nil" w:sz="4" w:space="0" w:color="auto"/>
              <w:bottom w:val="nil" w:sz="4" w:space="0" w:color="auto"/>
              <w:right w:val="nil" w:sz="4" w:space="0" w:color="auto"/>
            </w:tcBorders>
          </w:tcPr>
          <w:p>
            <w:pPr/>
          </w:p>
        </w:tc>
        <w:tc>
          <w:tcPr>
            <w:tcW w:w="1276" w:type="dxa"/>
            <w:tcBorders>
              <w:top w:val="nil" w:sz="4" w:space="0" w:color="auto"/>
              <w:left w:val="nil" w:sz="4" w:space="0" w:color="auto"/>
              <w:bottom w:val="nil" w:sz="4" w:space="0" w:color="auto"/>
              <w:right w:val="nil" w:sz="4" w:space="0" w:color="auto"/>
            </w:tcBorders>
          </w:tcPr>
          <w:p>
            <w:pPr/>
          </w:p>
        </w:tc>
        <w:tc>
          <w:tcPr>
            <w:tcW w:w="656" w:type="dxa"/>
            <w:tcBorders>
              <w:top w:val="nil" w:sz="4" w:space="0" w:color="auto"/>
              <w:left w:val="nil" w:sz="4" w:space="0" w:color="auto"/>
              <w:bottom w:val="nil" w:sz="4" w:space="0" w:color="auto"/>
              <w:right w:val="nil" w:sz="4" w:space="0" w:color="auto"/>
            </w:tcBorders>
          </w:tcPr>
          <w:p>
            <w:pPr/>
          </w:p>
        </w:tc>
        <w:tc>
          <w:tcPr>
            <w:tcW w:w="1276" w:type="dxa"/>
            <w:tcBorders>
              <w:top w:val="nil" w:sz="4" w:space="0" w:color="auto"/>
              <w:left w:val="nil" w:sz="4" w:space="0" w:color="auto"/>
              <w:bottom w:val="nil" w:sz="4" w:space="0" w:color="auto"/>
              <w:right w:val="nil" w:sz="4" w:space="0" w:color="auto"/>
            </w:tcBorders>
          </w:tcPr>
          <w:p>
            <w:pPr/>
          </w:p>
        </w:tc>
        <w:tc>
          <w:tcPr>
            <w:tcW w:w="698" w:type="dxa"/>
            <w:tcBorders>
              <w:top w:val="nil" w:sz="4" w:space="0" w:color="auto"/>
              <w:left w:val="nil" w:sz="4" w:space="0" w:color="auto"/>
              <w:bottom w:val="nil" w:sz="4" w:space="0" w:color="auto"/>
              <w:right w:val="nil" w:sz="6" w:space="0" w:color="auto"/>
            </w:tcBorders>
          </w:tcPr>
          <w:p>
            <w:pPr/>
          </w:p>
        </w:tc>
      </w:tr>
      <w:tr>
        <w:trPr>
          <w:trHeight w:val="369" w:hRule="exact"/>
        </w:trPr>
        <w:tc>
          <w:tcPr>
            <w:tcW w:w="1727" w:type="dxa"/>
            <w:tcBorders>
              <w:top w:val="nil" w:sz="4" w:space="0" w:color="auto"/>
              <w:left w:val="nil" w:sz="6" w:space="0" w:color="auto"/>
              <w:bottom w:val="nil" w:sz="6" w:space="0" w:color="auto"/>
              <w:right w:val="nil" w:sz="4" w:space="0" w:color="auto"/>
            </w:tcBorders>
          </w:tcPr>
          <w:p>
            <w:pPr>
              <w:pStyle w:val="TableParagraph"/>
              <w:spacing w:line="240" w:lineRule="auto" w:before="41"/>
              <w:ind w:left="106" w:right="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pacing w:val="-9"/>
                <w:sz w:val="18"/>
                <w:szCs w:val="18"/>
              </w:rPr>
              <w:t>1</w:t>
            </w:r>
            <w:r>
              <w:rPr>
                <w:rFonts w:ascii="宋体" w:hAnsi="宋体" w:cs="宋体" w:eastAsia="宋体" w:hint="default"/>
                <w:spacing w:val="-9"/>
                <w:sz w:val="18"/>
                <w:szCs w:val="18"/>
              </w:rPr>
              <w:t>：账龄分析法</w:t>
            </w:r>
          </w:p>
        </w:tc>
        <w:tc>
          <w:tcPr>
            <w:tcW w:w="1391" w:type="dxa"/>
            <w:tcBorders>
              <w:top w:val="nil" w:sz="4" w:space="0" w:color="auto"/>
              <w:left w:val="nil" w:sz="4" w:space="0" w:color="auto"/>
              <w:bottom w:val="nil" w:sz="6" w:space="0" w:color="auto"/>
              <w:right w:val="nil" w:sz="4" w:space="0" w:color="auto"/>
            </w:tcBorders>
          </w:tcPr>
          <w:p>
            <w:pPr>
              <w:pStyle w:val="TableParagraph"/>
              <w:spacing w:line="240" w:lineRule="auto" w:before="81"/>
              <w:ind w:left="152" w:right="0"/>
              <w:jc w:val="left"/>
              <w:rPr>
                <w:rFonts w:ascii="Times New Roman" w:hAnsi="Times New Roman" w:cs="Times New Roman" w:eastAsia="Times New Roman" w:hint="default"/>
                <w:sz w:val="18"/>
                <w:szCs w:val="18"/>
              </w:rPr>
            </w:pPr>
            <w:r>
              <w:rPr>
                <w:rFonts w:ascii="Times New Roman"/>
                <w:sz w:val="18"/>
              </w:rPr>
              <w:t>154,745,434.48</w:t>
            </w:r>
          </w:p>
        </w:tc>
        <w:tc>
          <w:tcPr>
            <w:tcW w:w="745" w:type="dxa"/>
            <w:tcBorders>
              <w:top w:val="nil" w:sz="4" w:space="0" w:color="auto"/>
              <w:left w:val="nil" w:sz="4" w:space="0" w:color="auto"/>
              <w:bottom w:val="nil" w:sz="6" w:space="0" w:color="auto"/>
              <w:right w:val="nil" w:sz="4" w:space="0" w:color="auto"/>
            </w:tcBorders>
          </w:tcPr>
          <w:p>
            <w:pPr>
              <w:pStyle w:val="TableParagraph"/>
              <w:spacing w:line="240" w:lineRule="auto" w:before="81"/>
              <w:ind w:left="138" w:right="0"/>
              <w:jc w:val="left"/>
              <w:rPr>
                <w:rFonts w:ascii="Times New Roman" w:hAnsi="Times New Roman" w:cs="Times New Roman" w:eastAsia="Times New Roman" w:hint="default"/>
                <w:sz w:val="18"/>
                <w:szCs w:val="18"/>
              </w:rPr>
            </w:pPr>
            <w:r>
              <w:rPr>
                <w:rFonts w:ascii="Times New Roman"/>
                <w:sz w:val="18"/>
              </w:rPr>
              <w:t>100.00</w:t>
            </w:r>
          </w:p>
        </w:tc>
        <w:tc>
          <w:tcPr>
            <w:tcW w:w="1276" w:type="dxa"/>
            <w:tcBorders>
              <w:top w:val="nil" w:sz="4" w:space="0" w:color="auto"/>
              <w:left w:val="nil" w:sz="4" w:space="0" w:color="auto"/>
              <w:bottom w:val="nil" w:sz="6" w:space="0" w:color="auto"/>
              <w:right w:val="nil" w:sz="4" w:space="0" w:color="auto"/>
            </w:tcBorders>
          </w:tcPr>
          <w:p>
            <w:pPr>
              <w:pStyle w:val="TableParagraph"/>
              <w:spacing w:line="240" w:lineRule="auto" w:before="81"/>
              <w:ind w:left="127" w:right="0"/>
              <w:jc w:val="left"/>
              <w:rPr>
                <w:rFonts w:ascii="Times New Roman" w:hAnsi="Times New Roman" w:cs="Times New Roman" w:eastAsia="Times New Roman" w:hint="default"/>
                <w:sz w:val="18"/>
                <w:szCs w:val="18"/>
              </w:rPr>
            </w:pPr>
            <w:r>
              <w:rPr>
                <w:rFonts w:ascii="Times New Roman"/>
                <w:sz w:val="18"/>
              </w:rPr>
              <w:t>25,591,426.61</w:t>
            </w:r>
          </w:p>
        </w:tc>
        <w:tc>
          <w:tcPr>
            <w:tcW w:w="719" w:type="dxa"/>
            <w:tcBorders>
              <w:top w:val="nil" w:sz="4" w:space="0" w:color="auto"/>
              <w:left w:val="nil" w:sz="4" w:space="0" w:color="auto"/>
              <w:bottom w:val="nil" w:sz="6" w:space="0" w:color="auto"/>
              <w:right w:val="nil" w:sz="4" w:space="0" w:color="auto"/>
            </w:tcBorders>
          </w:tcPr>
          <w:p>
            <w:pPr>
              <w:pStyle w:val="TableParagraph"/>
              <w:spacing w:line="240" w:lineRule="auto" w:before="81"/>
              <w:ind w:left="201" w:right="0"/>
              <w:jc w:val="left"/>
              <w:rPr>
                <w:rFonts w:ascii="Times New Roman" w:hAnsi="Times New Roman" w:cs="Times New Roman" w:eastAsia="Times New Roman" w:hint="default"/>
                <w:sz w:val="18"/>
                <w:szCs w:val="18"/>
              </w:rPr>
            </w:pPr>
            <w:r>
              <w:rPr>
                <w:rFonts w:ascii="Times New Roman"/>
                <w:sz w:val="18"/>
              </w:rPr>
              <w:t>16.54</w:t>
            </w:r>
          </w:p>
        </w:tc>
        <w:tc>
          <w:tcPr>
            <w:tcW w:w="1276" w:type="dxa"/>
            <w:tcBorders>
              <w:top w:val="nil" w:sz="4" w:space="0" w:color="auto"/>
              <w:left w:val="nil" w:sz="4" w:space="0" w:color="auto"/>
              <w:bottom w:val="nil" w:sz="6" w:space="0" w:color="auto"/>
              <w:right w:val="nil" w:sz="4" w:space="0" w:color="auto"/>
            </w:tcBorders>
          </w:tcPr>
          <w:p>
            <w:pPr>
              <w:pStyle w:val="TableParagraph"/>
              <w:spacing w:line="240" w:lineRule="auto" w:before="81"/>
              <w:ind w:left="128" w:right="0"/>
              <w:jc w:val="left"/>
              <w:rPr>
                <w:rFonts w:ascii="Times New Roman" w:hAnsi="Times New Roman" w:cs="Times New Roman" w:eastAsia="Times New Roman" w:hint="default"/>
                <w:sz w:val="18"/>
                <w:szCs w:val="18"/>
              </w:rPr>
            </w:pPr>
            <w:r>
              <w:rPr>
                <w:rFonts w:ascii="Times New Roman"/>
                <w:sz w:val="18"/>
              </w:rPr>
              <w:t>95,614,762.36</w:t>
            </w:r>
          </w:p>
        </w:tc>
        <w:tc>
          <w:tcPr>
            <w:tcW w:w="656" w:type="dxa"/>
            <w:tcBorders>
              <w:top w:val="nil" w:sz="4" w:space="0" w:color="auto"/>
              <w:left w:val="nil" w:sz="4" w:space="0" w:color="auto"/>
              <w:bottom w:val="nil" w:sz="6" w:space="0" w:color="auto"/>
              <w:right w:val="nil" w:sz="4" w:space="0" w:color="auto"/>
            </w:tcBorders>
          </w:tcPr>
          <w:p>
            <w:pPr>
              <w:pStyle w:val="TableParagraph"/>
              <w:spacing w:line="240" w:lineRule="auto" w:before="81"/>
              <w:ind w:left="49" w:right="0"/>
              <w:jc w:val="left"/>
              <w:rPr>
                <w:rFonts w:ascii="Times New Roman" w:hAnsi="Times New Roman" w:cs="Times New Roman" w:eastAsia="Times New Roman" w:hint="default"/>
                <w:sz w:val="18"/>
                <w:szCs w:val="18"/>
              </w:rPr>
            </w:pPr>
            <w:r>
              <w:rPr>
                <w:rFonts w:ascii="Times New Roman"/>
                <w:sz w:val="18"/>
              </w:rPr>
              <w:t>100.00</w:t>
            </w:r>
          </w:p>
        </w:tc>
        <w:tc>
          <w:tcPr>
            <w:tcW w:w="1276" w:type="dxa"/>
            <w:tcBorders>
              <w:top w:val="nil" w:sz="4" w:space="0" w:color="auto"/>
              <w:left w:val="nil" w:sz="4" w:space="0" w:color="auto"/>
              <w:bottom w:val="nil" w:sz="6" w:space="0" w:color="auto"/>
              <w:right w:val="nil" w:sz="4" w:space="0" w:color="auto"/>
            </w:tcBorders>
          </w:tcPr>
          <w:p>
            <w:pPr>
              <w:pStyle w:val="TableParagraph"/>
              <w:spacing w:line="240" w:lineRule="auto" w:before="81"/>
              <w:ind w:left="218" w:right="0"/>
              <w:jc w:val="left"/>
              <w:rPr>
                <w:rFonts w:ascii="Times New Roman" w:hAnsi="Times New Roman" w:cs="Times New Roman" w:eastAsia="Times New Roman" w:hint="default"/>
                <w:sz w:val="18"/>
                <w:szCs w:val="18"/>
              </w:rPr>
            </w:pPr>
            <w:r>
              <w:rPr>
                <w:rFonts w:ascii="Times New Roman"/>
                <w:sz w:val="18"/>
              </w:rPr>
              <w:t>8,052,434.65</w:t>
            </w:r>
          </w:p>
        </w:tc>
        <w:tc>
          <w:tcPr>
            <w:tcW w:w="698" w:type="dxa"/>
            <w:tcBorders>
              <w:top w:val="nil" w:sz="4" w:space="0" w:color="auto"/>
              <w:left w:val="nil" w:sz="4" w:space="0" w:color="auto"/>
              <w:bottom w:val="nil" w:sz="6" w:space="0" w:color="auto"/>
              <w:right w:val="nil" w:sz="6" w:space="0" w:color="auto"/>
            </w:tcBorders>
          </w:tcPr>
          <w:p>
            <w:pPr>
              <w:pStyle w:val="TableParagraph"/>
              <w:spacing w:line="240" w:lineRule="auto" w:before="81"/>
              <w:ind w:left="269" w:right="0"/>
              <w:jc w:val="left"/>
              <w:rPr>
                <w:rFonts w:ascii="Times New Roman" w:hAnsi="Times New Roman" w:cs="Times New Roman" w:eastAsia="Times New Roman" w:hint="default"/>
                <w:sz w:val="18"/>
                <w:szCs w:val="18"/>
              </w:rPr>
            </w:pPr>
            <w:r>
              <w:rPr>
                <w:rFonts w:ascii="Times New Roman"/>
                <w:sz w:val="18"/>
              </w:rPr>
              <w:t>8.42</w:t>
            </w:r>
          </w:p>
        </w:tc>
      </w:tr>
    </w:tbl>
    <w:p>
      <w:pPr>
        <w:spacing w:line="240" w:lineRule="auto" w:before="11"/>
        <w:rPr>
          <w:rFonts w:ascii="宋体" w:hAnsi="宋体" w:cs="宋体" w:eastAsia="宋体" w:hint="default"/>
          <w:b/>
          <w:bCs/>
          <w:sz w:val="8"/>
          <w:szCs w:val="8"/>
        </w:rPr>
      </w:pPr>
    </w:p>
    <w:tbl>
      <w:tblPr>
        <w:tblW w:w="0" w:type="auto"/>
        <w:jc w:val="left"/>
        <w:tblInd w:w="1985" w:type="dxa"/>
        <w:tblLayout w:type="fixed"/>
        <w:tblCellMar>
          <w:top w:w="0" w:type="dxa"/>
          <w:left w:w="0" w:type="dxa"/>
          <w:bottom w:w="0" w:type="dxa"/>
          <w:right w:w="0" w:type="dxa"/>
        </w:tblCellMar>
        <w:tblLook w:val="01E0"/>
      </w:tblPr>
      <w:tblGrid>
        <w:gridCol w:w="1286"/>
        <w:gridCol w:w="740"/>
        <w:gridCol w:w="1312"/>
        <w:gridCol w:w="683"/>
        <w:gridCol w:w="1237"/>
        <w:gridCol w:w="741"/>
        <w:gridCol w:w="1301"/>
        <w:gridCol w:w="542"/>
      </w:tblGrid>
      <w:tr>
        <w:trPr>
          <w:trHeight w:val="849" w:hRule="exact"/>
        </w:trPr>
        <w:tc>
          <w:tcPr>
            <w:tcW w:w="1286" w:type="dxa"/>
            <w:tcBorders>
              <w:top w:val="nil" w:sz="6" w:space="0" w:color="auto"/>
              <w:left w:val="nil" w:sz="6" w:space="0" w:color="auto"/>
              <w:bottom w:val="nil" w:sz="6" w:space="0" w:color="auto"/>
              <w:right w:val="nil" w:sz="6" w:space="0" w:color="auto"/>
            </w:tcBorders>
          </w:tcPr>
          <w:p>
            <w:pPr>
              <w:pStyle w:val="TableParagraph"/>
              <w:spacing w:line="184" w:lineRule="exact"/>
              <w:ind w:right="88"/>
              <w:jc w:val="center"/>
              <w:rPr>
                <w:rFonts w:ascii="Times New Roman" w:hAnsi="Times New Roman" w:cs="Times New Roman" w:eastAsia="Times New Roman" w:hint="default"/>
                <w:sz w:val="18"/>
                <w:szCs w:val="18"/>
              </w:rPr>
            </w:pPr>
            <w:r>
              <w:rPr>
                <w:rFonts w:ascii="Times New Roman"/>
                <w:sz w:val="18"/>
              </w:rPr>
              <w:t>154,745,434.48</w:t>
            </w:r>
          </w:p>
        </w:tc>
        <w:tc>
          <w:tcPr>
            <w:tcW w:w="740" w:type="dxa"/>
            <w:tcBorders>
              <w:top w:val="nil" w:sz="6" w:space="0" w:color="auto"/>
              <w:left w:val="nil" w:sz="6" w:space="0" w:color="auto"/>
              <w:bottom w:val="nil" w:sz="6" w:space="0" w:color="auto"/>
              <w:right w:val="nil" w:sz="6" w:space="0" w:color="auto"/>
            </w:tcBorders>
          </w:tcPr>
          <w:p>
            <w:pPr>
              <w:pStyle w:val="TableParagraph"/>
              <w:spacing w:line="184" w:lineRule="exact"/>
              <w:ind w:right="117"/>
              <w:jc w:val="right"/>
              <w:rPr>
                <w:rFonts w:ascii="Times New Roman" w:hAnsi="Times New Roman" w:cs="Times New Roman" w:eastAsia="Times New Roman" w:hint="default"/>
                <w:sz w:val="18"/>
                <w:szCs w:val="18"/>
              </w:rPr>
            </w:pPr>
            <w:r>
              <w:rPr>
                <w:rFonts w:ascii="Times New Roman"/>
                <w:sz w:val="18"/>
              </w:rPr>
              <w:t>100.00</w:t>
            </w:r>
          </w:p>
        </w:tc>
        <w:tc>
          <w:tcPr>
            <w:tcW w:w="1312" w:type="dxa"/>
            <w:tcBorders>
              <w:top w:val="nil" w:sz="6" w:space="0" w:color="auto"/>
              <w:left w:val="nil" w:sz="6" w:space="0" w:color="auto"/>
              <w:bottom w:val="nil" w:sz="6" w:space="0" w:color="auto"/>
              <w:right w:val="nil" w:sz="6" w:space="0" w:color="auto"/>
            </w:tcBorders>
          </w:tcPr>
          <w:p>
            <w:pPr>
              <w:pStyle w:val="TableParagraph"/>
              <w:spacing w:line="184" w:lineRule="exact"/>
              <w:ind w:right="35"/>
              <w:jc w:val="center"/>
              <w:rPr>
                <w:rFonts w:ascii="Times New Roman" w:hAnsi="Times New Roman" w:cs="Times New Roman" w:eastAsia="Times New Roman" w:hint="default"/>
                <w:sz w:val="18"/>
                <w:szCs w:val="18"/>
              </w:rPr>
            </w:pPr>
            <w:r>
              <w:rPr>
                <w:rFonts w:ascii="Times New Roman"/>
                <w:sz w:val="18"/>
              </w:rPr>
              <w:t>25,591,426.61</w:t>
            </w:r>
          </w:p>
        </w:tc>
        <w:tc>
          <w:tcPr>
            <w:tcW w:w="683" w:type="dxa"/>
            <w:tcBorders>
              <w:top w:val="nil" w:sz="6" w:space="0" w:color="auto"/>
              <w:left w:val="nil" w:sz="6" w:space="0" w:color="auto"/>
              <w:bottom w:val="nil" w:sz="6" w:space="0" w:color="auto"/>
              <w:right w:val="nil" w:sz="6" w:space="0" w:color="auto"/>
            </w:tcBorders>
          </w:tcPr>
          <w:p>
            <w:pPr>
              <w:pStyle w:val="TableParagraph"/>
              <w:spacing w:line="184" w:lineRule="exact"/>
              <w:ind w:right="119"/>
              <w:jc w:val="right"/>
              <w:rPr>
                <w:rFonts w:ascii="Times New Roman" w:hAnsi="Times New Roman" w:cs="Times New Roman" w:eastAsia="Times New Roman" w:hint="default"/>
                <w:sz w:val="18"/>
                <w:szCs w:val="18"/>
              </w:rPr>
            </w:pPr>
            <w:r>
              <w:rPr>
                <w:rFonts w:ascii="Times New Roman"/>
                <w:sz w:val="18"/>
              </w:rPr>
              <w:t>16.54</w:t>
            </w:r>
          </w:p>
        </w:tc>
        <w:tc>
          <w:tcPr>
            <w:tcW w:w="1237" w:type="dxa"/>
            <w:tcBorders>
              <w:top w:val="nil" w:sz="6" w:space="0" w:color="auto"/>
              <w:left w:val="nil" w:sz="6" w:space="0" w:color="auto"/>
              <w:bottom w:val="nil" w:sz="6" w:space="0" w:color="auto"/>
              <w:right w:val="nil" w:sz="6" w:space="0" w:color="auto"/>
            </w:tcBorders>
          </w:tcPr>
          <w:p>
            <w:pPr>
              <w:pStyle w:val="TableParagraph"/>
              <w:spacing w:line="184" w:lineRule="exact"/>
              <w:ind w:right="79"/>
              <w:jc w:val="right"/>
              <w:rPr>
                <w:rFonts w:ascii="Times New Roman" w:hAnsi="Times New Roman" w:cs="Times New Roman" w:eastAsia="Times New Roman" w:hint="default"/>
                <w:sz w:val="18"/>
                <w:szCs w:val="18"/>
              </w:rPr>
            </w:pPr>
            <w:r>
              <w:rPr>
                <w:rFonts w:ascii="Times New Roman"/>
                <w:spacing w:val="-1"/>
                <w:sz w:val="18"/>
              </w:rPr>
              <w:t>95,614,762.36</w:t>
            </w:r>
          </w:p>
        </w:tc>
        <w:tc>
          <w:tcPr>
            <w:tcW w:w="741" w:type="dxa"/>
            <w:tcBorders>
              <w:top w:val="nil" w:sz="6" w:space="0" w:color="auto"/>
              <w:left w:val="nil" w:sz="6" w:space="0" w:color="auto"/>
              <w:bottom w:val="nil" w:sz="6" w:space="0" w:color="auto"/>
              <w:right w:val="nil" w:sz="6" w:space="0" w:color="auto"/>
            </w:tcBorders>
          </w:tcPr>
          <w:p>
            <w:pPr>
              <w:pStyle w:val="TableParagraph"/>
              <w:spacing w:line="184" w:lineRule="exact"/>
              <w:ind w:left="81" w:right="0"/>
              <w:jc w:val="left"/>
              <w:rPr>
                <w:rFonts w:ascii="Times New Roman" w:hAnsi="Times New Roman" w:cs="Times New Roman" w:eastAsia="Times New Roman" w:hint="default"/>
                <w:sz w:val="18"/>
                <w:szCs w:val="18"/>
              </w:rPr>
            </w:pPr>
            <w:r>
              <w:rPr>
                <w:rFonts w:ascii="Times New Roman"/>
                <w:sz w:val="18"/>
              </w:rPr>
              <w:t>100.00</w:t>
            </w:r>
          </w:p>
        </w:tc>
        <w:tc>
          <w:tcPr>
            <w:tcW w:w="1301" w:type="dxa"/>
            <w:tcBorders>
              <w:top w:val="nil" w:sz="6" w:space="0" w:color="auto"/>
              <w:left w:val="nil" w:sz="6" w:space="0" w:color="auto"/>
              <w:bottom w:val="nil" w:sz="6" w:space="0" w:color="auto"/>
              <w:right w:val="nil" w:sz="6" w:space="0" w:color="auto"/>
            </w:tcBorders>
          </w:tcPr>
          <w:p>
            <w:pPr>
              <w:pStyle w:val="TableParagraph"/>
              <w:spacing w:line="184" w:lineRule="exact"/>
              <w:ind w:right="25"/>
              <w:jc w:val="center"/>
              <w:rPr>
                <w:rFonts w:ascii="Times New Roman" w:hAnsi="Times New Roman" w:cs="Times New Roman" w:eastAsia="Times New Roman" w:hint="default"/>
                <w:sz w:val="18"/>
                <w:szCs w:val="18"/>
              </w:rPr>
            </w:pPr>
            <w:r>
              <w:rPr>
                <w:rFonts w:ascii="Times New Roman"/>
                <w:sz w:val="18"/>
              </w:rPr>
              <w:t>8,052,434.65</w:t>
            </w:r>
          </w:p>
        </w:tc>
        <w:tc>
          <w:tcPr>
            <w:tcW w:w="542"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Times New Roman" w:hAnsi="Times New Roman" w:cs="Times New Roman" w:eastAsia="Times New Roman" w:hint="default"/>
                <w:sz w:val="18"/>
                <w:szCs w:val="18"/>
              </w:rPr>
            </w:pPr>
            <w:r>
              <w:rPr>
                <w:rFonts w:ascii="Times New Roman"/>
                <w:sz w:val="18"/>
              </w:rPr>
              <w:t>8.42</w:t>
            </w:r>
          </w:p>
        </w:tc>
      </w:tr>
      <w:tr>
        <w:trPr>
          <w:trHeight w:val="954" w:hRule="exact"/>
        </w:trPr>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88"/>
              <w:jc w:val="center"/>
              <w:rPr>
                <w:rFonts w:ascii="Times New Roman" w:hAnsi="Times New Roman" w:cs="Times New Roman" w:eastAsia="Times New Roman" w:hint="default"/>
                <w:sz w:val="18"/>
                <w:szCs w:val="18"/>
              </w:rPr>
            </w:pPr>
            <w:r>
              <w:rPr>
                <w:rFonts w:ascii="Times New Roman"/>
                <w:sz w:val="18"/>
              </w:rPr>
              <w:t>154,745,434.48</w:t>
            </w:r>
          </w:p>
        </w:tc>
        <w:tc>
          <w:tcPr>
            <w:tcW w:w="7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17"/>
              <w:jc w:val="right"/>
              <w:rPr>
                <w:rFonts w:ascii="Times New Roman" w:hAnsi="Times New Roman" w:cs="Times New Roman" w:eastAsia="Times New Roman" w:hint="default"/>
                <w:sz w:val="18"/>
                <w:szCs w:val="18"/>
              </w:rPr>
            </w:pPr>
            <w:r>
              <w:rPr>
                <w:rFonts w:ascii="Times New Roman"/>
                <w:sz w:val="18"/>
              </w:rPr>
              <w:t>100.00</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35"/>
              <w:jc w:val="center"/>
              <w:rPr>
                <w:rFonts w:ascii="Times New Roman" w:hAnsi="Times New Roman" w:cs="Times New Roman" w:eastAsia="Times New Roman" w:hint="default"/>
                <w:sz w:val="18"/>
                <w:szCs w:val="18"/>
              </w:rPr>
            </w:pPr>
            <w:r>
              <w:rPr>
                <w:rFonts w:ascii="Times New Roman"/>
                <w:sz w:val="18"/>
              </w:rPr>
              <w:t>25,591,426.61</w:t>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19"/>
              <w:jc w:val="right"/>
              <w:rPr>
                <w:rFonts w:ascii="Times New Roman" w:hAnsi="Times New Roman" w:cs="Times New Roman" w:eastAsia="Times New Roman" w:hint="default"/>
                <w:sz w:val="18"/>
                <w:szCs w:val="18"/>
              </w:rPr>
            </w:pPr>
            <w:r>
              <w:rPr>
                <w:rFonts w:ascii="Times New Roman"/>
                <w:sz w:val="18"/>
              </w:rPr>
              <w:t>16.54</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79"/>
              <w:jc w:val="right"/>
              <w:rPr>
                <w:rFonts w:ascii="Times New Roman" w:hAnsi="Times New Roman" w:cs="Times New Roman" w:eastAsia="Times New Roman" w:hint="default"/>
                <w:sz w:val="18"/>
                <w:szCs w:val="18"/>
              </w:rPr>
            </w:pPr>
            <w:r>
              <w:rPr>
                <w:rFonts w:ascii="Times New Roman"/>
                <w:spacing w:val="-1"/>
                <w:sz w:val="18"/>
              </w:rPr>
              <w:t>95,614,762.36</w:t>
            </w:r>
          </w:p>
        </w:tc>
        <w:tc>
          <w:tcPr>
            <w:tcW w:w="7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100.00</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25"/>
              <w:jc w:val="center"/>
              <w:rPr>
                <w:rFonts w:ascii="Times New Roman" w:hAnsi="Times New Roman" w:cs="Times New Roman" w:eastAsia="Times New Roman" w:hint="default"/>
                <w:sz w:val="18"/>
                <w:szCs w:val="18"/>
              </w:rPr>
            </w:pPr>
            <w:r>
              <w:rPr>
                <w:rFonts w:ascii="Times New Roman"/>
                <w:sz w:val="18"/>
              </w:rPr>
              <w:t>8,052,434.65</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8.42</w:t>
            </w:r>
          </w:p>
        </w:tc>
      </w:tr>
    </w:tbl>
    <w:p>
      <w:pPr>
        <w:spacing w:line="240" w:lineRule="auto" w:before="7"/>
        <w:rPr>
          <w:rFonts w:ascii="宋体" w:hAnsi="宋体" w:cs="宋体" w:eastAsia="宋体" w:hint="default"/>
          <w:b/>
          <w:bCs/>
          <w:sz w:val="5"/>
          <w:szCs w:val="5"/>
        </w:rPr>
      </w:pPr>
    </w:p>
    <w:p>
      <w:pPr>
        <w:spacing w:before="35"/>
        <w:ind w:left="1377" w:right="1541" w:firstLine="0"/>
        <w:jc w:val="left"/>
        <w:rPr>
          <w:rFonts w:ascii="宋体" w:hAnsi="宋体" w:cs="宋体" w:eastAsia="宋体" w:hint="default"/>
          <w:sz w:val="21"/>
          <w:szCs w:val="21"/>
        </w:rPr>
      </w:pPr>
      <w:r>
        <w:rPr/>
        <w:pict>
          <v:group style="position:absolute;margin-left:88.559998pt;margin-top:17.133978pt;width:421.5pt;height:173.5pt;mso-position-horizontal-relative:page;mso-position-vertical-relative:paragraph;z-index:-803272" coordorigin="1771,343" coordsize="8430,3470">
            <v:group style="position:absolute;left:1800;top:358;width:8366;height:2" coordorigin="1800,358" coordsize="8366,2">
              <v:shape style="position:absolute;left:1800;top:358;width:8366;height:2" coordorigin="1800,358" coordsize="8366,0" path="m1800,358l10165,358e" filled="false" stroked="true" strokeweight="1.5pt" strokecolor="#000000">
                <v:path arrowok="t"/>
              </v:shape>
              <v:shape style="position:absolute;left:2760;top:344;width:3653;height:432" type="#_x0000_t75" stroked="false">
                <v:imagedata r:id="rId333" o:title=""/>
              </v:shape>
            </v:group>
            <v:group style="position:absolute;left:4952;top:757;width:104;height:375" coordorigin="4952,757" coordsize="104,375">
              <v:shape style="position:absolute;left:4952;top:757;width:104;height:375" coordorigin="4952,757" coordsize="104,375" path="m4952,1131l5056,1131,5056,757,4952,757,4952,1131xe" filled="true" fillcolor="#ffffff" stroked="false">
                <v:path arrowok="t"/>
                <v:fill type="solid"/>
              </v:shape>
            </v:group>
            <v:group style="position:absolute;left:2798;top:757;width:102;height:375" coordorigin="2798,757" coordsize="102,375">
              <v:shape style="position:absolute;left:2798;top:757;width:102;height:375" coordorigin="2798,757" coordsize="102,375" path="m2798,1131l2900,1131,2900,757,2798,757,2798,1131xe" filled="true" fillcolor="#ffffff" stroked="false">
                <v:path arrowok="t"/>
                <v:fill type="solid"/>
              </v:shape>
            </v:group>
            <v:group style="position:absolute;left:2900;top:757;width:2052;height:375" coordorigin="2900,757" coordsize="2052,375">
              <v:shape style="position:absolute;left:2900;top:757;width:2052;height:375" coordorigin="2900,757" coordsize="2052,375" path="m2900,1131l4952,1131,4952,757,2900,757,2900,1131xe" filled="true" fillcolor="#ffffff" stroked="false">
                <v:path arrowok="t"/>
                <v:fill type="solid"/>
              </v:shape>
            </v:group>
            <v:group style="position:absolute;left:5066;top:757;width:1308;height:1133" coordorigin="5066,757" coordsize="1308,1133">
              <v:shape style="position:absolute;left:5066;top:757;width:1308;height:1133" coordorigin="5066,757" coordsize="1308,1133" path="m5066,1889l6374,1889,6374,757,5066,757,5066,1889xe" filled="true" fillcolor="#ffffff" stroked="false">
                <v:path arrowok="t"/>
                <v:fill type="solid"/>
              </v:shape>
            </v:group>
            <v:group style="position:absolute;left:5168;top:1136;width:1103;height:375" coordorigin="5168,1136" coordsize="1103,375">
              <v:shape style="position:absolute;left:5168;top:1136;width:1103;height:375" coordorigin="5168,1136" coordsize="1103,375" path="m5168,1510l6271,1510,6271,1136,5168,1136,5168,1510xe" filled="true" fillcolor="#ffffff" stroked="false">
                <v:path arrowok="t"/>
                <v:fill type="solid"/>
              </v:shape>
              <v:shape style="position:absolute;left:2760;top:718;width:7441;height:442" type="#_x0000_t75" stroked="false">
                <v:imagedata r:id="rId334" o:title=""/>
              </v:shape>
            </v:group>
            <v:group style="position:absolute;left:2798;top:1141;width:1408;height:749" coordorigin="2798,1141" coordsize="1408,749">
              <v:shape style="position:absolute;left:2798;top:1141;width:1408;height:749" coordorigin="2798,1141" coordsize="1408,749" path="m2798,1889l4206,1889,4206,1141,2798,1141,2798,1889xe" filled="true" fillcolor="#ffffff" stroked="false">
                <v:path arrowok="t"/>
                <v:fill type="solid"/>
              </v:shape>
            </v:group>
            <v:group style="position:absolute;left:2900;top:1328;width:1203;height:375" coordorigin="2900,1328" coordsize="1203,375">
              <v:shape style="position:absolute;left:2900;top:1328;width:1203;height:375" coordorigin="2900,1328" coordsize="1203,375" path="m2900,1702l4103,1702,4103,1328,2900,1328,2900,1702xe" filled="true" fillcolor="#ffffff" stroked="false">
                <v:path arrowok="t"/>
                <v:fill type="solid"/>
              </v:shape>
            </v:group>
            <v:group style="position:absolute;left:4216;top:1141;width:840;height:749" coordorigin="4216,1141" coordsize="840,749">
              <v:shape style="position:absolute;left:4216;top:1141;width:840;height:749" coordorigin="4216,1141" coordsize="840,749" path="m4216,1889l5056,1889,5056,1141,4216,1141,4216,1889xe" filled="true" fillcolor="#ffffff" stroked="false">
                <v:path arrowok="t"/>
                <v:fill type="solid"/>
              </v:shape>
            </v:group>
            <v:group style="position:absolute;left:4319;top:1141;width:634;height:375" coordorigin="4319,1141" coordsize="634,375">
              <v:shape style="position:absolute;left:4319;top:1141;width:634;height:375" coordorigin="4319,1141" coordsize="634,375" path="m4319,1515l4952,1515,4952,1141,4319,1141,4319,1515xe" filled="true" fillcolor="#ffffff" stroked="false">
                <v:path arrowok="t"/>
                <v:fill type="solid"/>
              </v:shape>
            </v:group>
            <v:group style="position:absolute;left:4319;top:1515;width:634;height:375" coordorigin="4319,1515" coordsize="634,375">
              <v:shape style="position:absolute;left:4319;top:1515;width:634;height:375" coordorigin="4319,1515" coordsize="634,375" path="m4319,1889l4952,1889,4952,1515,4319,1515,4319,1889xe" filled="true" fillcolor="#ffffff" stroked="false">
                <v:path arrowok="t"/>
                <v:fill type="solid"/>
              </v:shape>
            </v:group>
            <v:group style="position:absolute;left:6384;top:1141;width:1526;height:749" coordorigin="6384,1141" coordsize="1526,749">
              <v:shape style="position:absolute;left:6384;top:1141;width:1526;height:749" coordorigin="6384,1141" coordsize="1526,749" path="m6384,1889l7909,1889,7909,1141,6384,1141,6384,1889xe" filled="true" fillcolor="#ffffff" stroked="false">
                <v:path arrowok="t"/>
                <v:fill type="solid"/>
              </v:shape>
            </v:group>
            <v:group style="position:absolute;left:6487;top:1328;width:1319;height:375" coordorigin="6487,1328" coordsize="1319,375">
              <v:shape style="position:absolute;left:6487;top:1328;width:1319;height:375" coordorigin="6487,1328" coordsize="1319,375" path="m6487,1702l7806,1702,7806,1328,6487,1328,6487,1702xe" filled="true" fillcolor="#ffffff" stroked="false">
                <v:path arrowok="t"/>
                <v:fill type="solid"/>
              </v:shape>
            </v:group>
            <v:group style="position:absolute;left:7919;top:1141;width:824;height:749" coordorigin="7919,1141" coordsize="824,749">
              <v:shape style="position:absolute;left:7919;top:1141;width:824;height:749" coordorigin="7919,1141" coordsize="824,749" path="m7919,1889l8742,1889,8742,1141,7919,1141,7919,1889xe" filled="true" fillcolor="#ffffff" stroked="false">
                <v:path arrowok="t"/>
                <v:fill type="solid"/>
              </v:shape>
            </v:group>
            <v:group style="position:absolute;left:8022;top:1141;width:617;height:375" coordorigin="8022,1141" coordsize="617,375">
              <v:shape style="position:absolute;left:8022;top:1141;width:617;height:375" coordorigin="8022,1141" coordsize="617,375" path="m8022,1515l8639,1515,8639,1141,8022,1141,8022,1515xe" filled="true" fillcolor="#ffffff" stroked="false">
                <v:path arrowok="t"/>
                <v:fill type="solid"/>
              </v:shape>
            </v:group>
            <v:group style="position:absolute;left:8022;top:1515;width:617;height:375" coordorigin="8022,1515" coordsize="617,375">
              <v:shape style="position:absolute;left:8022;top:1515;width:617;height:375" coordorigin="8022,1515" coordsize="617,375" path="m8022,1889l8639,1889,8639,1515,8022,1515,8022,1889xe" filled="true" fillcolor="#ffffff" stroked="false">
                <v:path arrowok="t"/>
                <v:fill type="solid"/>
              </v:shape>
              <v:shape style="position:absolute;left:2760;top:1102;width:6020;height:816" type="#_x0000_t75" stroked="false">
                <v:imagedata r:id="rId335" o:title=""/>
              </v:shape>
            </v:group>
            <v:group style="position:absolute;left:1800;top:1900;width:108;height:375" coordorigin="1800,1900" coordsize="108,375">
              <v:shape style="position:absolute;left:1800;top:1900;width:108;height:375" coordorigin="1800,1900" coordsize="108,375" path="m1800,2275l1908,2275,1908,1900,1800,1900,1800,2275xe" filled="true" fillcolor="#ffffff" stroked="false">
                <v:path arrowok="t"/>
                <v:fill type="solid"/>
              </v:shape>
            </v:group>
            <v:group style="position:absolute;left:4103;top:1900;width:104;height:375" coordorigin="4103,1900" coordsize="104,375">
              <v:shape style="position:absolute;left:4103;top:1900;width:104;height:375" coordorigin="4103,1900" coordsize="104,375" path="m4103,2275l4206,2275,4206,1900,4103,1900,4103,2275xe" filled="true" fillcolor="#ffffff" stroked="false">
                <v:path arrowok="t"/>
                <v:fill type="solid"/>
              </v:shape>
            </v:group>
            <v:group style="position:absolute;left:2798;top:1900;width:102;height:375" coordorigin="2798,1900" coordsize="102,375">
              <v:shape style="position:absolute;left:2798;top:1900;width:102;height:375" coordorigin="2798,1900" coordsize="102,375" path="m2798,2275l2900,2275,2900,1900,2798,1900,2798,2275xe" filled="true" fillcolor="#ffffff" stroked="false">
                <v:path arrowok="t"/>
                <v:fill type="solid"/>
              </v:shape>
            </v:group>
            <v:group style="position:absolute;left:2900;top:1900;width:1203;height:375" coordorigin="2900,1900" coordsize="1203,375">
              <v:shape style="position:absolute;left:2900;top:1900;width:1203;height:375" coordorigin="2900,1900" coordsize="1203,375" path="m2900,2275l4103,2275,4103,1900,2900,1900,2900,2275xe" filled="true" fillcolor="#ffffff" stroked="false">
                <v:path arrowok="t"/>
                <v:fill type="solid"/>
              </v:shape>
            </v:group>
            <v:group style="position:absolute;left:4952;top:1900;width:104;height:375" coordorigin="4952,1900" coordsize="104,375">
              <v:shape style="position:absolute;left:4952;top:1900;width:104;height:375" coordorigin="4952,1900" coordsize="104,375" path="m4952,2275l5056,2275,5056,1900,4952,1900,4952,2275xe" filled="true" fillcolor="#ffffff" stroked="false">
                <v:path arrowok="t"/>
                <v:fill type="solid"/>
              </v:shape>
            </v:group>
            <v:group style="position:absolute;left:4216;top:1900;width:104;height:375" coordorigin="4216,1900" coordsize="104,375">
              <v:shape style="position:absolute;left:4216;top:1900;width:104;height:375" coordorigin="4216,1900" coordsize="104,375" path="m4216,2275l4319,2275,4319,1900,4216,1900,4216,2275xe" filled="true" fillcolor="#ffffff" stroked="false">
                <v:path arrowok="t"/>
                <v:fill type="solid"/>
              </v:shape>
            </v:group>
            <v:group style="position:absolute;left:4319;top:1900;width:634;height:375" coordorigin="4319,1900" coordsize="634,375">
              <v:shape style="position:absolute;left:4319;top:1900;width:634;height:375" coordorigin="4319,1900" coordsize="634,375" path="m4319,2275l4952,2275,4952,1900,4319,1900,4319,2275xe" filled="true" fillcolor="#ffffff" stroked="false">
                <v:path arrowok="t"/>
                <v:fill type="solid"/>
              </v:shape>
            </v:group>
            <v:group style="position:absolute;left:6271;top:1900;width:104;height:375" coordorigin="6271,1900" coordsize="104,375">
              <v:shape style="position:absolute;left:6271;top:1900;width:104;height:375" coordorigin="6271,1900" coordsize="104,375" path="m6271,2275l6374,2275,6374,1900,6271,1900,6271,2275xe" filled="true" fillcolor="#ffffff" stroked="false">
                <v:path arrowok="t"/>
                <v:fill type="solid"/>
              </v:shape>
            </v:group>
            <v:group style="position:absolute;left:5066;top:1900;width:102;height:375" coordorigin="5066,1900" coordsize="102,375">
              <v:shape style="position:absolute;left:5066;top:1900;width:102;height:375" coordorigin="5066,1900" coordsize="102,375" path="m5066,2275l5168,2275,5168,1900,5066,1900,5066,2275xe" filled="true" fillcolor="#ffffff" stroked="false">
                <v:path arrowok="t"/>
                <v:fill type="solid"/>
              </v:shape>
            </v:group>
            <v:group style="position:absolute;left:5168;top:1900;width:1103;height:375" coordorigin="5168,1900" coordsize="1103,375">
              <v:shape style="position:absolute;left:5168;top:1900;width:1103;height:375" coordorigin="5168,1900" coordsize="1103,375" path="m5168,2275l6271,2275,6271,1900,5168,1900,5168,2275xe" filled="true" fillcolor="#ffffff" stroked="false">
                <v:path arrowok="t"/>
                <v:fill type="solid"/>
              </v:shape>
            </v:group>
            <v:group style="position:absolute;left:7806;top:1900;width:104;height:375" coordorigin="7806,1900" coordsize="104,375">
              <v:shape style="position:absolute;left:7806;top:1900;width:104;height:375" coordorigin="7806,1900" coordsize="104,375" path="m7806,2275l7909,2275,7909,1900,7806,1900,7806,2275xe" filled="true" fillcolor="#ffffff" stroked="false">
                <v:path arrowok="t"/>
                <v:fill type="solid"/>
              </v:shape>
            </v:group>
            <v:group style="position:absolute;left:6384;top:1900;width:104;height:375" coordorigin="6384,1900" coordsize="104,375">
              <v:shape style="position:absolute;left:6384;top:1900;width:104;height:375" coordorigin="6384,1900" coordsize="104,375" path="m6384,2275l6487,2275,6487,1900,6384,1900,6384,2275xe" filled="true" fillcolor="#ffffff" stroked="false">
                <v:path arrowok="t"/>
                <v:fill type="solid"/>
              </v:shape>
            </v:group>
            <v:group style="position:absolute;left:6487;top:1900;width:1319;height:375" coordorigin="6487,1900" coordsize="1319,375">
              <v:shape style="position:absolute;left:6487;top:1900;width:1319;height:375" coordorigin="6487,1900" coordsize="1319,375" path="m6487,2275l7806,2275,7806,1900,6487,1900,6487,2275xe" filled="true" fillcolor="#ffffff" stroked="false">
                <v:path arrowok="t"/>
                <v:fill type="solid"/>
              </v:shape>
            </v:group>
            <v:group style="position:absolute;left:8639;top:1900;width:104;height:375" coordorigin="8639,1900" coordsize="104,375">
              <v:shape style="position:absolute;left:8639;top:1900;width:104;height:375" coordorigin="8639,1900" coordsize="104,375" path="m8639,2275l8742,2275,8742,1900,8639,1900,8639,2275xe" filled="true" fillcolor="#ffffff" stroked="false">
                <v:path arrowok="t"/>
                <v:fill type="solid"/>
              </v:shape>
            </v:group>
            <v:group style="position:absolute;left:7919;top:1900;width:104;height:375" coordorigin="7919,1900" coordsize="104,375">
              <v:shape style="position:absolute;left:7919;top:1900;width:104;height:375" coordorigin="7919,1900" coordsize="104,375" path="m7919,2275l8022,2275,8022,1900,7919,1900,7919,2275xe" filled="true" fillcolor="#ffffff" stroked="false">
                <v:path arrowok="t"/>
                <v:fill type="solid"/>
              </v:shape>
            </v:group>
            <v:group style="position:absolute;left:8022;top:1900;width:617;height:375" coordorigin="8022,1900" coordsize="617,375">
              <v:shape style="position:absolute;left:8022;top:1900;width:617;height:375" coordorigin="8022,1900" coordsize="617,375" path="m8022,2275l8639,2275,8639,1900,8022,1900,8022,2275xe" filled="true" fillcolor="#ffffff" stroked="false">
                <v:path arrowok="t"/>
                <v:fill type="solid"/>
              </v:shape>
            </v:group>
            <v:group style="position:absolute;left:10057;top:1900;width:108;height:375" coordorigin="10057,1900" coordsize="108,375">
              <v:shape style="position:absolute;left:10057;top:1900;width:108;height:375" coordorigin="10057,1900" coordsize="108,375" path="m10057,2275l10165,2275,10165,1900,10057,1900,10057,2275xe" filled="true" fillcolor="#ffffff" stroked="false">
                <v:path arrowok="t"/>
                <v:fill type="solid"/>
              </v:shape>
              <v:shape style="position:absolute;left:1771;top:1870;width:8430;height:817" type="#_x0000_t75" stroked="false">
                <v:imagedata r:id="rId336" o:title=""/>
              </v:shape>
            </v:group>
            <v:group style="position:absolute;left:2686;top:2668;width:102;height:375" coordorigin="2686,2668" coordsize="102,375">
              <v:shape style="position:absolute;left:2686;top:2668;width:102;height:375" coordorigin="2686,2668" coordsize="102,375" path="m2686,3043l2788,3043,2788,2668,2686,2668,2686,3043xe" filled="true" fillcolor="#ffffff" stroked="false">
                <v:path arrowok="t"/>
                <v:fill type="solid"/>
              </v:shape>
            </v:group>
            <v:group style="position:absolute;left:1800;top:2668;width:108;height:375" coordorigin="1800,2668" coordsize="108,375">
              <v:shape style="position:absolute;left:1800;top:2668;width:108;height:375" coordorigin="1800,2668" coordsize="108,375" path="m1800,3043l1908,3043,1908,2668,1800,2668,1800,3043xe" filled="true" fillcolor="#ffffff" stroked="false">
                <v:path arrowok="t"/>
                <v:fill type="solid"/>
              </v:shape>
            </v:group>
            <v:group style="position:absolute;left:1908;top:2668;width:778;height:375" coordorigin="1908,2668" coordsize="778,375">
              <v:shape style="position:absolute;left:1908;top:2668;width:778;height:375" coordorigin="1908,2668" coordsize="778,375" path="m1908,3043l2686,3043,2686,2668,1908,2668,1908,3043xe" filled="true" fillcolor="#ffffff" stroked="false">
                <v:path arrowok="t"/>
                <v:fill type="solid"/>
              </v:shape>
            </v:group>
            <v:group style="position:absolute;left:4103;top:2668;width:104;height:375" coordorigin="4103,2668" coordsize="104,375">
              <v:shape style="position:absolute;left:4103;top:2668;width:104;height:375" coordorigin="4103,2668" coordsize="104,375" path="m4103,3043l4206,3043,4206,2668,4103,2668,4103,3043xe" filled="true" fillcolor="#ffffff" stroked="false">
                <v:path arrowok="t"/>
                <v:fill type="solid"/>
              </v:shape>
            </v:group>
            <v:group style="position:absolute;left:2798;top:2668;width:102;height:375" coordorigin="2798,2668" coordsize="102,375">
              <v:shape style="position:absolute;left:2798;top:2668;width:102;height:375" coordorigin="2798,2668" coordsize="102,375" path="m2798,3043l2900,3043,2900,2668,2798,2668,2798,3043xe" filled="true" fillcolor="#ffffff" stroked="false">
                <v:path arrowok="t"/>
                <v:fill type="solid"/>
              </v:shape>
            </v:group>
            <v:group style="position:absolute;left:2900;top:2668;width:1203;height:375" coordorigin="2900,2668" coordsize="1203,375">
              <v:shape style="position:absolute;left:2900;top:2668;width:1203;height:375" coordorigin="2900,2668" coordsize="1203,375" path="m2900,3043l4103,3043,4103,2668,2900,2668,2900,3043xe" filled="true" fillcolor="#ffffff" stroked="false">
                <v:path arrowok="t"/>
                <v:fill type="solid"/>
              </v:shape>
            </v:group>
            <v:group style="position:absolute;left:4952;top:2668;width:104;height:375" coordorigin="4952,2668" coordsize="104,375">
              <v:shape style="position:absolute;left:4952;top:2668;width:104;height:375" coordorigin="4952,2668" coordsize="104,375" path="m4952,3043l5056,3043,5056,2668,4952,2668,4952,3043xe" filled="true" fillcolor="#ffffff" stroked="false">
                <v:path arrowok="t"/>
                <v:fill type="solid"/>
              </v:shape>
            </v:group>
            <v:group style="position:absolute;left:4216;top:2668;width:104;height:375" coordorigin="4216,2668" coordsize="104,375">
              <v:shape style="position:absolute;left:4216;top:2668;width:104;height:375" coordorigin="4216,2668" coordsize="104,375" path="m4216,3043l4319,3043,4319,2668,4216,2668,4216,3043xe" filled="true" fillcolor="#ffffff" stroked="false">
                <v:path arrowok="t"/>
                <v:fill type="solid"/>
              </v:shape>
            </v:group>
            <v:group style="position:absolute;left:4319;top:2668;width:634;height:375" coordorigin="4319,2668" coordsize="634,375">
              <v:shape style="position:absolute;left:4319;top:2668;width:634;height:375" coordorigin="4319,2668" coordsize="634,375" path="m4319,3043l4952,3043,4952,2668,4319,2668,4319,3043xe" filled="true" fillcolor="#ffffff" stroked="false">
                <v:path arrowok="t"/>
                <v:fill type="solid"/>
              </v:shape>
            </v:group>
            <v:group style="position:absolute;left:6271;top:2668;width:104;height:375" coordorigin="6271,2668" coordsize="104,375">
              <v:shape style="position:absolute;left:6271;top:2668;width:104;height:375" coordorigin="6271,2668" coordsize="104,375" path="m6271,3043l6374,3043,6374,2668,6271,2668,6271,3043xe" filled="true" fillcolor="#ffffff" stroked="false">
                <v:path arrowok="t"/>
                <v:fill type="solid"/>
              </v:shape>
            </v:group>
            <v:group style="position:absolute;left:5066;top:2668;width:102;height:375" coordorigin="5066,2668" coordsize="102,375">
              <v:shape style="position:absolute;left:5066;top:2668;width:102;height:375" coordorigin="5066,2668" coordsize="102,375" path="m5066,3043l5168,3043,5168,2668,5066,2668,5066,3043xe" filled="true" fillcolor="#ffffff" stroked="false">
                <v:path arrowok="t"/>
                <v:fill type="solid"/>
              </v:shape>
            </v:group>
            <v:group style="position:absolute;left:5168;top:2668;width:1103;height:375" coordorigin="5168,2668" coordsize="1103,375">
              <v:shape style="position:absolute;left:5168;top:2668;width:1103;height:375" coordorigin="5168,2668" coordsize="1103,375" path="m5168,3043l6271,3043,6271,2668,5168,2668,5168,3043xe" filled="true" fillcolor="#ffffff" stroked="false">
                <v:path arrowok="t"/>
                <v:fill type="solid"/>
              </v:shape>
            </v:group>
            <v:group style="position:absolute;left:7806;top:2668;width:104;height:375" coordorigin="7806,2668" coordsize="104,375">
              <v:shape style="position:absolute;left:7806;top:2668;width:104;height:375" coordorigin="7806,2668" coordsize="104,375" path="m7806,3043l7909,3043,7909,2668,7806,2668,7806,3043xe" filled="true" fillcolor="#ffffff" stroked="false">
                <v:path arrowok="t"/>
                <v:fill type="solid"/>
              </v:shape>
            </v:group>
            <v:group style="position:absolute;left:6384;top:2668;width:104;height:375" coordorigin="6384,2668" coordsize="104,375">
              <v:shape style="position:absolute;left:6384;top:2668;width:104;height:375" coordorigin="6384,2668" coordsize="104,375" path="m6384,3043l6487,3043,6487,2668,6384,2668,6384,3043xe" filled="true" fillcolor="#ffffff" stroked="false">
                <v:path arrowok="t"/>
                <v:fill type="solid"/>
              </v:shape>
            </v:group>
            <v:group style="position:absolute;left:6487;top:2668;width:1319;height:375" coordorigin="6487,2668" coordsize="1319,375">
              <v:shape style="position:absolute;left:6487;top:2668;width:1319;height:375" coordorigin="6487,2668" coordsize="1319,375" path="m6487,3043l7806,3043,7806,2668,6487,2668,6487,3043xe" filled="true" fillcolor="#ffffff" stroked="false">
                <v:path arrowok="t"/>
                <v:fill type="solid"/>
              </v:shape>
            </v:group>
            <v:group style="position:absolute;left:8639;top:2668;width:104;height:375" coordorigin="8639,2668" coordsize="104,375">
              <v:shape style="position:absolute;left:8639;top:2668;width:104;height:375" coordorigin="8639,2668" coordsize="104,375" path="m8639,3043l8742,3043,8742,2668,8639,2668,8639,3043xe" filled="true" fillcolor="#ffffff" stroked="false">
                <v:path arrowok="t"/>
                <v:fill type="solid"/>
              </v:shape>
            </v:group>
            <v:group style="position:absolute;left:7919;top:2668;width:104;height:375" coordorigin="7919,2668" coordsize="104,375">
              <v:shape style="position:absolute;left:7919;top:2668;width:104;height:375" coordorigin="7919,2668" coordsize="104,375" path="m7919,3043l8022,3043,8022,2668,7919,2668,7919,3043xe" filled="true" fillcolor="#ffffff" stroked="false">
                <v:path arrowok="t"/>
                <v:fill type="solid"/>
              </v:shape>
            </v:group>
            <v:group style="position:absolute;left:8022;top:2668;width:617;height:375" coordorigin="8022,2668" coordsize="617,375">
              <v:shape style="position:absolute;left:8022;top:2668;width:617;height:375" coordorigin="8022,2668" coordsize="617,375" path="m8022,3043l8639,3043,8639,2668,8022,2668,8022,3043xe" filled="true" fillcolor="#ffffff" stroked="false">
                <v:path arrowok="t"/>
                <v:fill type="solid"/>
              </v:shape>
            </v:group>
            <v:group style="position:absolute;left:10057;top:2668;width:108;height:375" coordorigin="10057,2668" coordsize="108,375">
              <v:shape style="position:absolute;left:10057;top:2668;width:108;height:375" coordorigin="10057,2668" coordsize="108,375" path="m10057,3043l10165,3043,10165,2668,10057,2668,10057,3043xe" filled="true" fillcolor="#ffffff" stroked="false">
                <v:path arrowok="t"/>
                <v:fill type="solid"/>
              </v:shape>
            </v:group>
            <v:group style="position:absolute;left:8752;top:2668;width:104;height:375" coordorigin="8752,2668" coordsize="104,375">
              <v:shape style="position:absolute;left:8752;top:2668;width:104;height:375" coordorigin="8752,2668" coordsize="104,375" path="m8752,3043l8855,3043,8855,2668,8752,2668,8752,3043xe" filled="true" fillcolor="#ffffff" stroked="false">
                <v:path arrowok="t"/>
                <v:fill type="solid"/>
              </v:shape>
            </v:group>
            <v:group style="position:absolute;left:8855;top:2668;width:1203;height:375" coordorigin="8855,2668" coordsize="1203,375">
              <v:shape style="position:absolute;left:8855;top:2668;width:1203;height:375" coordorigin="8855,2668" coordsize="1203,375" path="m8855,3043l10057,3043,10057,2668,8855,2668,8855,3043xe" filled="true" fillcolor="#ffffff" stroked="false">
                <v:path arrowok="t"/>
                <v:fill type="solid"/>
              </v:shape>
              <v:shape style="position:absolute;left:1771;top:2630;width:8430;height:1182" type="#_x0000_t75" stroked="false">
                <v:imagedata r:id="rId337" o:title=""/>
              </v:shape>
              <v:shape style="position:absolute;left:4225;top:4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7912;top:4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6966;top:142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group>
            <w10:wrap type="none"/>
          </v:group>
        </w:pict>
      </w:r>
      <w:r>
        <w:rPr/>
        <w:pict>
          <v:shape style="position:absolute;margin-left:139.919998pt;margin-top:37.593979pt;width:297.2pt;height:76.150pt;mso-position-horizontal-relative:page;mso-position-vertical-relative:paragraph;z-index:25312" type="#_x0000_t202" filled="false" stroked="false">
            <v:textbox inset="0,0,0,0">
              <w:txbxContent>
                <w:tbl>
                  <w:tblPr>
                    <w:tblCellSpacing w:w="4" w:type="dxa"/>
                    <w:tblW w:w="0" w:type="auto"/>
                    <w:jc w:val="left"/>
                    <w:tblLayout w:type="fixed"/>
                    <w:tblCellMar>
                      <w:top w:w="0" w:type="dxa"/>
                      <w:left w:w="0" w:type="dxa"/>
                      <w:bottom w:w="0" w:type="dxa"/>
                      <w:right w:w="0" w:type="dxa"/>
                    </w:tblCellMar>
                    <w:tblLook w:val="01E0"/>
                  </w:tblPr>
                  <w:tblGrid>
                    <w:gridCol w:w="1412"/>
                    <w:gridCol w:w="850"/>
                    <w:gridCol w:w="1318"/>
                    <w:gridCol w:w="1535"/>
                    <w:gridCol w:w="828"/>
                  </w:tblGrid>
                  <w:tr>
                    <w:trPr>
                      <w:trHeight w:val="749" w:hRule="exact"/>
                    </w:trPr>
                    <w:tc>
                      <w:tcPr>
                        <w:tcW w:w="1412" w:type="dxa"/>
                        <w:tcBorders>
                          <w:top w:val="nil" w:sz="4" w:space="0" w:color="auto"/>
                          <w:left w:val="nil" w:sz="6" w:space="0" w:color="auto"/>
                          <w:bottom w:val="nil" w:sz="4" w:space="0" w:color="auto"/>
                          <w:right w:val="nil" w:sz="4"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850" w:type="dxa"/>
                        <w:tcBorders>
                          <w:top w:val="nil" w:sz="4" w:space="0" w:color="auto"/>
                          <w:left w:val="nil" w:sz="4" w:space="0" w:color="auto"/>
                          <w:bottom w:val="nil" w:sz="4" w:space="0" w:color="auto"/>
                          <w:right w:val="nil" w:sz="4" w:space="0" w:color="auto"/>
                        </w:tcBorders>
                      </w:tcPr>
                      <w:p>
                        <w:pPr>
                          <w:pStyle w:val="TableParagraph"/>
                          <w:spacing w:line="240" w:lineRule="auto" w:before="41"/>
                          <w:ind w:left="240"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16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18" w:type="dxa"/>
                        <w:tcBorders>
                          <w:top w:val="single" w:sz="6" w:space="0" w:color="auto"/>
                          <w:left w:val="single" w:sz="6" w:space="0" w:color="auto"/>
                          <w:bottom w:val="single" w:sz="6" w:space="0" w:color="auto"/>
                          <w:right w:val="single" w:sz="6" w:space="0" w:color="auto"/>
                        </w:tcBorders>
                      </w:tcPr>
                      <w:p>
                        <w:pPr/>
                      </w:p>
                    </w:tc>
                    <w:tc>
                      <w:tcPr>
                        <w:tcW w:w="1535" w:type="dxa"/>
                        <w:tcBorders>
                          <w:top w:val="single" w:sz="6" w:space="0" w:color="auto"/>
                          <w:left w:val="single" w:sz="6" w:space="0" w:color="auto"/>
                          <w:bottom w:val="single" w:sz="6" w:space="0" w:color="auto"/>
                          <w:right w:val="single" w:sz="6" w:space="0" w:color="auto"/>
                        </w:tcBorders>
                      </w:tcPr>
                      <w:p>
                        <w:pPr/>
                      </w:p>
                    </w:tc>
                    <w:tc>
                      <w:tcPr>
                        <w:tcW w:w="828" w:type="dxa"/>
                        <w:tcBorders>
                          <w:top w:val="single" w:sz="6" w:space="0" w:color="auto"/>
                          <w:left w:val="single" w:sz="6" w:space="0" w:color="auto"/>
                          <w:bottom w:val="single" w:sz="6" w:space="0" w:color="auto"/>
                          <w:right w:val="single" w:sz="6" w:space="0" w:color="auto"/>
                        </w:tcBorders>
                      </w:tcPr>
                      <w:p>
                        <w:pPr/>
                      </w:p>
                    </w:tc>
                  </w:tr>
                  <w:tr>
                    <w:trPr>
                      <w:trHeight w:val="370" w:hRule="exact"/>
                    </w:trPr>
                    <w:tc>
                      <w:tcPr>
                        <w:tcW w:w="1412" w:type="dxa"/>
                        <w:tcBorders>
                          <w:top w:val="nil" w:sz="4" w:space="0" w:color="auto"/>
                          <w:left w:val="nil" w:sz="6" w:space="0" w:color="auto"/>
                          <w:bottom w:val="nil" w:sz="6" w:space="0" w:color="auto"/>
                          <w:right w:val="nil" w:sz="4" w:space="0" w:color="auto"/>
                        </w:tcBorders>
                      </w:tcPr>
                      <w:p>
                        <w:pPr>
                          <w:pStyle w:val="TableParagraph"/>
                          <w:spacing w:line="240" w:lineRule="auto" w:before="81"/>
                          <w:ind w:left="78" w:right="0"/>
                          <w:jc w:val="center"/>
                          <w:rPr>
                            <w:rFonts w:ascii="Times New Roman" w:hAnsi="Times New Roman" w:cs="Times New Roman" w:eastAsia="Times New Roman" w:hint="default"/>
                            <w:sz w:val="18"/>
                            <w:szCs w:val="18"/>
                          </w:rPr>
                        </w:pPr>
                        <w:r>
                          <w:rPr>
                            <w:rFonts w:ascii="Times New Roman"/>
                            <w:sz w:val="18"/>
                          </w:rPr>
                          <w:t>107,809,557.42</w:t>
                        </w:r>
                      </w:p>
                    </w:tc>
                    <w:tc>
                      <w:tcPr>
                        <w:tcW w:w="850" w:type="dxa"/>
                        <w:tcBorders>
                          <w:top w:val="nil" w:sz="4" w:space="0" w:color="auto"/>
                          <w:left w:val="nil" w:sz="4" w:space="0" w:color="auto"/>
                          <w:bottom w:val="nil" w:sz="6" w:space="0" w:color="auto"/>
                          <w:right w:val="nil" w:sz="4" w:space="0" w:color="auto"/>
                        </w:tcBorders>
                      </w:tcPr>
                      <w:p>
                        <w:pPr>
                          <w:pStyle w:val="TableParagraph"/>
                          <w:spacing w:line="240" w:lineRule="auto" w:before="81"/>
                          <w:ind w:left="331" w:right="0"/>
                          <w:jc w:val="left"/>
                          <w:rPr>
                            <w:rFonts w:ascii="Times New Roman" w:hAnsi="Times New Roman" w:cs="Times New Roman" w:eastAsia="Times New Roman" w:hint="default"/>
                            <w:sz w:val="18"/>
                            <w:szCs w:val="18"/>
                          </w:rPr>
                        </w:pPr>
                        <w:r>
                          <w:rPr>
                            <w:rFonts w:ascii="Times New Roman"/>
                            <w:sz w:val="18"/>
                          </w:rPr>
                          <w:t>69.67</w:t>
                        </w:r>
                      </w:p>
                    </w:tc>
                    <w:tc>
                      <w:tcPr>
                        <w:tcW w:w="1318" w:type="dxa"/>
                        <w:tcBorders>
                          <w:top w:val="nil" w:sz="4" w:space="0" w:color="auto"/>
                          <w:left w:val="nil" w:sz="4" w:space="0" w:color="auto"/>
                          <w:bottom w:val="nil" w:sz="6" w:space="0" w:color="auto"/>
                          <w:right w:val="nil" w:sz="4" w:space="0" w:color="auto"/>
                        </w:tcBorders>
                      </w:tcPr>
                      <w:p>
                        <w:pPr>
                          <w:pStyle w:val="TableParagraph"/>
                          <w:spacing w:line="240" w:lineRule="auto" w:before="81"/>
                          <w:ind w:left="259" w:right="0"/>
                          <w:jc w:val="left"/>
                          <w:rPr>
                            <w:rFonts w:ascii="Times New Roman" w:hAnsi="Times New Roman" w:cs="Times New Roman" w:eastAsia="Times New Roman" w:hint="default"/>
                            <w:sz w:val="18"/>
                            <w:szCs w:val="18"/>
                          </w:rPr>
                        </w:pPr>
                        <w:r>
                          <w:rPr>
                            <w:rFonts w:ascii="Times New Roman"/>
                            <w:sz w:val="18"/>
                          </w:rPr>
                          <w:t>5,390,477.87</w:t>
                        </w:r>
                      </w:p>
                    </w:tc>
                    <w:tc>
                      <w:tcPr>
                        <w:tcW w:w="1535" w:type="dxa"/>
                        <w:tcBorders>
                          <w:top w:val="nil" w:sz="4" w:space="0" w:color="auto"/>
                          <w:left w:val="nil" w:sz="4" w:space="0" w:color="auto"/>
                          <w:bottom w:val="nil" w:sz="6" w:space="0" w:color="auto"/>
                          <w:right w:val="nil" w:sz="4" w:space="0" w:color="auto"/>
                        </w:tcBorders>
                      </w:tcPr>
                      <w:p>
                        <w:pPr>
                          <w:pStyle w:val="TableParagraph"/>
                          <w:spacing w:line="240" w:lineRule="auto" w:before="81"/>
                          <w:ind w:left="387" w:right="0"/>
                          <w:jc w:val="left"/>
                          <w:rPr>
                            <w:rFonts w:ascii="Times New Roman" w:hAnsi="Times New Roman" w:cs="Times New Roman" w:eastAsia="Times New Roman" w:hint="default"/>
                            <w:sz w:val="18"/>
                            <w:szCs w:val="18"/>
                          </w:rPr>
                        </w:pPr>
                        <w:r>
                          <w:rPr>
                            <w:rFonts w:ascii="Times New Roman"/>
                            <w:sz w:val="18"/>
                          </w:rPr>
                          <w:t>51,286,109.69</w:t>
                        </w:r>
                      </w:p>
                    </w:tc>
                    <w:tc>
                      <w:tcPr>
                        <w:tcW w:w="828" w:type="dxa"/>
                        <w:tcBorders>
                          <w:top w:val="nil" w:sz="4" w:space="0" w:color="auto"/>
                          <w:left w:val="nil" w:sz="4" w:space="0" w:color="auto"/>
                          <w:bottom w:val="nil" w:sz="6" w:space="0" w:color="auto"/>
                          <w:right w:val="nil" w:sz="6" w:space="0" w:color="auto"/>
                        </w:tcBorders>
                      </w:tcPr>
                      <w:p>
                        <w:pPr>
                          <w:pStyle w:val="TableParagraph"/>
                          <w:spacing w:line="240" w:lineRule="auto" w:before="81"/>
                          <w:ind w:left="314" w:right="0"/>
                          <w:jc w:val="left"/>
                          <w:rPr>
                            <w:rFonts w:ascii="Times New Roman" w:hAnsi="Times New Roman" w:cs="Times New Roman" w:eastAsia="Times New Roman" w:hint="default"/>
                            <w:sz w:val="18"/>
                            <w:szCs w:val="18"/>
                          </w:rPr>
                        </w:pPr>
                        <w:r>
                          <w:rPr>
                            <w:rFonts w:ascii="Times New Roman"/>
                            <w:sz w:val="18"/>
                          </w:rPr>
                          <w:t>53.64</w:t>
                        </w:r>
                      </w:p>
                    </w:tc>
                  </w:tr>
                </w:tbl>
                <w:p>
                  <w:pPr/>
                </w:p>
              </w:txbxContent>
            </v:textbox>
            <w10:wrap type="none"/>
          </v:shape>
        </w:pict>
      </w:r>
      <w:r>
        <w:rPr>
          <w:rFonts w:ascii="宋体" w:hAnsi="宋体" w:cs="宋体" w:eastAsia="宋体" w:hint="default"/>
          <w:sz w:val="21"/>
          <w:szCs w:val="21"/>
        </w:rPr>
        <w:t>组合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中，采用账龄分析法计提坏账准备的应收账款：</w:t>
      </w:r>
    </w:p>
    <w:p>
      <w:pPr>
        <w:spacing w:line="240" w:lineRule="auto" w:before="11"/>
        <w:rPr>
          <w:rFonts w:ascii="宋体" w:hAnsi="宋体" w:cs="宋体" w:eastAsia="宋体" w:hint="default"/>
          <w:sz w:val="27"/>
          <w:szCs w:val="27"/>
        </w:rPr>
      </w:pPr>
    </w:p>
    <w:tbl>
      <w:tblPr>
        <w:tblW w:w="0" w:type="auto"/>
        <w:jc w:val="left"/>
        <w:tblInd w:w="733" w:type="dxa"/>
        <w:tblLayout w:type="fixed"/>
        <w:tblCellMar>
          <w:top w:w="0" w:type="dxa"/>
          <w:left w:w="0" w:type="dxa"/>
          <w:bottom w:w="0" w:type="dxa"/>
          <w:right w:w="0" w:type="dxa"/>
        </w:tblCellMar>
        <w:tblLook w:val="01E0"/>
      </w:tblPr>
      <w:tblGrid>
        <w:gridCol w:w="869"/>
        <w:gridCol w:w="1630"/>
        <w:gridCol w:w="689"/>
        <w:gridCol w:w="1318"/>
        <w:gridCol w:w="1535"/>
        <w:gridCol w:w="884"/>
        <w:gridCol w:w="1295"/>
      </w:tblGrid>
      <w:tr>
        <w:trPr>
          <w:trHeight w:val="826" w:hRule="exact"/>
        </w:trPr>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left="243"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82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689"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2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
              <w:jc w:val="right"/>
              <w:rPr>
                <w:rFonts w:ascii="宋体" w:hAnsi="宋体" w:cs="宋体" w:eastAsia="宋体" w:hint="default"/>
                <w:sz w:val="18"/>
                <w:szCs w:val="18"/>
              </w:rPr>
            </w:pPr>
            <w:r>
              <w:rPr>
                <w:rFonts w:ascii="宋体" w:hAnsi="宋体" w:cs="宋体" w:eastAsia="宋体" w:hint="default"/>
                <w:sz w:val="18"/>
                <w:szCs w:val="18"/>
              </w:rPr>
              <w:t>账面余额</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23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297"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85" w:hRule="exact"/>
        </w:trPr>
        <w:tc>
          <w:tcPr>
            <w:tcW w:w="869"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
        </w:tc>
        <w:tc>
          <w:tcPr>
            <w:tcW w:w="689"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11"/>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95" w:type="dxa"/>
            <w:tcBorders>
              <w:top w:val="nil" w:sz="6" w:space="0" w:color="auto"/>
              <w:left w:val="nil" w:sz="6" w:space="0" w:color="auto"/>
              <w:bottom w:val="nil" w:sz="6" w:space="0" w:color="auto"/>
              <w:right w:val="nil" w:sz="6" w:space="0" w:color="auto"/>
            </w:tcBorders>
          </w:tcPr>
          <w:p>
            <w:pPr/>
          </w:p>
        </w:tc>
      </w:tr>
      <w:tr>
        <w:trPr>
          <w:trHeight w:val="374" w:hRule="exact"/>
        </w:trPr>
        <w:tc>
          <w:tcPr>
            <w:tcW w:w="869" w:type="dxa"/>
            <w:tcBorders>
              <w:top w:val="nil" w:sz="6" w:space="0" w:color="auto"/>
              <w:left w:val="nil" w:sz="6" w:space="0" w:color="auto"/>
              <w:bottom w:val="nil" w:sz="6" w:space="0" w:color="auto"/>
              <w:right w:val="single" w:sz="41" w:space="0" w:color="FFFFFF"/>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30" w:type="dxa"/>
            <w:tcBorders>
              <w:top w:val="nil" w:sz="6" w:space="0" w:color="auto"/>
              <w:left w:val="single" w:sz="41" w:space="0" w:color="FFFFFF"/>
              <w:bottom w:val="nil" w:sz="6" w:space="0" w:color="auto"/>
              <w:right w:val="nil" w:sz="6" w:space="0" w:color="auto"/>
            </w:tcBorders>
          </w:tcPr>
          <w:p>
            <w:pPr/>
          </w:p>
        </w:tc>
        <w:tc>
          <w:tcPr>
            <w:tcW w:w="689"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single" w:sz="41" w:space="0" w:color="FFFFFF"/>
            </w:tcBorders>
          </w:tcPr>
          <w:p>
            <w:pPr/>
          </w:p>
        </w:tc>
        <w:tc>
          <w:tcPr>
            <w:tcW w:w="1295" w:type="dxa"/>
            <w:tcBorders>
              <w:top w:val="nil" w:sz="6" w:space="0" w:color="auto"/>
              <w:left w:val="single" w:sz="41" w:space="0" w:color="FFFFFF"/>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2,564,305.48</w:t>
            </w:r>
          </w:p>
        </w:tc>
      </w:tr>
      <w:tr>
        <w:trPr>
          <w:trHeight w:val="394" w:hRule="exact"/>
        </w:trPr>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91"/>
              <w:ind w:left="416" w:right="0"/>
              <w:jc w:val="left"/>
              <w:rPr>
                <w:rFonts w:ascii="Times New Roman" w:hAnsi="Times New Roman" w:cs="Times New Roman" w:eastAsia="Times New Roman" w:hint="default"/>
                <w:sz w:val="18"/>
                <w:szCs w:val="18"/>
              </w:rPr>
            </w:pPr>
            <w:r>
              <w:rPr>
                <w:rFonts w:ascii="Times New Roman"/>
                <w:sz w:val="18"/>
              </w:rPr>
              <w:t>9,903,737.69</w:t>
            </w:r>
          </w:p>
        </w:tc>
        <w:tc>
          <w:tcPr>
            <w:tcW w:w="689"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56" w:right="0"/>
              <w:jc w:val="center"/>
              <w:rPr>
                <w:rFonts w:ascii="Times New Roman" w:hAnsi="Times New Roman" w:cs="Times New Roman" w:eastAsia="Times New Roman" w:hint="default"/>
                <w:sz w:val="18"/>
                <w:szCs w:val="18"/>
              </w:rPr>
            </w:pPr>
            <w:r>
              <w:rPr>
                <w:rFonts w:ascii="Times New Roman"/>
                <w:sz w:val="18"/>
              </w:rPr>
              <w:t>6.40</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z w:val="18"/>
              </w:rPr>
              <w:t>990,373.77</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41,710,380.91</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57"/>
              <w:jc w:val="right"/>
              <w:rPr>
                <w:rFonts w:ascii="Times New Roman" w:hAnsi="Times New Roman" w:cs="Times New Roman" w:eastAsia="Times New Roman" w:hint="default"/>
                <w:sz w:val="18"/>
                <w:szCs w:val="18"/>
              </w:rPr>
            </w:pPr>
            <w:r>
              <w:rPr>
                <w:rFonts w:ascii="Times New Roman"/>
                <w:sz w:val="18"/>
              </w:rPr>
              <w:t>43.62</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3"/>
              <w:jc w:val="right"/>
              <w:rPr>
                <w:rFonts w:ascii="Times New Roman" w:hAnsi="Times New Roman" w:cs="Times New Roman" w:eastAsia="Times New Roman" w:hint="default"/>
                <w:sz w:val="18"/>
                <w:szCs w:val="18"/>
              </w:rPr>
            </w:pPr>
            <w:r>
              <w:rPr>
                <w:rFonts w:ascii="Times New Roman"/>
                <w:spacing w:val="-1"/>
                <w:sz w:val="18"/>
              </w:rPr>
              <w:t>4,171,038.09</w:t>
            </w:r>
          </w:p>
        </w:tc>
      </w:tr>
      <w:tr>
        <w:trPr>
          <w:trHeight w:val="385" w:hRule="exact"/>
        </w:trPr>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26" w:right="0"/>
              <w:jc w:val="left"/>
              <w:rPr>
                <w:rFonts w:ascii="Times New Roman" w:hAnsi="Times New Roman" w:cs="Times New Roman" w:eastAsia="Times New Roman" w:hint="default"/>
                <w:sz w:val="18"/>
                <w:szCs w:val="18"/>
              </w:rPr>
            </w:pPr>
            <w:r>
              <w:rPr>
                <w:rFonts w:ascii="Times New Roman"/>
                <w:sz w:val="18"/>
              </w:rPr>
              <w:t>35,295,876.17</w:t>
            </w:r>
          </w:p>
        </w:tc>
        <w:tc>
          <w:tcPr>
            <w:tcW w:w="68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66" w:right="0"/>
              <w:jc w:val="center"/>
              <w:rPr>
                <w:rFonts w:ascii="Times New Roman" w:hAnsi="Times New Roman" w:cs="Times New Roman" w:eastAsia="Times New Roman" w:hint="default"/>
                <w:sz w:val="18"/>
                <w:szCs w:val="18"/>
              </w:rPr>
            </w:pPr>
            <w:r>
              <w:rPr>
                <w:rFonts w:ascii="Times New Roman"/>
                <w:sz w:val="18"/>
              </w:rPr>
              <w:t>22.81</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spacing w:val="-1"/>
                <w:sz w:val="18"/>
              </w:rPr>
              <w:t>17,647,938.09</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pacing w:val="-1"/>
                <w:sz w:val="18"/>
              </w:rPr>
              <w:t>2,598,383.76</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7"/>
              <w:jc w:val="right"/>
              <w:rPr>
                <w:rFonts w:ascii="Times New Roman" w:hAnsi="Times New Roman" w:cs="Times New Roman" w:eastAsia="Times New Roman" w:hint="default"/>
                <w:sz w:val="18"/>
                <w:szCs w:val="18"/>
              </w:rPr>
            </w:pPr>
            <w:r>
              <w:rPr>
                <w:rFonts w:ascii="Times New Roman"/>
                <w:sz w:val="18"/>
              </w:rPr>
              <w:t>2.72</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1,299,191.88</w:t>
            </w:r>
          </w:p>
        </w:tc>
      </w:tr>
      <w:tr>
        <w:trPr>
          <w:trHeight w:val="385" w:hRule="exact"/>
        </w:trPr>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82"/>
              <w:ind w:left="416" w:right="0"/>
              <w:jc w:val="left"/>
              <w:rPr>
                <w:rFonts w:ascii="Times New Roman" w:hAnsi="Times New Roman" w:cs="Times New Roman" w:eastAsia="Times New Roman" w:hint="default"/>
                <w:sz w:val="18"/>
                <w:szCs w:val="18"/>
              </w:rPr>
            </w:pPr>
            <w:r>
              <w:rPr>
                <w:rFonts w:ascii="Times New Roman"/>
                <w:sz w:val="18"/>
              </w:rPr>
              <w:t>1,736,263.20</w:t>
            </w:r>
          </w:p>
        </w:tc>
        <w:tc>
          <w:tcPr>
            <w:tcW w:w="689"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56" w:right="0"/>
              <w:jc w:val="center"/>
              <w:rPr>
                <w:rFonts w:ascii="Times New Roman" w:hAnsi="Times New Roman" w:cs="Times New Roman" w:eastAsia="Times New Roman" w:hint="default"/>
                <w:sz w:val="18"/>
                <w:szCs w:val="18"/>
              </w:rPr>
            </w:pPr>
            <w:r>
              <w:rPr>
                <w:rFonts w:ascii="Times New Roman"/>
                <w:sz w:val="18"/>
              </w:rPr>
              <w:t>1.12</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1,562,636.88</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19,888.00</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7"/>
              <w:jc w:val="right"/>
              <w:rPr>
                <w:rFonts w:ascii="Times New Roman" w:hAnsi="Times New Roman" w:cs="Times New Roman" w:eastAsia="Times New Roman" w:hint="default"/>
                <w:sz w:val="18"/>
                <w:szCs w:val="18"/>
              </w:rPr>
            </w:pPr>
            <w:r>
              <w:rPr>
                <w:rFonts w:ascii="Times New Roman"/>
                <w:sz w:val="18"/>
              </w:rPr>
              <w:t>0.02</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17,899.20</w:t>
            </w:r>
          </w:p>
        </w:tc>
      </w:tr>
      <w:tr>
        <w:trPr>
          <w:trHeight w:val="389" w:hRule="exact"/>
        </w:trPr>
        <w:tc>
          <w:tcPr>
            <w:tcW w:w="869"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left="24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30"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left="236" w:right="0"/>
              <w:jc w:val="left"/>
              <w:rPr>
                <w:rFonts w:ascii="Times New Roman" w:hAnsi="Times New Roman" w:cs="Times New Roman" w:eastAsia="Times New Roman" w:hint="default"/>
                <w:sz w:val="18"/>
                <w:szCs w:val="18"/>
              </w:rPr>
            </w:pPr>
            <w:r>
              <w:rPr>
                <w:rFonts w:ascii="Times New Roman"/>
                <w:sz w:val="18"/>
              </w:rPr>
              <w:t>154,745,434.48</w:t>
            </w:r>
          </w:p>
        </w:tc>
        <w:tc>
          <w:tcPr>
            <w:tcW w:w="689"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1"/>
              <w:jc w:val="center"/>
              <w:rPr>
                <w:rFonts w:ascii="Times New Roman" w:hAnsi="Times New Roman" w:cs="Times New Roman" w:eastAsia="Times New Roman" w:hint="default"/>
                <w:sz w:val="18"/>
                <w:szCs w:val="18"/>
              </w:rPr>
            </w:pPr>
            <w:r>
              <w:rPr>
                <w:rFonts w:ascii="Times New Roman"/>
                <w:sz w:val="18"/>
              </w:rPr>
              <w:t>100.00</w:t>
            </w:r>
          </w:p>
        </w:tc>
        <w:tc>
          <w:tcPr>
            <w:tcW w:w="1318"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spacing w:val="-1"/>
                <w:sz w:val="18"/>
              </w:rPr>
              <w:t>25,591,426.61</w:t>
            </w:r>
          </w:p>
        </w:tc>
        <w:tc>
          <w:tcPr>
            <w:tcW w:w="1535"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pacing w:val="-1"/>
                <w:sz w:val="18"/>
              </w:rPr>
              <w:t>95,614,762.36</w:t>
            </w:r>
          </w:p>
        </w:tc>
        <w:tc>
          <w:tcPr>
            <w:tcW w:w="884"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57"/>
              <w:jc w:val="right"/>
              <w:rPr>
                <w:rFonts w:ascii="Times New Roman" w:hAnsi="Times New Roman" w:cs="Times New Roman" w:eastAsia="Times New Roman" w:hint="default"/>
                <w:sz w:val="18"/>
                <w:szCs w:val="18"/>
              </w:rPr>
            </w:pPr>
            <w:r>
              <w:rPr>
                <w:rFonts w:ascii="Times New Roman"/>
                <w:sz w:val="18"/>
              </w:rPr>
              <w:t>100.00</w:t>
            </w:r>
          </w:p>
        </w:tc>
        <w:tc>
          <w:tcPr>
            <w:tcW w:w="1295"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pacing w:val="-1"/>
                <w:sz w:val="18"/>
              </w:rPr>
              <w:t>8,052,434.65</w:t>
            </w:r>
          </w:p>
        </w:tc>
      </w:tr>
    </w:tbl>
    <w:p>
      <w:pPr>
        <w:tabs>
          <w:tab w:pos="1916" w:val="left" w:leader="none"/>
        </w:tabs>
        <w:spacing w:line="328" w:lineRule="auto" w:before="78"/>
        <w:ind w:left="1916" w:right="1541" w:hanging="539"/>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pacing w:val="2"/>
          <w:w w:val="95"/>
          <w:sz w:val="21"/>
          <w:szCs w:val="21"/>
        </w:rPr>
        <w:t>期末无单项金额重大或虽不重大但单独进行减值测试的应收账款坏账准 </w:t>
      </w:r>
      <w:r>
        <w:rPr>
          <w:rFonts w:ascii="宋体" w:hAnsi="宋体" w:cs="宋体" w:eastAsia="宋体" w:hint="default"/>
          <w:b/>
          <w:bCs/>
          <w:spacing w:val="98"/>
          <w:w w:val="95"/>
          <w:sz w:val="21"/>
          <w:szCs w:val="21"/>
        </w:rPr>
        <w:t> </w:t>
      </w:r>
      <w:r>
        <w:rPr>
          <w:rFonts w:ascii="宋体" w:hAnsi="宋体" w:cs="宋体" w:eastAsia="宋体" w:hint="default"/>
          <w:b/>
          <w:bCs/>
          <w:spacing w:val="98"/>
          <w:w w:val="95"/>
          <w:sz w:val="21"/>
          <w:szCs w:val="21"/>
        </w:rPr>
      </w:r>
      <w:r>
        <w:rPr>
          <w:rFonts w:ascii="宋体" w:hAnsi="宋体" w:cs="宋体" w:eastAsia="宋体" w:hint="default"/>
          <w:b/>
          <w:bCs/>
          <w:sz w:val="21"/>
          <w:szCs w:val="21"/>
        </w:rPr>
        <w:t>备。</w:t>
      </w:r>
      <w:r>
        <w:rPr>
          <w:rFonts w:ascii="宋体" w:hAnsi="宋体" w:cs="宋体" w:eastAsia="宋体" w:hint="default"/>
          <w:sz w:val="21"/>
          <w:szCs w:val="21"/>
        </w:rPr>
      </w:r>
    </w:p>
    <w:p>
      <w:pPr>
        <w:spacing w:before="109"/>
        <w:ind w:left="1381" w:right="154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83"/>
          <w:sz w:val="21"/>
          <w:szCs w:val="21"/>
        </w:rPr>
        <w:t> </w:t>
      </w:r>
      <w:r>
        <w:rPr>
          <w:rFonts w:ascii="宋体" w:hAnsi="宋体" w:cs="宋体" w:eastAsia="宋体" w:hint="default"/>
          <w:b/>
          <w:bCs/>
          <w:sz w:val="21"/>
          <w:szCs w:val="21"/>
        </w:rPr>
        <w:t>本报告期内无实际核销的应收账款情况。</w:t>
      </w:r>
      <w:r>
        <w:rPr>
          <w:rFonts w:ascii="宋体" w:hAnsi="宋体" w:cs="宋体" w:eastAsia="宋体" w:hint="default"/>
          <w:sz w:val="21"/>
          <w:szCs w:val="21"/>
        </w:rPr>
      </w:r>
    </w:p>
    <w:p>
      <w:pPr>
        <w:spacing w:line="331" w:lineRule="auto" w:before="147"/>
        <w:ind w:left="1916" w:right="1533" w:hanging="539"/>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 期末应收账款中无持本公司 </w:t>
      </w:r>
      <w:r>
        <w:rPr>
          <w:rFonts w:ascii="Times New Roman" w:hAnsi="Times New Roman" w:cs="Times New Roman" w:eastAsia="Times New Roman" w:hint="default"/>
          <w:b/>
          <w:bCs/>
          <w:spacing w:val="-3"/>
          <w:sz w:val="21"/>
          <w:szCs w:val="21"/>
        </w:rPr>
        <w:t>5</w:t>
      </w:r>
      <w:r>
        <w:rPr>
          <w:rFonts w:ascii="宋体" w:hAnsi="宋体" w:cs="宋体" w:eastAsia="宋体" w:hint="default"/>
          <w:b/>
          <w:bCs/>
          <w:spacing w:val="-3"/>
          <w:sz w:val="21"/>
          <w:szCs w:val="21"/>
        </w:rPr>
        <w:t>％以上（含</w:t>
      </w:r>
      <w:r>
        <w:rPr>
          <w:rFonts w:ascii="宋体" w:hAnsi="宋体" w:cs="宋体" w:eastAsia="宋体" w:hint="default"/>
          <w:b/>
          <w:bCs/>
          <w:spacing w:val="-36"/>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％）表决权股份的股东单位欠</w:t>
      </w:r>
      <w:r>
        <w:rPr>
          <w:rFonts w:ascii="宋体" w:hAnsi="宋体" w:cs="宋体" w:eastAsia="宋体" w:hint="default"/>
          <w:b/>
          <w:bCs/>
          <w:w w:val="99"/>
          <w:sz w:val="21"/>
          <w:szCs w:val="21"/>
        </w:rPr>
        <w:t> </w:t>
      </w:r>
      <w:r>
        <w:rPr>
          <w:rFonts w:ascii="宋体" w:hAnsi="宋体" w:cs="宋体" w:eastAsia="宋体" w:hint="default"/>
          <w:b/>
          <w:bCs/>
          <w:sz w:val="21"/>
          <w:szCs w:val="21"/>
        </w:rPr>
        <w:t>款。</w:t>
      </w:r>
      <w:r>
        <w:rPr>
          <w:rFonts w:ascii="宋体" w:hAnsi="宋体" w:cs="宋体" w:eastAsia="宋体" w:hint="default"/>
          <w:sz w:val="21"/>
          <w:szCs w:val="21"/>
        </w:rPr>
      </w:r>
    </w:p>
    <w:p>
      <w:pPr>
        <w:tabs>
          <w:tab w:pos="1916" w:val="left" w:leader="none"/>
        </w:tabs>
        <w:spacing w:before="45"/>
        <w:ind w:left="1377" w:right="1541"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应收账款中欠款金额前五名</w:t>
      </w:r>
      <w:r>
        <w:rPr>
          <w:rFonts w:ascii="宋体" w:hAnsi="宋体" w:cs="宋体" w:eastAsia="宋体" w:hint="default"/>
          <w:sz w:val="21"/>
          <w:szCs w:val="21"/>
        </w:rPr>
      </w:r>
    </w:p>
    <w:p>
      <w:pPr>
        <w:spacing w:line="1194" w:lineRule="exact"/>
        <w:ind w:left="840"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11.75pt;height:59.7pt;mso-position-horizontal-relative:char;mso-position-vertical-relative:line" coordorigin="0,0" coordsize="8235,1194">
            <v:group style="position:absolute;left:29;top:15;width:8190;height:2" coordorigin="29,15" coordsize="8190,2">
              <v:shape style="position:absolute;left:29;top:15;width:8190;height:2" coordorigin="29,15" coordsize="8190,0" path="m29,15l8219,15e" filled="false" stroked="true" strokeweight="1.5pt" strokecolor="#000000">
                <v:path arrowok="t"/>
              </v:shape>
            </v:group>
            <v:group style="position:absolute;left:15;top:1179;width:2426;height:2" coordorigin="15,1179" coordsize="2426,2">
              <v:shape style="position:absolute;left:15;top:1179;width:2426;height:2" coordorigin="15,1179" coordsize="2426,0" path="m15,1179l2440,1179e" filled="false" stroked="true" strokeweight="1.5pt" strokecolor="#000000">
                <v:path arrowok="t"/>
              </v:shape>
            </v:group>
            <v:group style="position:absolute;left:2440;top:1179;width:992;height:2" coordorigin="2440,1179" coordsize="992,2">
              <v:shape style="position:absolute;left:2440;top:1179;width:992;height:2" coordorigin="2440,1179" coordsize="992,0" path="m2440,1179l3431,1179e" filled="false" stroked="true" strokeweight="1.5pt" strokecolor="#000000">
                <v:path arrowok="t"/>
              </v:shape>
            </v:group>
            <v:group style="position:absolute;left:3431;top:1179;width:1424;height:2" coordorigin="3431,1179" coordsize="1424,2">
              <v:shape style="position:absolute;left:3431;top:1179;width:1424;height:2" coordorigin="3431,1179" coordsize="1424,0" path="m3431,1179l4855,1179e" filled="false" stroked="true" strokeweight="1.5pt" strokecolor="#000000">
                <v:path arrowok="t"/>
              </v:shape>
            </v:group>
            <v:group style="position:absolute;left:4855;top:1179;width:1996;height:2" coordorigin="4855,1179" coordsize="1996,2">
              <v:shape style="position:absolute;left:4855;top:1179;width:1996;height:2" coordorigin="4855,1179" coordsize="1996,0" path="m4855,1179l6850,1179e" filled="false" stroked="true" strokeweight="1.5pt" strokecolor="#000000">
                <v:path arrowok="t"/>
              </v:shape>
              <v:shape style="position:absolute;left:1;top:1;width:8232;height:1163" type="#_x0000_t75" stroked="false">
                <v:imagedata r:id="rId338" o:title=""/>
              </v:shape>
            </v:group>
            <v:group style="position:absolute;left:6850;top:1179;width:1370;height:2" coordorigin="6850,1179" coordsize="1370,2">
              <v:shape style="position:absolute;left:6850;top:1179;width:1370;height:2" coordorigin="6850,1179" coordsize="1370,0" path="m6850,1179l8219,1179e" filled="false" stroked="true" strokeweight="1.5pt" strokecolor="#000000">
                <v:path arrowok="t"/>
              </v:shape>
              <v:shape style="position:absolute;left:2579;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w:t>
                      </w:r>
                    </w:p>
                  </w:txbxContent>
                </v:textbox>
                <w10:wrap type="none"/>
              </v:shape>
              <v:shape style="position:absolute;left:6995;top:12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占应收账款总</w:t>
                      </w:r>
                    </w:p>
                  </w:txbxContent>
                </v:textbox>
                <w10:wrap type="none"/>
              </v:shape>
              <v:shape style="position:absolute;left:877;top:315;width:7155;height:378" type="#_x0000_t202" filled="false" stroked="false">
                <v:textbox inset="0,0,0,0">
                  <w:txbxContent>
                    <w:p>
                      <w:pPr>
                        <w:tabs>
                          <w:tab w:pos="2911" w:val="left" w:leader="none"/>
                          <w:tab w:pos="4799" w:val="left" w:leader="none"/>
                        </w:tabs>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tab/>
                        <w:t>账面余额</w:t>
                        <w:tab/>
                        <w:t>年限</w:t>
                      </w:r>
                    </w:p>
                    <w:p>
                      <w:pPr>
                        <w:tabs>
                          <w:tab w:pos="6164" w:val="left" w:leader="none"/>
                        </w:tabs>
                        <w:spacing w:line="221" w:lineRule="exact" w:before="0"/>
                        <w:ind w:left="1882"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关系</w:t>
                        <w:tab/>
                        <w:t>额的比例</w:t>
                      </w:r>
                      <w:r>
                        <w:rPr>
                          <w:rFonts w:ascii="Times New Roman" w:hAnsi="Times New Roman" w:cs="Times New Roman" w:eastAsia="Times New Roman" w:hint="default"/>
                          <w:sz w:val="18"/>
                          <w:szCs w:val="18"/>
                        </w:rPr>
                        <w:t>(%)</w:t>
                      </w:r>
                    </w:p>
                  </w:txbxContent>
                </v:textbox>
                <w10:wrap type="none"/>
              </v:shape>
              <v:shape style="position:absolute;left:137;top:887;width:3072;height:180" type="#_x0000_t202" filled="false" stroked="false">
                <v:textbox inset="0,0,0,0">
                  <w:txbxContent>
                    <w:p>
                      <w:pPr>
                        <w:tabs>
                          <w:tab w:pos="253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安徽御银电子科技有限公司</w:t>
                        <w:tab/>
                        <w:t>子公司</w:t>
                      </w:r>
                    </w:p>
                  </w:txbxContent>
                </v:textbox>
                <w10:wrap type="none"/>
              </v:shape>
              <v:shape style="position:absolute;left:3717;top:894;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33,172,500.04</w:t>
                      </w:r>
                    </w:p>
                  </w:txbxContent>
                </v:textbox>
                <w10:wrap type="none"/>
              </v:shape>
              <v:shape style="position:absolute;left:5197;top:887;width:132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7706;top:894;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21.44</w:t>
                      </w:r>
                    </w:p>
                  </w:txbxContent>
                </v:textbox>
                <w10:wrap type="none"/>
              </v:shape>
            </v:group>
          </v:group>
        </w:pict>
      </w:r>
      <w:r>
        <w:rPr>
          <w:rFonts w:ascii="宋体" w:hAnsi="宋体" w:cs="宋体" w:eastAsia="宋体" w:hint="default"/>
          <w:position w:val="-23"/>
          <w:sz w:val="20"/>
          <w:szCs w:val="20"/>
        </w:rPr>
      </w:r>
    </w:p>
    <w:p>
      <w:pPr>
        <w:spacing w:after="0" w:line="1194" w:lineRule="exact"/>
        <w:rPr>
          <w:rFonts w:ascii="宋体" w:hAnsi="宋体" w:cs="宋体" w:eastAsia="宋体" w:hint="default"/>
          <w:sz w:val="20"/>
          <w:szCs w:val="20"/>
        </w:rPr>
        <w:sectPr>
          <w:pgSz w:w="11910" w:h="16840"/>
          <w:pgMar w:header="877" w:footer="1256" w:top="1100" w:bottom="1440" w:left="1140" w:right="720"/>
        </w:sectPr>
      </w:pPr>
    </w:p>
    <w:p>
      <w:pPr>
        <w:spacing w:line="240" w:lineRule="auto" w:before="8"/>
        <w:rPr>
          <w:rFonts w:ascii="宋体" w:hAnsi="宋体" w:cs="宋体" w:eastAsia="宋体" w:hint="default"/>
          <w:b/>
          <w:bCs/>
          <w:sz w:val="25"/>
          <w:szCs w:val="25"/>
        </w:rPr>
      </w:pPr>
    </w:p>
    <w:tbl>
      <w:tblPr>
        <w:tblW w:w="0" w:type="auto"/>
        <w:jc w:val="left"/>
        <w:tblInd w:w="1282" w:type="dxa"/>
        <w:tblLayout w:type="fixed"/>
        <w:tblCellMar>
          <w:top w:w="0" w:type="dxa"/>
          <w:left w:w="0" w:type="dxa"/>
          <w:bottom w:w="0" w:type="dxa"/>
          <w:right w:w="0" w:type="dxa"/>
        </w:tblCellMar>
        <w:tblLook w:val="01E0"/>
      </w:tblPr>
      <w:tblGrid>
        <w:gridCol w:w="2426"/>
        <w:gridCol w:w="893"/>
        <w:gridCol w:w="1715"/>
        <w:gridCol w:w="1859"/>
        <w:gridCol w:w="1152"/>
      </w:tblGrid>
      <w:tr>
        <w:trPr>
          <w:trHeight w:val="399" w:hRule="exact"/>
        </w:trPr>
        <w:tc>
          <w:tcPr>
            <w:tcW w:w="242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广东东莞邮政</w:t>
            </w:r>
          </w:p>
        </w:tc>
        <w:tc>
          <w:tcPr>
            <w:tcW w:w="89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30" w:right="0"/>
              <w:jc w:val="left"/>
              <w:rPr>
                <w:rFonts w:ascii="宋体" w:hAnsi="宋体" w:cs="宋体" w:eastAsia="宋体" w:hint="default"/>
                <w:sz w:val="18"/>
                <w:szCs w:val="18"/>
              </w:rPr>
            </w:pPr>
            <w:r>
              <w:rPr>
                <w:rFonts w:ascii="宋体" w:hAnsi="宋体" w:cs="宋体" w:eastAsia="宋体" w:hint="default"/>
                <w:sz w:val="18"/>
                <w:szCs w:val="18"/>
              </w:rPr>
              <w:t>客户</w:t>
            </w:r>
          </w:p>
        </w:tc>
        <w:tc>
          <w:tcPr>
            <w:tcW w:w="1715" w:type="dxa"/>
            <w:tcBorders>
              <w:top w:val="single" w:sz="12" w:space="0" w:color="000000"/>
              <w:left w:val="nil" w:sz="6" w:space="0" w:color="auto"/>
              <w:bottom w:val="nil" w:sz="6" w:space="0" w:color="auto"/>
              <w:right w:val="nil" w:sz="6" w:space="0" w:color="auto"/>
            </w:tcBorders>
          </w:tcPr>
          <w:p>
            <w:pPr>
              <w:pStyle w:val="TableParagraph"/>
              <w:spacing w:line="240" w:lineRule="auto" w:before="81"/>
              <w:ind w:right="381"/>
              <w:jc w:val="right"/>
              <w:rPr>
                <w:rFonts w:ascii="Times New Roman" w:hAnsi="Times New Roman" w:cs="Times New Roman" w:eastAsia="Times New Roman" w:hint="default"/>
                <w:sz w:val="18"/>
                <w:szCs w:val="18"/>
              </w:rPr>
            </w:pPr>
            <w:r>
              <w:rPr>
                <w:rFonts w:ascii="Times New Roman"/>
                <w:spacing w:val="-1"/>
                <w:sz w:val="18"/>
              </w:rPr>
              <w:t>11,789,955.96</w:t>
            </w:r>
          </w:p>
        </w:tc>
        <w:tc>
          <w:tcPr>
            <w:tcW w:w="185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152" w:type="dxa"/>
            <w:tcBorders>
              <w:top w:val="single" w:sz="12" w:space="0" w:color="000000"/>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7.62</w:t>
            </w:r>
          </w:p>
        </w:tc>
      </w:tr>
      <w:tr>
        <w:trPr>
          <w:trHeight w:val="385" w:hRule="exact"/>
        </w:trPr>
        <w:tc>
          <w:tcPr>
            <w:tcW w:w="242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山西农信</w:t>
            </w:r>
          </w:p>
        </w:tc>
        <w:tc>
          <w:tcPr>
            <w:tcW w:w="893"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31" w:right="0"/>
              <w:jc w:val="left"/>
              <w:rPr>
                <w:rFonts w:ascii="宋体" w:hAnsi="宋体" w:cs="宋体" w:eastAsia="宋体" w:hint="default"/>
                <w:sz w:val="18"/>
                <w:szCs w:val="18"/>
              </w:rPr>
            </w:pPr>
            <w:r>
              <w:rPr>
                <w:rFonts w:ascii="宋体" w:hAnsi="宋体" w:cs="宋体" w:eastAsia="宋体" w:hint="default"/>
                <w:sz w:val="18"/>
                <w:szCs w:val="18"/>
              </w:rPr>
              <w:t>客户</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81"/>
              <w:jc w:val="right"/>
              <w:rPr>
                <w:rFonts w:ascii="Times New Roman" w:hAnsi="Times New Roman" w:cs="Times New Roman" w:eastAsia="Times New Roman" w:hint="default"/>
                <w:sz w:val="18"/>
                <w:szCs w:val="18"/>
              </w:rPr>
            </w:pPr>
            <w:r>
              <w:rPr>
                <w:rFonts w:ascii="Times New Roman"/>
                <w:spacing w:val="-1"/>
                <w:sz w:val="18"/>
              </w:rPr>
              <w:t>9,321,090.00</w:t>
            </w:r>
          </w:p>
        </w:tc>
        <w:tc>
          <w:tcPr>
            <w:tcW w:w="185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6.02</w:t>
            </w:r>
          </w:p>
        </w:tc>
      </w:tr>
      <w:tr>
        <w:trPr>
          <w:trHeight w:val="385" w:hRule="exact"/>
        </w:trPr>
        <w:tc>
          <w:tcPr>
            <w:tcW w:w="242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宋体" w:hAnsi="宋体" w:cs="宋体" w:eastAsia="宋体" w:hint="default"/>
                <w:sz w:val="18"/>
                <w:szCs w:val="18"/>
              </w:rPr>
              <w:t>陕西省农信社</w:t>
            </w:r>
          </w:p>
        </w:tc>
        <w:tc>
          <w:tcPr>
            <w:tcW w:w="89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231" w:right="0"/>
              <w:jc w:val="left"/>
              <w:rPr>
                <w:rFonts w:ascii="宋体" w:hAnsi="宋体" w:cs="宋体" w:eastAsia="宋体" w:hint="default"/>
                <w:sz w:val="18"/>
                <w:szCs w:val="18"/>
              </w:rPr>
            </w:pPr>
            <w:r>
              <w:rPr>
                <w:rFonts w:ascii="宋体" w:hAnsi="宋体" w:cs="宋体" w:eastAsia="宋体" w:hint="default"/>
                <w:sz w:val="18"/>
                <w:szCs w:val="18"/>
              </w:rPr>
              <w:t>客户</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81"/>
              <w:jc w:val="right"/>
              <w:rPr>
                <w:rFonts w:ascii="Times New Roman" w:hAnsi="Times New Roman" w:cs="Times New Roman" w:eastAsia="Times New Roman" w:hint="default"/>
                <w:sz w:val="18"/>
                <w:szCs w:val="18"/>
              </w:rPr>
            </w:pPr>
            <w:r>
              <w:rPr>
                <w:rFonts w:ascii="Times New Roman"/>
                <w:spacing w:val="-1"/>
                <w:sz w:val="18"/>
              </w:rPr>
              <w:t>7,266,865.00</w:t>
            </w:r>
          </w:p>
        </w:tc>
        <w:tc>
          <w:tcPr>
            <w:tcW w:w="185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8"/>
                <w:szCs w:val="18"/>
              </w:rPr>
            </w:pPr>
            <w:r>
              <w:rPr>
                <w:rFonts w:ascii="Times New Roman"/>
                <w:sz w:val="18"/>
              </w:rPr>
              <w:t>4.70</w:t>
            </w:r>
          </w:p>
        </w:tc>
      </w:tr>
      <w:tr>
        <w:trPr>
          <w:trHeight w:val="281" w:hRule="exact"/>
        </w:trPr>
        <w:tc>
          <w:tcPr>
            <w:tcW w:w="242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中国邮政储蓄银行有限责任</w:t>
            </w:r>
          </w:p>
        </w:tc>
        <w:tc>
          <w:tcPr>
            <w:tcW w:w="893"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
        </w:tc>
        <w:tc>
          <w:tcPr>
            <w:tcW w:w="1859" w:type="dxa"/>
            <w:tcBorders>
              <w:top w:val="nil" w:sz="6" w:space="0" w:color="auto"/>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
        </w:tc>
      </w:tr>
      <w:tr>
        <w:trPr>
          <w:trHeight w:val="192" w:hRule="exact"/>
        </w:trPr>
        <w:tc>
          <w:tcPr>
            <w:tcW w:w="2426" w:type="dxa"/>
            <w:tcBorders>
              <w:top w:val="nil" w:sz="6" w:space="0" w:color="auto"/>
              <w:left w:val="nil" w:sz="6" w:space="0" w:color="auto"/>
              <w:bottom w:val="nil" w:sz="6" w:space="0" w:color="auto"/>
              <w:right w:val="nil" w:sz="6" w:space="0" w:color="auto"/>
            </w:tcBorders>
          </w:tcPr>
          <w:p>
            <w:pPr/>
          </w:p>
        </w:tc>
        <w:tc>
          <w:tcPr>
            <w:tcW w:w="893" w:type="dxa"/>
            <w:tcBorders>
              <w:top w:val="nil" w:sz="6" w:space="0" w:color="auto"/>
              <w:left w:val="nil" w:sz="6" w:space="0" w:color="auto"/>
              <w:bottom w:val="nil" w:sz="6" w:space="0" w:color="auto"/>
              <w:right w:val="nil" w:sz="6" w:space="0" w:color="auto"/>
            </w:tcBorders>
          </w:tcPr>
          <w:p>
            <w:pPr>
              <w:pStyle w:val="TableParagraph"/>
              <w:spacing w:line="184" w:lineRule="exact"/>
              <w:ind w:left="231" w:right="0"/>
              <w:jc w:val="left"/>
              <w:rPr>
                <w:rFonts w:ascii="宋体" w:hAnsi="宋体" w:cs="宋体" w:eastAsia="宋体" w:hint="default"/>
                <w:sz w:val="18"/>
                <w:szCs w:val="18"/>
              </w:rPr>
            </w:pPr>
            <w:r>
              <w:rPr>
                <w:rFonts w:ascii="宋体" w:hAnsi="宋体" w:cs="宋体" w:eastAsia="宋体" w:hint="default"/>
                <w:sz w:val="18"/>
                <w:szCs w:val="18"/>
              </w:rPr>
              <w:t>客户</w:t>
            </w:r>
          </w:p>
        </w:tc>
        <w:tc>
          <w:tcPr>
            <w:tcW w:w="1715" w:type="dxa"/>
            <w:tcBorders>
              <w:top w:val="nil" w:sz="6" w:space="0" w:color="auto"/>
              <w:left w:val="nil" w:sz="6" w:space="0" w:color="auto"/>
              <w:bottom w:val="nil" w:sz="6" w:space="0" w:color="auto"/>
              <w:right w:val="nil" w:sz="6" w:space="0" w:color="auto"/>
            </w:tcBorders>
          </w:tcPr>
          <w:p>
            <w:pPr>
              <w:pStyle w:val="TableParagraph"/>
              <w:spacing w:line="195" w:lineRule="exact"/>
              <w:ind w:right="381"/>
              <w:jc w:val="right"/>
              <w:rPr>
                <w:rFonts w:ascii="Times New Roman" w:hAnsi="Times New Roman" w:cs="Times New Roman" w:eastAsia="Times New Roman" w:hint="default"/>
                <w:sz w:val="18"/>
                <w:szCs w:val="18"/>
              </w:rPr>
            </w:pPr>
            <w:r>
              <w:rPr>
                <w:rFonts w:ascii="Times New Roman"/>
                <w:spacing w:val="-1"/>
                <w:sz w:val="18"/>
              </w:rPr>
              <w:t>6,335,570.66</w:t>
            </w:r>
          </w:p>
        </w:tc>
        <w:tc>
          <w:tcPr>
            <w:tcW w:w="1859" w:type="dxa"/>
            <w:tcBorders>
              <w:top w:val="nil" w:sz="6" w:space="0" w:color="auto"/>
              <w:left w:val="nil" w:sz="6" w:space="0" w:color="auto"/>
              <w:bottom w:val="nil" w:sz="6" w:space="0" w:color="auto"/>
              <w:right w:val="nil" w:sz="6" w:space="0" w:color="auto"/>
            </w:tcBorders>
          </w:tcPr>
          <w:p>
            <w:pPr>
              <w:pStyle w:val="TableParagraph"/>
              <w:spacing w:line="197" w:lineRule="exact"/>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152" w:type="dxa"/>
            <w:tcBorders>
              <w:top w:val="nil" w:sz="6" w:space="0" w:color="auto"/>
              <w:left w:val="nil" w:sz="6" w:space="0" w:color="auto"/>
              <w:bottom w:val="nil" w:sz="6" w:space="0" w:color="auto"/>
              <w:right w:val="nil" w:sz="6" w:space="0" w:color="auto"/>
            </w:tcBorders>
          </w:tcPr>
          <w:p>
            <w:pPr>
              <w:pStyle w:val="TableParagraph"/>
              <w:spacing w:line="195" w:lineRule="exact"/>
              <w:ind w:right="33"/>
              <w:jc w:val="right"/>
              <w:rPr>
                <w:rFonts w:ascii="Times New Roman" w:hAnsi="Times New Roman" w:cs="Times New Roman" w:eastAsia="Times New Roman" w:hint="default"/>
                <w:sz w:val="18"/>
                <w:szCs w:val="18"/>
              </w:rPr>
            </w:pPr>
            <w:r>
              <w:rPr>
                <w:rFonts w:ascii="Times New Roman"/>
                <w:sz w:val="18"/>
              </w:rPr>
              <w:t>4.09</w:t>
            </w:r>
          </w:p>
        </w:tc>
      </w:tr>
      <w:tr>
        <w:trPr>
          <w:trHeight w:val="291" w:hRule="exact"/>
        </w:trPr>
        <w:tc>
          <w:tcPr>
            <w:tcW w:w="2426" w:type="dxa"/>
            <w:tcBorders>
              <w:top w:val="nil" w:sz="6" w:space="0" w:color="auto"/>
              <w:left w:val="nil" w:sz="6" w:space="0" w:color="auto"/>
              <w:bottom w:val="single" w:sz="12" w:space="0" w:color="000000"/>
              <w:right w:val="nil" w:sz="6" w:space="0" w:color="auto"/>
            </w:tcBorders>
          </w:tcPr>
          <w:p>
            <w:pPr>
              <w:pStyle w:val="TableParagraph"/>
              <w:spacing w:line="179"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公司深圳分行</w:t>
            </w:r>
          </w:p>
        </w:tc>
        <w:tc>
          <w:tcPr>
            <w:tcW w:w="893" w:type="dxa"/>
            <w:tcBorders>
              <w:top w:val="nil" w:sz="6" w:space="0" w:color="auto"/>
              <w:left w:val="nil" w:sz="6" w:space="0" w:color="auto"/>
              <w:bottom w:val="single" w:sz="12" w:space="0" w:color="000000"/>
              <w:right w:val="nil" w:sz="6" w:space="0" w:color="auto"/>
            </w:tcBorders>
          </w:tcPr>
          <w:p>
            <w:pPr/>
          </w:p>
        </w:tc>
        <w:tc>
          <w:tcPr>
            <w:tcW w:w="1715" w:type="dxa"/>
            <w:tcBorders>
              <w:top w:val="nil" w:sz="6" w:space="0" w:color="auto"/>
              <w:left w:val="nil" w:sz="6" w:space="0" w:color="auto"/>
              <w:bottom w:val="single" w:sz="12" w:space="0" w:color="000000"/>
              <w:right w:val="nil" w:sz="6" w:space="0" w:color="auto"/>
            </w:tcBorders>
          </w:tcPr>
          <w:p>
            <w:pPr/>
          </w:p>
        </w:tc>
        <w:tc>
          <w:tcPr>
            <w:tcW w:w="1859" w:type="dxa"/>
            <w:tcBorders>
              <w:top w:val="nil" w:sz="6" w:space="0" w:color="auto"/>
              <w:left w:val="nil" w:sz="6" w:space="0" w:color="auto"/>
              <w:bottom w:val="single" w:sz="12" w:space="0" w:color="000000"/>
              <w:right w:val="nil" w:sz="6" w:space="0" w:color="auto"/>
            </w:tcBorders>
          </w:tcPr>
          <w:p>
            <w:pPr/>
          </w:p>
        </w:tc>
        <w:tc>
          <w:tcPr>
            <w:tcW w:w="1152" w:type="dxa"/>
            <w:tcBorders>
              <w:top w:val="nil" w:sz="6" w:space="0" w:color="auto"/>
              <w:left w:val="nil" w:sz="6" w:space="0" w:color="auto"/>
              <w:bottom w:val="single" w:sz="12" w:space="0" w:color="000000"/>
              <w:right w:val="nil" w:sz="6" w:space="0" w:color="auto"/>
            </w:tcBorders>
          </w:tcPr>
          <w:p>
            <w:pPr/>
          </w:p>
        </w:tc>
      </w:tr>
    </w:tbl>
    <w:p>
      <w:pPr>
        <w:spacing w:line="240" w:lineRule="auto" w:before="2"/>
        <w:rPr>
          <w:rFonts w:ascii="宋体" w:hAnsi="宋体" w:cs="宋体" w:eastAsia="宋体" w:hint="default"/>
          <w:b/>
          <w:bCs/>
          <w:sz w:val="27"/>
          <w:szCs w:val="27"/>
        </w:rPr>
      </w:pPr>
    </w:p>
    <w:p>
      <w:pPr>
        <w:tabs>
          <w:tab w:pos="2256" w:val="left" w:leader="none"/>
        </w:tabs>
        <w:spacing w:before="35"/>
        <w:ind w:left="1717" w:right="1598" w:firstLine="0"/>
        <w:jc w:val="left"/>
        <w:rPr>
          <w:rFonts w:ascii="宋体" w:hAnsi="宋体" w:cs="宋体" w:eastAsia="宋体" w:hint="default"/>
          <w:sz w:val="21"/>
          <w:szCs w:val="21"/>
        </w:rPr>
      </w:pPr>
      <w:r>
        <w:rPr/>
        <w:pict>
          <v:group style="position:absolute;margin-left:99.059998pt;margin-top:-116.546021pt;width:412.6pt;height:98pt;mso-position-horizontal-relative:page;mso-position-vertical-relative:paragraph;z-index:-802528" coordorigin="1981,-2331" coordsize="8252,1960">
            <v:shape style="position:absolute;left:4392;top:-2331;width:4477;height:432" type="#_x0000_t75" stroked="false">
              <v:imagedata r:id="rId339" o:title=""/>
            </v:shape>
            <v:shape style="position:absolute;left:1981;top:-1957;width:8251;height:1585" type="#_x0000_t75" stroked="false">
              <v:imagedata r:id="rId340" o:title=""/>
            </v:shape>
            <v:shape style="position:absolute;left:5383;top:-1178;width:67;height:806" type="#_x0000_t75" stroked="false">
              <v:imagedata r:id="rId341" o:title=""/>
            </v:shape>
            <v:shape style="position:absolute;left:6806;top:-1178;width:67;height:806" type="#_x0000_t75" stroked="false">
              <v:imagedata r:id="rId342" o:title=""/>
            </v:shape>
            <v:shape style="position:absolute;left:8802;top:-1178;width:67;height:806" type="#_x0000_t75" stroked="false">
              <v:imagedata r:id="rId341" o:title=""/>
            </v:shape>
            <w10:wrap type="none"/>
          </v:group>
        </w:pict>
      </w:r>
      <w:r>
        <w:rPr>
          <w:rFonts w:ascii="Times New Roman" w:hAnsi="Times New Roman" w:cs="Times New Roman" w:eastAsia="Times New Roman" w:hint="default"/>
          <w:b/>
          <w:bCs/>
          <w:w w:val="95"/>
          <w:sz w:val="21"/>
          <w:szCs w:val="21"/>
        </w:rPr>
        <w:t>7</w:t>
      </w:r>
      <w:r>
        <w:rPr>
          <w:rFonts w:ascii="宋体" w:hAnsi="宋体" w:cs="宋体" w:eastAsia="宋体" w:hint="default"/>
          <w:b/>
          <w:bCs/>
          <w:w w:val="95"/>
          <w:sz w:val="21"/>
          <w:szCs w:val="21"/>
        </w:rPr>
        <w:t>、</w:t>
        <w:tab/>
      </w:r>
      <w:r>
        <w:rPr>
          <w:rFonts w:ascii="宋体" w:hAnsi="宋体" w:cs="宋体" w:eastAsia="宋体" w:hint="default"/>
          <w:b/>
          <w:bCs/>
          <w:sz w:val="21"/>
          <w:szCs w:val="21"/>
        </w:rPr>
        <w:t>应收关联方账款情况</w:t>
      </w:r>
      <w:r>
        <w:rPr>
          <w:rFonts w:ascii="宋体" w:hAnsi="宋体" w:cs="宋体" w:eastAsia="宋体" w:hint="default"/>
          <w:sz w:val="21"/>
          <w:szCs w:val="21"/>
        </w:rPr>
      </w:r>
    </w:p>
    <w:p>
      <w:pPr>
        <w:spacing w:line="1194" w:lineRule="exact"/>
        <w:ind w:left="1255"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06.75pt;height:59.7pt;mso-position-horizontal-relative:char;mso-position-vertical-relative:line" coordorigin="0,0" coordsize="8135,1194">
            <v:group style="position:absolute;left:29;top:15;width:8080;height:2" coordorigin="29,15" coordsize="8080,2">
              <v:shape style="position:absolute;left:29;top:15;width:8080;height:2" coordorigin="29,15" coordsize="8080,0" path="m29,15l8109,15e" filled="false" stroked="true" strokeweight="1.5pt" strokecolor="#000000">
                <v:path arrowok="t"/>
              </v:shape>
            </v:group>
            <v:group style="position:absolute;left:15;top:1179;width:2561;height:2" coordorigin="15,1179" coordsize="2561,2">
              <v:shape style="position:absolute;left:15;top:1179;width:2561;height:2" coordorigin="15,1179" coordsize="2561,0" path="m15,1179l2576,1179e" filled="false" stroked="true" strokeweight="1.5pt" strokecolor="#000000">
                <v:path arrowok="t"/>
              </v:shape>
            </v:group>
            <v:group style="position:absolute;left:2576;top:1179;width:1054;height:2" coordorigin="2576,1179" coordsize="1054,2">
              <v:shape style="position:absolute;left:2576;top:1179;width:1054;height:2" coordorigin="2576,1179" coordsize="1054,0" path="m2576,1179l3629,1179e" filled="false" stroked="true" strokeweight="1.5pt" strokecolor="#000000">
                <v:path arrowok="t"/>
              </v:shape>
            </v:group>
            <v:group style="position:absolute;left:3629;top:1179;width:2067;height:2" coordorigin="3629,1179" coordsize="2067,2">
              <v:shape style="position:absolute;left:3629;top:1179;width:2067;height:2" coordorigin="3629,1179" coordsize="2067,0" path="m3629,1179l5696,1179e" filled="false" stroked="true" strokeweight="1.5pt" strokecolor="#000000">
                <v:path arrowok="t"/>
              </v:shape>
              <v:shape style="position:absolute;left:1;top:1;width:8134;height:1163" type="#_x0000_t75" stroked="false">
                <v:imagedata r:id="rId343" o:title=""/>
              </v:shape>
            </v:group>
            <v:group style="position:absolute;left:5696;top:1179;width:2414;height:2" coordorigin="5696,1179" coordsize="2414,2">
              <v:shape style="position:absolute;left:5696;top:1179;width:2414;height:2" coordorigin="5696,1179" coordsize="2414,0" path="m5696,1179l8109,1179e" filled="false" stroked="true" strokeweight="1.5pt" strokecolor="#000000">
                <v:path arrowok="t"/>
              </v:shape>
              <v:shape style="position:absolute;left:2747;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w:t>
                      </w:r>
                    </w:p>
                  </w:txbxContent>
                </v:textbox>
                <w10:wrap type="none"/>
              </v:shape>
              <v:shape style="position:absolute;left:945;top:3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4307;top:3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5869;top:315;width:207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占应收账款总额的比例</w:t>
                      </w:r>
                      <w:r>
                        <w:rPr>
                          <w:rFonts w:ascii="Times New Roman" w:hAnsi="Times New Roman" w:cs="Times New Roman" w:eastAsia="Times New Roman" w:hint="default"/>
                          <w:sz w:val="18"/>
                          <w:szCs w:val="18"/>
                        </w:rPr>
                        <w:t>(%)</w:t>
                      </w:r>
                    </w:p>
                  </w:txbxContent>
                </v:textbox>
                <w10:wrap type="none"/>
              </v:shape>
              <v:shape style="position:absolute;left:2927;top:50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关系</w:t>
                      </w:r>
                    </w:p>
                  </w:txbxContent>
                </v:textbox>
                <w10:wrap type="none"/>
              </v:shape>
              <v:shape style="position:absolute;left:137;top:887;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安徽御银电子科技有限公司</w:t>
                      </w:r>
                    </w:p>
                  </w:txbxContent>
                </v:textbox>
                <w10:wrap type="none"/>
              </v:shape>
              <v:shape style="position:absolute;left:2869;top:88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w:t>
                      </w:r>
                    </w:p>
                  </w:txbxContent>
                </v:textbox>
                <w10:wrap type="none"/>
              </v:shape>
              <v:shape style="position:absolute;left:4558;top:894;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33,172,500.04</w:t>
                      </w:r>
                    </w:p>
                  </w:txbxContent>
                </v:textbox>
                <w10:wrap type="none"/>
              </v:shape>
              <v:shape style="position:absolute;left:7596;top:894;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21.44</w:t>
                      </w:r>
                    </w:p>
                  </w:txbxContent>
                </v:textbox>
                <w10:wrap type="none"/>
              </v:shape>
            </v:group>
          </v:group>
        </w:pict>
      </w:r>
      <w:r>
        <w:rPr>
          <w:rFonts w:ascii="宋体" w:hAnsi="宋体" w:cs="宋体" w:eastAsia="宋体" w:hint="default"/>
          <w:position w:val="-23"/>
          <w:sz w:val="20"/>
          <w:szCs w:val="20"/>
        </w:rPr>
      </w:r>
    </w:p>
    <w:p>
      <w:pPr>
        <w:spacing w:line="240" w:lineRule="auto" w:before="8"/>
        <w:rPr>
          <w:rFonts w:ascii="宋体" w:hAnsi="宋体" w:cs="宋体" w:eastAsia="宋体" w:hint="default"/>
          <w:b/>
          <w:bCs/>
          <w:sz w:val="5"/>
          <w:szCs w:val="5"/>
        </w:rPr>
      </w:pPr>
    </w:p>
    <w:p>
      <w:pPr>
        <w:tabs>
          <w:tab w:pos="2265" w:val="left" w:leader="none"/>
        </w:tabs>
        <w:spacing w:before="35"/>
        <w:ind w:left="1738" w:right="1598"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8</w:t>
      </w:r>
      <w:r>
        <w:rPr>
          <w:rFonts w:ascii="宋体" w:hAnsi="宋体" w:cs="宋体" w:eastAsia="宋体" w:hint="default"/>
          <w:b/>
          <w:bCs/>
          <w:w w:val="95"/>
          <w:sz w:val="21"/>
          <w:szCs w:val="21"/>
        </w:rPr>
        <w:t>、</w:t>
        <w:tab/>
      </w:r>
      <w:r>
        <w:rPr>
          <w:rFonts w:ascii="宋体" w:hAnsi="宋体" w:cs="宋体" w:eastAsia="宋体" w:hint="default"/>
          <w:b/>
          <w:bCs/>
          <w:sz w:val="21"/>
          <w:szCs w:val="21"/>
        </w:rPr>
        <w:t>本报告期内不存在因金融资产转移而终止确认的应收款项情况。</w:t>
      </w:r>
      <w:r>
        <w:rPr>
          <w:rFonts w:ascii="宋体" w:hAnsi="宋体" w:cs="宋体" w:eastAsia="宋体" w:hint="default"/>
          <w:sz w:val="21"/>
          <w:szCs w:val="21"/>
        </w:rPr>
      </w:r>
    </w:p>
    <w:p>
      <w:pPr>
        <w:tabs>
          <w:tab w:pos="2245" w:val="left" w:leader="none"/>
        </w:tabs>
        <w:spacing w:before="109"/>
        <w:ind w:left="1717" w:right="1598"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9</w:t>
      </w:r>
      <w:r>
        <w:rPr>
          <w:rFonts w:ascii="宋体" w:hAnsi="宋体" w:cs="宋体" w:eastAsia="宋体" w:hint="default"/>
          <w:b/>
          <w:bCs/>
          <w:w w:val="95"/>
          <w:sz w:val="21"/>
          <w:szCs w:val="21"/>
        </w:rPr>
        <w:t>、</w:t>
        <w:tab/>
      </w:r>
      <w:r>
        <w:rPr>
          <w:rFonts w:ascii="宋体" w:hAnsi="宋体" w:cs="宋体" w:eastAsia="宋体" w:hint="default"/>
          <w:b/>
          <w:bCs/>
          <w:sz w:val="21"/>
          <w:szCs w:val="21"/>
        </w:rPr>
        <w:t>本报告期内不存在未全部终止确认的被转移的应收账款情况。</w:t>
      </w:r>
      <w:r>
        <w:rPr>
          <w:rFonts w:ascii="宋体" w:hAnsi="宋体" w:cs="宋体" w:eastAsia="宋体" w:hint="default"/>
          <w:sz w:val="21"/>
          <w:szCs w:val="21"/>
        </w:rPr>
      </w:r>
    </w:p>
    <w:p>
      <w:pPr>
        <w:tabs>
          <w:tab w:pos="2262" w:val="left" w:leader="none"/>
        </w:tabs>
        <w:spacing w:line="331" w:lineRule="auto" w:before="109"/>
        <w:ind w:left="2262" w:right="1598" w:hanging="63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10</w:t>
      </w:r>
      <w:r>
        <w:rPr>
          <w:rFonts w:ascii="宋体" w:hAnsi="宋体" w:cs="宋体" w:eastAsia="宋体" w:hint="default"/>
          <w:b/>
          <w:bCs/>
          <w:w w:val="95"/>
          <w:sz w:val="21"/>
          <w:szCs w:val="21"/>
        </w:rPr>
        <w:t>、</w:t>
        <w:tab/>
      </w:r>
      <w:r>
        <w:rPr>
          <w:rFonts w:ascii="宋体" w:hAnsi="宋体" w:cs="宋体" w:eastAsia="宋体" w:hint="default"/>
          <w:b/>
          <w:bCs/>
          <w:spacing w:val="-2"/>
          <w:sz w:val="21"/>
          <w:szCs w:val="21"/>
        </w:rPr>
        <w:t>本报告期内以应收款项为标的进行证券化的，列示继续涉入形成的资产、</w:t>
      </w:r>
      <w:r>
        <w:rPr>
          <w:rFonts w:ascii="宋体" w:hAnsi="宋体" w:cs="宋体" w:eastAsia="宋体" w:hint="default"/>
          <w:b/>
          <w:bCs/>
          <w:spacing w:val="1"/>
          <w:w w:val="99"/>
          <w:sz w:val="21"/>
          <w:szCs w:val="21"/>
        </w:rPr>
        <w:t> </w:t>
      </w:r>
      <w:r>
        <w:rPr>
          <w:rFonts w:ascii="宋体" w:hAnsi="宋体" w:cs="宋体" w:eastAsia="宋体" w:hint="default"/>
          <w:b/>
          <w:bCs/>
          <w:sz w:val="21"/>
          <w:szCs w:val="21"/>
        </w:rPr>
        <w:t>负债的金额。</w:t>
      </w:r>
      <w:r>
        <w:rPr>
          <w:rFonts w:ascii="宋体" w:hAnsi="宋体" w:cs="宋体" w:eastAsia="宋体" w:hint="default"/>
          <w:sz w:val="21"/>
          <w:szCs w:val="21"/>
        </w:rPr>
      </w:r>
    </w:p>
    <w:p>
      <w:pPr>
        <w:tabs>
          <w:tab w:pos="1713" w:val="left" w:leader="none"/>
        </w:tabs>
        <w:spacing w:before="45"/>
        <w:ind w:left="1000" w:right="1598"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其他应收款</w:t>
      </w:r>
      <w:r>
        <w:rPr>
          <w:rFonts w:ascii="宋体" w:hAnsi="宋体" w:cs="宋体" w:eastAsia="宋体" w:hint="default"/>
          <w:sz w:val="21"/>
          <w:szCs w:val="21"/>
        </w:rPr>
      </w:r>
    </w:p>
    <w:p>
      <w:pPr>
        <w:tabs>
          <w:tab w:pos="2256" w:val="left" w:leader="none"/>
        </w:tabs>
        <w:spacing w:before="49"/>
        <w:ind w:left="1717" w:right="1598" w:firstLine="0"/>
        <w:jc w:val="left"/>
        <w:rPr>
          <w:rFonts w:ascii="宋体" w:hAnsi="宋体" w:cs="宋体" w:eastAsia="宋体" w:hint="default"/>
          <w:sz w:val="21"/>
          <w:szCs w:val="21"/>
        </w:rPr>
      </w:pPr>
      <w:r>
        <w:rPr/>
        <w:pict>
          <v:shape style="position:absolute;margin-left:347.699402pt;margin-top:54.313236pt;width:68.1pt;height:17pt;mso-position-horizontal-relative:page;mso-position-vertical-relative:paragraph;z-index:-802552" type="#_x0000_t202" filled="false" stroked="false">
            <v:textbox inset="0,0,0,0">
              <w:txbxContent>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group style="position:absolute;margin-left:67.559998pt;margin-top:17.833235pt;width:491.95pt;height:149.6pt;mso-position-horizontal-relative:page;mso-position-vertical-relative:paragraph;z-index:-802336" coordorigin="1351,357" coordsize="9839,2992">
            <v:group style="position:absolute;left:1380;top:372;width:5691;height:2" coordorigin="1380,372" coordsize="5691,2">
              <v:shape style="position:absolute;left:1380;top:372;width:5691;height:2" coordorigin="1380,372" coordsize="5691,0" path="m1380,372l7070,372e" filled="false" stroked="true" strokeweight="1.5pt" strokecolor="#000000">
                <v:path arrowok="t"/>
              </v:shape>
            </v:group>
            <v:group style="position:absolute;left:7070;top:372;width:4085;height:2" coordorigin="7070,372" coordsize="4085,2">
              <v:shape style="position:absolute;left:7070;top:372;width:4085;height:2" coordorigin="7070,372" coordsize="4085,0" path="m7070,372l11155,372e" filled="false" stroked="true" strokeweight="1.5pt" strokecolor="#000000">
                <v:path arrowok="t"/>
              </v:shape>
              <v:shape style="position:absolute;left:2915;top:367;width:4154;height:379" type="#_x0000_t75" stroked="false">
                <v:imagedata r:id="rId344" o:title=""/>
              </v:shape>
              <v:shape style="position:absolute;left:2916;top:707;width:8258;height:389" type="#_x0000_t75" stroked="false">
                <v:imagedata r:id="rId345" o:title=""/>
              </v:shape>
              <v:shape style="position:absolute;left:2915;top:1057;width:8266;height:389" type="#_x0000_t75" stroked="false">
                <v:imagedata r:id="rId346" o:title=""/>
              </v:shape>
              <v:shape style="position:absolute;left:1351;top:1407;width:9839;height:817" type="#_x0000_t75" stroked="false">
                <v:imagedata r:id="rId347" o:title=""/>
              </v:shape>
              <v:shape style="position:absolute;left:1351;top:2166;width:9839;height:442" type="#_x0000_t75" stroked="false">
                <v:imagedata r:id="rId348" o:title=""/>
              </v:shape>
            </v:group>
            <v:group style="position:absolute;left:2832;top:2590;width:104;height:375" coordorigin="2832,2590" coordsize="104,375">
              <v:shape style="position:absolute;left:2832;top:2590;width:104;height:375" coordorigin="2832,2590" coordsize="104,375" path="m2832,2964l2935,2964,2935,2590,2832,2590,2832,2964xe" filled="true" fillcolor="#ffffff" stroked="false">
                <v:path arrowok="t"/>
                <v:fill type="solid"/>
              </v:shape>
            </v:group>
            <v:group style="position:absolute;left:1380;top:2590;width:108;height:375" coordorigin="1380,2590" coordsize="108,375">
              <v:shape style="position:absolute;left:1380;top:2590;width:108;height:375" coordorigin="1380,2590" coordsize="108,375" path="m1380,2964l1488,2964,1488,2590,1380,2590,1380,2964xe" filled="true" fillcolor="#ffffff" stroked="false">
                <v:path arrowok="t"/>
                <v:fill type="solid"/>
              </v:shape>
            </v:group>
            <v:group style="position:absolute;left:1488;top:2590;width:1344;height:375" coordorigin="1488,2590" coordsize="1344,375">
              <v:shape style="position:absolute;left:1488;top:2590;width:1344;height:375" coordorigin="1488,2590" coordsize="1344,375" path="m1488,2964l2832,2964,2832,2590,1488,2590,1488,2964xe" filled="true" fillcolor="#ffffff" stroked="false">
                <v:path arrowok="t"/>
                <v:fill type="solid"/>
              </v:shape>
            </v:group>
            <v:group style="position:absolute;left:4106;top:2590;width:104;height:375" coordorigin="4106,2590" coordsize="104,375">
              <v:shape style="position:absolute;left:4106;top:2590;width:104;height:375" coordorigin="4106,2590" coordsize="104,375" path="m4106,2964l4210,2964,4210,2590,4106,2590,4106,2964xe" filled="true" fillcolor="#ffffff" stroked="false">
                <v:path arrowok="t"/>
                <v:fill type="solid"/>
              </v:shape>
            </v:group>
            <v:group style="position:absolute;left:2945;top:2590;width:104;height:375" coordorigin="2945,2590" coordsize="104,375">
              <v:shape style="position:absolute;left:2945;top:2590;width:104;height:375" coordorigin="2945,2590" coordsize="104,375" path="m2945,2964l3048,2964,3048,2590,2945,2590,2945,2964xe" filled="true" fillcolor="#ffffff" stroked="false">
                <v:path arrowok="t"/>
                <v:fill type="solid"/>
              </v:shape>
            </v:group>
            <v:group style="position:absolute;left:3048;top:2590;width:1059;height:375" coordorigin="3048,2590" coordsize="1059,375">
              <v:shape style="position:absolute;left:3048;top:2590;width:1059;height:375" coordorigin="3048,2590" coordsize="1059,375" path="m3048,2964l4106,2964,4106,2590,3048,2590,3048,2964xe" filled="true" fillcolor="#ffffff" stroked="false">
                <v:path arrowok="t"/>
                <v:fill type="solid"/>
              </v:shape>
            </v:group>
            <v:group style="position:absolute;left:4952;top:2590;width:104;height:375" coordorigin="4952,2590" coordsize="104,375">
              <v:shape style="position:absolute;left:4952;top:2590;width:104;height:375" coordorigin="4952,2590" coordsize="104,375" path="m4952,2964l5056,2964,5056,2590,4952,2590,4952,2964xe" filled="true" fillcolor="#ffffff" stroked="false">
                <v:path arrowok="t"/>
                <v:fill type="solid"/>
              </v:shape>
            </v:group>
            <v:group style="position:absolute;left:4220;top:2590;width:102;height:375" coordorigin="4220,2590" coordsize="102,375">
              <v:shape style="position:absolute;left:4220;top:2590;width:102;height:375" coordorigin="4220,2590" coordsize="102,375" path="m4220,2964l4322,2964,4322,2590,4220,2590,4220,2964xe" filled="true" fillcolor="#ffffff" stroked="false">
                <v:path arrowok="t"/>
                <v:fill type="solid"/>
              </v:shape>
            </v:group>
            <v:group style="position:absolute;left:4322;top:2590;width:630;height:375" coordorigin="4322,2590" coordsize="630,375">
              <v:shape style="position:absolute;left:4322;top:2590;width:630;height:375" coordorigin="4322,2590" coordsize="630,375" path="m4322,2964l4952,2964,4952,2590,4322,2590,4322,2964xe" filled="true" fillcolor="#ffffff" stroked="false">
                <v:path arrowok="t"/>
                <v:fill type="solid"/>
              </v:shape>
            </v:group>
            <v:group style="position:absolute;left:6228;top:2590;width:104;height:375" coordorigin="6228,2590" coordsize="104,375">
              <v:shape style="position:absolute;left:6228;top:2590;width:104;height:375" coordorigin="6228,2590" coordsize="104,375" path="m6228,2964l6331,2964,6331,2590,6228,2590,6228,2964xe" filled="true" fillcolor="#ffffff" stroked="false">
                <v:path arrowok="t"/>
                <v:fill type="solid"/>
              </v:shape>
            </v:group>
            <v:group style="position:absolute;left:5066;top:2590;width:102;height:375" coordorigin="5066,2590" coordsize="102,375">
              <v:shape style="position:absolute;left:5066;top:2590;width:102;height:375" coordorigin="5066,2590" coordsize="102,375" path="m5066,2964l5168,2964,5168,2590,5066,2590,5066,2964xe" filled="true" fillcolor="#ffffff" stroked="false">
                <v:path arrowok="t"/>
                <v:fill type="solid"/>
              </v:shape>
            </v:group>
            <v:group style="position:absolute;left:5168;top:2590;width:1060;height:375" coordorigin="5168,2590" coordsize="1060,375">
              <v:shape style="position:absolute;left:5168;top:2590;width:1060;height:375" coordorigin="5168,2590" coordsize="1060,375" path="m5168,2964l6228,2964,6228,2590,5168,2590,5168,2964xe" filled="true" fillcolor="#ffffff" stroked="false">
                <v:path arrowok="t"/>
                <v:fill type="solid"/>
              </v:shape>
            </v:group>
            <v:group style="position:absolute;left:6937;top:2590;width:104;height:375" coordorigin="6937,2590" coordsize="104,375">
              <v:shape style="position:absolute;left:6937;top:2590;width:104;height:375" coordorigin="6937,2590" coordsize="104,375" path="m6937,2964l7040,2964,7040,2590,6937,2590,6937,2964xe" filled="true" fillcolor="#ffffff" stroked="false">
                <v:path arrowok="t"/>
                <v:fill type="solid"/>
              </v:shape>
            </v:group>
            <v:group style="position:absolute;left:6341;top:2590;width:104;height:375" coordorigin="6341,2590" coordsize="104,375">
              <v:shape style="position:absolute;left:6341;top:2590;width:104;height:375" coordorigin="6341,2590" coordsize="104,375" path="m6341,2964l6444,2964,6444,2590,6341,2590,6341,2964xe" filled="true" fillcolor="#ffffff" stroked="false">
                <v:path arrowok="t"/>
                <v:fill type="solid"/>
              </v:shape>
            </v:group>
            <v:group style="position:absolute;left:6444;top:2590;width:494;height:375" coordorigin="6444,2590" coordsize="494,375">
              <v:shape style="position:absolute;left:6444;top:2590;width:494;height:375" coordorigin="6444,2590" coordsize="494,375" path="m6444,2964l6937,2964,6937,2590,6444,2590,6444,2964xe" filled="true" fillcolor="#ffffff" stroked="false">
                <v:path arrowok="t"/>
                <v:fill type="solid"/>
              </v:shape>
            </v:group>
            <v:group style="position:absolute;left:8213;top:2590;width:104;height:375" coordorigin="8213,2590" coordsize="104,375">
              <v:shape style="position:absolute;left:8213;top:2590;width:104;height:375" coordorigin="8213,2590" coordsize="104,375" path="m8213,2964l8316,2964,8316,2590,8213,2590,8213,2964xe" filled="true" fillcolor="#ffffff" stroked="false">
                <v:path arrowok="t"/>
                <v:fill type="solid"/>
              </v:shape>
            </v:group>
            <v:group style="position:absolute;left:7050;top:2590;width:104;height:375" coordorigin="7050,2590" coordsize="104,375">
              <v:shape style="position:absolute;left:7050;top:2590;width:104;height:375" coordorigin="7050,2590" coordsize="104,375" path="m7050,2964l7153,2964,7153,2590,7050,2590,7050,2964xe" filled="true" fillcolor="#ffffff" stroked="false">
                <v:path arrowok="t"/>
                <v:fill type="solid"/>
              </v:shape>
            </v:group>
            <v:group style="position:absolute;left:7153;top:2590;width:1060;height:375" coordorigin="7153,2590" coordsize="1060,375">
              <v:shape style="position:absolute;left:7153;top:2590;width:1060;height:375" coordorigin="7153,2590" coordsize="1060,375" path="m7153,2964l8213,2964,8213,2590,7153,2590,7153,2964xe" filled="true" fillcolor="#ffffff" stroked="false">
                <v:path arrowok="t"/>
                <v:fill type="solid"/>
              </v:shape>
            </v:group>
            <v:group style="position:absolute;left:9062;top:2590;width:104;height:375" coordorigin="9062,2590" coordsize="104,375">
              <v:shape style="position:absolute;left:9062;top:2590;width:104;height:375" coordorigin="9062,2590" coordsize="104,375" path="m9062,2964l9166,2964,9166,2590,9062,2590,9062,2964xe" filled="true" fillcolor="#ffffff" stroked="false">
                <v:path arrowok="t"/>
                <v:fill type="solid"/>
              </v:shape>
            </v:group>
            <v:group style="position:absolute;left:8326;top:2590;width:104;height:375" coordorigin="8326,2590" coordsize="104,375">
              <v:shape style="position:absolute;left:8326;top:2590;width:104;height:375" coordorigin="8326,2590" coordsize="104,375" path="m8326,2964l8429,2964,8429,2590,8326,2590,8326,2964xe" filled="true" fillcolor="#ffffff" stroked="false">
                <v:path arrowok="t"/>
                <v:fill type="solid"/>
              </v:shape>
            </v:group>
            <v:group style="position:absolute;left:8429;top:2590;width:634;height:375" coordorigin="8429,2590" coordsize="634,375">
              <v:shape style="position:absolute;left:8429;top:2590;width:634;height:375" coordorigin="8429,2590" coordsize="634,375" path="m8429,2964l9062,2964,9062,2590,8429,2590,8429,2964xe" filled="true" fillcolor="#ffffff" stroked="false">
                <v:path arrowok="t"/>
                <v:fill type="solid"/>
              </v:shape>
            </v:group>
            <v:group style="position:absolute;left:10338;top:2590;width:104;height:375" coordorigin="10338,2590" coordsize="104,375">
              <v:shape style="position:absolute;left:10338;top:2590;width:104;height:375" coordorigin="10338,2590" coordsize="104,375" path="m10338,2964l10441,2964,10441,2590,10338,2590,10338,2964xe" filled="true" fillcolor="#ffffff" stroked="false">
                <v:path arrowok="t"/>
                <v:fill type="solid"/>
              </v:shape>
            </v:group>
            <v:group style="position:absolute;left:9176;top:2590;width:102;height:375" coordorigin="9176,2590" coordsize="102,375">
              <v:shape style="position:absolute;left:9176;top:2590;width:102;height:375" coordorigin="9176,2590" coordsize="102,375" path="m9176,2964l9278,2964,9278,2590,9176,2590,9176,2964xe" filled="true" fillcolor="#ffffff" stroked="false">
                <v:path arrowok="t"/>
                <v:fill type="solid"/>
              </v:shape>
            </v:group>
            <v:group style="position:absolute;left:9278;top:2590;width:1060;height:375" coordorigin="9278,2590" coordsize="1060,375">
              <v:shape style="position:absolute;left:9278;top:2590;width:1060;height:375" coordorigin="9278,2590" coordsize="1060,375" path="m9278,2964l10338,2964,10338,2590,9278,2590,9278,2964xe" filled="true" fillcolor="#ffffff" stroked="false">
                <v:path arrowok="t"/>
                <v:fill type="solid"/>
              </v:shape>
            </v:group>
            <v:group style="position:absolute;left:11047;top:2590;width:108;height:375" coordorigin="11047,2590" coordsize="108,375">
              <v:shape style="position:absolute;left:11047;top:2590;width:108;height:375" coordorigin="11047,2590" coordsize="108,375" path="m11047,2964l11155,2964,11155,2590,11047,2590,11047,2964xe" filled="true" fillcolor="#ffffff" stroked="false">
                <v:path arrowok="t"/>
                <v:fill type="solid"/>
              </v:shape>
            </v:group>
            <v:group style="position:absolute;left:10451;top:2590;width:104;height:375" coordorigin="10451,2590" coordsize="104,375">
              <v:shape style="position:absolute;left:10451;top:2590;width:104;height:375" coordorigin="10451,2590" coordsize="104,375" path="m10451,2964l10554,2964,10554,2590,10451,2590,10451,2964xe" filled="true" fillcolor="#ffffff" stroked="false">
                <v:path arrowok="t"/>
                <v:fill type="solid"/>
              </v:shape>
            </v:group>
            <v:group style="position:absolute;left:10554;top:2590;width:494;height:375" coordorigin="10554,2590" coordsize="494,375">
              <v:shape style="position:absolute;left:10554;top:2590;width:494;height:375" coordorigin="10554,2590" coordsize="494,375" path="m10554,2964l11047,2964,11047,2590,10554,2590,10554,2964xe" filled="true" fillcolor="#ffffff" stroked="false">
                <v:path arrowok="t"/>
                <v:fill type="solid"/>
              </v:shape>
              <v:shape style="position:absolute;left:1351;top:2560;width:9829;height:788" type="#_x0000_t75" stroked="false">
                <v:imagedata r:id="rId349" o:title=""/>
              </v:shape>
              <v:shape style="position:absolute;left:4632;top:5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740;top:5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980;top:86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种类</w:t>
                      </w:r>
                    </w:p>
                  </w:txbxContent>
                </v:textbox>
                <w10:wrap type="none"/>
              </v:shape>
              <v:shape style="position:absolute;left:3641;top:8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5692;top:8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748;top:8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9802;top:8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其他应收款账龄分析</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9"/>
          <w:szCs w:val="19"/>
        </w:rPr>
      </w:pPr>
    </w:p>
    <w:tbl>
      <w:tblPr>
        <w:tblW w:w="0" w:type="auto"/>
        <w:jc w:val="left"/>
        <w:tblInd w:w="653" w:type="dxa"/>
        <w:tblLayout w:type="fixed"/>
        <w:tblCellMar>
          <w:top w:w="0" w:type="dxa"/>
          <w:left w:w="0" w:type="dxa"/>
          <w:bottom w:w="0" w:type="dxa"/>
          <w:right w:w="0" w:type="dxa"/>
        </w:tblCellMar>
        <w:tblLook w:val="01E0"/>
      </w:tblPr>
      <w:tblGrid>
        <w:gridCol w:w="1544"/>
        <w:gridCol w:w="1165"/>
        <w:gridCol w:w="1022"/>
        <w:gridCol w:w="1099"/>
        <w:gridCol w:w="783"/>
        <w:gridCol w:w="1202"/>
        <w:gridCol w:w="1024"/>
        <w:gridCol w:w="1100"/>
        <w:gridCol w:w="852"/>
      </w:tblGrid>
      <w:tr>
        <w:trPr>
          <w:trHeight w:val="703" w:hRule="exact"/>
        </w:trPr>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年以</w:t>
            </w:r>
            <w:r>
              <w:rPr>
                <w:rFonts w:ascii="宋体" w:hAnsi="宋体" w:cs="宋体" w:eastAsia="宋体" w:hint="default"/>
                <w:spacing w:val="-90"/>
                <w:sz w:val="18"/>
                <w:szCs w:val="18"/>
              </w:rPr>
              <w:t>内</w:t>
            </w:r>
            <w:r>
              <w:rPr>
                <w:rFonts w:ascii="宋体" w:hAnsi="宋体" w:cs="宋体" w:eastAsia="宋体" w:hint="default"/>
                <w:sz w:val="18"/>
                <w:szCs w:val="18"/>
              </w:rPr>
              <w:t>（含</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120"/>
              <w:ind w:left="20" w:right="0"/>
              <w:jc w:val="center"/>
              <w:rPr>
                <w:rFonts w:ascii="Times New Roman" w:hAnsi="Times New Roman" w:cs="Times New Roman" w:eastAsia="Times New Roman" w:hint="default"/>
                <w:sz w:val="18"/>
                <w:szCs w:val="18"/>
              </w:rPr>
            </w:pPr>
            <w:r>
              <w:rPr>
                <w:rFonts w:ascii="Times New Roman"/>
                <w:sz w:val="18"/>
              </w:rPr>
              <w:t>33,752,294.45</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2"/>
              <w:jc w:val="center"/>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106"/>
              <w:ind w:left="153" w:right="0"/>
              <w:jc w:val="center"/>
              <w:rPr>
                <w:rFonts w:ascii="Times New Roman" w:hAnsi="Times New Roman" w:cs="Times New Roman" w:eastAsia="Times New Roman" w:hint="default"/>
                <w:sz w:val="18"/>
                <w:szCs w:val="18"/>
              </w:rPr>
            </w:pPr>
            <w:r>
              <w:rPr>
                <w:rFonts w:ascii="Times New Roman"/>
                <w:sz w:val="18"/>
              </w:rPr>
              <w:t>94.98</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69"/>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120"/>
              <w:ind w:left="43" w:right="0"/>
              <w:jc w:val="center"/>
              <w:rPr>
                <w:rFonts w:ascii="Times New Roman" w:hAnsi="Times New Roman" w:cs="Times New Roman" w:eastAsia="Times New Roman" w:hint="default"/>
                <w:sz w:val="18"/>
                <w:szCs w:val="18"/>
              </w:rPr>
            </w:pPr>
            <w:r>
              <w:rPr>
                <w:rFonts w:ascii="Times New Roman"/>
                <w:sz w:val="18"/>
              </w:rPr>
              <w:t>1,563,697.61</w:t>
            </w:r>
          </w:p>
        </w:tc>
        <w:tc>
          <w:tcPr>
            <w:tcW w:w="78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w:t>
            </w:r>
            <w:r>
              <w:rPr>
                <w:rFonts w:ascii="宋体" w:hAnsi="宋体" w:cs="宋体" w:eastAsia="宋体" w:hint="default"/>
                <w:spacing w:val="-74"/>
                <w:sz w:val="18"/>
                <w:szCs w:val="18"/>
              </w:rPr>
              <w:t>例</w:t>
            </w:r>
            <w:r>
              <w:rPr>
                <w:rFonts w:ascii="宋体" w:hAnsi="宋体" w:cs="宋体" w:eastAsia="宋体" w:hint="default"/>
                <w:sz w:val="18"/>
                <w:szCs w:val="18"/>
              </w:rPr>
              <w:t>（</w:t>
            </w:r>
            <w:r>
              <w:rPr>
                <w:rFonts w:ascii="Times New Roman" w:hAnsi="Times New Roman" w:cs="Times New Roman" w:eastAsia="Times New Roman" w:hint="default"/>
                <w:sz w:val="18"/>
                <w:szCs w:val="18"/>
              </w:rPr>
              <w:t>%</w:t>
            </w:r>
          </w:p>
          <w:p>
            <w:pPr>
              <w:pStyle w:val="TableParagraph"/>
              <w:spacing w:line="240" w:lineRule="auto" w:before="106"/>
              <w:ind w:left="338" w:right="0"/>
              <w:jc w:val="left"/>
              <w:rPr>
                <w:rFonts w:ascii="Times New Roman" w:hAnsi="Times New Roman" w:cs="Times New Roman" w:eastAsia="Times New Roman" w:hint="default"/>
                <w:sz w:val="18"/>
                <w:szCs w:val="18"/>
              </w:rPr>
            </w:pPr>
            <w:r>
              <w:rPr>
                <w:rFonts w:ascii="Times New Roman"/>
                <w:sz w:val="18"/>
              </w:rPr>
              <w:t>4.63</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4" w:right="0"/>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120"/>
              <w:ind w:left="56" w:right="0"/>
              <w:jc w:val="center"/>
              <w:rPr>
                <w:rFonts w:ascii="Times New Roman" w:hAnsi="Times New Roman" w:cs="Times New Roman" w:eastAsia="Times New Roman" w:hint="default"/>
                <w:sz w:val="18"/>
                <w:szCs w:val="18"/>
              </w:rPr>
            </w:pPr>
            <w:r>
              <w:rPr>
                <w:rFonts w:ascii="Times New Roman"/>
                <w:sz w:val="18"/>
              </w:rPr>
              <w:t>17,815,514.68</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106"/>
              <w:ind w:left="389" w:right="0"/>
              <w:jc w:val="left"/>
              <w:rPr>
                <w:rFonts w:ascii="Times New Roman" w:hAnsi="Times New Roman" w:cs="Times New Roman" w:eastAsia="Times New Roman" w:hint="default"/>
                <w:sz w:val="18"/>
                <w:szCs w:val="18"/>
              </w:rPr>
            </w:pPr>
            <w:r>
              <w:rPr>
                <w:rFonts w:ascii="Times New Roman"/>
                <w:sz w:val="18"/>
              </w:rPr>
              <w:t>85.83</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36" w:right="0"/>
              <w:jc w:val="left"/>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120"/>
              <w:ind w:left="241" w:right="0"/>
              <w:jc w:val="left"/>
              <w:rPr>
                <w:rFonts w:ascii="Times New Roman" w:hAnsi="Times New Roman" w:cs="Times New Roman" w:eastAsia="Times New Roman" w:hint="default"/>
                <w:sz w:val="18"/>
                <w:szCs w:val="18"/>
              </w:rPr>
            </w:pPr>
            <w:r>
              <w:rPr>
                <w:rFonts w:ascii="Times New Roman"/>
                <w:sz w:val="18"/>
              </w:rPr>
              <w:t>798,627.11</w:t>
            </w: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5" w:right="0"/>
              <w:jc w:val="center"/>
              <w:rPr>
                <w:rFonts w:ascii="宋体" w:hAnsi="宋体" w:cs="宋体" w:eastAsia="宋体" w:hint="default"/>
                <w:sz w:val="18"/>
                <w:szCs w:val="18"/>
              </w:rPr>
            </w:pPr>
            <w:r>
              <w:rPr>
                <w:rFonts w:ascii="宋体" w:hAnsi="宋体" w:cs="宋体" w:eastAsia="宋体" w:hint="default"/>
                <w:sz w:val="18"/>
                <w:szCs w:val="18"/>
              </w:rPr>
              <w:t>比</w:t>
            </w:r>
            <w:r>
              <w:rPr>
                <w:rFonts w:ascii="宋体" w:hAnsi="宋体" w:cs="宋体" w:eastAsia="宋体" w:hint="default"/>
                <w:spacing w:val="-74"/>
                <w:sz w:val="18"/>
                <w:szCs w:val="18"/>
              </w:rPr>
              <w:t>例</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106"/>
              <w:ind w:left="142" w:right="0"/>
              <w:jc w:val="center"/>
              <w:rPr>
                <w:rFonts w:ascii="Times New Roman" w:hAnsi="Times New Roman" w:cs="Times New Roman" w:eastAsia="Times New Roman" w:hint="default"/>
                <w:sz w:val="18"/>
                <w:szCs w:val="18"/>
              </w:rPr>
            </w:pPr>
            <w:r>
              <w:rPr>
                <w:rFonts w:ascii="Times New Roman"/>
                <w:sz w:val="18"/>
              </w:rPr>
              <w:t>4.48</w:t>
            </w:r>
          </w:p>
        </w:tc>
      </w:tr>
      <w:tr>
        <w:trPr>
          <w:trHeight w:val="384" w:hRule="exact"/>
        </w:trPr>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1"/>
              <w:jc w:val="right"/>
              <w:rPr>
                <w:rFonts w:ascii="Times New Roman" w:hAnsi="Times New Roman" w:cs="Times New Roman" w:eastAsia="Times New Roman" w:hint="default"/>
                <w:sz w:val="18"/>
                <w:szCs w:val="18"/>
              </w:rPr>
            </w:pPr>
            <w:r>
              <w:rPr>
                <w:rFonts w:ascii="Times New Roman"/>
                <w:sz w:val="18"/>
              </w:rPr>
              <w:t>993,781.41</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9"/>
              <w:jc w:val="right"/>
              <w:rPr>
                <w:rFonts w:ascii="Times New Roman" w:hAnsi="Times New Roman" w:cs="Times New Roman" w:eastAsia="Times New Roman" w:hint="default"/>
                <w:sz w:val="18"/>
                <w:szCs w:val="18"/>
              </w:rPr>
            </w:pPr>
            <w:r>
              <w:rPr>
                <w:rFonts w:ascii="Times New Roman"/>
                <w:sz w:val="18"/>
              </w:rPr>
              <w:t>2.80</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2"/>
              <w:jc w:val="right"/>
              <w:rPr>
                <w:rFonts w:ascii="Times New Roman" w:hAnsi="Times New Roman" w:cs="Times New Roman" w:eastAsia="Times New Roman" w:hint="default"/>
                <w:sz w:val="18"/>
                <w:szCs w:val="18"/>
              </w:rPr>
            </w:pPr>
            <w:r>
              <w:rPr>
                <w:rFonts w:ascii="Times New Roman"/>
                <w:sz w:val="18"/>
              </w:rPr>
              <w:t>99,378.14</w:t>
            </w:r>
          </w:p>
        </w:tc>
        <w:tc>
          <w:tcPr>
            <w:tcW w:w="78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26"/>
              <w:jc w:val="right"/>
              <w:rPr>
                <w:rFonts w:ascii="Times New Roman" w:hAnsi="Times New Roman" w:cs="Times New Roman" w:eastAsia="Times New Roman" w:hint="default"/>
                <w:sz w:val="18"/>
                <w:szCs w:val="18"/>
              </w:rPr>
            </w:pPr>
            <w:r>
              <w:rPr>
                <w:rFonts w:ascii="Times New Roman"/>
                <w:sz w:val="18"/>
              </w:rPr>
              <w:t>10.00</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2"/>
              <w:jc w:val="right"/>
              <w:rPr>
                <w:rFonts w:ascii="Times New Roman" w:hAnsi="Times New Roman" w:cs="Times New Roman" w:eastAsia="Times New Roman" w:hint="default"/>
                <w:sz w:val="18"/>
                <w:szCs w:val="18"/>
              </w:rPr>
            </w:pPr>
            <w:r>
              <w:rPr>
                <w:rFonts w:ascii="Times New Roman"/>
                <w:spacing w:val="-1"/>
                <w:sz w:val="18"/>
              </w:rPr>
              <w:t>2,371,366.64</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7"/>
              <w:jc w:val="right"/>
              <w:rPr>
                <w:rFonts w:ascii="Times New Roman" w:hAnsi="Times New Roman" w:cs="Times New Roman" w:eastAsia="Times New Roman" w:hint="default"/>
                <w:sz w:val="18"/>
                <w:szCs w:val="18"/>
              </w:rPr>
            </w:pPr>
            <w:r>
              <w:rPr>
                <w:rFonts w:ascii="Times New Roman"/>
                <w:spacing w:val="-2"/>
                <w:sz w:val="18"/>
              </w:rPr>
              <w:t>11.42</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3"/>
              <w:jc w:val="right"/>
              <w:rPr>
                <w:rFonts w:ascii="Times New Roman" w:hAnsi="Times New Roman" w:cs="Times New Roman" w:eastAsia="Times New Roman" w:hint="default"/>
                <w:sz w:val="18"/>
                <w:szCs w:val="18"/>
              </w:rPr>
            </w:pPr>
            <w:r>
              <w:rPr>
                <w:rFonts w:ascii="Times New Roman"/>
                <w:sz w:val="18"/>
              </w:rPr>
              <w:t>237,136.66</w:t>
            </w: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2" w:right="0"/>
              <w:jc w:val="center"/>
              <w:rPr>
                <w:rFonts w:ascii="Times New Roman" w:hAnsi="Times New Roman" w:cs="Times New Roman" w:eastAsia="Times New Roman" w:hint="default"/>
                <w:sz w:val="18"/>
                <w:szCs w:val="18"/>
              </w:rPr>
            </w:pPr>
            <w:r>
              <w:rPr>
                <w:rFonts w:ascii="Times New Roman"/>
                <w:sz w:val="18"/>
              </w:rPr>
              <w:t>10.00</w:t>
            </w:r>
          </w:p>
        </w:tc>
      </w:tr>
      <w:tr>
        <w:trPr>
          <w:trHeight w:val="385" w:hRule="exact"/>
        </w:trPr>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1"/>
              <w:jc w:val="right"/>
              <w:rPr>
                <w:rFonts w:ascii="Times New Roman" w:hAnsi="Times New Roman" w:cs="Times New Roman" w:eastAsia="Times New Roman" w:hint="default"/>
                <w:sz w:val="18"/>
                <w:szCs w:val="18"/>
              </w:rPr>
            </w:pPr>
            <w:r>
              <w:rPr>
                <w:rFonts w:ascii="Times New Roman"/>
                <w:sz w:val="18"/>
              </w:rPr>
              <w:t>219,028.77</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9"/>
              <w:jc w:val="right"/>
              <w:rPr>
                <w:rFonts w:ascii="Times New Roman" w:hAnsi="Times New Roman" w:cs="Times New Roman" w:eastAsia="Times New Roman" w:hint="default"/>
                <w:sz w:val="18"/>
                <w:szCs w:val="18"/>
              </w:rPr>
            </w:pPr>
            <w:r>
              <w:rPr>
                <w:rFonts w:ascii="Times New Roman"/>
                <w:sz w:val="18"/>
              </w:rPr>
              <w:t>0.62</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2"/>
              <w:jc w:val="right"/>
              <w:rPr>
                <w:rFonts w:ascii="Times New Roman" w:hAnsi="Times New Roman" w:cs="Times New Roman" w:eastAsia="Times New Roman" w:hint="default"/>
                <w:sz w:val="18"/>
                <w:szCs w:val="18"/>
              </w:rPr>
            </w:pPr>
            <w:r>
              <w:rPr>
                <w:rFonts w:ascii="Times New Roman"/>
                <w:sz w:val="18"/>
              </w:rPr>
              <w:t>109,514.39</w:t>
            </w:r>
          </w:p>
        </w:tc>
        <w:tc>
          <w:tcPr>
            <w:tcW w:w="78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26"/>
              <w:jc w:val="right"/>
              <w:rPr>
                <w:rFonts w:ascii="Times New Roman" w:hAnsi="Times New Roman" w:cs="Times New Roman" w:eastAsia="Times New Roman" w:hint="default"/>
                <w:sz w:val="18"/>
                <w:szCs w:val="18"/>
              </w:rPr>
            </w:pPr>
            <w:r>
              <w:rPr>
                <w:rFonts w:ascii="Times New Roman"/>
                <w:sz w:val="18"/>
              </w:rPr>
              <w:t>50.00</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2"/>
              <w:jc w:val="right"/>
              <w:rPr>
                <w:rFonts w:ascii="Times New Roman" w:hAnsi="Times New Roman" w:cs="Times New Roman" w:eastAsia="Times New Roman" w:hint="default"/>
                <w:sz w:val="18"/>
                <w:szCs w:val="18"/>
              </w:rPr>
            </w:pPr>
            <w:r>
              <w:rPr>
                <w:rFonts w:ascii="Times New Roman"/>
                <w:sz w:val="18"/>
              </w:rPr>
              <w:t>271,788.90</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27"/>
              <w:jc w:val="right"/>
              <w:rPr>
                <w:rFonts w:ascii="Times New Roman" w:hAnsi="Times New Roman" w:cs="Times New Roman" w:eastAsia="Times New Roman" w:hint="default"/>
                <w:sz w:val="18"/>
                <w:szCs w:val="18"/>
              </w:rPr>
            </w:pPr>
            <w:r>
              <w:rPr>
                <w:rFonts w:ascii="Times New Roman"/>
                <w:sz w:val="18"/>
              </w:rPr>
              <w:t>1.31</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3"/>
              <w:jc w:val="right"/>
              <w:rPr>
                <w:rFonts w:ascii="Times New Roman" w:hAnsi="Times New Roman" w:cs="Times New Roman" w:eastAsia="Times New Roman" w:hint="default"/>
                <w:sz w:val="18"/>
                <w:szCs w:val="18"/>
              </w:rPr>
            </w:pPr>
            <w:r>
              <w:rPr>
                <w:rFonts w:ascii="Times New Roman"/>
                <w:sz w:val="18"/>
              </w:rPr>
              <w:t>135,894.45</w:t>
            </w: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2" w:right="0"/>
              <w:jc w:val="center"/>
              <w:rPr>
                <w:rFonts w:ascii="Times New Roman" w:hAnsi="Times New Roman" w:cs="Times New Roman" w:eastAsia="Times New Roman" w:hint="default"/>
                <w:sz w:val="18"/>
                <w:szCs w:val="18"/>
              </w:rPr>
            </w:pPr>
            <w:r>
              <w:rPr>
                <w:rFonts w:ascii="Times New Roman"/>
                <w:sz w:val="18"/>
              </w:rPr>
              <w:t>50.00</w:t>
            </w:r>
          </w:p>
        </w:tc>
      </w:tr>
      <w:tr>
        <w:trPr>
          <w:trHeight w:val="385" w:hRule="exact"/>
        </w:trPr>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1"/>
              <w:jc w:val="right"/>
              <w:rPr>
                <w:rFonts w:ascii="Times New Roman" w:hAnsi="Times New Roman" w:cs="Times New Roman" w:eastAsia="Times New Roman" w:hint="default"/>
                <w:sz w:val="18"/>
                <w:szCs w:val="18"/>
              </w:rPr>
            </w:pPr>
            <w:r>
              <w:rPr>
                <w:rFonts w:ascii="Times New Roman"/>
                <w:sz w:val="18"/>
              </w:rPr>
              <w:t>570,507.61</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9"/>
              <w:jc w:val="right"/>
              <w:rPr>
                <w:rFonts w:ascii="Times New Roman" w:hAnsi="Times New Roman" w:cs="Times New Roman" w:eastAsia="Times New Roman" w:hint="default"/>
                <w:sz w:val="18"/>
                <w:szCs w:val="18"/>
              </w:rPr>
            </w:pPr>
            <w:r>
              <w:rPr>
                <w:rFonts w:ascii="Times New Roman"/>
                <w:sz w:val="18"/>
              </w:rPr>
              <w:t>1.60</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2"/>
              <w:jc w:val="right"/>
              <w:rPr>
                <w:rFonts w:ascii="Times New Roman" w:hAnsi="Times New Roman" w:cs="Times New Roman" w:eastAsia="Times New Roman" w:hint="default"/>
                <w:sz w:val="18"/>
                <w:szCs w:val="18"/>
              </w:rPr>
            </w:pPr>
            <w:r>
              <w:rPr>
                <w:rFonts w:ascii="Times New Roman"/>
                <w:sz w:val="18"/>
              </w:rPr>
              <w:t>513,456.85</w:t>
            </w:r>
          </w:p>
        </w:tc>
        <w:tc>
          <w:tcPr>
            <w:tcW w:w="78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6"/>
              <w:jc w:val="right"/>
              <w:rPr>
                <w:rFonts w:ascii="Times New Roman" w:hAnsi="Times New Roman" w:cs="Times New Roman" w:eastAsia="Times New Roman" w:hint="default"/>
                <w:sz w:val="18"/>
                <w:szCs w:val="18"/>
              </w:rPr>
            </w:pPr>
            <w:r>
              <w:rPr>
                <w:rFonts w:ascii="Times New Roman"/>
                <w:sz w:val="18"/>
              </w:rPr>
              <w:t>90.00</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2"/>
              <w:jc w:val="right"/>
              <w:rPr>
                <w:rFonts w:ascii="Times New Roman" w:hAnsi="Times New Roman" w:cs="Times New Roman" w:eastAsia="Times New Roman" w:hint="default"/>
                <w:sz w:val="18"/>
                <w:szCs w:val="18"/>
              </w:rPr>
            </w:pPr>
            <w:r>
              <w:rPr>
                <w:rFonts w:ascii="Times New Roman"/>
                <w:sz w:val="18"/>
              </w:rPr>
              <w:t>298,718.71</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7"/>
              <w:jc w:val="right"/>
              <w:rPr>
                <w:rFonts w:ascii="Times New Roman" w:hAnsi="Times New Roman" w:cs="Times New Roman" w:eastAsia="Times New Roman" w:hint="default"/>
                <w:sz w:val="18"/>
                <w:szCs w:val="18"/>
              </w:rPr>
            </w:pPr>
            <w:r>
              <w:rPr>
                <w:rFonts w:ascii="Times New Roman"/>
                <w:sz w:val="18"/>
              </w:rPr>
              <w:t>1.44</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3"/>
              <w:jc w:val="right"/>
              <w:rPr>
                <w:rFonts w:ascii="Times New Roman" w:hAnsi="Times New Roman" w:cs="Times New Roman" w:eastAsia="Times New Roman" w:hint="default"/>
                <w:sz w:val="18"/>
                <w:szCs w:val="18"/>
              </w:rPr>
            </w:pPr>
            <w:r>
              <w:rPr>
                <w:rFonts w:ascii="Times New Roman"/>
                <w:sz w:val="18"/>
              </w:rPr>
              <w:t>268,846.84</w:t>
            </w: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82"/>
              <w:ind w:left="52" w:right="0"/>
              <w:jc w:val="center"/>
              <w:rPr>
                <w:rFonts w:ascii="Times New Roman" w:hAnsi="Times New Roman" w:cs="Times New Roman" w:eastAsia="Times New Roman" w:hint="default"/>
                <w:sz w:val="18"/>
                <w:szCs w:val="18"/>
              </w:rPr>
            </w:pPr>
            <w:r>
              <w:rPr>
                <w:rFonts w:ascii="Times New Roman"/>
                <w:sz w:val="18"/>
              </w:rPr>
              <w:t>90.00</w:t>
            </w:r>
          </w:p>
        </w:tc>
      </w:tr>
      <w:tr>
        <w:trPr>
          <w:trHeight w:val="389" w:hRule="exact"/>
        </w:trPr>
        <w:tc>
          <w:tcPr>
            <w:tcW w:w="1544"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129"/>
              <w:jc w:val="center"/>
              <w:rPr>
                <w:rFonts w:ascii="宋体" w:hAnsi="宋体" w:cs="宋体" w:eastAsia="宋体" w:hint="default"/>
                <w:sz w:val="18"/>
                <w:szCs w:val="18"/>
              </w:rPr>
            </w:pPr>
            <w:r>
              <w:rPr>
                <w:rFonts w:ascii="宋体" w:hAnsi="宋体" w:cs="宋体" w:eastAsia="宋体" w:hint="default"/>
                <w:sz w:val="18"/>
                <w:szCs w:val="18"/>
              </w:rPr>
              <w:t>合计</w:t>
            </w:r>
          </w:p>
        </w:tc>
        <w:tc>
          <w:tcPr>
            <w:tcW w:w="1165"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52"/>
              <w:jc w:val="right"/>
              <w:rPr>
                <w:rFonts w:ascii="Times New Roman" w:hAnsi="Times New Roman" w:cs="Times New Roman" w:eastAsia="Times New Roman" w:hint="default"/>
                <w:sz w:val="18"/>
                <w:szCs w:val="18"/>
              </w:rPr>
            </w:pPr>
            <w:r>
              <w:rPr>
                <w:rFonts w:ascii="Times New Roman"/>
                <w:spacing w:val="-1"/>
                <w:sz w:val="18"/>
              </w:rPr>
              <w:t>35,535,612.24</w:t>
            </w:r>
          </w:p>
        </w:tc>
        <w:tc>
          <w:tcPr>
            <w:tcW w:w="1022"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29"/>
              <w:jc w:val="right"/>
              <w:rPr>
                <w:rFonts w:ascii="Times New Roman" w:hAnsi="Times New Roman" w:cs="Times New Roman" w:eastAsia="Times New Roman" w:hint="default"/>
                <w:sz w:val="18"/>
                <w:szCs w:val="18"/>
              </w:rPr>
            </w:pPr>
            <w:r>
              <w:rPr>
                <w:rFonts w:ascii="Times New Roman"/>
                <w:sz w:val="18"/>
              </w:rPr>
              <w:t>100.00</w:t>
            </w:r>
          </w:p>
        </w:tc>
        <w:tc>
          <w:tcPr>
            <w:tcW w:w="1099"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52"/>
              <w:jc w:val="right"/>
              <w:rPr>
                <w:rFonts w:ascii="Times New Roman" w:hAnsi="Times New Roman" w:cs="Times New Roman" w:eastAsia="Times New Roman" w:hint="default"/>
                <w:sz w:val="18"/>
                <w:szCs w:val="18"/>
              </w:rPr>
            </w:pPr>
            <w:r>
              <w:rPr>
                <w:rFonts w:ascii="Times New Roman"/>
                <w:spacing w:val="-1"/>
                <w:sz w:val="18"/>
              </w:rPr>
              <w:t>2,286,046.99</w:t>
            </w:r>
          </w:p>
        </w:tc>
        <w:tc>
          <w:tcPr>
            <w:tcW w:w="783"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26"/>
              <w:jc w:val="right"/>
              <w:rPr>
                <w:rFonts w:ascii="Times New Roman" w:hAnsi="Times New Roman" w:cs="Times New Roman" w:eastAsia="Times New Roman" w:hint="default"/>
                <w:sz w:val="18"/>
                <w:szCs w:val="18"/>
              </w:rPr>
            </w:pPr>
            <w:r>
              <w:rPr>
                <w:rFonts w:ascii="Times New Roman"/>
                <w:sz w:val="18"/>
              </w:rPr>
              <w:t>6.43</w:t>
            </w:r>
          </w:p>
        </w:tc>
        <w:tc>
          <w:tcPr>
            <w:tcW w:w="1202"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52"/>
              <w:jc w:val="right"/>
              <w:rPr>
                <w:rFonts w:ascii="Times New Roman" w:hAnsi="Times New Roman" w:cs="Times New Roman" w:eastAsia="Times New Roman" w:hint="default"/>
                <w:sz w:val="18"/>
                <w:szCs w:val="18"/>
              </w:rPr>
            </w:pPr>
            <w:r>
              <w:rPr>
                <w:rFonts w:ascii="Times New Roman"/>
                <w:spacing w:val="-1"/>
                <w:sz w:val="18"/>
              </w:rPr>
              <w:t>20,757,388.93</w:t>
            </w:r>
          </w:p>
        </w:tc>
        <w:tc>
          <w:tcPr>
            <w:tcW w:w="1024"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27"/>
              <w:jc w:val="right"/>
              <w:rPr>
                <w:rFonts w:ascii="Times New Roman" w:hAnsi="Times New Roman" w:cs="Times New Roman" w:eastAsia="Times New Roman" w:hint="default"/>
                <w:sz w:val="18"/>
                <w:szCs w:val="18"/>
              </w:rPr>
            </w:pPr>
            <w:r>
              <w:rPr>
                <w:rFonts w:ascii="Times New Roman"/>
                <w:sz w:val="18"/>
              </w:rPr>
              <w:t>100.00</w:t>
            </w:r>
          </w:p>
        </w:tc>
        <w:tc>
          <w:tcPr>
            <w:tcW w:w="1100"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53"/>
              <w:jc w:val="right"/>
              <w:rPr>
                <w:rFonts w:ascii="Times New Roman" w:hAnsi="Times New Roman" w:cs="Times New Roman" w:eastAsia="Times New Roman" w:hint="default"/>
                <w:sz w:val="18"/>
                <w:szCs w:val="18"/>
              </w:rPr>
            </w:pPr>
            <w:r>
              <w:rPr>
                <w:rFonts w:ascii="Times New Roman"/>
                <w:spacing w:val="-1"/>
                <w:sz w:val="18"/>
              </w:rPr>
              <w:t>1,440,505.06</w:t>
            </w:r>
          </w:p>
        </w:tc>
        <w:tc>
          <w:tcPr>
            <w:tcW w:w="852"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left="142" w:right="0"/>
              <w:jc w:val="center"/>
              <w:rPr>
                <w:rFonts w:ascii="Times New Roman" w:hAnsi="Times New Roman" w:cs="Times New Roman" w:eastAsia="Times New Roman" w:hint="default"/>
                <w:sz w:val="18"/>
                <w:szCs w:val="18"/>
              </w:rPr>
            </w:pPr>
            <w:r>
              <w:rPr>
                <w:rFonts w:ascii="Times New Roman"/>
                <w:sz w:val="18"/>
              </w:rPr>
              <w:t>6.94</w:t>
            </w:r>
          </w:p>
        </w:tc>
      </w:tr>
    </w:tbl>
    <w:p>
      <w:pPr>
        <w:spacing w:line="240" w:lineRule="auto" w:before="10"/>
        <w:rPr>
          <w:rFonts w:ascii="宋体" w:hAnsi="宋体" w:cs="宋体" w:eastAsia="宋体" w:hint="default"/>
          <w:b/>
          <w:bCs/>
          <w:sz w:val="27"/>
          <w:szCs w:val="27"/>
        </w:rPr>
      </w:pPr>
    </w:p>
    <w:p>
      <w:pPr>
        <w:tabs>
          <w:tab w:pos="2273" w:val="left" w:leader="none"/>
        </w:tabs>
        <w:spacing w:before="35"/>
        <w:ind w:left="1717" w:right="1598"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其他应收款按种类披露：</w:t>
      </w:r>
      <w:r>
        <w:rPr>
          <w:rFonts w:ascii="宋体" w:hAnsi="宋体" w:cs="宋体" w:eastAsia="宋体" w:hint="default"/>
          <w:sz w:val="21"/>
          <w:szCs w:val="21"/>
        </w:rPr>
      </w:r>
    </w:p>
    <w:p>
      <w:pPr>
        <w:spacing w:line="3724" w:lineRule="exact"/>
        <w:ind w:left="119" w:right="0" w:firstLine="0"/>
        <w:rPr>
          <w:rFonts w:ascii="宋体" w:hAnsi="宋体" w:cs="宋体" w:eastAsia="宋体" w:hint="default"/>
          <w:sz w:val="20"/>
          <w:szCs w:val="20"/>
        </w:rPr>
      </w:pPr>
      <w:r>
        <w:rPr>
          <w:rFonts w:ascii="宋体" w:hAnsi="宋体" w:cs="宋体" w:eastAsia="宋体" w:hint="default"/>
          <w:position w:val="-73"/>
          <w:sz w:val="20"/>
          <w:szCs w:val="20"/>
        </w:rPr>
        <w:pict>
          <v:group style="width:508.45pt;height:186.25pt;mso-position-horizontal-relative:char;mso-position-vertical-relative:line" coordorigin="0,0" coordsize="10169,3725">
            <v:group style="position:absolute;left:29;top:15;width:10065;height:2" coordorigin="29,15" coordsize="10065,2">
              <v:shape style="position:absolute;left:29;top:15;width:10065;height:2" coordorigin="29,15" coordsize="10065,0" path="m29,15l10094,15e" filled="false" stroked="true" strokeweight="1.5pt" strokecolor="#000000">
                <v:path arrowok="t"/>
              </v:shape>
              <v:shape style="position:absolute;left:1945;top:8;width:4066;height:403" type="#_x0000_t75" stroked="false">
                <v:imagedata r:id="rId350" o:title=""/>
              </v:shape>
              <v:shape style="position:absolute;left:1947;top:371;width:8173;height:1139" type="#_x0000_t75" stroked="false">
                <v:imagedata r:id="rId351" o:title=""/>
              </v:shape>
            </v:group>
            <v:group style="position:absolute;left:15;top:3710;width:1952;height:2" coordorigin="15,3710" coordsize="1952,2">
              <v:shape style="position:absolute;left:15;top:3710;width:1952;height:2" coordorigin="15,3710" coordsize="1952,0" path="m15,3710l1966,3710e" filled="false" stroked="true" strokeweight="1.5pt" strokecolor="#000000">
                <v:path arrowok="t"/>
              </v:shape>
            </v:group>
            <v:group style="position:absolute;left:1966;top:3710;width:1319;height:2" coordorigin="1966,3710" coordsize="1319,2">
              <v:shape style="position:absolute;left:1966;top:3710;width:1319;height:2" coordorigin="1966,3710" coordsize="1319,0" path="m1966,3710l3285,3710e" filled="false" stroked="true" strokeweight="1.5pt" strokecolor="#000000">
                <v:path arrowok="t"/>
              </v:shape>
            </v:group>
            <v:group style="position:absolute;left:3285;top:3710;width:852;height:2" coordorigin="3285,3710" coordsize="852,2">
              <v:shape style="position:absolute;left:3285;top:3710;width:852;height:2" coordorigin="3285,3710" coordsize="852,0" path="m3285,3710l4137,3710e" filled="false" stroked="true" strokeweight="1.5pt" strokecolor="#000000">
                <v:path arrowok="t"/>
              </v:shape>
            </v:group>
            <v:group style="position:absolute;left:4137;top:3710;width:1275;height:2" coordorigin="4137,3710" coordsize="1275,2">
              <v:shape style="position:absolute;left:4137;top:3710;width:1275;height:2" coordorigin="4137,3710" coordsize="1275,0" path="m4137,3710l5411,3710e" filled="false" stroked="true" strokeweight="1.5pt" strokecolor="#000000">
                <v:path arrowok="t"/>
              </v:shape>
            </v:group>
            <v:group style="position:absolute;left:5411;top:3710;width:568;height:2" coordorigin="5411,3710" coordsize="568,2">
              <v:shape style="position:absolute;left:5411;top:3710;width:568;height:2" coordorigin="5411,3710" coordsize="568,0" path="m5411,3710l5979,3710e" filled="false" stroked="true" strokeweight="1.5pt" strokecolor="#000000">
                <v:path arrowok="t"/>
              </v:shape>
            </v:group>
            <v:group style="position:absolute;left:5979;top:3710;width:1276;height:2" coordorigin="5979,3710" coordsize="1276,2">
              <v:shape style="position:absolute;left:5979;top:3710;width:1276;height:2" coordorigin="5979,3710" coordsize="1276,0" path="m5979,3710l7255,3710e" filled="false" stroked="true" strokeweight="1.5pt" strokecolor="#000000">
                <v:path arrowok="t"/>
              </v:shape>
            </v:group>
            <v:group style="position:absolute;left:7255;top:3710;width:851;height:2" coordorigin="7255,3710" coordsize="851,2">
              <v:shape style="position:absolute;left:7255;top:3710;width:851;height:2" coordorigin="7255,3710" coordsize="851,0" path="m7255,3710l8105,3710e" filled="false" stroked="true" strokeweight="1.5pt" strokecolor="#000000">
                <v:path arrowok="t"/>
              </v:shape>
            </v:group>
            <v:group style="position:absolute;left:8105;top:3710;width:1276;height:2" coordorigin="8105,3710" coordsize="1276,2">
              <v:shape style="position:absolute;left:8105;top:3710;width:1276;height:2" coordorigin="8105,3710" coordsize="1276,0" path="m8105,3710l9381,3710e" filled="false" stroked="true" strokeweight="1.5pt" strokecolor="#000000">
                <v:path arrowok="t"/>
              </v:shape>
              <v:shape style="position:absolute;left:10;top:1471;width:10110;height:2224" type="#_x0000_t75" stroked="false">
                <v:imagedata r:id="rId352" o:title=""/>
              </v:shape>
            </v:group>
            <v:group style="position:absolute;left:9381;top:3710;width:713;height:2" coordorigin="9381,3710" coordsize="713,2">
              <v:shape style="position:absolute;left:9381;top:3710;width:713;height:2" coordorigin="9381,3710" coordsize="713,0" path="m9381,3710l10094,3710e" filled="false" stroked="true" strokeweight="1.5pt" strokecolor="#000000">
                <v:path arrowok="t"/>
              </v:shape>
              <v:shape style="position:absolute;left:3616;top:18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7678;top:18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696;top:5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701;top:5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6686;top:5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8741;top:5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820;top:73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种类</w:t>
                      </w:r>
                    </w:p>
                  </w:txbxContent>
                </v:textbox>
                <w10:wrap type="none"/>
              </v:shape>
              <v:shape style="position:absolute;left:2450;top:1103;width:1712;height:190" type="#_x0000_t202" filled="false" stroked="false">
                <v:textbox inset="0,0,0,0">
                  <w:txbxContent>
                    <w:p>
                      <w:pPr>
                        <w:tabs>
                          <w:tab w:pos="841"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tab/>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4598;top:110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5445;top:923;width:510;height:550" type="#_x0000_t202" filled="false" stroked="false">
                <v:textbox inset="0,0,0,0">
                  <w:txbxContent>
                    <w:p>
                      <w:pPr>
                        <w:spacing w:line="180" w:lineRule="exact" w:before="0"/>
                        <w:ind w:left="74" w:right="0" w:firstLine="0"/>
                        <w:jc w:val="left"/>
                        <w:rPr>
                          <w:rFonts w:ascii="宋体" w:hAnsi="宋体" w:cs="宋体" w:eastAsia="宋体" w:hint="default"/>
                          <w:sz w:val="18"/>
                          <w:szCs w:val="18"/>
                        </w:rPr>
                      </w:pPr>
                      <w:r>
                        <w:rPr>
                          <w:rFonts w:ascii="宋体" w:hAnsi="宋体" w:cs="宋体" w:eastAsia="宋体" w:hint="default"/>
                          <w:sz w:val="18"/>
                          <w:szCs w:val="18"/>
                        </w:rPr>
                        <w:t>比例</w:t>
                      </w:r>
                    </w:p>
                    <w:p>
                      <w:pPr>
                        <w:spacing w:line="245" w:lineRule="exact"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6441;top:1103;width:1690;height:190" type="#_x0000_t202" filled="false" stroked="false">
                <v:textbox inset="0,0,0,0">
                  <w:txbxContent>
                    <w:p>
                      <w:pPr>
                        <w:tabs>
                          <w:tab w:pos="819"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tab/>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8567;top:1103;width:1601;height:190" type="#_x0000_t202" filled="false" stroked="false">
                <v:textbox inset="0,0,0,0">
                  <w:txbxContent>
                    <w:p>
                      <w:pPr>
                        <w:tabs>
                          <w:tab w:pos="818" w:val="left" w:leader="none"/>
                        </w:tabs>
                        <w:spacing w:line="190" w:lineRule="exact" w:before="0"/>
                        <w:ind w:left="0" w:right="0" w:firstLine="0"/>
                        <w:jc w:val="left"/>
                        <w:rPr>
                          <w:rFonts w:ascii="宋体" w:hAnsi="宋体" w:cs="宋体" w:eastAsia="宋体" w:hint="default"/>
                          <w:sz w:val="15"/>
                          <w:szCs w:val="15"/>
                        </w:rPr>
                      </w:pPr>
                      <w:r>
                        <w:rPr>
                          <w:rFonts w:ascii="宋体" w:hAnsi="宋体" w:cs="宋体" w:eastAsia="宋体" w:hint="default"/>
                          <w:sz w:val="18"/>
                          <w:szCs w:val="18"/>
                        </w:rPr>
                        <w:t>金额</w:t>
                        <w:tab/>
                      </w:r>
                      <w:r>
                        <w:rPr>
                          <w:rFonts w:ascii="宋体" w:hAnsi="宋体" w:cs="宋体" w:eastAsia="宋体" w:hint="default"/>
                          <w:spacing w:val="-12"/>
                          <w:sz w:val="18"/>
                          <w:szCs w:val="18"/>
                        </w:rPr>
                        <w:t>比例（</w:t>
                      </w:r>
                      <w:r>
                        <w:rPr>
                          <w:rFonts w:ascii="Times New Roman" w:hAnsi="Times New Roman" w:cs="Times New Roman" w:eastAsia="Times New Roman" w:hint="default"/>
                          <w:spacing w:val="-12"/>
                          <w:sz w:val="18"/>
                          <w:szCs w:val="18"/>
                        </w:rPr>
                        <w:t>%</w:t>
                      </w:r>
                      <w:r>
                        <w:rPr>
                          <w:rFonts w:ascii="宋体" w:hAnsi="宋体" w:cs="宋体" w:eastAsia="宋体" w:hint="default"/>
                          <w:spacing w:val="-12"/>
                          <w:sz w:val="15"/>
                          <w:szCs w:val="15"/>
                        </w:rPr>
                        <w:t>）</w:t>
                      </w:r>
                    </w:p>
                  </w:txbxContent>
                </v:textbox>
                <w10:wrap type="none"/>
              </v:shape>
              <v:shape style="position:absolute;left:137;top:1653;width:1782;height:90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6"/>
                          <w:sz w:val="18"/>
                          <w:szCs w:val="18"/>
                        </w:rPr>
                        <w:t>单项金额重大并单项</w:t>
                      </w:r>
                      <w:r>
                        <w:rPr>
                          <w:rFonts w:ascii="宋体" w:hAnsi="宋体" w:cs="宋体" w:eastAsia="宋体" w:hint="default"/>
                          <w:spacing w:val="-72"/>
                          <w:sz w:val="18"/>
                          <w:szCs w:val="18"/>
                        </w:rPr>
                        <w:t> </w:t>
                      </w:r>
                      <w:r>
                        <w:rPr>
                          <w:rFonts w:ascii="宋体" w:hAnsi="宋体" w:cs="宋体" w:eastAsia="宋体" w:hint="default"/>
                          <w:sz w:val="18"/>
                          <w:szCs w:val="18"/>
                        </w:rPr>
                      </w:r>
                    </w:p>
                    <w:p>
                      <w:pPr>
                        <w:spacing w:line="360" w:lineRule="atLeast" w:before="0"/>
                        <w:ind w:left="0" w:right="0" w:firstLine="0"/>
                        <w:jc w:val="left"/>
                        <w:rPr>
                          <w:rFonts w:ascii="宋体" w:hAnsi="宋体" w:cs="宋体" w:eastAsia="宋体" w:hint="default"/>
                          <w:sz w:val="18"/>
                          <w:szCs w:val="18"/>
                        </w:rPr>
                      </w:pPr>
                      <w:r>
                        <w:rPr>
                          <w:rFonts w:ascii="宋体" w:hAnsi="宋体" w:cs="宋体" w:eastAsia="宋体" w:hint="default"/>
                          <w:spacing w:val="16"/>
                          <w:sz w:val="18"/>
                          <w:szCs w:val="18"/>
                        </w:rPr>
                        <w:t>计提坏账准备的其他</w:t>
                      </w:r>
                      <w:r>
                        <w:rPr>
                          <w:rFonts w:ascii="宋体" w:hAnsi="宋体" w:cs="宋体" w:eastAsia="宋体" w:hint="default"/>
                          <w:spacing w:val="-72"/>
                          <w:sz w:val="18"/>
                          <w:szCs w:val="18"/>
                        </w:rPr>
                        <w:t> </w:t>
                      </w:r>
                      <w:r>
                        <w:rPr>
                          <w:rFonts w:ascii="宋体" w:hAnsi="宋体" w:cs="宋体" w:eastAsia="宋体" w:hint="default"/>
                          <w:sz w:val="18"/>
                          <w:szCs w:val="18"/>
                        </w:rPr>
                        <w:t>应收款</w:t>
                      </w:r>
                    </w:p>
                  </w:txbxContent>
                </v:textbox>
                <w10:wrap type="none"/>
              </v:shape>
              <v:shape style="position:absolute;left:137;top:2742;width:1739;height:92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3"/>
                          <w:sz w:val="18"/>
                          <w:szCs w:val="18"/>
                        </w:rPr>
                        <w:t>按组合计提坏账准备</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的其他应收款</w:t>
                      </w:r>
                    </w:p>
                    <w:p>
                      <w:pPr>
                        <w:spacing w:line="245" w:lineRule="exact" w:before="142"/>
                        <w:ind w:left="0" w:right="0" w:firstLine="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：账龄分析法</w:t>
                      </w:r>
                    </w:p>
                  </w:txbxContent>
                </v:textbox>
                <w10:wrap type="none"/>
              </v:shape>
              <v:shape style="position:absolute;left:2147;top:342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33,057,270.00</w:t>
                      </w:r>
                    </w:p>
                  </w:txbxContent>
                </v:textbox>
                <w10:wrap type="none"/>
              </v:shape>
              <v:shape style="position:absolute;left:3628;top:3425;width:3524;height:180" type="#_x0000_t202" filled="false" stroked="false">
                <v:textbox inset="0,0,0,0">
                  <w:txbxContent>
                    <w:p>
                      <w:pPr>
                        <w:tabs>
                          <w:tab w:pos="734" w:val="left" w:leader="none"/>
                          <w:tab w:pos="1933" w:val="left" w:leader="none"/>
                          <w:tab w:pos="248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93.03</w:t>
                        <w:tab/>
                      </w:r>
                      <w:r>
                        <w:rPr>
                          <w:rFonts w:ascii="Times New Roman"/>
                          <w:spacing w:val="-1"/>
                          <w:sz w:val="18"/>
                        </w:rPr>
                        <w:t>2,286,046.99</w:t>
                        <w:tab/>
                      </w:r>
                      <w:r>
                        <w:rPr>
                          <w:rFonts w:ascii="Times New Roman"/>
                          <w:sz w:val="18"/>
                        </w:rPr>
                        <w:t>6.92</w:t>
                        <w:tab/>
                      </w:r>
                      <w:r>
                        <w:rPr>
                          <w:rFonts w:ascii="Times New Roman"/>
                          <w:spacing w:val="-1"/>
                          <w:sz w:val="18"/>
                        </w:rPr>
                        <w:t>19,725,935.96</w:t>
                      </w:r>
                    </w:p>
                  </w:txbxContent>
                </v:textbox>
                <w10:wrap type="none"/>
              </v:shape>
              <v:shape style="position:absolute;left:7598;top:3425;width:2390;height:180" type="#_x0000_t202" filled="false" stroked="false">
                <v:textbox inset="0,0,0,0">
                  <w:txbxContent>
                    <w:p>
                      <w:pPr>
                        <w:tabs>
                          <w:tab w:pos="734" w:val="left" w:leader="none"/>
                          <w:tab w:pos="2073"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95.03</w:t>
                        <w:tab/>
                      </w:r>
                      <w:r>
                        <w:rPr>
                          <w:rFonts w:ascii="Times New Roman"/>
                          <w:spacing w:val="-1"/>
                          <w:sz w:val="18"/>
                        </w:rPr>
                        <w:t>1,440,505.06</w:t>
                        <w:tab/>
                      </w:r>
                      <w:r>
                        <w:rPr>
                          <w:rFonts w:ascii="Times New Roman"/>
                          <w:sz w:val="18"/>
                        </w:rPr>
                        <w:t>7.30</w:t>
                      </w:r>
                    </w:p>
                  </w:txbxContent>
                </v:textbox>
                <w10:wrap type="none"/>
              </v:shape>
            </v:group>
          </v:group>
        </w:pict>
      </w:r>
      <w:r>
        <w:rPr>
          <w:rFonts w:ascii="宋体" w:hAnsi="宋体" w:cs="宋体" w:eastAsia="宋体" w:hint="default"/>
          <w:position w:val="-73"/>
          <w:sz w:val="20"/>
          <w:szCs w:val="20"/>
        </w:rPr>
      </w:r>
    </w:p>
    <w:p>
      <w:pPr>
        <w:spacing w:after="0" w:line="3724" w:lineRule="exact"/>
        <w:rPr>
          <w:rFonts w:ascii="宋体" w:hAnsi="宋体" w:cs="宋体" w:eastAsia="宋体" w:hint="default"/>
          <w:sz w:val="20"/>
          <w:szCs w:val="20"/>
        </w:rPr>
        <w:sectPr>
          <w:pgSz w:w="11910" w:h="16840"/>
          <w:pgMar w:header="877" w:footer="1256" w:top="1100" w:bottom="1440" w:left="800" w:right="560"/>
        </w:sectPr>
      </w:pPr>
    </w:p>
    <w:p>
      <w:pPr>
        <w:spacing w:line="240" w:lineRule="auto" w:before="6"/>
        <w:rPr>
          <w:rFonts w:ascii="宋体" w:hAnsi="宋体" w:cs="宋体" w:eastAsia="宋体" w:hint="default"/>
          <w:b/>
          <w:bCs/>
          <w:sz w:val="24"/>
          <w:szCs w:val="24"/>
        </w:rPr>
      </w:pPr>
    </w:p>
    <w:p>
      <w:pPr>
        <w:spacing w:line="2293" w:lineRule="exact"/>
        <w:ind w:left="119"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506.05pt;height:114.7pt;mso-position-horizontal-relative:char;mso-position-vertical-relative:line" coordorigin="0,0" coordsize="10121,2294">
            <v:group style="position:absolute;left:29;top:15;width:10065;height:2" coordorigin="29,15" coordsize="10065,2">
              <v:shape style="position:absolute;left:29;top:15;width:10065;height:2" coordorigin="29,15" coordsize="10065,0" path="m29,15l10094,15e" filled="false" stroked="true" strokeweight="1.5pt" strokecolor="#000000">
                <v:path arrowok="t"/>
              </v:shape>
              <v:shape style="position:absolute;left:1937;top:1;width:7482;height:432" type="#_x0000_t75" stroked="false">
                <v:imagedata r:id="rId353" o:title=""/>
              </v:shape>
            </v:group>
            <v:group style="position:absolute;left:29;top:414;width:1937;height:375" coordorigin="29,414" coordsize="1937,375">
              <v:shape style="position:absolute;left:29;top:414;width:1937;height:375" coordorigin="29,414" coordsize="1937,375" path="m29,788l1966,788,1966,414,29,414,29,788xe" filled="true" fillcolor="#ffffff" stroked="false">
                <v:path arrowok="t"/>
                <v:fill type="solid"/>
              </v:shape>
            </v:group>
            <v:group style="position:absolute;left:137;top:421;width:1726;height:360" coordorigin="137,421" coordsize="1726,360">
              <v:shape style="position:absolute;left:137;top:421;width:1726;height:360" coordorigin="137,421" coordsize="1726,360" path="m137,781l1863,781,1863,421,137,421,137,781xe" filled="true" fillcolor="#ffffff" stroked="false">
                <v:path arrowok="t"/>
                <v:fill type="solid"/>
              </v:shape>
            </v:group>
            <v:group style="position:absolute;left:3182;top:414;width:104;height:375" coordorigin="3182,414" coordsize="104,375">
              <v:shape style="position:absolute;left:3182;top:414;width:104;height:375" coordorigin="3182,414" coordsize="104,375" path="m3182,788l3285,788,3285,414,3182,414,3182,788xe" filled="true" fillcolor="#ffffff" stroked="false">
                <v:path arrowok="t"/>
                <v:fill type="solid"/>
              </v:shape>
            </v:group>
            <v:group style="position:absolute;left:1976;top:414;width:104;height:375" coordorigin="1976,414" coordsize="104,375">
              <v:shape style="position:absolute;left:1976;top:414;width:104;height:375" coordorigin="1976,414" coordsize="104,375" path="m1976,788l2079,788,2079,414,1976,414,1976,788xe" filled="true" fillcolor="#ffffff" stroked="false">
                <v:path arrowok="t"/>
                <v:fill type="solid"/>
              </v:shape>
            </v:group>
            <v:group style="position:absolute;left:2079;top:414;width:1103;height:375" coordorigin="2079,414" coordsize="1103,375">
              <v:shape style="position:absolute;left:2079;top:414;width:1103;height:375" coordorigin="2079,414" coordsize="1103,375" path="m2079,788l3182,788,3182,414,2079,414,2079,788xe" filled="true" fillcolor="#ffffff" stroked="false">
                <v:path arrowok="t"/>
                <v:fill type="solid"/>
              </v:shape>
            </v:group>
            <v:group style="position:absolute;left:4033;top:414;width:104;height:375" coordorigin="4033,414" coordsize="104,375">
              <v:shape style="position:absolute;left:4033;top:414;width:104;height:375" coordorigin="4033,414" coordsize="104,375" path="m4033,788l4136,788,4136,414,4033,414,4033,788xe" filled="true" fillcolor="#ffffff" stroked="false">
                <v:path arrowok="t"/>
                <v:fill type="solid"/>
              </v:shape>
            </v:group>
            <v:group style="position:absolute;left:3296;top:414;width:102;height:375" coordorigin="3296,414" coordsize="102,375">
              <v:shape style="position:absolute;left:3296;top:414;width:102;height:375" coordorigin="3296,414" coordsize="102,375" path="m3296,788l3398,788,3398,414,3296,414,3296,788xe" filled="true" fillcolor="#ffffff" stroked="false">
                <v:path arrowok="t"/>
                <v:fill type="solid"/>
              </v:shape>
            </v:group>
            <v:group style="position:absolute;left:3398;top:414;width:635;height:375" coordorigin="3398,414" coordsize="635,375">
              <v:shape style="position:absolute;left:3398;top:414;width:635;height:375" coordorigin="3398,414" coordsize="635,375" path="m3398,788l4033,788,4033,414,3398,414,3398,788xe" filled="true" fillcolor="#ffffff" stroked="false">
                <v:path arrowok="t"/>
                <v:fill type="solid"/>
              </v:shape>
            </v:group>
            <v:group style="position:absolute;left:5308;top:414;width:104;height:375" coordorigin="5308,414" coordsize="104,375">
              <v:shape style="position:absolute;left:5308;top:414;width:104;height:375" coordorigin="5308,414" coordsize="104,375" path="m5308,788l5411,788,5411,414,5308,414,5308,788xe" filled="true" fillcolor="#ffffff" stroked="false">
                <v:path arrowok="t"/>
                <v:fill type="solid"/>
              </v:shape>
            </v:group>
            <v:group style="position:absolute;left:4147;top:414;width:102;height:375" coordorigin="4147,414" coordsize="102,375">
              <v:shape style="position:absolute;left:4147;top:414;width:102;height:375" coordorigin="4147,414" coordsize="102,375" path="m4147,788l4249,788,4249,414,4147,414,4147,788xe" filled="true" fillcolor="#ffffff" stroked="false">
                <v:path arrowok="t"/>
                <v:fill type="solid"/>
              </v:shape>
            </v:group>
            <v:group style="position:absolute;left:4249;top:414;width:1060;height:375" coordorigin="4249,414" coordsize="1060,375">
              <v:shape style="position:absolute;left:4249;top:414;width:1060;height:375" coordorigin="4249,414" coordsize="1060,375" path="m4249,788l5308,788,5308,414,4249,414,4249,788xe" filled="true" fillcolor="#ffffff" stroked="false">
                <v:path arrowok="t"/>
                <v:fill type="solid"/>
              </v:shape>
            </v:group>
            <v:group style="position:absolute;left:5876;top:414;width:102;height:375" coordorigin="5876,414" coordsize="102,375">
              <v:shape style="position:absolute;left:5876;top:414;width:102;height:375" coordorigin="5876,414" coordsize="102,375" path="m5876,788l5978,788,5978,414,5876,414,5876,788xe" filled="true" fillcolor="#ffffff" stroked="false">
                <v:path arrowok="t"/>
                <v:fill type="solid"/>
              </v:shape>
            </v:group>
            <v:group style="position:absolute;left:5421;top:414;width:104;height:375" coordorigin="5421,414" coordsize="104,375">
              <v:shape style="position:absolute;left:5421;top:414;width:104;height:375" coordorigin="5421,414" coordsize="104,375" path="m5421,788l5524,788,5524,414,5421,414,5421,788xe" filled="true" fillcolor="#ffffff" stroked="false">
                <v:path arrowok="t"/>
                <v:fill type="solid"/>
              </v:shape>
            </v:group>
            <v:group style="position:absolute;left:5524;top:414;width:352;height:375" coordorigin="5524,414" coordsize="352,375">
              <v:shape style="position:absolute;left:5524;top:414;width:352;height:375" coordorigin="5524,414" coordsize="352,375" path="m5524,788l5876,788,5876,414,5524,414,5524,788xe" filled="true" fillcolor="#ffffff" stroked="false">
                <v:path arrowok="t"/>
                <v:fill type="solid"/>
              </v:shape>
            </v:group>
            <v:group style="position:absolute;left:7151;top:414;width:104;height:375" coordorigin="7151,414" coordsize="104,375">
              <v:shape style="position:absolute;left:7151;top:414;width:104;height:375" coordorigin="7151,414" coordsize="104,375" path="m7151,788l7255,788,7255,414,7151,414,7151,788xe" filled="true" fillcolor="#ffffff" stroked="false">
                <v:path arrowok="t"/>
                <v:fill type="solid"/>
              </v:shape>
            </v:group>
            <v:group style="position:absolute;left:5989;top:414;width:102;height:375" coordorigin="5989,414" coordsize="102,375">
              <v:shape style="position:absolute;left:5989;top:414;width:102;height:375" coordorigin="5989,414" coordsize="102,375" path="m5989,788l6091,788,6091,414,5989,414,5989,788xe" filled="true" fillcolor="#ffffff" stroked="false">
                <v:path arrowok="t"/>
                <v:fill type="solid"/>
              </v:shape>
            </v:group>
            <v:group style="position:absolute;left:6091;top:414;width:1061;height:375" coordorigin="6091,414" coordsize="1061,375">
              <v:shape style="position:absolute;left:6091;top:414;width:1061;height:375" coordorigin="6091,414" coordsize="1061,375" path="m6091,788l7151,788,7151,414,6091,414,6091,788xe" filled="true" fillcolor="#ffffff" stroked="false">
                <v:path arrowok="t"/>
                <v:fill type="solid"/>
              </v:shape>
            </v:group>
            <v:group style="position:absolute;left:8002;top:414;width:104;height:375" coordorigin="8002,414" coordsize="104,375">
              <v:shape style="position:absolute;left:8002;top:414;width:104;height:375" coordorigin="8002,414" coordsize="104,375" path="m8002,788l8105,788,8105,414,8002,414,8002,788xe" filled="true" fillcolor="#ffffff" stroked="false">
                <v:path arrowok="t"/>
                <v:fill type="solid"/>
              </v:shape>
            </v:group>
            <v:group style="position:absolute;left:7264;top:414;width:104;height:375" coordorigin="7264,414" coordsize="104,375">
              <v:shape style="position:absolute;left:7264;top:414;width:104;height:375" coordorigin="7264,414" coordsize="104,375" path="m7264,788l7367,788,7367,414,7264,414,7264,788xe" filled="true" fillcolor="#ffffff" stroked="false">
                <v:path arrowok="t"/>
                <v:fill type="solid"/>
              </v:shape>
            </v:group>
            <v:group style="position:absolute;left:7367;top:414;width:635;height:375" coordorigin="7367,414" coordsize="635,375">
              <v:shape style="position:absolute;left:7367;top:414;width:635;height:375" coordorigin="7367,414" coordsize="635,375" path="m7367,788l8002,788,8002,414,7367,414,7367,788xe" filled="true" fillcolor="#ffffff" stroked="false">
                <v:path arrowok="t"/>
                <v:fill type="solid"/>
              </v:shape>
            </v:group>
            <v:group style="position:absolute;left:9277;top:414;width:104;height:375" coordorigin="9277,414" coordsize="104,375">
              <v:shape style="position:absolute;left:9277;top:414;width:104;height:375" coordorigin="9277,414" coordsize="104,375" path="m9277,788l9380,788,9380,414,9277,414,9277,788xe" filled="true" fillcolor="#ffffff" stroked="false">
                <v:path arrowok="t"/>
                <v:fill type="solid"/>
              </v:shape>
            </v:group>
            <v:group style="position:absolute;left:8115;top:414;width:104;height:375" coordorigin="8115,414" coordsize="104,375">
              <v:shape style="position:absolute;left:8115;top:414;width:104;height:375" coordorigin="8115,414" coordsize="104,375" path="m8115,788l8218,788,8218,414,8115,414,8115,788xe" filled="true" fillcolor="#ffffff" stroked="false">
                <v:path arrowok="t"/>
                <v:fill type="solid"/>
              </v:shape>
            </v:group>
            <v:group style="position:absolute;left:8218;top:414;width:1059;height:375" coordorigin="8218,414" coordsize="1059,375">
              <v:shape style="position:absolute;left:8218;top:414;width:1059;height:375" coordorigin="8218,414" coordsize="1059,375" path="m8218,788l9277,788,9277,414,8218,414,8218,788xe" filled="true" fillcolor="#ffffff" stroked="false">
                <v:path arrowok="t"/>
                <v:fill type="solid"/>
              </v:shape>
            </v:group>
            <v:group style="position:absolute;left:9986;top:414;width:108;height:375" coordorigin="9986,414" coordsize="108,375">
              <v:shape style="position:absolute;left:9986;top:414;width:108;height:375" coordorigin="9986,414" coordsize="108,375" path="m9986,788l10094,788,10094,414,9986,414,9986,788xe" filled="true" fillcolor="#ffffff" stroked="false">
                <v:path arrowok="t"/>
                <v:fill type="solid"/>
              </v:shape>
            </v:group>
            <v:group style="position:absolute;left:9391;top:414;width:102;height:375" coordorigin="9391,414" coordsize="102,375">
              <v:shape style="position:absolute;left:9391;top:414;width:102;height:375" coordorigin="9391,414" coordsize="102,375" path="m9391,788l9493,788,9493,414,9391,414,9391,788xe" filled="true" fillcolor="#ffffff" stroked="false">
                <v:path arrowok="t"/>
                <v:fill type="solid"/>
              </v:shape>
            </v:group>
            <v:group style="position:absolute;left:15;top:2278;width:1952;height:2" coordorigin="15,2278" coordsize="1952,2">
              <v:shape style="position:absolute;left:15;top:2278;width:1952;height:2" coordorigin="15,2278" coordsize="1952,0" path="m15,2278l1966,2278e" filled="false" stroked="true" strokeweight="1.5pt" strokecolor="#000000">
                <v:path arrowok="t"/>
              </v:shape>
            </v:group>
            <v:group style="position:absolute;left:1966;top:2278;width:1319;height:2" coordorigin="1966,2278" coordsize="1319,2">
              <v:shape style="position:absolute;left:1966;top:2278;width:1319;height:2" coordorigin="1966,2278" coordsize="1319,0" path="m1966,2278l3285,2278e" filled="false" stroked="true" strokeweight="1.5pt" strokecolor="#000000">
                <v:path arrowok="t"/>
              </v:shape>
            </v:group>
            <v:group style="position:absolute;left:3285;top:2278;width:852;height:2" coordorigin="3285,2278" coordsize="852,2">
              <v:shape style="position:absolute;left:3285;top:2278;width:852;height:2" coordorigin="3285,2278" coordsize="852,0" path="m3285,2278l4137,2278e" filled="false" stroked="true" strokeweight="1.5pt" strokecolor="#000000">
                <v:path arrowok="t"/>
              </v:shape>
            </v:group>
            <v:group style="position:absolute;left:4137;top:2278;width:1275;height:2" coordorigin="4137,2278" coordsize="1275,2">
              <v:shape style="position:absolute;left:4137;top:2278;width:1275;height:2" coordorigin="4137,2278" coordsize="1275,0" path="m4137,2278l5411,2278e" filled="false" stroked="true" strokeweight="1.5pt" strokecolor="#000000">
                <v:path arrowok="t"/>
              </v:shape>
            </v:group>
            <v:group style="position:absolute;left:5411;top:2278;width:568;height:2" coordorigin="5411,2278" coordsize="568,2">
              <v:shape style="position:absolute;left:5411;top:2278;width:568;height:2" coordorigin="5411,2278" coordsize="568,0" path="m5411,2278l5979,2278e" filled="false" stroked="true" strokeweight="1.5pt" strokecolor="#000000">
                <v:path arrowok="t"/>
              </v:shape>
            </v:group>
            <v:group style="position:absolute;left:5979;top:2278;width:1276;height:2" coordorigin="5979,2278" coordsize="1276,2">
              <v:shape style="position:absolute;left:5979;top:2278;width:1276;height:2" coordorigin="5979,2278" coordsize="1276,0" path="m5979,2278l7255,2278e" filled="false" stroked="true" strokeweight="1.5pt" strokecolor="#000000">
                <v:path arrowok="t"/>
              </v:shape>
            </v:group>
            <v:group style="position:absolute;left:7255;top:2278;width:851;height:2" coordorigin="7255,2278" coordsize="851,2">
              <v:shape style="position:absolute;left:7255;top:2278;width:851;height:2" coordorigin="7255,2278" coordsize="851,0" path="m7255,2278l8105,2278e" filled="false" stroked="true" strokeweight="1.5pt" strokecolor="#000000">
                <v:path arrowok="t"/>
              </v:shape>
            </v:group>
            <v:group style="position:absolute;left:8105;top:2278;width:1276;height:2" coordorigin="8105,2278" coordsize="1276,2">
              <v:shape style="position:absolute;left:8105;top:2278;width:1276;height:2" coordorigin="8105,2278" coordsize="1276,0" path="m8105,2278l9381,2278e" filled="false" stroked="true" strokeweight="1.5pt" strokecolor="#000000">
                <v:path arrowok="t"/>
              </v:shape>
              <v:shape style="position:absolute;left:10;top:385;width:10110;height:1878" type="#_x0000_t75" stroked="false">
                <v:imagedata r:id="rId354" o:title=""/>
              </v:shape>
            </v:group>
            <v:group style="position:absolute;left:9381;top:2278;width:713;height:2" coordorigin="9381,2278" coordsize="713,2">
              <v:shape style="position:absolute;left:9381;top:2278;width:713;height:2" coordorigin="9381,2278" coordsize="713,0" path="m9381,2278l10094,2278e" filled="false" stroked="true" strokeweight="1.5pt" strokecolor="#000000">
                <v:path arrowok="t"/>
              </v:shape>
              <v:shape style="position:absolute;left:137;top:190;width:1726;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3"/>
                          <w:sz w:val="18"/>
                          <w:szCs w:val="18"/>
                        </w:rPr>
                        <w:t> </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：余额百分比法</w:t>
                      </w:r>
                    </w:p>
                  </w:txbxContent>
                </v:textbox>
                <w10:wrap type="none"/>
              </v:shape>
              <v:shape style="position:absolute;left:2237;top:13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2,478,342.24</w:t>
                      </w:r>
                    </w:p>
                  </w:txbxContent>
                </v:textbox>
                <w10:wrap type="none"/>
              </v:shape>
              <v:shape style="position:absolute;left:3718;top:13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6.97</w:t>
                      </w:r>
                    </w:p>
                  </w:txbxContent>
                </v:textbox>
                <w10:wrap type="none"/>
              </v:shape>
              <v:shape style="position:absolute;left:6206;top:13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1,031,452.97</w:t>
                      </w:r>
                    </w:p>
                  </w:txbxContent>
                </v:textbox>
                <w10:wrap type="none"/>
              </v:shape>
              <v:shape style="position:absolute;left:7688;top:13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4.97</w:t>
                      </w:r>
                    </w:p>
                  </w:txbxContent>
                </v:textbox>
                <w10:wrap type="none"/>
              </v:shape>
              <v:shape style="position:absolute;left:137;top:5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组合小计</w:t>
                      </w:r>
                    </w:p>
                  </w:txbxContent>
                </v:textbox>
                <w10:wrap type="none"/>
              </v:shape>
              <v:shape style="position:absolute;left:2147;top:519;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35,535,612.24</w:t>
                      </w:r>
                    </w:p>
                  </w:txbxContent>
                </v:textbox>
                <w10:wrap type="none"/>
              </v:shape>
              <v:shape style="position:absolute;left:3538;top:519;width:6449;height:180" type="#_x0000_t202" filled="false" stroked="false">
                <v:textbox inset="0,0,0,0">
                  <w:txbxContent>
                    <w:p>
                      <w:pPr>
                        <w:tabs>
                          <w:tab w:pos="824" w:val="left" w:leader="none"/>
                          <w:tab w:pos="2023" w:val="left" w:leader="none"/>
                          <w:tab w:pos="2577" w:val="left" w:leader="none"/>
                          <w:tab w:pos="3969" w:val="left" w:leader="none"/>
                          <w:tab w:pos="4793" w:val="left" w:leader="none"/>
                          <w:tab w:pos="6133"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tab/>
                      </w:r>
                      <w:r>
                        <w:rPr>
                          <w:rFonts w:ascii="Times New Roman"/>
                          <w:spacing w:val="-1"/>
                          <w:sz w:val="18"/>
                        </w:rPr>
                        <w:t>2,286,046.99</w:t>
                        <w:tab/>
                      </w:r>
                      <w:r>
                        <w:rPr>
                          <w:rFonts w:ascii="Times New Roman"/>
                          <w:sz w:val="18"/>
                        </w:rPr>
                        <w:t>6.43</w:t>
                        <w:tab/>
                      </w:r>
                      <w:r>
                        <w:rPr>
                          <w:rFonts w:ascii="Times New Roman"/>
                          <w:spacing w:val="-1"/>
                          <w:sz w:val="18"/>
                        </w:rPr>
                        <w:t>20,757,388.93</w:t>
                        <w:tab/>
                      </w:r>
                      <w:r>
                        <w:rPr>
                          <w:rFonts w:ascii="Times New Roman"/>
                          <w:sz w:val="18"/>
                        </w:rPr>
                        <w:t>100.00</w:t>
                        <w:tab/>
                      </w:r>
                      <w:r>
                        <w:rPr>
                          <w:rFonts w:ascii="Times New Roman"/>
                          <w:spacing w:val="-1"/>
                          <w:sz w:val="18"/>
                        </w:rPr>
                        <w:t>1,440,505.06</w:t>
                        <w:tab/>
                      </w:r>
                      <w:r>
                        <w:rPr>
                          <w:rFonts w:ascii="Times New Roman"/>
                          <w:sz w:val="18"/>
                        </w:rPr>
                        <w:t>6.94</w:t>
                      </w:r>
                    </w:p>
                  </w:txbxContent>
                </v:textbox>
                <w10:wrap type="none"/>
              </v:shape>
              <v:shape style="position:absolute;left:137;top:952;width:9850;height:122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3"/>
                          <w:sz w:val="18"/>
                          <w:szCs w:val="18"/>
                        </w:rPr>
                        <w:t>单项金额虽不重大但</w:t>
                      </w:r>
                      <w:r>
                        <w:rPr>
                          <w:rFonts w:ascii="宋体" w:hAnsi="宋体" w:cs="宋体" w:eastAsia="宋体" w:hint="default"/>
                          <w:sz w:val="18"/>
                          <w:szCs w:val="18"/>
                        </w:rPr>
                      </w:r>
                    </w:p>
                    <w:p>
                      <w:pPr>
                        <w:spacing w:line="367" w:lineRule="auto" w:before="124"/>
                        <w:ind w:left="0" w:right="8108" w:firstLine="0"/>
                        <w:jc w:val="left"/>
                        <w:rPr>
                          <w:rFonts w:ascii="宋体" w:hAnsi="宋体" w:cs="宋体" w:eastAsia="宋体" w:hint="default"/>
                          <w:sz w:val="18"/>
                          <w:szCs w:val="18"/>
                        </w:rPr>
                      </w:pPr>
                      <w:r>
                        <w:rPr>
                          <w:rFonts w:ascii="宋体" w:hAnsi="宋体" w:cs="宋体" w:eastAsia="宋体" w:hint="default"/>
                          <w:spacing w:val="13"/>
                          <w:sz w:val="18"/>
                          <w:szCs w:val="18"/>
                        </w:rPr>
                        <w:t>单项计提坏账准备的 </w:t>
                      </w:r>
                      <w:r>
                        <w:rPr>
                          <w:rFonts w:ascii="宋体" w:hAnsi="宋体" w:cs="宋体" w:eastAsia="宋体" w:hint="default"/>
                          <w:sz w:val="18"/>
                          <w:szCs w:val="18"/>
                        </w:rPr>
                        <w:t>其他应收款</w:t>
                      </w:r>
                    </w:p>
                    <w:p>
                      <w:pPr>
                        <w:tabs>
                          <w:tab w:pos="2009" w:val="left" w:leader="none"/>
                          <w:tab w:pos="3400" w:val="left" w:leader="none"/>
                          <w:tab w:pos="4225" w:val="left" w:leader="none"/>
                          <w:tab w:pos="5423" w:val="left" w:leader="none"/>
                          <w:tab w:pos="5978" w:val="left" w:leader="none"/>
                          <w:tab w:pos="7370" w:val="left" w:leader="none"/>
                          <w:tab w:pos="8194" w:val="left" w:leader="none"/>
                          <w:tab w:pos="9849" w:val="right" w:leader="none"/>
                        </w:tabs>
                        <w:spacing w:line="226" w:lineRule="exact" w:before="0"/>
                        <w:ind w:left="682"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合计</w:t>
                        <w:tab/>
                      </w:r>
                      <w:r>
                        <w:rPr>
                          <w:rFonts w:ascii="Times New Roman" w:hAnsi="Times New Roman" w:cs="Times New Roman" w:eastAsia="Times New Roman" w:hint="default"/>
                          <w:spacing w:val="-1"/>
                          <w:sz w:val="18"/>
                          <w:szCs w:val="18"/>
                        </w:rPr>
                        <w:t>35,535,612.24</w:t>
                        <w:tab/>
                      </w:r>
                      <w:r>
                        <w:rPr>
                          <w:rFonts w:ascii="Times New Roman" w:hAnsi="Times New Roman" w:cs="Times New Roman" w:eastAsia="Times New Roman" w:hint="default"/>
                          <w:sz w:val="18"/>
                          <w:szCs w:val="18"/>
                        </w:rPr>
                        <w:t>100.00</w:t>
                        <w:tab/>
                      </w:r>
                      <w:r>
                        <w:rPr>
                          <w:rFonts w:ascii="Times New Roman" w:hAnsi="Times New Roman" w:cs="Times New Roman" w:eastAsia="Times New Roman" w:hint="default"/>
                          <w:spacing w:val="-1"/>
                          <w:sz w:val="18"/>
                          <w:szCs w:val="18"/>
                        </w:rPr>
                        <w:t>2,286,046.99</w:t>
                        <w:tab/>
                      </w:r>
                      <w:r>
                        <w:rPr>
                          <w:rFonts w:ascii="Times New Roman" w:hAnsi="Times New Roman" w:cs="Times New Roman" w:eastAsia="Times New Roman" w:hint="default"/>
                          <w:sz w:val="18"/>
                          <w:szCs w:val="18"/>
                        </w:rPr>
                        <w:t>6.43</w:t>
                        <w:tab/>
                      </w:r>
                      <w:r>
                        <w:rPr>
                          <w:rFonts w:ascii="Times New Roman" w:hAnsi="Times New Roman" w:cs="Times New Roman" w:eastAsia="Times New Roman" w:hint="default"/>
                          <w:spacing w:val="-1"/>
                          <w:sz w:val="18"/>
                          <w:szCs w:val="18"/>
                        </w:rPr>
                        <w:t>20,757,388.93</w:t>
                        <w:tab/>
                      </w:r>
                      <w:r>
                        <w:rPr>
                          <w:rFonts w:ascii="Times New Roman" w:hAnsi="Times New Roman" w:cs="Times New Roman" w:eastAsia="Times New Roman" w:hint="default"/>
                          <w:sz w:val="18"/>
                          <w:szCs w:val="18"/>
                        </w:rPr>
                        <w:t>100.00</w:t>
                        <w:tab/>
                      </w:r>
                      <w:r>
                        <w:rPr>
                          <w:rFonts w:ascii="Times New Roman" w:hAnsi="Times New Roman" w:cs="Times New Roman" w:eastAsia="Times New Roman" w:hint="default"/>
                          <w:spacing w:val="-1"/>
                          <w:sz w:val="18"/>
                          <w:szCs w:val="18"/>
                        </w:rPr>
                        <w:t>1,440,505.06</w:t>
                        <w:tab/>
                      </w:r>
                      <w:r>
                        <w:rPr>
                          <w:rFonts w:ascii="Times New Roman" w:hAnsi="Times New Roman" w:cs="Times New Roman" w:eastAsia="Times New Roman" w:hint="default"/>
                          <w:sz w:val="18"/>
                          <w:szCs w:val="18"/>
                        </w:rPr>
                        <w:t>6.94</w:t>
                      </w:r>
                    </w:p>
                  </w:txbxContent>
                </v:textbox>
                <w10:wrap type="none"/>
              </v:shape>
            </v:group>
          </v:group>
        </w:pict>
      </w:r>
      <w:r>
        <w:rPr>
          <w:rFonts w:ascii="宋体" w:hAnsi="宋体" w:cs="宋体" w:eastAsia="宋体" w:hint="default"/>
          <w:position w:val="-45"/>
          <w:sz w:val="20"/>
          <w:szCs w:val="20"/>
        </w:rPr>
      </w:r>
    </w:p>
    <w:p>
      <w:pPr>
        <w:spacing w:line="240" w:lineRule="auto" w:before="5"/>
        <w:rPr>
          <w:rFonts w:ascii="宋体" w:hAnsi="宋体" w:cs="宋体" w:eastAsia="宋体" w:hint="default"/>
          <w:b/>
          <w:bCs/>
          <w:sz w:val="27"/>
          <w:szCs w:val="27"/>
        </w:rPr>
      </w:pPr>
    </w:p>
    <w:p>
      <w:pPr>
        <w:spacing w:before="35"/>
        <w:ind w:left="1717" w:right="1505" w:firstLine="0"/>
        <w:jc w:val="left"/>
        <w:rPr>
          <w:rFonts w:ascii="宋体" w:hAnsi="宋体" w:cs="宋体" w:eastAsia="宋体" w:hint="default"/>
          <w:sz w:val="21"/>
          <w:szCs w:val="21"/>
        </w:rPr>
      </w:pPr>
      <w:r>
        <w:rPr/>
        <w:pict>
          <v:group style="position:absolute;margin-left:93.839996pt;margin-top:17.073532pt;width:435.55pt;height:149.65pt;mso-position-horizontal-relative:page;mso-position-vertical-relative:paragraph;z-index:-801328" coordorigin="1877,341" coordsize="8711,2993">
            <v:group style="position:absolute;left:1906;top:356;width:8652;height:2" coordorigin="1906,356" coordsize="8652,2">
              <v:shape style="position:absolute;left:1906;top:356;width:8652;height:2" coordorigin="1906,356" coordsize="8652,0" path="m1906,356l10558,356e" filled="false" stroked="true" strokeweight="1.5pt" strokecolor="#000000">
                <v:path arrowok="t"/>
              </v:shape>
              <v:shape style="position:absolute;left:3396;top:350;width:3680;height:384" type="#_x0000_t75" stroked="false">
                <v:imagedata r:id="rId355" o:title=""/>
              </v:shape>
              <v:shape style="position:absolute;left:3398;top:692;width:7181;height:389" type="#_x0000_t75" stroked="false">
                <v:imagedata r:id="rId356" o:title=""/>
              </v:shape>
              <v:shape style="position:absolute;left:3396;top:1040;width:5975;height:394" type="#_x0000_t75" stroked="false">
                <v:imagedata r:id="rId357" o:title=""/>
              </v:shape>
              <v:shape style="position:absolute;left:1877;top:1383;width:8711;height:1211" type="#_x0000_t75" stroked="false">
                <v:imagedata r:id="rId358" o:title=""/>
              </v:shape>
              <v:shape style="position:absolute;left:1877;top:2536;width:8711;height:442" type="#_x0000_t75" stroked="false">
                <v:imagedata r:id="rId359" o:title=""/>
              </v:shape>
            </v:group>
            <v:group style="position:absolute;left:3314;top:2960;width:104;height:375" coordorigin="3314,2960" coordsize="104,375">
              <v:shape style="position:absolute;left:3314;top:2960;width:104;height:375" coordorigin="3314,2960" coordsize="104,375" path="m3314,3334l3418,3334,3418,2960,3314,2960,3314,3334xe" filled="true" fillcolor="#ffffff" stroked="false">
                <v:path arrowok="t"/>
                <v:fill type="solid"/>
              </v:shape>
            </v:group>
            <v:group style="position:absolute;left:1906;top:2960;width:107;height:375" coordorigin="1906,2960" coordsize="107,375">
              <v:shape style="position:absolute;left:1906;top:2960;width:107;height:375" coordorigin="1906,2960" coordsize="107,375" path="m1906,3334l2012,3334,2012,2960,1906,2960,1906,3334xe" filled="true" fillcolor="#ffffff" stroked="false">
                <v:path arrowok="t"/>
                <v:fill type="solid"/>
              </v:shape>
            </v:group>
            <v:group style="position:absolute;left:2012;top:2960;width:1302;height:375" coordorigin="2012,2960" coordsize="1302,375">
              <v:shape style="position:absolute;left:2012;top:2960;width:1302;height:375" coordorigin="2012,2960" coordsize="1302,375" path="m2012,3334l3314,3334,3314,2960,2012,2960,2012,3334xe" filled="true" fillcolor="#ffffff" stroked="false">
                <v:path arrowok="t"/>
                <v:fill type="solid"/>
              </v:shape>
            </v:group>
            <v:group style="position:absolute;left:4674;top:2960;width:104;height:375" coordorigin="4674,2960" coordsize="104,375">
              <v:shape style="position:absolute;left:4674;top:2960;width:104;height:375" coordorigin="4674,2960" coordsize="104,375" path="m4674,3334l4777,3334,4777,2960,4674,2960,4674,3334xe" filled="true" fillcolor="#ffffff" stroked="false">
                <v:path arrowok="t"/>
                <v:fill type="solid"/>
              </v:shape>
            </v:group>
            <v:group style="position:absolute;left:3427;top:2960;width:104;height:375" coordorigin="3427,2960" coordsize="104,375">
              <v:shape style="position:absolute;left:3427;top:2960;width:104;height:375" coordorigin="3427,2960" coordsize="104,375" path="m3427,3334l3530,3334,3530,2960,3427,2960,3427,3334xe" filled="true" fillcolor="#ffffff" stroked="false">
                <v:path arrowok="t"/>
                <v:fill type="solid"/>
              </v:shape>
            </v:group>
            <v:group style="position:absolute;left:3530;top:2960;width:1144;height:375" coordorigin="3530,2960" coordsize="1144,375">
              <v:shape style="position:absolute;left:3530;top:2960;width:1144;height:375" coordorigin="3530,2960" coordsize="1144,375" path="m3530,3334l4674,3334,4674,2960,3530,2960,3530,3334xe" filled="true" fillcolor="#ffffff" stroked="false">
                <v:path arrowok="t"/>
                <v:fill type="solid"/>
              </v:shape>
            </v:group>
            <v:group style="position:absolute;left:5666;top:2960;width:104;height:375" coordorigin="5666,2960" coordsize="104,375">
              <v:shape style="position:absolute;left:5666;top:2960;width:104;height:375" coordorigin="5666,2960" coordsize="104,375" path="m5666,3334l5770,3334,5770,2960,5666,2960,5666,3334xe" filled="true" fillcolor="#ffffff" stroked="false">
                <v:path arrowok="t"/>
                <v:fill type="solid"/>
              </v:shape>
            </v:group>
            <v:group style="position:absolute;left:4787;top:2960;width:104;height:375" coordorigin="4787,2960" coordsize="104,375">
              <v:shape style="position:absolute;left:4787;top:2960;width:104;height:375" coordorigin="4787,2960" coordsize="104,375" path="m4787,3334l4890,3334,4890,2960,4787,2960,4787,3334xe" filled="true" fillcolor="#ffffff" stroked="false">
                <v:path arrowok="t"/>
                <v:fill type="solid"/>
              </v:shape>
            </v:group>
            <v:group style="position:absolute;left:4890;top:2960;width:777;height:375" coordorigin="4890,2960" coordsize="777,375">
              <v:shape style="position:absolute;left:4890;top:2960;width:777;height:375" coordorigin="4890,2960" coordsize="777,375" path="m4890,3334l5666,3334,5666,2960,4890,2960,4890,3334xe" filled="true" fillcolor="#ffffff" stroked="false">
                <v:path arrowok="t"/>
                <v:fill type="solid"/>
              </v:shape>
            </v:group>
            <v:group style="position:absolute;left:6942;top:2960;width:104;height:375" coordorigin="6942,2960" coordsize="104,375">
              <v:shape style="position:absolute;left:6942;top:2960;width:104;height:375" coordorigin="6942,2960" coordsize="104,375" path="m6942,3334l7045,3334,7045,2960,6942,2960,6942,3334xe" filled="true" fillcolor="#ffffff" stroked="false">
                <v:path arrowok="t"/>
                <v:fill type="solid"/>
              </v:shape>
            </v:group>
            <v:group style="position:absolute;left:5779;top:2960;width:104;height:375" coordorigin="5779,2960" coordsize="104,375">
              <v:shape style="position:absolute;left:5779;top:2960;width:104;height:375" coordorigin="5779,2960" coordsize="104,375" path="m5779,3334l5882,3334,5882,2960,5779,2960,5779,3334xe" filled="true" fillcolor="#ffffff" stroked="false">
                <v:path arrowok="t"/>
                <v:fill type="solid"/>
              </v:shape>
            </v:group>
            <v:group style="position:absolute;left:5882;top:2960;width:1060;height:375" coordorigin="5882,2960" coordsize="1060,375">
              <v:shape style="position:absolute;left:5882;top:2960;width:1060;height:375" coordorigin="5882,2960" coordsize="1060,375" path="m5882,3334l6942,3334,6942,2960,5882,2960,5882,3334xe" filled="true" fillcolor="#ffffff" stroked="false">
                <v:path arrowok="t"/>
                <v:fill type="solid"/>
              </v:shape>
            </v:group>
            <v:group style="position:absolute;left:8244;top:2960;width:104;height:375" coordorigin="8244,2960" coordsize="104,375">
              <v:shape style="position:absolute;left:8244;top:2960;width:104;height:375" coordorigin="8244,2960" coordsize="104,375" path="m8244,3334l8347,3334,8347,2960,8244,2960,8244,3334xe" filled="true" fillcolor="#ffffff" stroked="false">
                <v:path arrowok="t"/>
                <v:fill type="solid"/>
              </v:shape>
            </v:group>
            <v:group style="position:absolute;left:7055;top:2960;width:104;height:375" coordorigin="7055,2960" coordsize="104,375">
              <v:shape style="position:absolute;left:7055;top:2960;width:104;height:375" coordorigin="7055,2960" coordsize="104,375" path="m7055,3334l7158,3334,7158,2960,7055,2960,7055,3334xe" filled="true" fillcolor="#ffffff" stroked="false">
                <v:path arrowok="t"/>
                <v:fill type="solid"/>
              </v:shape>
            </v:group>
            <v:group style="position:absolute;left:9236;top:2960;width:104;height:375" coordorigin="9236,2960" coordsize="104,375">
              <v:shape style="position:absolute;left:9236;top:2960;width:104;height:375" coordorigin="9236,2960" coordsize="104,375" path="m9236,3334l9340,3334,9340,2960,9236,2960,9236,3334xe" filled="true" fillcolor="#ffffff" stroked="false">
                <v:path arrowok="t"/>
                <v:fill type="solid"/>
              </v:shape>
            </v:group>
            <v:group style="position:absolute;left:8357;top:2960;width:104;height:375" coordorigin="8357,2960" coordsize="104,375">
              <v:shape style="position:absolute;left:8357;top:2960;width:104;height:375" coordorigin="8357,2960" coordsize="104,375" path="m8357,3334l8460,3334,8460,2960,8357,2960,8357,3334xe" filled="true" fillcolor="#ffffff" stroked="false">
                <v:path arrowok="t"/>
                <v:fill type="solid"/>
              </v:shape>
            </v:group>
            <v:group style="position:absolute;left:8460;top:2960;width:777;height:375" coordorigin="8460,2960" coordsize="777,375">
              <v:shape style="position:absolute;left:8460;top:2960;width:777;height:375" coordorigin="8460,2960" coordsize="777,375" path="m8460,3334l9236,3334,9236,2960,8460,2960,8460,3334xe" filled="true" fillcolor="#ffffff" stroked="false">
                <v:path arrowok="t"/>
                <v:fill type="solid"/>
              </v:shape>
            </v:group>
            <v:group style="position:absolute;left:10448;top:2960;width:108;height:375" coordorigin="10448,2960" coordsize="108,375">
              <v:shape style="position:absolute;left:10448;top:2960;width:108;height:375" coordorigin="10448,2960" coordsize="108,375" path="m10448,3334l10556,3334,10556,2960,10448,2960,10448,3334xe" filled="true" fillcolor="#ffffff" stroked="false">
                <v:path arrowok="t"/>
                <v:fill type="solid"/>
              </v:shape>
            </v:group>
            <v:group style="position:absolute;left:9349;top:2960;width:104;height:375" coordorigin="9349,2960" coordsize="104,375">
              <v:shape style="position:absolute;left:9349;top:2960;width:104;height:375" coordorigin="9349,2960" coordsize="104,375" path="m9349,3334l9452,3334,9452,2960,9349,2960,9349,3334xe" filled="true" fillcolor="#ffffff" stroked="false">
                <v:path arrowok="t"/>
                <v:fill type="solid"/>
              </v:shape>
            </v:group>
            <v:group style="position:absolute;left:9452;top:2960;width:996;height:375" coordorigin="9452,2960" coordsize="996,375">
              <v:shape style="position:absolute;left:9452;top:2960;width:996;height:375" coordorigin="9452,2960" coordsize="996,375" path="m9452,3334l10448,3334,10448,2960,9452,2960,9452,3334xe" filled="true" fillcolor="#ffffff" stroked="false">
                <v:path arrowok="t"/>
                <v:fill type="solid"/>
              </v:shape>
              <v:shape style="position:absolute;left:1877;top:2920;width:8692;height:414" type="#_x0000_t75" stroked="false">
                <v:imagedata r:id="rId360" o:title=""/>
              </v:shape>
              <v:shape style="position:absolute;left:2483;top:85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4238;top:504;width:1358;height:531" type="#_x0000_t202" filled="false" stroked="false">
                <v:textbox inset="0,0,0,0">
                  <w:txbxContent>
                    <w:p>
                      <w:pPr>
                        <w:spacing w:line="180" w:lineRule="exact" w:before="0"/>
                        <w:ind w:left="637"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p>
                      <w:pPr>
                        <w:spacing w:before="115"/>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837;top:504;width:1326;height:531" type="#_x0000_t202" filled="false" stroked="false">
                <v:textbox inset="0,0,0,0">
                  <w:txbxContent>
                    <w:p>
                      <w:pPr>
                        <w:spacing w:line="180" w:lineRule="exact" w:before="0"/>
                        <w:ind w:left="606"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p>
                      <w:pPr>
                        <w:spacing w:before="115"/>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group>
            <w10:wrap type="none"/>
          </v:group>
        </w:pict>
      </w:r>
      <w:r>
        <w:rPr>
          <w:rFonts w:ascii="宋体" w:hAnsi="宋体" w:cs="宋体" w:eastAsia="宋体" w:hint="default"/>
          <w:sz w:val="21"/>
          <w:szCs w:val="21"/>
        </w:rPr>
        <w:t>组合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中，采用账龄分析法计提坏账准备的其他应收款：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tbl>
      <w:tblPr>
        <w:tblW w:w="0" w:type="auto"/>
        <w:jc w:val="left"/>
        <w:tblInd w:w="1091" w:type="dxa"/>
        <w:tblLayout w:type="fixed"/>
        <w:tblCellMar>
          <w:top w:w="0" w:type="dxa"/>
          <w:left w:w="0" w:type="dxa"/>
          <w:bottom w:w="0" w:type="dxa"/>
          <w:right w:w="0" w:type="dxa"/>
        </w:tblCellMar>
        <w:tblLook w:val="01E0"/>
      </w:tblPr>
      <w:tblGrid>
        <w:gridCol w:w="1350"/>
        <w:gridCol w:w="1541"/>
        <w:gridCol w:w="1094"/>
        <w:gridCol w:w="1199"/>
        <w:gridCol w:w="1276"/>
        <w:gridCol w:w="1063"/>
        <w:gridCol w:w="1142"/>
      </w:tblGrid>
      <w:tr>
        <w:trPr>
          <w:trHeight w:val="427" w:hRule="exact"/>
        </w:trPr>
        <w:tc>
          <w:tcPr>
            <w:tcW w:w="1350"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68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18"/>
              <w:jc w:val="right"/>
              <w:rPr>
                <w:rFonts w:ascii="宋体" w:hAnsi="宋体" w:cs="宋体" w:eastAsia="宋体" w:hint="default"/>
                <w:sz w:val="18"/>
                <w:szCs w:val="18"/>
              </w:rPr>
            </w:pPr>
            <w:r>
              <w:rPr>
                <w:rFonts w:ascii="宋体" w:hAnsi="宋体" w:cs="宋体" w:eastAsia="宋体" w:hint="default"/>
                <w:spacing w:val="-1"/>
                <w:sz w:val="18"/>
                <w:szCs w:val="18"/>
              </w:rPr>
              <w:t>比例（</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p>
        </w:tc>
        <w:tc>
          <w:tcPr>
            <w:tcW w:w="1199" w:type="dxa"/>
            <w:tcBorders>
              <w:top w:val="nil" w:sz="6" w:space="0" w:color="auto"/>
              <w:left w:val="nil" w:sz="6" w:space="0" w:color="auto"/>
              <w:bottom w:val="nil" w:sz="6" w:space="0" w:color="auto"/>
              <w:right w:val="nil" w:sz="6" w:space="0" w:color="auto"/>
            </w:tcBorders>
          </w:tcPr>
          <w:p>
            <w:pPr>
              <w:pStyle w:val="TableParagraph"/>
              <w:spacing w:line="180" w:lineRule="exact"/>
              <w:ind w:left="17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25"/>
              <w:jc w:val="center"/>
              <w:rPr>
                <w:rFonts w:ascii="宋体" w:hAnsi="宋体" w:cs="宋体" w:eastAsia="宋体" w:hint="default"/>
                <w:sz w:val="18"/>
                <w:szCs w:val="18"/>
              </w:rPr>
            </w:pPr>
            <w:r>
              <w:rPr>
                <w:rFonts w:ascii="宋体" w:hAnsi="宋体" w:cs="宋体" w:eastAsia="宋体" w:hint="default"/>
                <w:sz w:val="18"/>
                <w:szCs w:val="18"/>
              </w:rPr>
              <w:t>金额</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107"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42" w:type="dxa"/>
            <w:tcBorders>
              <w:top w:val="nil" w:sz="6" w:space="0" w:color="auto"/>
              <w:left w:val="nil" w:sz="6" w:space="0" w:color="auto"/>
              <w:bottom w:val="nil" w:sz="6" w:space="0" w:color="auto"/>
              <w:right w:val="nil" w:sz="6" w:space="0" w:color="auto"/>
            </w:tcBorders>
          </w:tcPr>
          <w:p>
            <w:pPr>
              <w:pStyle w:val="TableParagraph"/>
              <w:spacing w:line="180" w:lineRule="exact"/>
              <w:ind w:left="175"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50"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6"/>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5"/>
              <w:jc w:val="right"/>
              <w:rPr>
                <w:rFonts w:ascii="Times New Roman" w:hAnsi="Times New Roman" w:cs="Times New Roman" w:eastAsia="Times New Roman" w:hint="default"/>
                <w:sz w:val="18"/>
                <w:szCs w:val="18"/>
              </w:rPr>
            </w:pPr>
            <w:r>
              <w:rPr>
                <w:rFonts w:ascii="Times New Roman"/>
                <w:spacing w:val="-1"/>
                <w:sz w:val="18"/>
              </w:rPr>
              <w:t>31,273,952.21</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07"/>
              <w:jc w:val="right"/>
              <w:rPr>
                <w:rFonts w:ascii="Times New Roman" w:hAnsi="Times New Roman" w:cs="Times New Roman" w:eastAsia="Times New Roman" w:hint="default"/>
                <w:sz w:val="18"/>
                <w:szCs w:val="18"/>
              </w:rPr>
            </w:pPr>
            <w:r>
              <w:rPr>
                <w:rFonts w:ascii="Times New Roman"/>
                <w:sz w:val="18"/>
              </w:rPr>
              <w:t>94.61</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30"/>
              <w:jc w:val="right"/>
              <w:rPr>
                <w:rFonts w:ascii="Times New Roman" w:hAnsi="Times New Roman" w:cs="Times New Roman" w:eastAsia="Times New Roman" w:hint="default"/>
                <w:sz w:val="18"/>
                <w:szCs w:val="18"/>
              </w:rPr>
            </w:pPr>
            <w:r>
              <w:rPr>
                <w:rFonts w:ascii="Times New Roman"/>
                <w:spacing w:val="-1"/>
                <w:sz w:val="18"/>
              </w:rPr>
              <w:t>1,563,697.61</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6"/>
              <w:jc w:val="right"/>
              <w:rPr>
                <w:rFonts w:ascii="Times New Roman" w:hAnsi="Times New Roman" w:cs="Times New Roman" w:eastAsia="Times New Roman" w:hint="default"/>
                <w:sz w:val="18"/>
                <w:szCs w:val="18"/>
              </w:rPr>
            </w:pPr>
            <w:r>
              <w:rPr>
                <w:rFonts w:ascii="Times New Roman"/>
                <w:spacing w:val="-1"/>
                <w:sz w:val="18"/>
              </w:rPr>
              <w:t>16,784,061.71</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478" w:right="0"/>
              <w:jc w:val="left"/>
              <w:rPr>
                <w:rFonts w:ascii="Times New Roman" w:hAnsi="Times New Roman" w:cs="Times New Roman" w:eastAsia="Times New Roman" w:hint="default"/>
                <w:sz w:val="18"/>
                <w:szCs w:val="18"/>
              </w:rPr>
            </w:pPr>
            <w:r>
              <w:rPr>
                <w:rFonts w:ascii="Times New Roman"/>
                <w:sz w:val="18"/>
              </w:rPr>
              <w:t>85.09</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6"/>
              <w:jc w:val="right"/>
              <w:rPr>
                <w:rFonts w:ascii="Times New Roman" w:hAnsi="Times New Roman" w:cs="Times New Roman" w:eastAsia="Times New Roman" w:hint="default"/>
                <w:sz w:val="18"/>
                <w:szCs w:val="18"/>
              </w:rPr>
            </w:pPr>
            <w:r>
              <w:rPr>
                <w:rFonts w:ascii="Times New Roman"/>
                <w:spacing w:val="-1"/>
                <w:sz w:val="18"/>
              </w:rPr>
              <w:t>798,627.11</w:t>
            </w:r>
          </w:p>
        </w:tc>
      </w:tr>
      <w:tr>
        <w:trPr>
          <w:trHeight w:val="385"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z w:val="18"/>
              </w:rPr>
              <w:t>993,781.41</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07"/>
              <w:jc w:val="right"/>
              <w:rPr>
                <w:rFonts w:ascii="Times New Roman" w:hAnsi="Times New Roman" w:cs="Times New Roman" w:eastAsia="Times New Roman" w:hint="default"/>
                <w:sz w:val="18"/>
                <w:szCs w:val="18"/>
              </w:rPr>
            </w:pPr>
            <w:r>
              <w:rPr>
                <w:rFonts w:ascii="Times New Roman"/>
                <w:sz w:val="18"/>
              </w:rPr>
              <w:t>3.00</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0"/>
              <w:jc w:val="right"/>
              <w:rPr>
                <w:rFonts w:ascii="Times New Roman" w:hAnsi="Times New Roman" w:cs="Times New Roman" w:eastAsia="Times New Roman" w:hint="default"/>
                <w:sz w:val="18"/>
                <w:szCs w:val="18"/>
              </w:rPr>
            </w:pPr>
            <w:r>
              <w:rPr>
                <w:rFonts w:ascii="Times New Roman"/>
                <w:sz w:val="18"/>
              </w:rPr>
              <w:t>99,378.14</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2,371,366.64</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478" w:right="0"/>
              <w:jc w:val="left"/>
              <w:rPr>
                <w:rFonts w:ascii="Times New Roman" w:hAnsi="Times New Roman" w:cs="Times New Roman" w:eastAsia="Times New Roman" w:hint="default"/>
                <w:sz w:val="18"/>
                <w:szCs w:val="18"/>
              </w:rPr>
            </w:pPr>
            <w:r>
              <w:rPr>
                <w:rFonts w:ascii="Times New Roman"/>
                <w:sz w:val="18"/>
              </w:rPr>
              <w:t>12.02</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z w:val="18"/>
              </w:rPr>
              <w:t>237,136.66</w:t>
            </w:r>
          </w:p>
        </w:tc>
      </w:tr>
      <w:tr>
        <w:trPr>
          <w:trHeight w:val="384"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z w:val="18"/>
              </w:rPr>
              <w:t>219,028.77</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07"/>
              <w:jc w:val="right"/>
              <w:rPr>
                <w:rFonts w:ascii="Times New Roman" w:hAnsi="Times New Roman" w:cs="Times New Roman" w:eastAsia="Times New Roman" w:hint="default"/>
                <w:sz w:val="18"/>
                <w:szCs w:val="18"/>
              </w:rPr>
            </w:pPr>
            <w:r>
              <w:rPr>
                <w:rFonts w:ascii="Times New Roman"/>
                <w:sz w:val="18"/>
              </w:rPr>
              <w:t>0.66</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30"/>
              <w:jc w:val="right"/>
              <w:rPr>
                <w:rFonts w:ascii="Times New Roman" w:hAnsi="Times New Roman" w:cs="Times New Roman" w:eastAsia="Times New Roman" w:hint="default"/>
                <w:sz w:val="18"/>
                <w:szCs w:val="18"/>
              </w:rPr>
            </w:pPr>
            <w:r>
              <w:rPr>
                <w:rFonts w:ascii="Times New Roman"/>
                <w:sz w:val="18"/>
              </w:rPr>
              <w:t>109,514.39</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z w:val="18"/>
              </w:rPr>
              <w:t>271,788.90</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68" w:right="0"/>
              <w:jc w:val="left"/>
              <w:rPr>
                <w:rFonts w:ascii="Times New Roman" w:hAnsi="Times New Roman" w:cs="Times New Roman" w:eastAsia="Times New Roman" w:hint="default"/>
                <w:sz w:val="18"/>
                <w:szCs w:val="18"/>
              </w:rPr>
            </w:pPr>
            <w:r>
              <w:rPr>
                <w:rFonts w:ascii="Times New Roman"/>
                <w:sz w:val="18"/>
              </w:rPr>
              <w:t>1.38</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z w:val="18"/>
              </w:rPr>
              <w:t>135,894.45</w:t>
            </w:r>
          </w:p>
        </w:tc>
      </w:tr>
      <w:tr>
        <w:trPr>
          <w:trHeight w:val="385" w:hRule="exact"/>
        </w:trPr>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z w:val="18"/>
              </w:rPr>
              <w:t>570,507.61</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07"/>
              <w:jc w:val="right"/>
              <w:rPr>
                <w:rFonts w:ascii="Times New Roman" w:hAnsi="Times New Roman" w:cs="Times New Roman" w:eastAsia="Times New Roman" w:hint="default"/>
                <w:sz w:val="18"/>
                <w:szCs w:val="18"/>
              </w:rPr>
            </w:pPr>
            <w:r>
              <w:rPr>
                <w:rFonts w:ascii="Times New Roman"/>
                <w:sz w:val="18"/>
              </w:rPr>
              <w:t>1.73</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30"/>
              <w:jc w:val="right"/>
              <w:rPr>
                <w:rFonts w:ascii="Times New Roman" w:hAnsi="Times New Roman" w:cs="Times New Roman" w:eastAsia="Times New Roman" w:hint="default"/>
                <w:sz w:val="18"/>
                <w:szCs w:val="18"/>
              </w:rPr>
            </w:pPr>
            <w:r>
              <w:rPr>
                <w:rFonts w:ascii="Times New Roman"/>
                <w:sz w:val="18"/>
              </w:rPr>
              <w:t>513,456.85</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z w:val="18"/>
              </w:rPr>
              <w:t>298,718.71</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68" w:right="0"/>
              <w:jc w:val="left"/>
              <w:rPr>
                <w:rFonts w:ascii="Times New Roman" w:hAnsi="Times New Roman" w:cs="Times New Roman" w:eastAsia="Times New Roman" w:hint="default"/>
                <w:sz w:val="18"/>
                <w:szCs w:val="18"/>
              </w:rPr>
            </w:pPr>
            <w:r>
              <w:rPr>
                <w:rFonts w:ascii="Times New Roman"/>
                <w:sz w:val="18"/>
              </w:rPr>
              <w:t>1.51</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z w:val="18"/>
              </w:rPr>
              <w:t>268,846.84</w:t>
            </w:r>
          </w:p>
        </w:tc>
      </w:tr>
      <w:tr>
        <w:trPr>
          <w:trHeight w:val="390" w:hRule="exact"/>
        </w:trPr>
        <w:tc>
          <w:tcPr>
            <w:tcW w:w="1350"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59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41"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pacing w:val="-1"/>
                <w:sz w:val="18"/>
              </w:rPr>
              <w:t>33,057,270.00</w:t>
            </w:r>
          </w:p>
        </w:tc>
        <w:tc>
          <w:tcPr>
            <w:tcW w:w="1094"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left="389" w:right="0"/>
              <w:jc w:val="left"/>
              <w:rPr>
                <w:rFonts w:ascii="Times New Roman" w:hAnsi="Times New Roman" w:cs="Times New Roman" w:eastAsia="Times New Roman" w:hint="default"/>
                <w:sz w:val="18"/>
                <w:szCs w:val="18"/>
              </w:rPr>
            </w:pPr>
            <w:r>
              <w:rPr>
                <w:rFonts w:ascii="Times New Roman"/>
                <w:sz w:val="18"/>
              </w:rPr>
              <w:t>100.00</w:t>
            </w:r>
          </w:p>
        </w:tc>
        <w:tc>
          <w:tcPr>
            <w:tcW w:w="1199"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30"/>
              <w:jc w:val="right"/>
              <w:rPr>
                <w:rFonts w:ascii="Times New Roman" w:hAnsi="Times New Roman" w:cs="Times New Roman" w:eastAsia="Times New Roman" w:hint="default"/>
                <w:sz w:val="18"/>
                <w:szCs w:val="18"/>
              </w:rPr>
            </w:pPr>
            <w:r>
              <w:rPr>
                <w:rFonts w:ascii="Times New Roman"/>
                <w:spacing w:val="-1"/>
                <w:sz w:val="18"/>
              </w:rPr>
              <w:t>2,286,046.99</w:t>
            </w:r>
          </w:p>
        </w:tc>
        <w:tc>
          <w:tcPr>
            <w:tcW w:w="1276"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19,725,935.96</w:t>
            </w:r>
          </w:p>
        </w:tc>
        <w:tc>
          <w:tcPr>
            <w:tcW w:w="1063"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left="388" w:right="0"/>
              <w:jc w:val="left"/>
              <w:rPr>
                <w:rFonts w:ascii="Times New Roman" w:hAnsi="Times New Roman" w:cs="Times New Roman" w:eastAsia="Times New Roman" w:hint="default"/>
                <w:sz w:val="18"/>
                <w:szCs w:val="18"/>
              </w:rPr>
            </w:pPr>
            <w:r>
              <w:rPr>
                <w:rFonts w:ascii="Times New Roman"/>
                <w:sz w:val="18"/>
              </w:rPr>
              <w:t>100.00</w:t>
            </w:r>
          </w:p>
        </w:tc>
        <w:tc>
          <w:tcPr>
            <w:tcW w:w="1142"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1,440,505.06</w:t>
            </w:r>
          </w:p>
        </w:tc>
      </w:tr>
    </w:tbl>
    <w:p>
      <w:pPr>
        <w:spacing w:line="240" w:lineRule="auto" w:before="8"/>
        <w:rPr>
          <w:rFonts w:ascii="宋体" w:hAnsi="宋体" w:cs="宋体" w:eastAsia="宋体" w:hint="default"/>
          <w:sz w:val="24"/>
          <w:szCs w:val="24"/>
        </w:rPr>
      </w:pPr>
    </w:p>
    <w:p>
      <w:pPr>
        <w:spacing w:before="35"/>
        <w:ind w:left="1708" w:right="1505" w:firstLine="0"/>
        <w:jc w:val="left"/>
        <w:rPr>
          <w:rFonts w:ascii="宋体" w:hAnsi="宋体" w:cs="宋体" w:eastAsia="宋体" w:hint="default"/>
          <w:sz w:val="21"/>
          <w:szCs w:val="21"/>
        </w:rPr>
      </w:pPr>
      <w:r>
        <w:rPr>
          <w:rFonts w:ascii="宋体" w:hAnsi="宋体" w:cs="宋体" w:eastAsia="宋体" w:hint="default"/>
          <w:sz w:val="21"/>
          <w:szCs w:val="21"/>
        </w:rPr>
        <w:t>组合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中，采用余额百分比法计提坏账准备的其他应收款：</w:t>
      </w:r>
    </w:p>
    <w:p>
      <w:pPr>
        <w:spacing w:line="1203" w:lineRule="exact"/>
        <w:ind w:left="1580"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390.45pt;height:60.2pt;mso-position-horizontal-relative:char;mso-position-vertical-relative:line" coordorigin="0,0" coordsize="7809,1204">
            <v:group style="position:absolute;left:29;top:15;width:7755;height:2" coordorigin="29,15" coordsize="7755,2">
              <v:shape style="position:absolute;left:29;top:15;width:7755;height:2" coordorigin="29,15" coordsize="7755,0" path="m29,15l7784,15e" filled="false" stroked="true" strokeweight="1.5pt" strokecolor="#000000">
                <v:path arrowok="t"/>
              </v:shape>
              <v:shape style="position:absolute;left:2446;top:1;width:3635;height:432" type="#_x0000_t75" stroked="false">
                <v:imagedata r:id="rId361" o:title=""/>
              </v:shape>
            </v:group>
            <v:group style="position:absolute;left:15;top:1189;width:2460;height:2" coordorigin="15,1189" coordsize="2460,2">
              <v:shape style="position:absolute;left:15;top:1189;width:2460;height:2" coordorigin="15,1189" coordsize="2460,0" path="m15,1189l2475,1189e" filled="false" stroked="true" strokeweight="1.5pt" strokecolor="#000000">
                <v:path arrowok="t"/>
              </v:shape>
            </v:group>
            <v:group style="position:absolute;left:2475;top:1189;width:1902;height:2" coordorigin="2475,1189" coordsize="1902,2">
              <v:shape style="position:absolute;left:2475;top:1189;width:1902;height:2" coordorigin="2475,1189" coordsize="1902,0" path="m2475,1189l4377,1189e" filled="false" stroked="true" strokeweight="1.5pt" strokecolor="#000000">
                <v:path arrowok="t"/>
              </v:shape>
            </v:group>
            <v:group style="position:absolute;left:4377;top:1189;width:1666;height:2" coordorigin="4377,1189" coordsize="1666,2">
              <v:shape style="position:absolute;left:4377;top:1189;width:1666;height:2" coordorigin="4377,1189" coordsize="1666,0" path="m4377,1189l6043,1189e" filled="false" stroked="true" strokeweight="1.5pt" strokecolor="#000000">
                <v:path arrowok="t"/>
              </v:shape>
              <v:shape style="position:absolute;left:1;top:385;width:7808;height:788" type="#_x0000_t75" stroked="false">
                <v:imagedata r:id="rId362" o:title=""/>
              </v:shape>
            </v:group>
            <v:group style="position:absolute;left:6043;top:1189;width:1742;height:2" coordorigin="6043,1189" coordsize="1742,2">
              <v:shape style="position:absolute;left:6043;top:1189;width:1742;height:2" coordorigin="6043,1189" coordsize="1742,0" path="m6043,1189l7784,1189e" filled="false" stroked="true" strokeweight="1.5pt" strokecolor="#000000">
                <v:path arrowok="t"/>
              </v:shape>
              <v:shape style="position:absolute;left:895;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组合名称</w:t>
                      </w:r>
                    </w:p>
                  </w:txbxContent>
                </v:textbox>
                <w10:wrap type="none"/>
              </v:shape>
              <v:shape style="position:absolute;left:3070;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719;top:127;width:99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xbxContent>
                </v:textbox>
                <w10:wrap type="none"/>
              </v:shape>
              <v:shape style="position:absolute;left:6555;top:1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137;top:513;width:216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应收政府补助</w:t>
                      </w:r>
                      <w:r>
                        <w:rPr>
                          <w:rFonts w:ascii="Times New Roman" w:hAnsi="Times New Roman" w:cs="Times New Roman" w:eastAsia="Times New Roman" w:hint="default"/>
                          <w:sz w:val="18"/>
                          <w:szCs w:val="18"/>
                        </w:rPr>
                        <w:t>—</w:t>
                      </w:r>
                      <w:r>
                        <w:rPr>
                          <w:rFonts w:ascii="宋体" w:hAnsi="宋体" w:cs="宋体" w:eastAsia="宋体" w:hint="default"/>
                          <w:sz w:val="18"/>
                          <w:szCs w:val="18"/>
                        </w:rPr>
                        <w:t>增值税退税</w:t>
                      </w:r>
                    </w:p>
                  </w:txbxContent>
                </v:textbox>
                <w10:wrap type="none"/>
              </v:shape>
              <v:shape style="position:absolute;left:3329;top:52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2,478,342.24</w:t>
                      </w:r>
                    </w:p>
                  </w:txbxContent>
                </v:textbox>
                <w10:wrap type="none"/>
              </v:shape>
              <v:shape style="position:absolute;left:5057;top:520;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0.00</w:t>
                      </w:r>
                    </w:p>
                  </w:txbxContent>
                </v:textbox>
                <w10:wrap type="none"/>
              </v:shape>
              <v:shape style="position:absolute;left:6758;top:520;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0.00</w:t>
                      </w:r>
                    </w:p>
                  </w:txbxContent>
                </v:textbox>
                <w10:wrap type="none"/>
              </v:shape>
              <v:shape style="position:absolute;left:1075;top:89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3329;top:904;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2,478,342.24</w:t>
                      </w:r>
                    </w:p>
                  </w:txbxContent>
                </v:textbox>
                <w10:wrap type="none"/>
              </v:shape>
              <v:shape style="position:absolute;left:5057;top:904;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0.00</w:t>
                      </w:r>
                    </w:p>
                  </w:txbxContent>
                </v:textbox>
                <w10:wrap type="none"/>
              </v:shape>
              <v:shape style="position:absolute;left:6758;top:904;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0.00</w:t>
                      </w:r>
                    </w:p>
                  </w:txbxContent>
                </v:textbox>
                <w10:wrap type="none"/>
              </v:shape>
            </v:group>
          </v:group>
        </w:pict>
      </w:r>
      <w:r>
        <w:rPr>
          <w:rFonts w:ascii="宋体" w:hAnsi="宋体" w:cs="宋体" w:eastAsia="宋体" w:hint="default"/>
          <w:position w:val="-23"/>
          <w:sz w:val="20"/>
          <w:szCs w:val="20"/>
        </w:rPr>
      </w:r>
    </w:p>
    <w:p>
      <w:pPr>
        <w:spacing w:line="240" w:lineRule="auto" w:before="0"/>
        <w:rPr>
          <w:rFonts w:ascii="宋体" w:hAnsi="宋体" w:cs="宋体" w:eastAsia="宋体" w:hint="default"/>
          <w:sz w:val="20"/>
          <w:szCs w:val="20"/>
        </w:rPr>
      </w:pPr>
    </w:p>
    <w:p>
      <w:pPr>
        <w:tabs>
          <w:tab w:pos="2252" w:val="left" w:leader="none"/>
        </w:tabs>
        <w:spacing w:line="280" w:lineRule="auto" w:before="168"/>
        <w:ind w:left="1717" w:right="150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2"/>
          <w:w w:val="95"/>
          <w:sz w:val="21"/>
          <w:szCs w:val="21"/>
        </w:rPr>
        <w:t>期末无单项金额重大或虽不重大但单独进行减值测试的其他应收款坏账</w:t>
      </w:r>
      <w:r>
        <w:rPr>
          <w:rFonts w:ascii="宋体" w:hAnsi="宋体" w:cs="宋体" w:eastAsia="宋体" w:hint="default"/>
          <w:b/>
          <w:bCs/>
          <w:spacing w:val="99"/>
          <w:w w:val="95"/>
          <w:sz w:val="21"/>
          <w:szCs w:val="21"/>
        </w:rPr>
        <w:t> </w:t>
      </w:r>
      <w:r>
        <w:rPr>
          <w:rFonts w:ascii="宋体" w:hAnsi="宋体" w:cs="宋体" w:eastAsia="宋体" w:hint="default"/>
          <w:b/>
          <w:bCs/>
          <w:spacing w:val="99"/>
          <w:w w:val="95"/>
          <w:sz w:val="21"/>
          <w:szCs w:val="21"/>
        </w:rPr>
      </w:r>
      <w:r>
        <w:rPr>
          <w:rFonts w:ascii="宋体" w:hAnsi="宋体" w:cs="宋体" w:eastAsia="宋体" w:hint="default"/>
          <w:b/>
          <w:bCs/>
          <w:sz w:val="21"/>
          <w:szCs w:val="21"/>
        </w:rPr>
        <w:t>准备。</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2256" w:val="left" w:leader="none"/>
        </w:tabs>
        <w:spacing w:before="168"/>
        <w:ind w:left="1717" w:right="1505"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本报告期实际核销的其他应收款情况</w:t>
      </w:r>
      <w:r>
        <w:rPr>
          <w:rFonts w:ascii="宋体" w:hAnsi="宋体" w:cs="宋体" w:eastAsia="宋体" w:hint="default"/>
          <w:sz w:val="21"/>
          <w:szCs w:val="21"/>
        </w:rPr>
      </w:r>
    </w:p>
    <w:p>
      <w:pPr>
        <w:spacing w:line="2336" w:lineRule="exact"/>
        <w:ind w:left="1580"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01.75pt;height:116.85pt;mso-position-horizontal-relative:char;mso-position-vertical-relative:line" coordorigin="0,0" coordsize="8035,2337">
            <v:group style="position:absolute;left:29;top:15;width:7985;height:2" coordorigin="29,15" coordsize="7985,2">
              <v:shape style="position:absolute;left:29;top:15;width:7985;height:2" coordorigin="29,15" coordsize="7985,0" path="m29,15l8014,15e" filled="false" stroked="true" strokeweight="1.5pt" strokecolor="#000000">
                <v:path arrowok="t"/>
              </v:shape>
              <v:shape style="position:absolute;left:1514;top:1;width:5311;height:806" type="#_x0000_t75" stroked="false">
                <v:imagedata r:id="rId363" o:title=""/>
              </v:shape>
            </v:group>
            <v:group style="position:absolute;left:15;top:2321;width:1528;height:2" coordorigin="15,2321" coordsize="1528,2">
              <v:shape style="position:absolute;left:15;top:2321;width:1528;height:2" coordorigin="15,2321" coordsize="1528,0" path="m15,2321l1543,2321e" filled="false" stroked="true" strokeweight="1.5pt" strokecolor="#000000">
                <v:path arrowok="t"/>
              </v:shape>
            </v:group>
            <v:group style="position:absolute;left:1543;top:2321;width:1684;height:2" coordorigin="1543,2321" coordsize="1684,2">
              <v:shape style="position:absolute;left:1543;top:2321;width:1684;height:2" coordorigin="1543,2321" coordsize="1684,0" path="m1543,2321l3226,2321e" filled="false" stroked="true" strokeweight="1.5pt" strokecolor="#000000">
                <v:path arrowok="t"/>
              </v:shape>
            </v:group>
            <v:group style="position:absolute;left:3226;top:2321;width:1739;height:2" coordorigin="3226,2321" coordsize="1739,2">
              <v:shape style="position:absolute;left:3226;top:2321;width:1739;height:2" coordorigin="3226,2321" coordsize="1739,0" path="m3226,2321l4965,2321e" filled="false" stroked="true" strokeweight="1.5pt" strokecolor="#000000">
                <v:path arrowok="t"/>
              </v:shape>
            </v:group>
            <v:group style="position:absolute;left:4965;top:2321;width:1822;height:2" coordorigin="4965,2321" coordsize="1822,2">
              <v:shape style="position:absolute;left:4965;top:2321;width:1822;height:2" coordorigin="4965,2321" coordsize="1822,0" path="m4965,2321l6787,2321e" filled="false" stroked="true" strokeweight="1.5pt" strokecolor="#000000">
                <v:path arrowok="t"/>
              </v:shape>
              <v:shape style="position:absolute;left:10;top:760;width:8024;height:1547" type="#_x0000_t75" stroked="false">
                <v:imagedata r:id="rId364" o:title=""/>
              </v:shape>
            </v:group>
            <v:group style="position:absolute;left:6787;top:2321;width:1228;height:2" coordorigin="6787,2321" coordsize="1228,2">
              <v:shape style="position:absolute;left:6787;top:2321;width:1228;height:2" coordorigin="6787,2321" coordsize="1228,0" path="m6787,2321l8014,2321e" filled="false" stroked="true" strokeweight="1.5pt" strokecolor="#000000">
                <v:path arrowok="t"/>
              </v:shape>
              <v:shape style="position:absolute;left:6951;top:12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是否因关联</w:t>
                      </w:r>
                    </w:p>
                  </w:txbxContent>
                </v:textbox>
                <w10:wrap type="none"/>
              </v:shape>
              <v:shape style="position:absolute;left:428;top:3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1759;top:315;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其他应收款性质</w:t>
                      </w:r>
                    </w:p>
                  </w:txbxContent>
                </v:textbox>
                <w10:wrap type="none"/>
              </v:shape>
              <v:shape style="position:absolute;left:3740;top:3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核销金额</w:t>
                      </w:r>
                    </w:p>
                  </w:txbxContent>
                </v:textbox>
                <w10:wrap type="none"/>
              </v:shape>
              <v:shape style="position:absolute;left:5521;top:31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核销原因</w:t>
                      </w:r>
                    </w:p>
                  </w:txbxContent>
                </v:textbox>
                <w10:wrap type="none"/>
              </v:shape>
              <v:shape style="position:absolute;left:7041;top:50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交易产生</w:t>
                      </w:r>
                    </w:p>
                  </w:txbxContent>
                </v:textbox>
                <w10:wrap type="none"/>
              </v:shape>
              <v:shape style="position:absolute;left:137;top:88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沈间崧</w:t>
                      </w:r>
                    </w:p>
                  </w:txbxContent>
                </v:textbox>
                <w10:wrap type="none"/>
              </v:shape>
              <v:shape style="position:absolute;left:2209;top:88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押金</w:t>
                      </w:r>
                    </w:p>
                  </w:txbxContent>
                </v:textbox>
                <w10:wrap type="none"/>
              </v:shape>
              <v:shape style="position:absolute;left:4232;top:893;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2,900.00</w:t>
                      </w:r>
                    </w:p>
                  </w:txbxContent>
                </v:textbox>
                <w10:wrap type="none"/>
              </v:shape>
              <v:shape style="position:absolute;left:5341;top:88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押金无法收回</w:t>
                      </w:r>
                    </w:p>
                  </w:txbxContent>
                </v:textbox>
                <w10:wrap type="none"/>
              </v:shape>
              <v:shape style="position:absolute;left:7311;top:88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否</w:t>
                      </w:r>
                    </w:p>
                  </w:txbxContent>
                </v:textbox>
                <w10:wrap type="none"/>
              </v:shape>
              <v:shape style="position:absolute;left:137;top:1271;width:7354;height:555" type="#_x0000_t202" filled="false" stroked="false">
                <v:textbox inset="0,0,0,0">
                  <w:txbxContent>
                    <w:p>
                      <w:pPr>
                        <w:tabs>
                          <w:tab w:pos="4940" w:val="left" w:leader="none"/>
                        </w:tabs>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pacing w:val="5"/>
                          <w:sz w:val="18"/>
                          <w:szCs w:val="18"/>
                        </w:rPr>
                        <w:t>增城市励骏服装</w:t>
                        <w:tab/>
                      </w:r>
                      <w:r>
                        <w:rPr>
                          <w:rFonts w:ascii="宋体" w:hAnsi="宋体" w:cs="宋体" w:eastAsia="宋体" w:hint="default"/>
                          <w:sz w:val="18"/>
                          <w:szCs w:val="18"/>
                        </w:rPr>
                        <w:t>合同未到期退租，保</w:t>
                      </w:r>
                    </w:p>
                    <w:p>
                      <w:pPr>
                        <w:tabs>
                          <w:tab w:pos="4004" w:val="left" w:leader="none"/>
                          <w:tab w:pos="5203" w:val="left" w:leader="none"/>
                          <w:tab w:pos="7173" w:val="left" w:leader="none"/>
                        </w:tabs>
                        <w:spacing w:line="180" w:lineRule="auto" w:before="28"/>
                        <w:ind w:left="0" w:right="0" w:firstLine="1531"/>
                        <w:jc w:val="left"/>
                        <w:rPr>
                          <w:rFonts w:ascii="宋体" w:hAnsi="宋体" w:cs="宋体" w:eastAsia="宋体" w:hint="default"/>
                          <w:sz w:val="18"/>
                          <w:szCs w:val="18"/>
                        </w:rPr>
                      </w:pPr>
                      <w:r>
                        <w:rPr>
                          <w:rFonts w:ascii="宋体" w:hAnsi="宋体" w:cs="宋体" w:eastAsia="宋体" w:hint="default"/>
                          <w:sz w:val="18"/>
                          <w:szCs w:val="18"/>
                        </w:rPr>
                        <w:t>宿舍楼租赁保证金</w:t>
                        <w:tab/>
                      </w:r>
                      <w:r>
                        <w:rPr>
                          <w:rFonts w:ascii="Times New Roman" w:hAnsi="Times New Roman" w:cs="Times New Roman" w:eastAsia="Times New Roman" w:hint="default"/>
                          <w:sz w:val="18"/>
                          <w:szCs w:val="18"/>
                        </w:rPr>
                        <w:t>39,570.00</w:t>
                        <w:tab/>
                        <w:tab/>
                      </w:r>
                      <w:r>
                        <w:rPr>
                          <w:rFonts w:ascii="宋体" w:hAnsi="宋体" w:cs="宋体" w:eastAsia="宋体" w:hint="default"/>
                          <w:sz w:val="18"/>
                          <w:szCs w:val="18"/>
                        </w:rPr>
                        <w:t>否 有限公司</w:t>
                        <w:tab/>
                        <w:tab/>
                        <w:t>证金无法收回</w:t>
                      </w:r>
                    </w:p>
                  </w:txbxContent>
                </v:textbox>
                <w10:wrap type="none"/>
              </v:shape>
              <v:shape style="position:absolute;left:518;top:202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4143;top:2037;width:72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42,470.00</w:t>
                      </w:r>
                    </w:p>
                  </w:txbxContent>
                </v:textbox>
                <w10:wrap type="none"/>
              </v:shape>
            </v:group>
          </v:group>
        </w:pict>
      </w:r>
      <w:r>
        <w:rPr>
          <w:rFonts w:ascii="宋体" w:hAnsi="宋体" w:cs="宋体" w:eastAsia="宋体" w:hint="default"/>
          <w:position w:val="-46"/>
          <w:sz w:val="20"/>
          <w:szCs w:val="20"/>
        </w:rPr>
      </w:r>
    </w:p>
    <w:p>
      <w:pPr>
        <w:tabs>
          <w:tab w:pos="2247" w:val="left" w:leader="none"/>
        </w:tabs>
        <w:spacing w:before="59"/>
        <w:ind w:left="1720" w:right="1505"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本期不存在转回或收回其他应收款的情况。</w:t>
      </w:r>
      <w:r>
        <w:rPr>
          <w:rFonts w:ascii="宋体" w:hAnsi="宋体" w:cs="宋体" w:eastAsia="宋体" w:hint="default"/>
          <w:sz w:val="21"/>
          <w:szCs w:val="21"/>
        </w:rPr>
      </w:r>
    </w:p>
    <w:p>
      <w:pPr>
        <w:tabs>
          <w:tab w:pos="2259" w:val="left" w:leader="none"/>
        </w:tabs>
        <w:spacing w:line="314" w:lineRule="auto" w:before="99"/>
        <w:ind w:left="1733" w:right="1505" w:hanging="1"/>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期末其他应收款中无持本公司</w:t>
      </w:r>
      <w:r>
        <w:rPr>
          <w:rFonts w:ascii="宋体" w:hAnsi="宋体" w:cs="宋体" w:eastAsia="宋体" w:hint="default"/>
          <w:b/>
          <w:bCs/>
          <w:spacing w:val="-59"/>
          <w:sz w:val="21"/>
          <w:szCs w:val="21"/>
        </w:rPr>
        <w:t> </w:t>
      </w:r>
      <w:r>
        <w:rPr>
          <w:rFonts w:ascii="Times New Roman" w:hAnsi="Times New Roman" w:cs="Times New Roman" w:eastAsia="Times New Roman" w:hint="default"/>
          <w:b/>
          <w:bCs/>
          <w:spacing w:val="-5"/>
          <w:sz w:val="21"/>
          <w:szCs w:val="21"/>
        </w:rPr>
        <w:t>5</w:t>
      </w:r>
      <w:r>
        <w:rPr>
          <w:rFonts w:ascii="宋体" w:hAnsi="宋体" w:cs="宋体" w:eastAsia="宋体" w:hint="default"/>
          <w:b/>
          <w:bCs/>
          <w:spacing w:val="-5"/>
          <w:sz w:val="21"/>
          <w:szCs w:val="21"/>
        </w:rPr>
        <w:t>％以上（含</w:t>
      </w:r>
      <w:r>
        <w:rPr>
          <w:rFonts w:ascii="宋体" w:hAnsi="宋体" w:cs="宋体" w:eastAsia="宋体" w:hint="default"/>
          <w:b/>
          <w:bCs/>
          <w:spacing w:val="-60"/>
          <w:sz w:val="21"/>
          <w:szCs w:val="21"/>
        </w:rPr>
        <w:t> </w:t>
      </w:r>
      <w:r>
        <w:rPr>
          <w:rFonts w:ascii="Times New Roman" w:hAnsi="Times New Roman" w:cs="Times New Roman" w:eastAsia="Times New Roman" w:hint="default"/>
          <w:b/>
          <w:bCs/>
          <w:spacing w:val="-2"/>
          <w:sz w:val="21"/>
          <w:szCs w:val="21"/>
        </w:rPr>
        <w:t>5</w:t>
      </w:r>
      <w:r>
        <w:rPr>
          <w:rFonts w:ascii="宋体" w:hAnsi="宋体" w:cs="宋体" w:eastAsia="宋体" w:hint="default"/>
          <w:b/>
          <w:bCs/>
          <w:spacing w:val="-2"/>
          <w:sz w:val="21"/>
          <w:szCs w:val="21"/>
        </w:rPr>
        <w:t>％）表决权股份的股东单位</w:t>
      </w:r>
      <w:r>
        <w:rPr>
          <w:rFonts w:ascii="宋体" w:hAnsi="宋体" w:cs="宋体" w:eastAsia="宋体" w:hint="default"/>
          <w:b/>
          <w:bCs/>
          <w:w w:val="99"/>
          <w:sz w:val="21"/>
          <w:szCs w:val="21"/>
        </w:rPr>
        <w:t> </w:t>
      </w:r>
      <w:r>
        <w:rPr>
          <w:rFonts w:ascii="宋体" w:hAnsi="宋体" w:cs="宋体" w:eastAsia="宋体" w:hint="default"/>
          <w:b/>
          <w:bCs/>
          <w:sz w:val="21"/>
          <w:szCs w:val="21"/>
        </w:rPr>
        <w:t>欠款。</w:t>
      </w:r>
      <w:r>
        <w:rPr>
          <w:rFonts w:ascii="宋体" w:hAnsi="宋体" w:cs="宋体" w:eastAsia="宋体" w:hint="default"/>
          <w:sz w:val="21"/>
          <w:szCs w:val="21"/>
        </w:rPr>
      </w:r>
    </w:p>
    <w:p>
      <w:pPr>
        <w:tabs>
          <w:tab w:pos="2256" w:val="left" w:leader="none"/>
        </w:tabs>
        <w:spacing w:before="39"/>
        <w:ind w:left="1717" w:right="1505"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7</w:t>
      </w:r>
      <w:r>
        <w:rPr>
          <w:rFonts w:ascii="宋体" w:hAnsi="宋体" w:cs="宋体" w:eastAsia="宋体" w:hint="default"/>
          <w:b/>
          <w:bCs/>
          <w:w w:val="95"/>
          <w:sz w:val="21"/>
          <w:szCs w:val="21"/>
        </w:rPr>
        <w:t>、</w:t>
        <w:tab/>
      </w:r>
      <w:r>
        <w:rPr>
          <w:rFonts w:ascii="宋体" w:hAnsi="宋体" w:cs="宋体" w:eastAsia="宋体" w:hint="default"/>
          <w:b/>
          <w:bCs/>
          <w:sz w:val="21"/>
          <w:szCs w:val="21"/>
        </w:rPr>
        <w:t>其他应收款金额前五名情况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7" w:footer="1256" w:top="1100" w:bottom="1440" w:left="800" w:right="760"/>
        </w:sectPr>
      </w:pPr>
    </w:p>
    <w:p>
      <w:pPr>
        <w:spacing w:line="240" w:lineRule="auto" w:before="0"/>
        <w:rPr>
          <w:rFonts w:ascii="宋体" w:hAnsi="宋体" w:cs="宋体" w:eastAsia="宋体" w:hint="default"/>
          <w:b/>
          <w:bCs/>
          <w:sz w:val="20"/>
          <w:szCs w:val="20"/>
        </w:rPr>
      </w:pPr>
      <w:r>
        <w:rPr/>
        <w:pict>
          <v:group style="position:absolute;margin-left:95.610001pt;margin-top:72pt;width:428.25pt;height:193.3pt;mso-position-horizontal-relative:page;mso-position-vertical-relative:page;z-index:-801304" coordorigin="1912,1440" coordsize="8565,3866">
            <v:group style="position:absolute;left:1942;top:1455;width:8506;height:2" coordorigin="1942,1455" coordsize="8506,2">
              <v:shape style="position:absolute;left:1942;top:1455;width:8506;height:2" coordorigin="1942,1455" coordsize="8506,0" path="m1942,1455l10447,1455e" filled="false" stroked="true" strokeweight="1.5pt" strokecolor="#000000">
                <v:path arrowok="t"/>
              </v:shape>
              <v:shape style="position:absolute;left:3648;top:1451;width:5264;height:798" type="#_x0000_t75" stroked="false">
                <v:imagedata r:id="rId365" o:title=""/>
              </v:shape>
            </v:group>
            <v:group style="position:absolute;left:1927;top:5290;width:1740;height:2" coordorigin="1927,5290" coordsize="1740,2">
              <v:shape style="position:absolute;left:1927;top:5290;width:1740;height:2" coordorigin="1927,5290" coordsize="1740,0" path="m1927,5290l3667,5290e" filled="false" stroked="true" strokeweight="1.5pt" strokecolor="#000000">
                <v:path arrowok="t"/>
              </v:shape>
            </v:group>
            <v:group style="position:absolute;left:3667;top:5290;width:1440;height:2" coordorigin="3667,5290" coordsize="1440,2">
              <v:shape style="position:absolute;left:3667;top:5290;width:1440;height:2" coordorigin="3667,5290" coordsize="1440,0" path="m3667,5290l5107,5290e" filled="false" stroked="true" strokeweight="1.5pt" strokecolor="#000000">
                <v:path arrowok="t"/>
              </v:shape>
            </v:group>
            <v:group style="position:absolute;left:5107;top:5290;width:1366;height:2" coordorigin="5107,5290" coordsize="1366,2">
              <v:shape style="position:absolute;left:5107;top:5290;width:1366;height:2" coordorigin="5107,5290" coordsize="1366,0" path="m5107,5290l6473,5290e" filled="false" stroked="true" strokeweight="1.5pt" strokecolor="#000000">
                <v:path arrowok="t"/>
              </v:shape>
            </v:group>
            <v:group style="position:absolute;left:6473;top:5290;width:993;height:2" coordorigin="6473,5290" coordsize="993,2">
              <v:shape style="position:absolute;left:6473;top:5290;width:993;height:2" coordorigin="6473,5290" coordsize="993,0" path="m6473,5290l7465,5290e" filled="false" stroked="true" strokeweight="1.5pt" strokecolor="#000000">
                <v:path arrowok="t"/>
              </v:shape>
            </v:group>
            <v:group style="position:absolute;left:7465;top:5290;width:1419;height:2" coordorigin="7465,5290" coordsize="1419,2">
              <v:shape style="position:absolute;left:7465;top:5290;width:1419;height:2" coordorigin="7465,5290" coordsize="1419,0" path="m7465,5290l8884,5290e" filled="false" stroked="true" strokeweight="1.5pt" strokecolor="#000000">
                <v:path arrowok="t"/>
              </v:shape>
              <v:shape style="position:absolute;left:1913;top:2201;width:8564;height:3074" type="#_x0000_t75" stroked="false">
                <v:imagedata r:id="rId366" o:title=""/>
              </v:shape>
            </v:group>
            <v:group style="position:absolute;left:8884;top:5290;width:1564;height:2" coordorigin="8884,5290" coordsize="1564,2">
              <v:shape style="position:absolute;left:8884;top:5290;width:1564;height:2" coordorigin="8884,5290" coordsize="1564,0" path="m8884,5290l10447,5290e" filled="false" stroked="true" strokeweight="1.5pt" strokecolor="#000000">
                <v:path arrowok="t"/>
              </v:shape>
            </v:group>
            <w10:wrap type="none"/>
          </v:group>
        </w:pict>
      </w:r>
    </w:p>
    <w:p>
      <w:pPr>
        <w:spacing w:line="240" w:lineRule="auto" w:before="3"/>
        <w:rPr>
          <w:rFonts w:ascii="宋体" w:hAnsi="宋体" w:cs="宋体" w:eastAsia="宋体" w:hint="default"/>
          <w:b/>
          <w:bCs/>
          <w:sz w:val="12"/>
          <w:szCs w:val="12"/>
        </w:rPr>
      </w:pPr>
    </w:p>
    <w:tbl>
      <w:tblPr>
        <w:tblW w:w="0" w:type="auto"/>
        <w:jc w:val="left"/>
        <w:tblInd w:w="354" w:type="dxa"/>
        <w:tblLayout w:type="fixed"/>
        <w:tblCellMar>
          <w:top w:w="0" w:type="dxa"/>
          <w:left w:w="0" w:type="dxa"/>
          <w:bottom w:w="0" w:type="dxa"/>
          <w:right w:w="0" w:type="dxa"/>
        </w:tblCellMar>
        <w:tblLook w:val="01E0"/>
      </w:tblPr>
      <w:tblGrid>
        <w:gridCol w:w="1656"/>
        <w:gridCol w:w="1466"/>
        <w:gridCol w:w="1367"/>
        <w:gridCol w:w="949"/>
        <w:gridCol w:w="1457"/>
        <w:gridCol w:w="1458"/>
      </w:tblGrid>
      <w:tr>
        <w:trPr>
          <w:trHeight w:val="733"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21"/>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2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年限</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1" w:right="0" w:firstLine="45"/>
              <w:jc w:val="left"/>
              <w:rPr>
                <w:rFonts w:ascii="宋体" w:hAnsi="宋体" w:cs="宋体" w:eastAsia="宋体" w:hint="default"/>
                <w:sz w:val="18"/>
                <w:szCs w:val="18"/>
              </w:rPr>
            </w:pPr>
            <w:r>
              <w:rPr>
                <w:rFonts w:ascii="宋体" w:hAnsi="宋体" w:cs="宋体" w:eastAsia="宋体" w:hint="default"/>
                <w:sz w:val="18"/>
                <w:szCs w:val="18"/>
              </w:rPr>
              <w:t>占其他应收款</w:t>
            </w:r>
          </w:p>
          <w:p>
            <w:pPr>
              <w:pStyle w:val="TableParagraph"/>
              <w:spacing w:line="240" w:lineRule="auto" w:before="145"/>
              <w:ind w:left="14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总额的比例</w:t>
            </w:r>
            <w:r>
              <w:rPr>
                <w:rFonts w:ascii="Times New Roman" w:hAnsi="Times New Roman" w:cs="Times New Roman" w:eastAsia="Times New Roman" w:hint="default"/>
                <w:sz w:val="18"/>
                <w:szCs w:val="18"/>
              </w:rPr>
              <w:t>(%)</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57" w:right="0"/>
              <w:jc w:val="center"/>
              <w:rPr>
                <w:rFonts w:ascii="宋体" w:hAnsi="宋体" w:cs="宋体" w:eastAsia="宋体" w:hint="default"/>
                <w:sz w:val="18"/>
                <w:szCs w:val="18"/>
              </w:rPr>
            </w:pPr>
            <w:r>
              <w:rPr>
                <w:rFonts w:ascii="宋体" w:hAnsi="宋体" w:cs="宋体" w:eastAsia="宋体" w:hint="default"/>
                <w:sz w:val="18"/>
                <w:szCs w:val="18"/>
              </w:rPr>
              <w:t>性质或内容</w:t>
            </w:r>
          </w:p>
        </w:tc>
      </w:tr>
      <w:tr>
        <w:trPr>
          <w:trHeight w:val="246"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7"/>
              <w:ind w:left="35" w:right="0"/>
              <w:jc w:val="left"/>
              <w:rPr>
                <w:rFonts w:ascii="宋体" w:hAnsi="宋体" w:cs="宋体" w:eastAsia="宋体" w:hint="default"/>
                <w:sz w:val="18"/>
                <w:szCs w:val="18"/>
              </w:rPr>
            </w:pPr>
            <w:r>
              <w:rPr>
                <w:rFonts w:ascii="宋体" w:hAnsi="宋体" w:cs="宋体" w:eastAsia="宋体" w:hint="default"/>
                <w:sz w:val="18"/>
                <w:szCs w:val="18"/>
              </w:rPr>
              <w:t>广州御新软件有限</w:t>
            </w:r>
          </w:p>
        </w:tc>
        <w:tc>
          <w:tcPr>
            <w:tcW w:w="1466" w:type="dxa"/>
            <w:tcBorders>
              <w:top w:val="nil" w:sz="6" w:space="0" w:color="auto"/>
              <w:left w:val="nil" w:sz="6" w:space="0" w:color="auto"/>
              <w:bottom w:val="nil" w:sz="6" w:space="0" w:color="auto"/>
              <w:right w:val="nil" w:sz="6" w:space="0" w:color="auto"/>
            </w:tcBorders>
          </w:tcPr>
          <w:p>
            <w:pPr/>
          </w:p>
        </w:tc>
        <w:tc>
          <w:tcPr>
            <w:tcW w:w="1367" w:type="dxa"/>
            <w:tcBorders>
              <w:top w:val="nil" w:sz="6" w:space="0" w:color="auto"/>
              <w:left w:val="nil" w:sz="6" w:space="0" w:color="auto"/>
              <w:bottom w:val="nil" w:sz="6" w:space="0" w:color="auto"/>
              <w:right w:val="nil" w:sz="6" w:space="0" w:color="auto"/>
            </w:tcBorders>
          </w:tcPr>
          <w:p>
            <w:pPr/>
          </w:p>
        </w:tc>
        <w:tc>
          <w:tcPr>
            <w:tcW w:w="949" w:type="dxa"/>
            <w:tcBorders>
              <w:top w:val="nil" w:sz="6" w:space="0" w:color="auto"/>
              <w:left w:val="nil" w:sz="6" w:space="0" w:color="auto"/>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r>
      <w:tr>
        <w:trPr>
          <w:trHeight w:val="192" w:hRule="exact"/>
        </w:trPr>
        <w:tc>
          <w:tcPr>
            <w:tcW w:w="1656" w:type="dxa"/>
            <w:tcBorders>
              <w:top w:val="nil" w:sz="6" w:space="0" w:color="auto"/>
              <w:left w:val="nil" w:sz="6" w:space="0" w:color="auto"/>
              <w:bottom w:val="nil" w:sz="6" w:space="0" w:color="auto"/>
              <w:right w:val="nil" w:sz="6" w:space="0" w:color="auto"/>
            </w:tcBorders>
          </w:tcPr>
          <w:p>
            <w:pPr/>
          </w:p>
        </w:tc>
        <w:tc>
          <w:tcPr>
            <w:tcW w:w="1466" w:type="dxa"/>
            <w:tcBorders>
              <w:top w:val="nil" w:sz="6" w:space="0" w:color="auto"/>
              <w:left w:val="nil" w:sz="6" w:space="0" w:color="auto"/>
              <w:bottom w:val="nil" w:sz="6" w:space="0" w:color="auto"/>
              <w:right w:val="nil" w:sz="6" w:space="0" w:color="auto"/>
            </w:tcBorders>
          </w:tcPr>
          <w:p>
            <w:pPr>
              <w:pStyle w:val="TableParagraph"/>
              <w:spacing w:line="184" w:lineRule="exact"/>
              <w:ind w:right="21"/>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367" w:type="dxa"/>
            <w:tcBorders>
              <w:top w:val="nil" w:sz="6" w:space="0" w:color="auto"/>
              <w:left w:val="nil" w:sz="6" w:space="0" w:color="auto"/>
              <w:bottom w:val="nil" w:sz="6" w:space="0" w:color="auto"/>
              <w:right w:val="nil" w:sz="6" w:space="0" w:color="auto"/>
            </w:tcBorders>
          </w:tcPr>
          <w:p>
            <w:pPr>
              <w:pStyle w:val="TableParagraph"/>
              <w:spacing w:line="195" w:lineRule="exact"/>
              <w:ind w:right="130"/>
              <w:jc w:val="right"/>
              <w:rPr>
                <w:rFonts w:ascii="Times New Roman" w:hAnsi="Times New Roman" w:cs="Times New Roman" w:eastAsia="Times New Roman" w:hint="default"/>
                <w:sz w:val="18"/>
                <w:szCs w:val="18"/>
              </w:rPr>
            </w:pPr>
            <w:r>
              <w:rPr>
                <w:rFonts w:ascii="Times New Roman"/>
                <w:spacing w:val="-1"/>
                <w:sz w:val="18"/>
              </w:rPr>
              <w:t>11,421,772.17</w:t>
            </w:r>
          </w:p>
        </w:tc>
        <w:tc>
          <w:tcPr>
            <w:tcW w:w="949" w:type="dxa"/>
            <w:tcBorders>
              <w:top w:val="nil" w:sz="6" w:space="0" w:color="auto"/>
              <w:left w:val="nil" w:sz="6" w:space="0" w:color="auto"/>
              <w:bottom w:val="nil" w:sz="6" w:space="0" w:color="auto"/>
              <w:right w:val="nil" w:sz="6" w:space="0" w:color="auto"/>
            </w:tcBorders>
          </w:tcPr>
          <w:p>
            <w:pPr>
              <w:pStyle w:val="TableParagraph"/>
              <w:spacing w:line="197" w:lineRule="exact"/>
              <w:ind w:right="7"/>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57" w:type="dxa"/>
            <w:tcBorders>
              <w:top w:val="nil" w:sz="6" w:space="0" w:color="auto"/>
              <w:left w:val="nil" w:sz="6" w:space="0" w:color="auto"/>
              <w:bottom w:val="nil" w:sz="6" w:space="0" w:color="auto"/>
              <w:right w:val="nil" w:sz="6" w:space="0" w:color="auto"/>
            </w:tcBorders>
          </w:tcPr>
          <w:p>
            <w:pPr>
              <w:pStyle w:val="TableParagraph"/>
              <w:spacing w:line="195" w:lineRule="exact"/>
              <w:ind w:right="125"/>
              <w:jc w:val="right"/>
              <w:rPr>
                <w:rFonts w:ascii="Times New Roman" w:hAnsi="Times New Roman" w:cs="Times New Roman" w:eastAsia="Times New Roman" w:hint="default"/>
                <w:sz w:val="18"/>
                <w:szCs w:val="18"/>
              </w:rPr>
            </w:pPr>
            <w:r>
              <w:rPr>
                <w:rFonts w:ascii="Times New Roman"/>
                <w:sz w:val="18"/>
              </w:rPr>
              <w:t>32.14</w:t>
            </w:r>
          </w:p>
        </w:tc>
        <w:tc>
          <w:tcPr>
            <w:tcW w:w="1458" w:type="dxa"/>
            <w:tcBorders>
              <w:top w:val="nil" w:sz="6" w:space="0" w:color="auto"/>
              <w:left w:val="nil" w:sz="6" w:space="0" w:color="auto"/>
              <w:bottom w:val="nil" w:sz="6" w:space="0" w:color="auto"/>
              <w:right w:val="nil" w:sz="6" w:space="0" w:color="auto"/>
            </w:tcBorders>
          </w:tcPr>
          <w:p>
            <w:pPr>
              <w:pStyle w:val="TableParagraph"/>
              <w:spacing w:line="184" w:lineRule="exact"/>
              <w:ind w:left="57" w:right="0"/>
              <w:jc w:val="center"/>
              <w:rPr>
                <w:rFonts w:ascii="宋体" w:hAnsi="宋体" w:cs="宋体" w:eastAsia="宋体" w:hint="default"/>
                <w:sz w:val="18"/>
                <w:szCs w:val="18"/>
              </w:rPr>
            </w:pPr>
            <w:r>
              <w:rPr>
                <w:rFonts w:ascii="宋体" w:hAnsi="宋体" w:cs="宋体" w:eastAsia="宋体" w:hint="default"/>
                <w:sz w:val="18"/>
                <w:szCs w:val="18"/>
              </w:rPr>
              <w:t>往来款</w:t>
            </w:r>
          </w:p>
        </w:tc>
      </w:tr>
      <w:tr>
        <w:trPr>
          <w:trHeight w:val="281"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179"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466" w:type="dxa"/>
            <w:tcBorders>
              <w:top w:val="nil" w:sz="6" w:space="0" w:color="auto"/>
              <w:left w:val="nil" w:sz="6" w:space="0" w:color="auto"/>
              <w:bottom w:val="nil" w:sz="6" w:space="0" w:color="auto"/>
              <w:right w:val="nil" w:sz="6" w:space="0" w:color="auto"/>
            </w:tcBorders>
          </w:tcPr>
          <w:p>
            <w:pPr/>
          </w:p>
        </w:tc>
        <w:tc>
          <w:tcPr>
            <w:tcW w:w="1367" w:type="dxa"/>
            <w:tcBorders>
              <w:top w:val="nil" w:sz="6" w:space="0" w:color="auto"/>
              <w:left w:val="nil" w:sz="6" w:space="0" w:color="auto"/>
              <w:bottom w:val="nil" w:sz="6" w:space="0" w:color="auto"/>
              <w:right w:val="nil" w:sz="6" w:space="0" w:color="auto"/>
            </w:tcBorders>
          </w:tcPr>
          <w:p>
            <w:pPr/>
          </w:p>
        </w:tc>
        <w:tc>
          <w:tcPr>
            <w:tcW w:w="949" w:type="dxa"/>
            <w:tcBorders>
              <w:top w:val="nil" w:sz="6" w:space="0" w:color="auto"/>
              <w:left w:val="nil" w:sz="6" w:space="0" w:color="auto"/>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r>
      <w:tr>
        <w:trPr>
          <w:trHeight w:val="389"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广州市国家税务局</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1"/>
              <w:jc w:val="center"/>
              <w:rPr>
                <w:rFonts w:ascii="宋体" w:hAnsi="宋体" w:cs="宋体" w:eastAsia="宋体" w:hint="default"/>
                <w:sz w:val="18"/>
                <w:szCs w:val="18"/>
              </w:rPr>
            </w:pPr>
            <w:r>
              <w:rPr>
                <w:rFonts w:ascii="宋体" w:hAnsi="宋体" w:cs="宋体" w:eastAsia="宋体" w:hint="default"/>
                <w:sz w:val="18"/>
                <w:szCs w:val="18"/>
              </w:rPr>
              <w:t>税收主管部门</w:t>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32"/>
              <w:jc w:val="right"/>
              <w:rPr>
                <w:rFonts w:ascii="Times New Roman" w:hAnsi="Times New Roman" w:cs="Times New Roman" w:eastAsia="Times New Roman" w:hint="default"/>
                <w:sz w:val="18"/>
                <w:szCs w:val="18"/>
              </w:rPr>
            </w:pPr>
            <w:r>
              <w:rPr>
                <w:rFonts w:ascii="Times New Roman"/>
                <w:spacing w:val="-1"/>
                <w:sz w:val="18"/>
              </w:rPr>
              <w:t>2,478,342.24</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7"/>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25"/>
              <w:jc w:val="right"/>
              <w:rPr>
                <w:rFonts w:ascii="Times New Roman" w:hAnsi="Times New Roman" w:cs="Times New Roman" w:eastAsia="Times New Roman" w:hint="default"/>
                <w:sz w:val="18"/>
                <w:szCs w:val="18"/>
              </w:rPr>
            </w:pPr>
            <w:r>
              <w:rPr>
                <w:rFonts w:ascii="Times New Roman"/>
                <w:sz w:val="18"/>
              </w:rPr>
              <w:t>6.97</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46"/>
              <w:ind w:left="57" w:right="0"/>
              <w:jc w:val="center"/>
              <w:rPr>
                <w:rFonts w:ascii="宋体" w:hAnsi="宋体" w:cs="宋体" w:eastAsia="宋体" w:hint="default"/>
                <w:sz w:val="18"/>
                <w:szCs w:val="18"/>
              </w:rPr>
            </w:pPr>
            <w:r>
              <w:rPr>
                <w:rFonts w:ascii="宋体" w:hAnsi="宋体" w:cs="宋体" w:eastAsia="宋体" w:hint="default"/>
                <w:sz w:val="18"/>
                <w:szCs w:val="18"/>
              </w:rPr>
              <w:t>软件增值税退税</w:t>
            </w:r>
          </w:p>
        </w:tc>
      </w:tr>
      <w:tr>
        <w:trPr>
          <w:trHeight w:val="281"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8"/>
                <w:szCs w:val="18"/>
              </w:rPr>
            </w:pPr>
            <w:r>
              <w:rPr>
                <w:rFonts w:ascii="宋体" w:hAnsi="宋体" w:cs="宋体" w:eastAsia="宋体" w:hint="default"/>
                <w:sz w:val="18"/>
                <w:szCs w:val="18"/>
              </w:rPr>
              <w:t>安徽御银电子科技</w:t>
            </w:r>
          </w:p>
        </w:tc>
        <w:tc>
          <w:tcPr>
            <w:tcW w:w="1466" w:type="dxa"/>
            <w:tcBorders>
              <w:top w:val="nil" w:sz="6" w:space="0" w:color="auto"/>
              <w:left w:val="nil" w:sz="6" w:space="0" w:color="auto"/>
              <w:bottom w:val="nil" w:sz="6" w:space="0" w:color="auto"/>
              <w:right w:val="nil" w:sz="6" w:space="0" w:color="auto"/>
            </w:tcBorders>
          </w:tcPr>
          <w:p>
            <w:pPr/>
          </w:p>
        </w:tc>
        <w:tc>
          <w:tcPr>
            <w:tcW w:w="1367" w:type="dxa"/>
            <w:tcBorders>
              <w:top w:val="nil" w:sz="6" w:space="0" w:color="auto"/>
              <w:left w:val="nil" w:sz="6" w:space="0" w:color="auto"/>
              <w:bottom w:val="nil" w:sz="6" w:space="0" w:color="auto"/>
              <w:right w:val="nil" w:sz="6" w:space="0" w:color="auto"/>
            </w:tcBorders>
          </w:tcPr>
          <w:p>
            <w:pPr/>
          </w:p>
        </w:tc>
        <w:tc>
          <w:tcPr>
            <w:tcW w:w="949" w:type="dxa"/>
            <w:tcBorders>
              <w:top w:val="nil" w:sz="6" w:space="0" w:color="auto"/>
              <w:left w:val="nil" w:sz="6" w:space="0" w:color="auto"/>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r>
      <w:tr>
        <w:trPr>
          <w:trHeight w:val="192" w:hRule="exact"/>
        </w:trPr>
        <w:tc>
          <w:tcPr>
            <w:tcW w:w="1656" w:type="dxa"/>
            <w:tcBorders>
              <w:top w:val="nil" w:sz="6" w:space="0" w:color="auto"/>
              <w:left w:val="nil" w:sz="6" w:space="0" w:color="auto"/>
              <w:bottom w:val="nil" w:sz="6" w:space="0" w:color="auto"/>
              <w:right w:val="nil" w:sz="6" w:space="0" w:color="auto"/>
            </w:tcBorders>
          </w:tcPr>
          <w:p>
            <w:pPr/>
          </w:p>
        </w:tc>
        <w:tc>
          <w:tcPr>
            <w:tcW w:w="1466" w:type="dxa"/>
            <w:tcBorders>
              <w:top w:val="nil" w:sz="6" w:space="0" w:color="auto"/>
              <w:left w:val="nil" w:sz="6" w:space="0" w:color="auto"/>
              <w:bottom w:val="nil" w:sz="6" w:space="0" w:color="auto"/>
              <w:right w:val="nil" w:sz="6" w:space="0" w:color="auto"/>
            </w:tcBorders>
          </w:tcPr>
          <w:p>
            <w:pPr>
              <w:pStyle w:val="TableParagraph"/>
              <w:spacing w:line="184" w:lineRule="exact"/>
              <w:ind w:right="21"/>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367" w:type="dxa"/>
            <w:tcBorders>
              <w:top w:val="nil" w:sz="6" w:space="0" w:color="auto"/>
              <w:left w:val="nil" w:sz="6" w:space="0" w:color="auto"/>
              <w:bottom w:val="nil" w:sz="6" w:space="0" w:color="auto"/>
              <w:right w:val="nil" w:sz="6" w:space="0" w:color="auto"/>
            </w:tcBorders>
          </w:tcPr>
          <w:p>
            <w:pPr>
              <w:pStyle w:val="TableParagraph"/>
              <w:spacing w:line="195" w:lineRule="exact"/>
              <w:ind w:right="131"/>
              <w:jc w:val="right"/>
              <w:rPr>
                <w:rFonts w:ascii="Times New Roman" w:hAnsi="Times New Roman" w:cs="Times New Roman" w:eastAsia="Times New Roman" w:hint="default"/>
                <w:sz w:val="18"/>
                <w:szCs w:val="18"/>
              </w:rPr>
            </w:pPr>
            <w:r>
              <w:rPr>
                <w:rFonts w:ascii="Times New Roman"/>
                <w:sz w:val="18"/>
              </w:rPr>
              <w:t>952,350.00</w:t>
            </w:r>
          </w:p>
        </w:tc>
        <w:tc>
          <w:tcPr>
            <w:tcW w:w="949" w:type="dxa"/>
            <w:tcBorders>
              <w:top w:val="nil" w:sz="6" w:space="0" w:color="auto"/>
              <w:left w:val="nil" w:sz="6" w:space="0" w:color="auto"/>
              <w:bottom w:val="nil" w:sz="6" w:space="0" w:color="auto"/>
              <w:right w:val="nil" w:sz="6" w:space="0" w:color="auto"/>
            </w:tcBorders>
          </w:tcPr>
          <w:p>
            <w:pPr>
              <w:pStyle w:val="TableParagraph"/>
              <w:spacing w:line="197" w:lineRule="exact"/>
              <w:ind w:right="6"/>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57" w:type="dxa"/>
            <w:tcBorders>
              <w:top w:val="nil" w:sz="6" w:space="0" w:color="auto"/>
              <w:left w:val="nil" w:sz="6" w:space="0" w:color="auto"/>
              <w:bottom w:val="nil" w:sz="6" w:space="0" w:color="auto"/>
              <w:right w:val="nil" w:sz="6" w:space="0" w:color="auto"/>
            </w:tcBorders>
          </w:tcPr>
          <w:p>
            <w:pPr>
              <w:pStyle w:val="TableParagraph"/>
              <w:spacing w:line="195" w:lineRule="exact"/>
              <w:ind w:right="125"/>
              <w:jc w:val="right"/>
              <w:rPr>
                <w:rFonts w:ascii="Times New Roman" w:hAnsi="Times New Roman" w:cs="Times New Roman" w:eastAsia="Times New Roman" w:hint="default"/>
                <w:sz w:val="18"/>
                <w:szCs w:val="18"/>
              </w:rPr>
            </w:pPr>
            <w:r>
              <w:rPr>
                <w:rFonts w:ascii="Times New Roman"/>
                <w:sz w:val="18"/>
              </w:rPr>
              <w:t>2.68</w:t>
            </w:r>
          </w:p>
        </w:tc>
        <w:tc>
          <w:tcPr>
            <w:tcW w:w="1458" w:type="dxa"/>
            <w:tcBorders>
              <w:top w:val="nil" w:sz="6" w:space="0" w:color="auto"/>
              <w:left w:val="nil" w:sz="6" w:space="0" w:color="auto"/>
              <w:bottom w:val="nil" w:sz="6" w:space="0" w:color="auto"/>
              <w:right w:val="nil" w:sz="6" w:space="0" w:color="auto"/>
            </w:tcBorders>
          </w:tcPr>
          <w:p>
            <w:pPr>
              <w:pStyle w:val="TableParagraph"/>
              <w:spacing w:line="184" w:lineRule="exact"/>
              <w:ind w:left="57" w:right="0"/>
              <w:jc w:val="center"/>
              <w:rPr>
                <w:rFonts w:ascii="宋体" w:hAnsi="宋体" w:cs="宋体" w:eastAsia="宋体" w:hint="default"/>
                <w:sz w:val="18"/>
                <w:szCs w:val="18"/>
              </w:rPr>
            </w:pPr>
            <w:r>
              <w:rPr>
                <w:rFonts w:ascii="宋体" w:hAnsi="宋体" w:cs="宋体" w:eastAsia="宋体" w:hint="default"/>
                <w:sz w:val="18"/>
                <w:szCs w:val="18"/>
              </w:rPr>
              <w:t>往来款</w:t>
            </w:r>
          </w:p>
        </w:tc>
      </w:tr>
      <w:tr>
        <w:trPr>
          <w:trHeight w:val="281"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179" w:lineRule="exact"/>
              <w:ind w:left="3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466" w:type="dxa"/>
            <w:tcBorders>
              <w:top w:val="nil" w:sz="6" w:space="0" w:color="auto"/>
              <w:left w:val="nil" w:sz="6" w:space="0" w:color="auto"/>
              <w:bottom w:val="nil" w:sz="6" w:space="0" w:color="auto"/>
              <w:right w:val="nil" w:sz="6" w:space="0" w:color="auto"/>
            </w:tcBorders>
          </w:tcPr>
          <w:p>
            <w:pPr/>
          </w:p>
        </w:tc>
        <w:tc>
          <w:tcPr>
            <w:tcW w:w="1367" w:type="dxa"/>
            <w:tcBorders>
              <w:top w:val="nil" w:sz="6" w:space="0" w:color="auto"/>
              <w:left w:val="nil" w:sz="6" w:space="0" w:color="auto"/>
              <w:bottom w:val="nil" w:sz="6" w:space="0" w:color="auto"/>
              <w:right w:val="nil" w:sz="6" w:space="0" w:color="auto"/>
            </w:tcBorders>
          </w:tcPr>
          <w:p>
            <w:pPr/>
          </w:p>
        </w:tc>
        <w:tc>
          <w:tcPr>
            <w:tcW w:w="949" w:type="dxa"/>
            <w:tcBorders>
              <w:top w:val="nil" w:sz="6" w:space="0" w:color="auto"/>
              <w:left w:val="nil" w:sz="6" w:space="0" w:color="auto"/>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r>
      <w:tr>
        <w:trPr>
          <w:trHeight w:val="286"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广州银华纺织有限</w:t>
            </w:r>
          </w:p>
        </w:tc>
        <w:tc>
          <w:tcPr>
            <w:tcW w:w="1466" w:type="dxa"/>
            <w:tcBorders>
              <w:top w:val="nil" w:sz="6" w:space="0" w:color="auto"/>
              <w:left w:val="nil" w:sz="6" w:space="0" w:color="auto"/>
              <w:bottom w:val="nil" w:sz="6" w:space="0" w:color="auto"/>
              <w:right w:val="nil" w:sz="6" w:space="0" w:color="auto"/>
            </w:tcBorders>
          </w:tcPr>
          <w:p>
            <w:pPr/>
          </w:p>
        </w:tc>
        <w:tc>
          <w:tcPr>
            <w:tcW w:w="1367" w:type="dxa"/>
            <w:tcBorders>
              <w:top w:val="nil" w:sz="6" w:space="0" w:color="auto"/>
              <w:left w:val="nil" w:sz="6" w:space="0" w:color="auto"/>
              <w:bottom w:val="nil" w:sz="6" w:space="0" w:color="auto"/>
              <w:right w:val="nil" w:sz="6" w:space="0" w:color="auto"/>
            </w:tcBorders>
          </w:tcPr>
          <w:p>
            <w:pPr/>
          </w:p>
        </w:tc>
        <w:tc>
          <w:tcPr>
            <w:tcW w:w="949" w:type="dxa"/>
            <w:tcBorders>
              <w:top w:val="nil" w:sz="6" w:space="0" w:color="auto"/>
              <w:left w:val="nil" w:sz="6" w:space="0" w:color="auto"/>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r>
      <w:tr>
        <w:trPr>
          <w:trHeight w:val="192" w:hRule="exact"/>
        </w:trPr>
        <w:tc>
          <w:tcPr>
            <w:tcW w:w="1656" w:type="dxa"/>
            <w:tcBorders>
              <w:top w:val="nil" w:sz="6" w:space="0" w:color="auto"/>
              <w:left w:val="nil" w:sz="6" w:space="0" w:color="auto"/>
              <w:bottom w:val="nil" w:sz="6" w:space="0" w:color="auto"/>
              <w:right w:val="nil" w:sz="6" w:space="0" w:color="auto"/>
            </w:tcBorders>
          </w:tcPr>
          <w:p>
            <w:pPr/>
          </w:p>
        </w:tc>
        <w:tc>
          <w:tcPr>
            <w:tcW w:w="1466" w:type="dxa"/>
            <w:tcBorders>
              <w:top w:val="nil" w:sz="6" w:space="0" w:color="auto"/>
              <w:left w:val="nil" w:sz="6" w:space="0" w:color="auto"/>
              <w:bottom w:val="nil" w:sz="6" w:space="0" w:color="auto"/>
              <w:right w:val="nil" w:sz="6" w:space="0" w:color="auto"/>
            </w:tcBorders>
          </w:tcPr>
          <w:p>
            <w:pPr>
              <w:pStyle w:val="TableParagraph"/>
              <w:spacing w:line="184" w:lineRule="exact"/>
              <w:ind w:right="21"/>
              <w:jc w:val="center"/>
              <w:rPr>
                <w:rFonts w:ascii="宋体" w:hAnsi="宋体" w:cs="宋体" w:eastAsia="宋体" w:hint="default"/>
                <w:sz w:val="18"/>
                <w:szCs w:val="18"/>
              </w:rPr>
            </w:pPr>
            <w:r>
              <w:rPr>
                <w:rFonts w:ascii="宋体" w:hAnsi="宋体" w:cs="宋体" w:eastAsia="宋体" w:hint="default"/>
                <w:sz w:val="18"/>
                <w:szCs w:val="18"/>
              </w:rPr>
              <w:t>出租方</w:t>
            </w:r>
          </w:p>
        </w:tc>
        <w:tc>
          <w:tcPr>
            <w:tcW w:w="1367" w:type="dxa"/>
            <w:tcBorders>
              <w:top w:val="nil" w:sz="6" w:space="0" w:color="auto"/>
              <w:left w:val="nil" w:sz="6" w:space="0" w:color="auto"/>
              <w:bottom w:val="nil" w:sz="6" w:space="0" w:color="auto"/>
              <w:right w:val="nil" w:sz="6" w:space="0" w:color="auto"/>
            </w:tcBorders>
          </w:tcPr>
          <w:p>
            <w:pPr>
              <w:pStyle w:val="TableParagraph"/>
              <w:spacing w:line="195" w:lineRule="exact"/>
              <w:ind w:right="131"/>
              <w:jc w:val="right"/>
              <w:rPr>
                <w:rFonts w:ascii="Times New Roman" w:hAnsi="Times New Roman" w:cs="Times New Roman" w:eastAsia="Times New Roman" w:hint="default"/>
                <w:sz w:val="18"/>
                <w:szCs w:val="18"/>
              </w:rPr>
            </w:pPr>
            <w:r>
              <w:rPr>
                <w:rFonts w:ascii="Times New Roman"/>
                <w:sz w:val="18"/>
              </w:rPr>
              <w:t>450,000.00</w:t>
            </w:r>
          </w:p>
        </w:tc>
        <w:tc>
          <w:tcPr>
            <w:tcW w:w="949" w:type="dxa"/>
            <w:tcBorders>
              <w:top w:val="nil" w:sz="6" w:space="0" w:color="auto"/>
              <w:left w:val="nil" w:sz="6" w:space="0" w:color="auto"/>
              <w:bottom w:val="nil" w:sz="6" w:space="0" w:color="auto"/>
              <w:right w:val="nil" w:sz="6" w:space="0" w:color="auto"/>
            </w:tcBorders>
          </w:tcPr>
          <w:p>
            <w:pPr>
              <w:pStyle w:val="TableParagraph"/>
              <w:spacing w:line="197" w:lineRule="exact"/>
              <w:ind w:right="6"/>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57" w:type="dxa"/>
            <w:tcBorders>
              <w:top w:val="nil" w:sz="6" w:space="0" w:color="auto"/>
              <w:left w:val="nil" w:sz="6" w:space="0" w:color="auto"/>
              <w:bottom w:val="nil" w:sz="6" w:space="0" w:color="auto"/>
              <w:right w:val="nil" w:sz="6" w:space="0" w:color="auto"/>
            </w:tcBorders>
          </w:tcPr>
          <w:p>
            <w:pPr>
              <w:pStyle w:val="TableParagraph"/>
              <w:spacing w:line="195" w:lineRule="exact"/>
              <w:ind w:right="125"/>
              <w:jc w:val="right"/>
              <w:rPr>
                <w:rFonts w:ascii="Times New Roman" w:hAnsi="Times New Roman" w:cs="Times New Roman" w:eastAsia="Times New Roman" w:hint="default"/>
                <w:sz w:val="18"/>
                <w:szCs w:val="18"/>
              </w:rPr>
            </w:pPr>
            <w:r>
              <w:rPr>
                <w:rFonts w:ascii="Times New Roman"/>
                <w:sz w:val="18"/>
              </w:rPr>
              <w:t>1.27</w:t>
            </w:r>
          </w:p>
        </w:tc>
        <w:tc>
          <w:tcPr>
            <w:tcW w:w="1458" w:type="dxa"/>
            <w:tcBorders>
              <w:top w:val="nil" w:sz="6" w:space="0" w:color="auto"/>
              <w:left w:val="nil" w:sz="6" w:space="0" w:color="auto"/>
              <w:bottom w:val="nil" w:sz="6" w:space="0" w:color="auto"/>
              <w:right w:val="nil" w:sz="6" w:space="0" w:color="auto"/>
            </w:tcBorders>
          </w:tcPr>
          <w:p>
            <w:pPr>
              <w:pStyle w:val="TableParagraph"/>
              <w:spacing w:line="184" w:lineRule="exact"/>
              <w:ind w:left="57" w:right="0"/>
              <w:jc w:val="center"/>
              <w:rPr>
                <w:rFonts w:ascii="宋体" w:hAnsi="宋体" w:cs="宋体" w:eastAsia="宋体" w:hint="default"/>
                <w:sz w:val="18"/>
                <w:szCs w:val="18"/>
              </w:rPr>
            </w:pPr>
            <w:r>
              <w:rPr>
                <w:rFonts w:ascii="宋体" w:hAnsi="宋体" w:cs="宋体" w:eastAsia="宋体" w:hint="default"/>
                <w:sz w:val="18"/>
                <w:szCs w:val="18"/>
              </w:rPr>
              <w:t>租厂房押金</w:t>
            </w:r>
          </w:p>
        </w:tc>
      </w:tr>
      <w:tr>
        <w:trPr>
          <w:trHeight w:val="281"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179"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466" w:type="dxa"/>
            <w:tcBorders>
              <w:top w:val="nil" w:sz="6" w:space="0" w:color="auto"/>
              <w:left w:val="nil" w:sz="6" w:space="0" w:color="auto"/>
              <w:bottom w:val="nil" w:sz="6" w:space="0" w:color="auto"/>
              <w:right w:val="nil" w:sz="6" w:space="0" w:color="auto"/>
            </w:tcBorders>
          </w:tcPr>
          <w:p>
            <w:pPr/>
          </w:p>
        </w:tc>
        <w:tc>
          <w:tcPr>
            <w:tcW w:w="1367" w:type="dxa"/>
            <w:tcBorders>
              <w:top w:val="nil" w:sz="6" w:space="0" w:color="auto"/>
              <w:left w:val="nil" w:sz="6" w:space="0" w:color="auto"/>
              <w:bottom w:val="nil" w:sz="6" w:space="0" w:color="auto"/>
              <w:right w:val="nil" w:sz="6" w:space="0" w:color="auto"/>
            </w:tcBorders>
          </w:tcPr>
          <w:p>
            <w:pPr/>
          </w:p>
        </w:tc>
        <w:tc>
          <w:tcPr>
            <w:tcW w:w="949" w:type="dxa"/>
            <w:tcBorders>
              <w:top w:val="nil" w:sz="6" w:space="0" w:color="auto"/>
              <w:left w:val="nil" w:sz="6" w:space="0" w:color="auto"/>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r>
      <w:tr>
        <w:trPr>
          <w:trHeight w:val="394" w:hRule="exact"/>
        </w:trPr>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周平世</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1"/>
              <w:jc w:val="center"/>
              <w:rPr>
                <w:rFonts w:ascii="宋体" w:hAnsi="宋体" w:cs="宋体" w:eastAsia="宋体" w:hint="default"/>
                <w:sz w:val="18"/>
                <w:szCs w:val="18"/>
              </w:rPr>
            </w:pPr>
            <w:r>
              <w:rPr>
                <w:rFonts w:ascii="宋体" w:hAnsi="宋体" w:cs="宋体" w:eastAsia="宋体" w:hint="default"/>
                <w:sz w:val="18"/>
                <w:szCs w:val="18"/>
              </w:rPr>
              <w:t>职员</w:t>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31"/>
              <w:jc w:val="right"/>
              <w:rPr>
                <w:rFonts w:ascii="Times New Roman" w:hAnsi="Times New Roman" w:cs="Times New Roman" w:eastAsia="Times New Roman" w:hint="default"/>
                <w:sz w:val="18"/>
                <w:szCs w:val="18"/>
              </w:rPr>
            </w:pPr>
            <w:r>
              <w:rPr>
                <w:rFonts w:ascii="Times New Roman"/>
                <w:sz w:val="18"/>
              </w:rPr>
              <w:t>426,500.00</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6"/>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25"/>
              <w:jc w:val="right"/>
              <w:rPr>
                <w:rFonts w:ascii="Times New Roman" w:hAnsi="Times New Roman" w:cs="Times New Roman" w:eastAsia="Times New Roman" w:hint="default"/>
                <w:sz w:val="18"/>
                <w:szCs w:val="18"/>
              </w:rPr>
            </w:pPr>
            <w:r>
              <w:rPr>
                <w:rFonts w:ascii="Times New Roman"/>
                <w:sz w:val="18"/>
              </w:rPr>
              <w:t>1.20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46"/>
              <w:ind w:left="57" w:right="0"/>
              <w:jc w:val="center"/>
              <w:rPr>
                <w:rFonts w:ascii="宋体" w:hAnsi="宋体" w:cs="宋体" w:eastAsia="宋体" w:hint="default"/>
                <w:sz w:val="18"/>
                <w:szCs w:val="18"/>
              </w:rPr>
            </w:pPr>
            <w:r>
              <w:rPr>
                <w:rFonts w:ascii="宋体" w:hAnsi="宋体" w:cs="宋体" w:eastAsia="宋体" w:hint="default"/>
                <w:sz w:val="18"/>
                <w:szCs w:val="18"/>
              </w:rPr>
              <w:t>个人往来款</w:t>
            </w:r>
          </w:p>
        </w:tc>
      </w:tr>
    </w:tbl>
    <w:p>
      <w:pPr>
        <w:spacing w:line="240" w:lineRule="auto" w:before="0"/>
        <w:rPr>
          <w:rFonts w:ascii="宋体" w:hAnsi="宋体" w:cs="宋体" w:eastAsia="宋体" w:hint="default"/>
          <w:b/>
          <w:bCs/>
          <w:sz w:val="4"/>
          <w:szCs w:val="4"/>
        </w:rPr>
      </w:pPr>
    </w:p>
    <w:tbl>
      <w:tblPr>
        <w:tblW w:w="0" w:type="auto"/>
        <w:jc w:val="left"/>
        <w:tblInd w:w="245" w:type="dxa"/>
        <w:tblLayout w:type="fixed"/>
        <w:tblCellMar>
          <w:top w:w="0" w:type="dxa"/>
          <w:left w:w="0" w:type="dxa"/>
          <w:bottom w:w="0" w:type="dxa"/>
          <w:right w:w="0" w:type="dxa"/>
        </w:tblCellMar>
        <w:tblLook w:val="01E0"/>
      </w:tblPr>
      <w:tblGrid>
        <w:gridCol w:w="3152"/>
        <w:gridCol w:w="1573"/>
        <w:gridCol w:w="1619"/>
        <w:gridCol w:w="1518"/>
      </w:tblGrid>
      <w:tr>
        <w:trPr>
          <w:trHeight w:val="358" w:hRule="exact"/>
        </w:trPr>
        <w:tc>
          <w:tcPr>
            <w:tcW w:w="3152" w:type="dxa"/>
            <w:tcBorders>
              <w:top w:val="nil" w:sz="6" w:space="0" w:color="auto"/>
              <w:left w:val="nil" w:sz="6" w:space="0" w:color="auto"/>
              <w:bottom w:val="single" w:sz="12" w:space="0" w:color="000000"/>
              <w:right w:val="nil" w:sz="6" w:space="0" w:color="auto"/>
            </w:tcBorders>
          </w:tcPr>
          <w:p>
            <w:pPr>
              <w:pStyle w:val="TableParagraph"/>
              <w:tabs>
                <w:tab w:pos="1150" w:val="left" w:leader="none"/>
              </w:tabs>
              <w:spacing w:line="240" w:lineRule="auto" w:before="35"/>
              <w:ind w:left="611"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8</w:t>
            </w:r>
            <w:r>
              <w:rPr>
                <w:rFonts w:ascii="宋体" w:hAnsi="宋体" w:cs="宋体" w:eastAsia="宋体" w:hint="default"/>
                <w:b/>
                <w:bCs/>
                <w:w w:val="95"/>
                <w:sz w:val="21"/>
                <w:szCs w:val="21"/>
              </w:rPr>
              <w:t>、</w:t>
              <w:tab/>
            </w:r>
            <w:r>
              <w:rPr>
                <w:rFonts w:ascii="宋体" w:hAnsi="宋体" w:cs="宋体" w:eastAsia="宋体" w:hint="default"/>
                <w:b/>
                <w:bCs/>
                <w:sz w:val="21"/>
                <w:szCs w:val="21"/>
              </w:rPr>
              <w:t>应收关联方账款情况</w:t>
            </w:r>
            <w:r>
              <w:rPr>
                <w:rFonts w:ascii="宋体" w:hAnsi="宋体" w:cs="宋体" w:eastAsia="宋体" w:hint="default"/>
                <w:sz w:val="21"/>
                <w:szCs w:val="21"/>
              </w:rPr>
            </w:r>
          </w:p>
        </w:tc>
        <w:tc>
          <w:tcPr>
            <w:tcW w:w="4710" w:type="dxa"/>
            <w:gridSpan w:val="3"/>
            <w:tcBorders>
              <w:top w:val="nil" w:sz="6" w:space="0" w:color="auto"/>
              <w:left w:val="nil" w:sz="6" w:space="0" w:color="auto"/>
              <w:bottom w:val="single" w:sz="12" w:space="0" w:color="000000"/>
              <w:right w:val="nil" w:sz="6" w:space="0" w:color="auto"/>
            </w:tcBorders>
          </w:tcPr>
          <w:p>
            <w:pPr/>
          </w:p>
        </w:tc>
      </w:tr>
      <w:tr>
        <w:trPr>
          <w:trHeight w:val="819" w:hRule="exact"/>
        </w:trPr>
        <w:tc>
          <w:tcPr>
            <w:tcW w:w="3152" w:type="dxa"/>
            <w:tcBorders>
              <w:top w:val="single" w:sz="12"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212"/>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73" w:type="dxa"/>
            <w:tcBorders>
              <w:top w:val="single" w:sz="12"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right="284"/>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619" w:type="dxa"/>
            <w:tcBorders>
              <w:top w:val="single" w:sz="12"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3"/>
                <w:szCs w:val="23"/>
              </w:rPr>
            </w:pPr>
          </w:p>
          <w:p>
            <w:pPr>
              <w:pStyle w:val="TableParagraph"/>
              <w:spacing w:line="240" w:lineRule="auto"/>
              <w:ind w:left="38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18" w:type="dxa"/>
            <w:tcBorders>
              <w:top w:val="single" w:sz="12" w:space="0" w:color="000000"/>
              <w:left w:val="nil" w:sz="6" w:space="0" w:color="auto"/>
              <w:bottom w:val="nil" w:sz="6" w:space="0" w:color="auto"/>
              <w:right w:val="nil" w:sz="6" w:space="0" w:color="auto"/>
            </w:tcBorders>
          </w:tcPr>
          <w:p>
            <w:pPr>
              <w:pStyle w:val="TableParagraph"/>
              <w:spacing w:line="380" w:lineRule="exact" w:before="22"/>
              <w:ind w:left="151" w:right="194" w:firstLine="44"/>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 总额的比例</w:t>
            </w:r>
            <w:r>
              <w:rPr>
                <w:rFonts w:ascii="Times New Roman" w:hAnsi="Times New Roman" w:cs="Times New Roman" w:eastAsia="Times New Roman" w:hint="default"/>
                <w:sz w:val="18"/>
                <w:szCs w:val="18"/>
              </w:rPr>
              <w:t>(%)</w:t>
            </w:r>
          </w:p>
        </w:tc>
      </w:tr>
      <w:tr>
        <w:trPr>
          <w:trHeight w:val="349" w:hRule="exact"/>
        </w:trPr>
        <w:tc>
          <w:tcPr>
            <w:tcW w:w="3152" w:type="dxa"/>
            <w:tcBorders>
              <w:top w:val="nil" w:sz="6" w:space="0" w:color="auto"/>
              <w:left w:val="nil" w:sz="6" w:space="0" w:color="auto"/>
              <w:bottom w:val="nil" w:sz="6" w:space="0" w:color="auto"/>
              <w:right w:val="nil" w:sz="6" w:space="0" w:color="auto"/>
            </w:tcBorders>
          </w:tcPr>
          <w:p>
            <w:pPr>
              <w:pStyle w:val="TableParagraph"/>
              <w:spacing w:line="240" w:lineRule="auto" w:before="7"/>
              <w:ind w:left="106" w:right="0"/>
              <w:jc w:val="left"/>
              <w:rPr>
                <w:rFonts w:ascii="宋体" w:hAnsi="宋体" w:cs="宋体" w:eastAsia="宋体" w:hint="default"/>
                <w:sz w:val="18"/>
                <w:szCs w:val="18"/>
              </w:rPr>
            </w:pPr>
            <w:r>
              <w:rPr>
                <w:rFonts w:ascii="宋体" w:hAnsi="宋体" w:cs="宋体" w:eastAsia="宋体" w:hint="default"/>
                <w:sz w:val="18"/>
                <w:szCs w:val="18"/>
              </w:rPr>
              <w:t>广州御新软件有限公司</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84"/>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49"/>
              <w:jc w:val="right"/>
              <w:rPr>
                <w:rFonts w:ascii="Times New Roman" w:hAnsi="Times New Roman" w:cs="Times New Roman" w:eastAsia="Times New Roman" w:hint="default"/>
                <w:sz w:val="18"/>
                <w:szCs w:val="18"/>
              </w:rPr>
            </w:pPr>
            <w:r>
              <w:rPr>
                <w:rFonts w:ascii="Times New Roman"/>
                <w:spacing w:val="-1"/>
                <w:sz w:val="18"/>
              </w:rPr>
              <w:t>11,421,772.17</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5"/>
              <w:jc w:val="right"/>
              <w:rPr>
                <w:rFonts w:ascii="Times New Roman" w:hAnsi="Times New Roman" w:cs="Times New Roman" w:eastAsia="Times New Roman" w:hint="default"/>
                <w:sz w:val="18"/>
                <w:szCs w:val="18"/>
              </w:rPr>
            </w:pPr>
            <w:r>
              <w:rPr>
                <w:rFonts w:ascii="Times New Roman"/>
                <w:sz w:val="18"/>
              </w:rPr>
              <w:t>32.14</w:t>
            </w:r>
          </w:p>
        </w:tc>
      </w:tr>
      <w:tr>
        <w:trPr>
          <w:trHeight w:val="385" w:hRule="exact"/>
        </w:trPr>
        <w:tc>
          <w:tcPr>
            <w:tcW w:w="315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6" w:right="0"/>
              <w:jc w:val="left"/>
              <w:rPr>
                <w:rFonts w:ascii="宋体" w:hAnsi="宋体" w:cs="宋体" w:eastAsia="宋体" w:hint="default"/>
                <w:sz w:val="18"/>
                <w:szCs w:val="18"/>
              </w:rPr>
            </w:pPr>
            <w:r>
              <w:rPr>
                <w:rFonts w:ascii="宋体" w:hAnsi="宋体" w:cs="宋体" w:eastAsia="宋体" w:hint="default"/>
                <w:sz w:val="18"/>
                <w:szCs w:val="18"/>
              </w:rPr>
              <w:t>安徽御银电子科技有限公司</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84"/>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49"/>
              <w:jc w:val="right"/>
              <w:rPr>
                <w:rFonts w:ascii="Times New Roman" w:hAnsi="Times New Roman" w:cs="Times New Roman" w:eastAsia="Times New Roman" w:hint="default"/>
                <w:sz w:val="18"/>
                <w:szCs w:val="18"/>
              </w:rPr>
            </w:pPr>
            <w:r>
              <w:rPr>
                <w:rFonts w:ascii="Times New Roman"/>
                <w:sz w:val="18"/>
              </w:rPr>
              <w:t>952,350.00</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8"/>
                <w:szCs w:val="18"/>
              </w:rPr>
            </w:pPr>
            <w:r>
              <w:rPr>
                <w:rFonts w:ascii="Times New Roman"/>
                <w:sz w:val="18"/>
              </w:rPr>
              <w:t>2.68</w:t>
            </w:r>
          </w:p>
        </w:tc>
      </w:tr>
      <w:tr>
        <w:trPr>
          <w:trHeight w:val="384" w:hRule="exact"/>
        </w:trPr>
        <w:tc>
          <w:tcPr>
            <w:tcW w:w="315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6" w:right="0"/>
              <w:jc w:val="left"/>
              <w:rPr>
                <w:rFonts w:ascii="宋体" w:hAnsi="宋体" w:cs="宋体" w:eastAsia="宋体" w:hint="default"/>
                <w:sz w:val="18"/>
                <w:szCs w:val="18"/>
              </w:rPr>
            </w:pPr>
            <w:r>
              <w:rPr>
                <w:rFonts w:ascii="宋体" w:hAnsi="宋体" w:cs="宋体" w:eastAsia="宋体" w:hint="default"/>
                <w:sz w:val="18"/>
                <w:szCs w:val="18"/>
              </w:rPr>
              <w:t>御银科技（香港）有限公司</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84"/>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9"/>
              <w:jc w:val="right"/>
              <w:rPr>
                <w:rFonts w:ascii="Times New Roman" w:hAnsi="Times New Roman" w:cs="Times New Roman" w:eastAsia="Times New Roman" w:hint="default"/>
                <w:sz w:val="18"/>
                <w:szCs w:val="18"/>
              </w:rPr>
            </w:pPr>
            <w:r>
              <w:rPr>
                <w:rFonts w:ascii="Times New Roman"/>
                <w:sz w:val="18"/>
              </w:rPr>
              <w:t>289,099.75</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0.81</w:t>
            </w:r>
          </w:p>
        </w:tc>
      </w:tr>
      <w:tr>
        <w:trPr>
          <w:trHeight w:val="385" w:hRule="exact"/>
        </w:trPr>
        <w:tc>
          <w:tcPr>
            <w:tcW w:w="315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6" w:right="0"/>
              <w:jc w:val="left"/>
              <w:rPr>
                <w:rFonts w:ascii="宋体" w:hAnsi="宋体" w:cs="宋体" w:eastAsia="宋体" w:hint="default"/>
                <w:sz w:val="18"/>
                <w:szCs w:val="18"/>
              </w:rPr>
            </w:pPr>
            <w:r>
              <w:rPr>
                <w:rFonts w:ascii="宋体" w:hAnsi="宋体" w:cs="宋体" w:eastAsia="宋体" w:hint="default"/>
                <w:sz w:val="18"/>
                <w:szCs w:val="18"/>
              </w:rPr>
              <w:t>广州御银先端电子科技有限公司</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84"/>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9"/>
              <w:jc w:val="right"/>
              <w:rPr>
                <w:rFonts w:ascii="Times New Roman" w:hAnsi="Times New Roman" w:cs="Times New Roman" w:eastAsia="Times New Roman" w:hint="default"/>
                <w:sz w:val="18"/>
                <w:szCs w:val="18"/>
              </w:rPr>
            </w:pPr>
            <w:r>
              <w:rPr>
                <w:rFonts w:ascii="Times New Roman"/>
                <w:sz w:val="18"/>
              </w:rPr>
              <w:t>34,250.00</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0.10</w:t>
            </w:r>
          </w:p>
        </w:tc>
      </w:tr>
      <w:tr>
        <w:trPr>
          <w:trHeight w:val="386" w:hRule="exact"/>
        </w:trPr>
        <w:tc>
          <w:tcPr>
            <w:tcW w:w="315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6" w:right="0"/>
              <w:jc w:val="left"/>
              <w:rPr>
                <w:rFonts w:ascii="宋体" w:hAnsi="宋体" w:cs="宋体" w:eastAsia="宋体" w:hint="default"/>
                <w:sz w:val="18"/>
                <w:szCs w:val="18"/>
              </w:rPr>
            </w:pPr>
            <w:r>
              <w:rPr>
                <w:rFonts w:ascii="宋体" w:hAnsi="宋体" w:cs="宋体" w:eastAsia="宋体" w:hint="default"/>
                <w:sz w:val="18"/>
                <w:szCs w:val="18"/>
              </w:rPr>
              <w:t>御银</w:t>
            </w:r>
            <w:r>
              <w:rPr>
                <w:rFonts w:ascii="Times New Roman" w:hAnsi="Times New Roman" w:cs="Times New Roman" w:eastAsia="Times New Roman" w:hint="default"/>
                <w:sz w:val="18"/>
                <w:szCs w:val="18"/>
              </w:rPr>
              <w:t>(</w:t>
            </w:r>
            <w:r>
              <w:rPr>
                <w:rFonts w:ascii="宋体" w:hAnsi="宋体" w:cs="宋体" w:eastAsia="宋体" w:hint="default"/>
                <w:sz w:val="18"/>
                <w:szCs w:val="18"/>
              </w:rPr>
              <w:t>中国</w:t>
            </w:r>
            <w:r>
              <w:rPr>
                <w:rFonts w:ascii="Times New Roman" w:hAnsi="Times New Roman" w:cs="Times New Roman" w:eastAsia="Times New Roman" w:hint="default"/>
                <w:sz w:val="18"/>
                <w:szCs w:val="18"/>
              </w:rPr>
              <w:t>)</w:t>
            </w:r>
            <w:r>
              <w:rPr>
                <w:rFonts w:ascii="宋体" w:hAnsi="宋体" w:cs="宋体" w:eastAsia="宋体" w:hint="default"/>
                <w:sz w:val="18"/>
                <w:szCs w:val="18"/>
              </w:rPr>
              <w:t>科技国际有限公司</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84"/>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49"/>
              <w:jc w:val="right"/>
              <w:rPr>
                <w:rFonts w:ascii="Times New Roman" w:hAnsi="Times New Roman" w:cs="Times New Roman" w:eastAsia="Times New Roman" w:hint="default"/>
                <w:sz w:val="18"/>
                <w:szCs w:val="18"/>
              </w:rPr>
            </w:pPr>
            <w:r>
              <w:rPr>
                <w:rFonts w:ascii="Times New Roman"/>
                <w:sz w:val="18"/>
              </w:rPr>
              <w:t>29,893.00</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8"/>
                <w:szCs w:val="18"/>
              </w:rPr>
            </w:pPr>
            <w:r>
              <w:rPr>
                <w:rFonts w:ascii="Times New Roman"/>
                <w:sz w:val="18"/>
              </w:rPr>
              <w:t>0.08</w:t>
            </w:r>
          </w:p>
        </w:tc>
      </w:tr>
      <w:tr>
        <w:trPr>
          <w:trHeight w:val="383" w:hRule="exact"/>
        </w:trPr>
        <w:tc>
          <w:tcPr>
            <w:tcW w:w="315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6" w:right="0"/>
              <w:jc w:val="left"/>
              <w:rPr>
                <w:rFonts w:ascii="宋体" w:hAnsi="宋体" w:cs="宋体" w:eastAsia="宋体" w:hint="default"/>
                <w:sz w:val="18"/>
                <w:szCs w:val="18"/>
              </w:rPr>
            </w:pPr>
            <w:r>
              <w:rPr>
                <w:rFonts w:ascii="宋体" w:hAnsi="宋体" w:cs="宋体" w:eastAsia="宋体" w:hint="default"/>
                <w:sz w:val="18"/>
                <w:szCs w:val="18"/>
              </w:rPr>
              <w:t>梁晓芹</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84"/>
              <w:jc w:val="center"/>
              <w:rPr>
                <w:rFonts w:ascii="宋体" w:hAnsi="宋体" w:cs="宋体" w:eastAsia="宋体" w:hint="default"/>
                <w:sz w:val="18"/>
                <w:szCs w:val="18"/>
              </w:rPr>
            </w:pPr>
            <w:r>
              <w:rPr>
                <w:rFonts w:ascii="宋体" w:hAnsi="宋体" w:cs="宋体" w:eastAsia="宋体" w:hint="default"/>
                <w:sz w:val="18"/>
                <w:szCs w:val="18"/>
              </w:rPr>
              <w:t>关键管理人员</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9"/>
              <w:jc w:val="right"/>
              <w:rPr>
                <w:rFonts w:ascii="Times New Roman" w:hAnsi="Times New Roman" w:cs="Times New Roman" w:eastAsia="Times New Roman" w:hint="default"/>
                <w:sz w:val="18"/>
                <w:szCs w:val="18"/>
              </w:rPr>
            </w:pPr>
            <w:r>
              <w:rPr>
                <w:rFonts w:ascii="Times New Roman"/>
                <w:sz w:val="18"/>
              </w:rPr>
              <w:t>6,000.00</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z w:val="18"/>
              </w:rPr>
              <w:t>0.02</w:t>
            </w:r>
          </w:p>
        </w:tc>
      </w:tr>
      <w:tr>
        <w:trPr>
          <w:trHeight w:val="385" w:hRule="exact"/>
        </w:trPr>
        <w:tc>
          <w:tcPr>
            <w:tcW w:w="315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6" w:right="0"/>
              <w:jc w:val="left"/>
              <w:rPr>
                <w:rFonts w:ascii="宋体" w:hAnsi="宋体" w:cs="宋体" w:eastAsia="宋体" w:hint="default"/>
                <w:sz w:val="18"/>
                <w:szCs w:val="18"/>
              </w:rPr>
            </w:pPr>
            <w:r>
              <w:rPr>
                <w:rFonts w:ascii="宋体" w:hAnsi="宋体" w:cs="宋体" w:eastAsia="宋体" w:hint="default"/>
                <w:sz w:val="18"/>
                <w:szCs w:val="18"/>
              </w:rPr>
              <w:t>张成虎</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84"/>
              <w:jc w:val="center"/>
              <w:rPr>
                <w:rFonts w:ascii="宋体" w:hAnsi="宋体" w:cs="宋体" w:eastAsia="宋体" w:hint="default"/>
                <w:sz w:val="18"/>
                <w:szCs w:val="18"/>
              </w:rPr>
            </w:pPr>
            <w:r>
              <w:rPr>
                <w:rFonts w:ascii="宋体" w:hAnsi="宋体" w:cs="宋体" w:eastAsia="宋体" w:hint="default"/>
                <w:sz w:val="18"/>
                <w:szCs w:val="18"/>
              </w:rPr>
              <w:t>关键管理人员</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9"/>
              <w:jc w:val="right"/>
              <w:rPr>
                <w:rFonts w:ascii="Times New Roman" w:hAnsi="Times New Roman" w:cs="Times New Roman" w:eastAsia="Times New Roman" w:hint="default"/>
                <w:sz w:val="18"/>
                <w:szCs w:val="18"/>
              </w:rPr>
            </w:pPr>
            <w:r>
              <w:rPr>
                <w:rFonts w:ascii="Times New Roman"/>
                <w:sz w:val="18"/>
              </w:rPr>
              <w:t>65,196.15</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0.18</w:t>
            </w:r>
          </w:p>
        </w:tc>
      </w:tr>
      <w:tr>
        <w:trPr>
          <w:trHeight w:val="400" w:hRule="exact"/>
        </w:trPr>
        <w:tc>
          <w:tcPr>
            <w:tcW w:w="315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6" w:right="0"/>
              <w:jc w:val="left"/>
              <w:rPr>
                <w:rFonts w:ascii="宋体" w:hAnsi="宋体" w:cs="宋体" w:eastAsia="宋体" w:hint="default"/>
                <w:sz w:val="18"/>
                <w:szCs w:val="18"/>
              </w:rPr>
            </w:pPr>
            <w:r>
              <w:rPr>
                <w:rFonts w:ascii="宋体" w:hAnsi="宋体" w:cs="宋体" w:eastAsia="宋体" w:hint="default"/>
                <w:sz w:val="18"/>
                <w:szCs w:val="18"/>
              </w:rPr>
              <w:t>高永坚</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84"/>
              <w:jc w:val="center"/>
              <w:rPr>
                <w:rFonts w:ascii="宋体" w:hAnsi="宋体" w:cs="宋体" w:eastAsia="宋体" w:hint="default"/>
                <w:sz w:val="18"/>
                <w:szCs w:val="18"/>
              </w:rPr>
            </w:pPr>
            <w:r>
              <w:rPr>
                <w:rFonts w:ascii="宋体" w:hAnsi="宋体" w:cs="宋体" w:eastAsia="宋体" w:hint="default"/>
                <w:sz w:val="18"/>
                <w:szCs w:val="18"/>
              </w:rPr>
              <w:t>关键管理人员</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49"/>
              <w:jc w:val="right"/>
              <w:rPr>
                <w:rFonts w:ascii="Times New Roman" w:hAnsi="Times New Roman" w:cs="Times New Roman" w:eastAsia="Times New Roman" w:hint="default"/>
                <w:sz w:val="18"/>
                <w:szCs w:val="18"/>
              </w:rPr>
            </w:pPr>
            <w:r>
              <w:rPr>
                <w:rFonts w:ascii="Times New Roman"/>
                <w:sz w:val="18"/>
              </w:rPr>
              <w:t>231,288.28</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4"/>
              <w:jc w:val="right"/>
              <w:rPr>
                <w:rFonts w:ascii="Times New Roman" w:hAnsi="Times New Roman" w:cs="Times New Roman" w:eastAsia="Times New Roman" w:hint="default"/>
                <w:sz w:val="18"/>
                <w:szCs w:val="18"/>
              </w:rPr>
            </w:pPr>
            <w:r>
              <w:rPr>
                <w:rFonts w:ascii="Times New Roman"/>
                <w:sz w:val="18"/>
              </w:rPr>
              <w:t>0.65</w:t>
            </w:r>
          </w:p>
        </w:tc>
      </w:tr>
      <w:tr>
        <w:trPr>
          <w:trHeight w:val="384" w:hRule="exact"/>
        </w:trPr>
        <w:tc>
          <w:tcPr>
            <w:tcW w:w="3152"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06" w:right="0"/>
              <w:jc w:val="left"/>
              <w:rPr>
                <w:rFonts w:ascii="宋体" w:hAnsi="宋体" w:cs="宋体" w:eastAsia="宋体" w:hint="default"/>
                <w:sz w:val="18"/>
                <w:szCs w:val="18"/>
              </w:rPr>
            </w:pPr>
            <w:r>
              <w:rPr>
                <w:rFonts w:ascii="宋体" w:hAnsi="宋体" w:cs="宋体" w:eastAsia="宋体" w:hint="default"/>
                <w:sz w:val="18"/>
                <w:szCs w:val="18"/>
              </w:rPr>
              <w:t>庞泰松</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84"/>
              <w:jc w:val="center"/>
              <w:rPr>
                <w:rFonts w:ascii="宋体" w:hAnsi="宋体" w:cs="宋体" w:eastAsia="宋体" w:hint="default"/>
                <w:sz w:val="18"/>
                <w:szCs w:val="18"/>
              </w:rPr>
            </w:pPr>
            <w:r>
              <w:rPr>
                <w:rFonts w:ascii="宋体" w:hAnsi="宋体" w:cs="宋体" w:eastAsia="宋体" w:hint="default"/>
                <w:sz w:val="18"/>
                <w:szCs w:val="18"/>
              </w:rPr>
              <w:t>关键管理人员</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49"/>
              <w:jc w:val="right"/>
              <w:rPr>
                <w:rFonts w:ascii="Times New Roman" w:hAnsi="Times New Roman" w:cs="Times New Roman" w:eastAsia="Times New Roman" w:hint="default"/>
                <w:sz w:val="18"/>
                <w:szCs w:val="18"/>
              </w:rPr>
            </w:pPr>
            <w:r>
              <w:rPr>
                <w:rFonts w:ascii="Times New Roman"/>
                <w:sz w:val="18"/>
              </w:rPr>
              <w:t>224,490.24</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z w:val="18"/>
              </w:rPr>
              <w:t>0.63</w:t>
            </w:r>
          </w:p>
        </w:tc>
      </w:tr>
      <w:tr>
        <w:trPr>
          <w:trHeight w:val="386" w:hRule="exact"/>
        </w:trPr>
        <w:tc>
          <w:tcPr>
            <w:tcW w:w="3152"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06" w:right="0"/>
              <w:jc w:val="left"/>
              <w:rPr>
                <w:rFonts w:ascii="宋体" w:hAnsi="宋体" w:cs="宋体" w:eastAsia="宋体" w:hint="default"/>
                <w:sz w:val="18"/>
                <w:szCs w:val="18"/>
              </w:rPr>
            </w:pPr>
            <w:r>
              <w:rPr>
                <w:rFonts w:ascii="宋体" w:hAnsi="宋体" w:cs="宋体" w:eastAsia="宋体" w:hint="default"/>
                <w:sz w:val="18"/>
                <w:szCs w:val="18"/>
              </w:rPr>
              <w:t>徐德银</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84"/>
              <w:jc w:val="center"/>
              <w:rPr>
                <w:rFonts w:ascii="宋体" w:hAnsi="宋体" w:cs="宋体" w:eastAsia="宋体" w:hint="default"/>
                <w:sz w:val="18"/>
                <w:szCs w:val="18"/>
              </w:rPr>
            </w:pPr>
            <w:r>
              <w:rPr>
                <w:rFonts w:ascii="宋体" w:hAnsi="宋体" w:cs="宋体" w:eastAsia="宋体" w:hint="default"/>
                <w:sz w:val="18"/>
                <w:szCs w:val="18"/>
              </w:rPr>
              <w:t>关键管理人员</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49"/>
              <w:jc w:val="right"/>
              <w:rPr>
                <w:rFonts w:ascii="Times New Roman" w:hAnsi="Times New Roman" w:cs="Times New Roman" w:eastAsia="Times New Roman" w:hint="default"/>
                <w:sz w:val="18"/>
                <w:szCs w:val="18"/>
              </w:rPr>
            </w:pPr>
            <w:r>
              <w:rPr>
                <w:rFonts w:ascii="Times New Roman"/>
                <w:sz w:val="18"/>
              </w:rPr>
              <w:t>139,663.99</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z w:val="18"/>
              </w:rPr>
              <w:t>0.39</w:t>
            </w:r>
          </w:p>
        </w:tc>
      </w:tr>
      <w:tr>
        <w:trPr>
          <w:trHeight w:val="379" w:hRule="exact"/>
        </w:trPr>
        <w:tc>
          <w:tcPr>
            <w:tcW w:w="3152"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212"/>
              <w:jc w:val="center"/>
              <w:rPr>
                <w:rFonts w:ascii="宋体" w:hAnsi="宋体" w:cs="宋体" w:eastAsia="宋体" w:hint="default"/>
                <w:sz w:val="18"/>
                <w:szCs w:val="18"/>
              </w:rPr>
            </w:pPr>
            <w:r>
              <w:rPr>
                <w:rFonts w:ascii="宋体" w:hAnsi="宋体" w:cs="宋体" w:eastAsia="宋体" w:hint="default"/>
                <w:sz w:val="18"/>
                <w:szCs w:val="18"/>
              </w:rPr>
              <w:t>合计</w:t>
            </w:r>
          </w:p>
        </w:tc>
        <w:tc>
          <w:tcPr>
            <w:tcW w:w="1573" w:type="dxa"/>
            <w:tcBorders>
              <w:top w:val="nil" w:sz="6" w:space="0" w:color="auto"/>
              <w:left w:val="nil" w:sz="6" w:space="0" w:color="auto"/>
              <w:bottom w:val="single" w:sz="12" w:space="0" w:color="000000"/>
              <w:right w:val="nil" w:sz="6" w:space="0" w:color="auto"/>
            </w:tcBorders>
          </w:tcPr>
          <w:p>
            <w:pPr/>
          </w:p>
        </w:tc>
        <w:tc>
          <w:tcPr>
            <w:tcW w:w="1619"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right="149"/>
              <w:jc w:val="right"/>
              <w:rPr>
                <w:rFonts w:ascii="Times New Roman" w:hAnsi="Times New Roman" w:cs="Times New Roman" w:eastAsia="Times New Roman" w:hint="default"/>
                <w:sz w:val="18"/>
                <w:szCs w:val="18"/>
              </w:rPr>
            </w:pPr>
            <w:r>
              <w:rPr>
                <w:rFonts w:ascii="Times New Roman"/>
                <w:spacing w:val="-1"/>
                <w:sz w:val="18"/>
              </w:rPr>
              <w:t>13,394,003.58</w:t>
            </w:r>
          </w:p>
        </w:tc>
        <w:tc>
          <w:tcPr>
            <w:tcW w:w="1518" w:type="dxa"/>
            <w:tcBorders>
              <w:top w:val="nil" w:sz="6" w:space="0" w:color="auto"/>
              <w:left w:val="nil" w:sz="6" w:space="0" w:color="auto"/>
              <w:bottom w:val="single" w:sz="12" w:space="0" w:color="000000"/>
              <w:right w:val="nil" w:sz="6" w:space="0" w:color="auto"/>
            </w:tcBorders>
          </w:tcPr>
          <w:p>
            <w:pPr>
              <w:pStyle w:val="TableParagraph"/>
              <w:spacing w:line="240" w:lineRule="auto" w:before="102"/>
              <w:ind w:right="104"/>
              <w:jc w:val="right"/>
              <w:rPr>
                <w:rFonts w:ascii="Times New Roman" w:hAnsi="Times New Roman" w:cs="Times New Roman" w:eastAsia="Times New Roman" w:hint="default"/>
                <w:sz w:val="18"/>
                <w:szCs w:val="18"/>
              </w:rPr>
            </w:pPr>
            <w:r>
              <w:rPr>
                <w:rFonts w:ascii="Times New Roman"/>
                <w:sz w:val="18"/>
              </w:rPr>
              <w:t>37.69</w:t>
            </w:r>
          </w:p>
        </w:tc>
      </w:tr>
    </w:tbl>
    <w:p>
      <w:pPr>
        <w:spacing w:line="240" w:lineRule="auto" w:before="0"/>
        <w:rPr>
          <w:rFonts w:ascii="宋体" w:hAnsi="宋体" w:cs="宋体" w:eastAsia="宋体" w:hint="default"/>
          <w:b/>
          <w:bCs/>
          <w:sz w:val="20"/>
          <w:szCs w:val="20"/>
        </w:rPr>
      </w:pPr>
    </w:p>
    <w:p>
      <w:pPr>
        <w:tabs>
          <w:tab w:pos="1396" w:val="left" w:leader="none"/>
        </w:tabs>
        <w:spacing w:before="196"/>
        <w:ind w:left="857" w:right="0" w:firstLine="0"/>
        <w:jc w:val="left"/>
        <w:rPr>
          <w:rFonts w:ascii="宋体" w:hAnsi="宋体" w:cs="宋体" w:eastAsia="宋体" w:hint="default"/>
          <w:sz w:val="21"/>
          <w:szCs w:val="21"/>
        </w:rPr>
      </w:pPr>
      <w:r>
        <w:rPr/>
        <w:pict>
          <v:group style="position:absolute;margin-left:93.839996pt;margin-top:-265.995941pt;width:396.4pt;height:250.65pt;mso-position-horizontal-relative:page;mso-position-vertical-relative:paragraph;z-index:-801280" coordorigin="1877,-5320" coordsize="7928,5013">
            <v:shape style="position:absolute;left:4822;top:-5320;width:3408;height:798" type="#_x0000_t75" stroked="false">
              <v:imagedata r:id="rId367" o:title=""/>
            </v:shape>
            <v:shape style="position:absolute;left:1877;top:-4570;width:7927;height:4262" type="#_x0000_t75" stroked="false">
              <v:imagedata r:id="rId368" o:title=""/>
            </v:shape>
            <w10:wrap type="none"/>
          </v:group>
        </w:pict>
      </w:r>
      <w:r>
        <w:rPr>
          <w:rFonts w:ascii="Times New Roman" w:hAnsi="Times New Roman" w:cs="Times New Roman" w:eastAsia="Times New Roman" w:hint="default"/>
          <w:b/>
          <w:bCs/>
          <w:w w:val="95"/>
          <w:sz w:val="21"/>
          <w:szCs w:val="21"/>
        </w:rPr>
        <w:t>9</w:t>
      </w:r>
      <w:r>
        <w:rPr>
          <w:rFonts w:ascii="宋体" w:hAnsi="宋体" w:cs="宋体" w:eastAsia="宋体" w:hint="default"/>
          <w:b/>
          <w:bCs/>
          <w:w w:val="95"/>
          <w:sz w:val="21"/>
          <w:szCs w:val="21"/>
        </w:rPr>
        <w:t>、</w:t>
        <w:tab/>
      </w:r>
      <w:r>
        <w:rPr>
          <w:rFonts w:ascii="宋体" w:hAnsi="宋体" w:cs="宋体" w:eastAsia="宋体" w:hint="default"/>
          <w:b/>
          <w:bCs/>
          <w:sz w:val="21"/>
          <w:szCs w:val="21"/>
        </w:rPr>
        <w:t>本报告期内不存在因金融资产转移而终止确认的其他应收款的情况。</w:t>
      </w:r>
      <w:r>
        <w:rPr>
          <w:rFonts w:ascii="宋体" w:hAnsi="宋体" w:cs="宋体" w:eastAsia="宋体" w:hint="default"/>
          <w:sz w:val="21"/>
          <w:szCs w:val="21"/>
        </w:rPr>
      </w:r>
    </w:p>
    <w:p>
      <w:pPr>
        <w:spacing w:before="109"/>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w:t>
      </w:r>
      <w:r>
        <w:rPr>
          <w:rFonts w:ascii="宋体" w:hAnsi="宋体" w:cs="宋体" w:eastAsia="宋体" w:hint="default"/>
          <w:b/>
          <w:bCs/>
          <w:spacing w:val="-9"/>
          <w:sz w:val="21"/>
          <w:szCs w:val="21"/>
        </w:rPr>
        <w:t> </w:t>
      </w:r>
      <w:r>
        <w:rPr>
          <w:rFonts w:ascii="宋体" w:hAnsi="宋体" w:cs="宋体" w:eastAsia="宋体" w:hint="default"/>
          <w:b/>
          <w:bCs/>
          <w:sz w:val="21"/>
          <w:szCs w:val="21"/>
        </w:rPr>
        <w:t>本报告期内不存在未全部终止确认的被转移的其他应收款的情况。</w:t>
      </w:r>
      <w:r>
        <w:rPr>
          <w:rFonts w:ascii="宋体" w:hAnsi="宋体" w:cs="宋体" w:eastAsia="宋体" w:hint="default"/>
          <w:sz w:val="21"/>
          <w:szCs w:val="21"/>
        </w:rPr>
      </w:r>
    </w:p>
    <w:p>
      <w:pPr>
        <w:spacing w:before="11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11</w:t>
      </w:r>
      <w:r>
        <w:rPr>
          <w:rFonts w:ascii="宋体" w:hAnsi="宋体" w:cs="宋体" w:eastAsia="宋体" w:hint="default"/>
          <w:b/>
          <w:bCs/>
          <w:spacing w:val="-4"/>
          <w:sz w:val="21"/>
          <w:szCs w:val="21"/>
        </w:rPr>
        <w:t>、</w:t>
      </w:r>
      <w:r>
        <w:rPr>
          <w:rFonts w:ascii="宋体" w:hAnsi="宋体" w:cs="宋体" w:eastAsia="宋体" w:hint="default"/>
          <w:b/>
          <w:bCs/>
          <w:spacing w:val="15"/>
          <w:sz w:val="21"/>
          <w:szCs w:val="21"/>
        </w:rPr>
        <w:t> </w:t>
      </w:r>
      <w:r>
        <w:rPr>
          <w:rFonts w:ascii="宋体" w:hAnsi="宋体" w:cs="宋体" w:eastAsia="宋体" w:hint="default"/>
          <w:b/>
          <w:bCs/>
          <w:sz w:val="21"/>
          <w:szCs w:val="21"/>
        </w:rPr>
        <w:t>本报告期内不存在以其他应收款为标的进行证券化的情况。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7" w:footer="1256" w:top="1100" w:bottom="1440" w:left="1660" w:right="132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after="0" w:line="240" w:lineRule="auto"/>
        <w:rPr>
          <w:rFonts w:ascii="宋体" w:hAnsi="宋体" w:cs="宋体" w:eastAsia="宋体" w:hint="default"/>
          <w:sz w:val="20"/>
          <w:szCs w:val="20"/>
        </w:rPr>
        <w:sectPr>
          <w:headerReference w:type="default" r:id="rId369"/>
          <w:footerReference w:type="default" r:id="rId370"/>
          <w:pgSz w:w="16840" w:h="11910" w:orient="landscape"/>
          <w:pgMar w:header="877" w:footer="1252" w:top="1100" w:bottom="1440" w:left="780" w:right="700"/>
          <w:pgNumType w:start="165"/>
        </w:sectPr>
      </w:pPr>
    </w:p>
    <w:p>
      <w:pPr>
        <w:tabs>
          <w:tab w:pos="1373" w:val="left" w:leader="none"/>
        </w:tabs>
        <w:spacing w:before="167"/>
        <w:ind w:left="645"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before="28"/>
        <w:ind w:left="659"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、长期股权投资明细情况</w:t>
      </w:r>
      <w:r>
        <w:rPr>
          <w:rFonts w:ascii="宋体" w:hAnsi="宋体" w:cs="宋体" w:eastAsia="宋体" w:hint="default"/>
          <w:sz w:val="21"/>
          <w:szCs w:val="21"/>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0"/>
        <w:rPr>
          <w:rFonts w:ascii="宋体" w:hAnsi="宋体" w:cs="宋体" w:eastAsia="宋体" w:hint="default"/>
          <w:b/>
          <w:bCs/>
          <w:sz w:val="19"/>
          <w:szCs w:val="19"/>
        </w:rPr>
      </w:pPr>
    </w:p>
    <w:p>
      <w:pPr>
        <w:spacing w:before="0"/>
        <w:ind w:left="645" w:right="-20" w:firstLine="0"/>
        <w:jc w:val="left"/>
        <w:rPr>
          <w:rFonts w:ascii="宋体" w:hAnsi="宋体" w:cs="宋体" w:eastAsia="宋体" w:hint="default"/>
          <w:sz w:val="18"/>
          <w:szCs w:val="18"/>
        </w:rPr>
      </w:pPr>
      <w:r>
        <w:rPr/>
        <w:pict>
          <v:group style="position:absolute;margin-left:44.271pt;margin-top:-4.307988pt;width:757.2pt;height:370pt;mso-position-horizontal-relative:page;mso-position-vertical-relative:paragraph;z-index:-801256" coordorigin="885,-86" coordsize="15144,7400">
            <v:group style="position:absolute;left:914;top:-71;width:15086;height:2" coordorigin="914,-71" coordsize="15086,2">
              <v:shape style="position:absolute;left:914;top:-71;width:15086;height:2" coordorigin="914,-71" coordsize="15086,0" path="m914,-71l15999,-71e" filled="false" stroked="true" strokeweight="1.5pt" strokecolor="#000000">
                <v:path arrowok="t"/>
              </v:shape>
              <v:shape style="position:absolute;left:2571;top:-75;width:12460;height:1318" type="#_x0000_t75" stroked="false">
                <v:imagedata r:id="rId371" o:title=""/>
              </v:shape>
              <v:shape style="position:absolute;left:885;top:1194;width:15144;height:6119" type="#_x0000_t75" stroked="false">
                <v:imagedata r:id="rId372" o:title=""/>
              </v:shape>
            </v:group>
            <w10:wrap type="none"/>
          </v:group>
        </w:pict>
      </w:r>
      <w:r>
        <w:rPr>
          <w:rFonts w:ascii="宋体" w:hAnsi="宋体" w:cs="宋体" w:eastAsia="宋体" w:hint="default"/>
          <w:sz w:val="18"/>
          <w:szCs w:val="18"/>
        </w:rPr>
        <w:t>其中：联营及</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9"/>
          <w:szCs w:val="19"/>
        </w:rPr>
      </w:pPr>
    </w:p>
    <w:p>
      <w:pPr>
        <w:spacing w:before="0"/>
        <w:ind w:left="645" w:right="-20" w:firstLine="0"/>
        <w:jc w:val="left"/>
        <w:rPr>
          <w:rFonts w:ascii="宋体" w:hAnsi="宋体" w:cs="宋体" w:eastAsia="宋体" w:hint="default"/>
          <w:sz w:val="18"/>
          <w:szCs w:val="18"/>
        </w:rPr>
      </w:pPr>
      <w:r>
        <w:rPr>
          <w:rFonts w:ascii="宋体" w:hAnsi="宋体" w:cs="宋体" w:eastAsia="宋体" w:hint="default"/>
          <w:sz w:val="18"/>
          <w:szCs w:val="18"/>
        </w:rPr>
        <w:t>在被投</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3"/>
          <w:szCs w:val="13"/>
        </w:rPr>
      </w:pPr>
    </w:p>
    <w:p>
      <w:pPr>
        <w:spacing w:line="215" w:lineRule="exact" w:before="0"/>
        <w:ind w:left="316" w:right="-20" w:firstLine="0"/>
        <w:jc w:val="left"/>
        <w:rPr>
          <w:rFonts w:ascii="宋体" w:hAnsi="宋体" w:cs="宋体" w:eastAsia="宋体" w:hint="default"/>
          <w:sz w:val="18"/>
          <w:szCs w:val="18"/>
        </w:rPr>
      </w:pPr>
      <w:r>
        <w:rPr>
          <w:rFonts w:ascii="宋体" w:hAnsi="宋体" w:cs="宋体" w:eastAsia="宋体" w:hint="default"/>
          <w:sz w:val="18"/>
          <w:szCs w:val="18"/>
        </w:rPr>
        <w:t>在被投资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9"/>
          <w:szCs w:val="19"/>
        </w:rPr>
      </w:pPr>
    </w:p>
    <w:p>
      <w:pPr>
        <w:spacing w:before="0"/>
        <w:ind w:left="309" w:right="-20" w:firstLine="0"/>
        <w:jc w:val="left"/>
        <w:rPr>
          <w:rFonts w:ascii="宋体" w:hAnsi="宋体" w:cs="宋体" w:eastAsia="宋体" w:hint="default"/>
          <w:sz w:val="18"/>
          <w:szCs w:val="18"/>
        </w:rPr>
      </w:pPr>
      <w:r>
        <w:rPr>
          <w:rFonts w:ascii="宋体" w:hAnsi="宋体" w:cs="宋体" w:eastAsia="宋体" w:hint="default"/>
          <w:sz w:val="18"/>
          <w:szCs w:val="18"/>
        </w:rPr>
        <w:t>在被投资单位</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spacing w:before="0"/>
        <w:ind w:left="515" w:right="0" w:firstLine="0"/>
        <w:jc w:val="left"/>
        <w:rPr>
          <w:rFonts w:ascii="宋体" w:hAnsi="宋体" w:cs="宋体" w:eastAsia="宋体" w:hint="default"/>
          <w:sz w:val="21"/>
          <w:szCs w:val="21"/>
        </w:rPr>
      </w:pPr>
      <w:r>
        <w:rPr>
          <w:rFonts w:ascii="宋体" w:hAnsi="宋体" w:cs="宋体" w:eastAsia="宋体" w:hint="default"/>
          <w:sz w:val="21"/>
          <w:szCs w:val="21"/>
        </w:rPr>
        <w:t>单位：人民币元</w:t>
      </w:r>
    </w:p>
    <w:p>
      <w:pPr>
        <w:spacing w:after="0"/>
        <w:jc w:val="left"/>
        <w:rPr>
          <w:rFonts w:ascii="宋体" w:hAnsi="宋体" w:cs="宋体" w:eastAsia="宋体" w:hint="default"/>
          <w:sz w:val="21"/>
          <w:szCs w:val="21"/>
        </w:rPr>
        <w:sectPr>
          <w:type w:val="continuous"/>
          <w:pgSz w:w="16840" w:h="11910" w:orient="landscape"/>
          <w:pgMar w:top="1100" w:bottom="1240" w:left="780" w:right="700"/>
          <w:cols w:num="6" w:equalWidth="0">
            <w:col w:w="3083" w:space="2953"/>
            <w:col w:w="1726" w:space="930"/>
            <w:col w:w="1186" w:space="40"/>
            <w:col w:w="1037" w:space="40"/>
            <w:col w:w="1390" w:space="40"/>
            <w:col w:w="2935"/>
          </w:cols>
        </w:sectPr>
      </w:pPr>
    </w:p>
    <w:p>
      <w:pPr>
        <w:spacing w:before="105"/>
        <w:ind w:left="524" w:right="-20" w:firstLine="0"/>
        <w:jc w:val="left"/>
        <w:rPr>
          <w:rFonts w:ascii="宋体" w:hAnsi="宋体" w:cs="宋体" w:eastAsia="宋体" w:hint="default"/>
          <w:sz w:val="18"/>
          <w:szCs w:val="18"/>
        </w:rPr>
      </w:pPr>
      <w:r>
        <w:rPr>
          <w:rFonts w:ascii="宋体" w:hAnsi="宋体" w:cs="宋体" w:eastAsia="宋体" w:hint="default"/>
          <w:sz w:val="18"/>
          <w:szCs w:val="18"/>
        </w:rPr>
        <w:t>被投资单位</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4"/>
          <w:szCs w:val="24"/>
        </w:rPr>
      </w:pPr>
    </w:p>
    <w:p>
      <w:pPr>
        <w:spacing w:before="0"/>
        <w:ind w:left="242" w:right="-20" w:firstLine="0"/>
        <w:jc w:val="left"/>
        <w:rPr>
          <w:rFonts w:ascii="宋体" w:hAnsi="宋体" w:cs="宋体" w:eastAsia="宋体" w:hint="default"/>
          <w:sz w:val="18"/>
          <w:szCs w:val="18"/>
        </w:rPr>
      </w:pPr>
      <w:r>
        <w:rPr>
          <w:rFonts w:ascii="宋体" w:hAnsi="宋体" w:cs="宋体" w:eastAsia="宋体" w:hint="default"/>
          <w:sz w:val="18"/>
          <w:szCs w:val="18"/>
        </w:rPr>
        <w:t>联营企业：</w:t>
      </w:r>
    </w:p>
    <w:p>
      <w:pPr>
        <w:spacing w:line="180" w:lineRule="exact" w:before="0"/>
        <w:ind w:left="242" w:right="0" w:firstLine="0"/>
        <w:jc w:val="center"/>
        <w:rPr>
          <w:rFonts w:ascii="宋体" w:hAnsi="宋体" w:cs="宋体" w:eastAsia="宋体" w:hint="default"/>
          <w:sz w:val="18"/>
          <w:szCs w:val="18"/>
        </w:rPr>
      </w:pPr>
      <w:r>
        <w:rPr/>
        <w:br w:type="column"/>
      </w:r>
      <w:r>
        <w:rPr>
          <w:rFonts w:ascii="宋体" w:hAnsi="宋体" w:cs="宋体" w:eastAsia="宋体" w:hint="default"/>
          <w:sz w:val="18"/>
          <w:szCs w:val="18"/>
        </w:rPr>
        <w:t>核算方</w:t>
      </w:r>
    </w:p>
    <w:p>
      <w:pPr>
        <w:spacing w:before="85"/>
        <w:ind w:left="242" w:right="0" w:firstLine="0"/>
        <w:jc w:val="center"/>
        <w:rPr>
          <w:rFonts w:ascii="宋体" w:hAnsi="宋体" w:cs="宋体" w:eastAsia="宋体" w:hint="default"/>
          <w:sz w:val="18"/>
          <w:szCs w:val="18"/>
        </w:rPr>
      </w:pPr>
      <w:r>
        <w:rPr>
          <w:rFonts w:ascii="宋体" w:hAnsi="宋体" w:cs="宋体" w:eastAsia="宋体" w:hint="default"/>
          <w:sz w:val="18"/>
          <w:szCs w:val="18"/>
        </w:rPr>
        <w:t>法</w:t>
      </w:r>
    </w:p>
    <w:p>
      <w:pPr>
        <w:tabs>
          <w:tab w:pos="1558" w:val="left" w:leader="none"/>
          <w:tab w:pos="2818" w:val="left" w:leader="none"/>
        </w:tabs>
        <w:spacing w:before="105"/>
        <w:ind w:left="242"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投资成本</w:t>
        <w:tab/>
        <w:t>年初余额</w:t>
        <w:tab/>
        <w:t>增减变动</w:t>
      </w:r>
    </w:p>
    <w:p>
      <w:pPr>
        <w:spacing w:line="180" w:lineRule="exact" w:before="0"/>
        <w:ind w:left="242"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合营企业其他</w:t>
      </w:r>
    </w:p>
    <w:p>
      <w:pPr>
        <w:spacing w:line="326" w:lineRule="auto" w:before="85"/>
        <w:ind w:left="242" w:right="-20" w:firstLine="0"/>
        <w:jc w:val="left"/>
        <w:rPr>
          <w:rFonts w:ascii="宋体" w:hAnsi="宋体" w:cs="宋体" w:eastAsia="宋体" w:hint="default"/>
          <w:sz w:val="18"/>
          <w:szCs w:val="18"/>
        </w:rPr>
      </w:pPr>
      <w:r>
        <w:rPr>
          <w:rFonts w:ascii="宋体" w:hAnsi="宋体" w:cs="宋体" w:eastAsia="宋体" w:hint="default"/>
          <w:sz w:val="18"/>
          <w:szCs w:val="18"/>
        </w:rPr>
        <w:t>综合收益变动 中享有的份额</w:t>
      </w:r>
    </w:p>
    <w:p>
      <w:pPr>
        <w:spacing w:before="105"/>
        <w:ind w:left="242"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期末余额</w:t>
      </w:r>
    </w:p>
    <w:p>
      <w:pPr>
        <w:spacing w:line="180" w:lineRule="exact" w:before="0"/>
        <w:ind w:left="242"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资单位</w:t>
      </w:r>
    </w:p>
    <w:p>
      <w:pPr>
        <w:spacing w:line="326" w:lineRule="auto" w:before="85"/>
        <w:ind w:left="286" w:right="-19" w:hanging="45"/>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持股比 例</w:t>
      </w:r>
      <w:r>
        <w:rPr>
          <w:rFonts w:ascii="Times New Roman" w:hAnsi="Times New Roman" w:cs="Times New Roman" w:eastAsia="Times New Roman" w:hint="default"/>
          <w:sz w:val="18"/>
          <w:szCs w:val="18"/>
        </w:rPr>
        <w:t>(%)</w:t>
      </w:r>
    </w:p>
    <w:p>
      <w:pPr>
        <w:spacing w:line="326" w:lineRule="auto" w:before="105"/>
        <w:ind w:left="361" w:right="-19" w:hanging="136"/>
        <w:jc w:val="left"/>
        <w:rPr>
          <w:rFonts w:ascii="Times New Roman" w:hAnsi="Times New Roman" w:cs="Times New Roman" w:eastAsia="Times New Roman" w:hint="default"/>
          <w:sz w:val="18"/>
          <w:szCs w:val="18"/>
        </w:rPr>
      </w:pPr>
      <w:r>
        <w:rPr/>
        <w:br w:type="column"/>
      </w:r>
      <w:r>
        <w:rPr>
          <w:rFonts w:ascii="宋体" w:hAnsi="宋体" w:cs="宋体" w:eastAsia="宋体" w:hint="default"/>
          <w:sz w:val="18"/>
          <w:szCs w:val="18"/>
        </w:rPr>
        <w:t>单位表决权 比例</w:t>
      </w:r>
      <w:r>
        <w:rPr>
          <w:rFonts w:ascii="Times New Roman" w:hAnsi="Times New Roman" w:cs="Times New Roman" w:eastAsia="Times New Roman" w:hint="default"/>
          <w:sz w:val="18"/>
          <w:szCs w:val="18"/>
        </w:rPr>
        <w:t>(%)</w:t>
      </w:r>
    </w:p>
    <w:p>
      <w:pPr>
        <w:spacing w:line="180" w:lineRule="exact" w:before="0"/>
        <w:ind w:left="219"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持股比例与表</w:t>
      </w:r>
    </w:p>
    <w:p>
      <w:pPr>
        <w:spacing w:line="326" w:lineRule="auto" w:before="85"/>
        <w:ind w:left="399" w:right="-20" w:hanging="180"/>
        <w:jc w:val="left"/>
        <w:rPr>
          <w:rFonts w:ascii="宋体" w:hAnsi="宋体" w:cs="宋体" w:eastAsia="宋体" w:hint="default"/>
          <w:sz w:val="18"/>
          <w:szCs w:val="18"/>
        </w:rPr>
      </w:pPr>
      <w:r>
        <w:rPr>
          <w:rFonts w:ascii="宋体" w:hAnsi="宋体" w:cs="宋体" w:eastAsia="宋体" w:hint="default"/>
          <w:sz w:val="18"/>
          <w:szCs w:val="18"/>
        </w:rPr>
        <w:t>决权比例不一 致的说明</w:t>
      </w:r>
    </w:p>
    <w:p>
      <w:pPr>
        <w:tabs>
          <w:tab w:pos="914" w:val="left" w:leader="none"/>
        </w:tabs>
        <w:spacing w:line="180" w:lineRule="exact" w:before="0"/>
        <w:ind w:left="242"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减值</w:t>
        <w:tab/>
        <w:t>本期计提</w:t>
      </w:r>
    </w:p>
    <w:p>
      <w:pPr>
        <w:tabs>
          <w:tab w:pos="914" w:val="left" w:leader="none"/>
        </w:tabs>
        <w:spacing w:before="85"/>
        <w:ind w:left="242" w:right="-20" w:firstLine="0"/>
        <w:jc w:val="left"/>
        <w:rPr>
          <w:rFonts w:ascii="宋体" w:hAnsi="宋体" w:cs="宋体" w:eastAsia="宋体" w:hint="default"/>
          <w:sz w:val="18"/>
          <w:szCs w:val="18"/>
        </w:rPr>
      </w:pPr>
      <w:r>
        <w:rPr>
          <w:rFonts w:ascii="宋体" w:hAnsi="宋体" w:cs="宋体" w:eastAsia="宋体" w:hint="default"/>
          <w:sz w:val="18"/>
          <w:szCs w:val="18"/>
        </w:rPr>
        <w:t>准备</w:t>
        <w:tab/>
        <w:t>减值准备</w:t>
      </w:r>
    </w:p>
    <w:p>
      <w:pPr>
        <w:spacing w:line="180" w:lineRule="exact" w:before="0"/>
        <w:ind w:left="213" w:right="256" w:firstLine="0"/>
        <w:jc w:val="center"/>
        <w:rPr>
          <w:rFonts w:ascii="宋体" w:hAnsi="宋体" w:cs="宋体" w:eastAsia="宋体" w:hint="default"/>
          <w:sz w:val="18"/>
          <w:szCs w:val="18"/>
        </w:rPr>
      </w:pPr>
      <w:r>
        <w:rPr/>
        <w:br w:type="column"/>
      </w:r>
      <w:r>
        <w:rPr>
          <w:rFonts w:ascii="宋体" w:hAnsi="宋体" w:cs="宋体" w:eastAsia="宋体" w:hint="default"/>
          <w:sz w:val="18"/>
          <w:szCs w:val="18"/>
        </w:rPr>
        <w:t>本期现金</w:t>
      </w:r>
    </w:p>
    <w:p>
      <w:pPr>
        <w:spacing w:before="85"/>
        <w:ind w:left="213" w:right="256" w:firstLine="0"/>
        <w:jc w:val="center"/>
        <w:rPr>
          <w:rFonts w:ascii="宋体" w:hAnsi="宋体" w:cs="宋体" w:eastAsia="宋体" w:hint="default"/>
          <w:sz w:val="18"/>
          <w:szCs w:val="18"/>
        </w:rPr>
      </w:pPr>
      <w:r>
        <w:rPr>
          <w:rFonts w:ascii="宋体" w:hAnsi="宋体" w:cs="宋体" w:eastAsia="宋体" w:hint="default"/>
          <w:sz w:val="18"/>
          <w:szCs w:val="18"/>
        </w:rPr>
        <w:t>红利</w:t>
      </w:r>
    </w:p>
    <w:p>
      <w:pPr>
        <w:spacing w:after="0"/>
        <w:jc w:val="center"/>
        <w:rPr>
          <w:rFonts w:ascii="宋体" w:hAnsi="宋体" w:cs="宋体" w:eastAsia="宋体" w:hint="default"/>
          <w:sz w:val="18"/>
          <w:szCs w:val="18"/>
        </w:rPr>
        <w:sectPr>
          <w:type w:val="continuous"/>
          <w:pgSz w:w="16840" w:h="11910" w:orient="landscape"/>
          <w:pgMar w:top="1100" w:bottom="1240" w:left="780" w:right="700"/>
          <w:cols w:num="10" w:equalWidth="0">
            <w:col w:w="1425" w:space="294"/>
            <w:col w:w="783" w:space="222"/>
            <w:col w:w="3539" w:space="177"/>
            <w:col w:w="1323" w:space="196"/>
            <w:col w:w="963" w:space="174"/>
            <w:col w:w="783" w:space="40"/>
            <w:col w:w="1127" w:space="40"/>
            <w:col w:w="1300" w:space="73"/>
            <w:col w:w="1635" w:space="40"/>
            <w:col w:w="1226"/>
          </w:cols>
        </w:sectPr>
      </w:pPr>
    </w:p>
    <w:p>
      <w:pPr>
        <w:spacing w:line="240" w:lineRule="auto" w:before="12"/>
        <w:rPr>
          <w:rFonts w:ascii="宋体" w:hAnsi="宋体" w:cs="宋体" w:eastAsia="宋体" w:hint="default"/>
          <w:sz w:val="7"/>
          <w:szCs w:val="7"/>
        </w:rPr>
      </w:pPr>
    </w:p>
    <w:p>
      <w:pPr>
        <w:spacing w:after="0" w:line="240" w:lineRule="auto"/>
        <w:rPr>
          <w:rFonts w:ascii="宋体" w:hAnsi="宋体" w:cs="宋体" w:eastAsia="宋体" w:hint="default"/>
          <w:sz w:val="7"/>
          <w:szCs w:val="7"/>
        </w:rPr>
        <w:sectPr>
          <w:type w:val="continuous"/>
          <w:pgSz w:w="16840" w:h="11910" w:orient="landscape"/>
          <w:pgMar w:top="1100" w:bottom="1240" w:left="780" w:right="700"/>
        </w:sectPr>
      </w:pPr>
    </w:p>
    <w:p>
      <w:pPr>
        <w:spacing w:line="381" w:lineRule="auto" w:before="44"/>
        <w:ind w:left="242" w:right="-9" w:firstLine="0"/>
        <w:jc w:val="left"/>
        <w:rPr>
          <w:rFonts w:ascii="宋体" w:hAnsi="宋体" w:cs="宋体" w:eastAsia="宋体" w:hint="default"/>
          <w:sz w:val="18"/>
          <w:szCs w:val="18"/>
        </w:rPr>
      </w:pPr>
      <w:r>
        <w:rPr>
          <w:rFonts w:ascii="宋体" w:hAnsi="宋体" w:cs="宋体" w:eastAsia="宋体" w:hint="default"/>
          <w:spacing w:val="2"/>
          <w:sz w:val="18"/>
          <w:szCs w:val="18"/>
        </w:rPr>
        <w:t>北京青年御银科技</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有限责任公司</w:t>
      </w:r>
    </w:p>
    <w:p>
      <w:pPr>
        <w:tabs>
          <w:tab w:pos="1217" w:val="left" w:leader="none"/>
          <w:tab w:pos="2477" w:val="left" w:leader="none"/>
          <w:tab w:pos="3901" w:val="left" w:leader="none"/>
          <w:tab w:pos="6381" w:val="left" w:leader="none"/>
          <w:tab w:pos="7988" w:val="left" w:leader="none"/>
          <w:tab w:pos="9302" w:val="right" w:leader="none"/>
        </w:tabs>
        <w:spacing w:before="269"/>
        <w:ind w:left="172" w:right="0"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position w:val="-3"/>
          <w:sz w:val="18"/>
          <w:szCs w:val="18"/>
        </w:rPr>
        <w:t>权益法</w:t>
        <w:tab/>
      </w:r>
      <w:r>
        <w:rPr>
          <w:rFonts w:ascii="Times New Roman" w:hAnsi="Times New Roman" w:cs="Times New Roman" w:eastAsia="Times New Roman" w:hint="default"/>
          <w:spacing w:val="-1"/>
          <w:sz w:val="18"/>
          <w:szCs w:val="18"/>
        </w:rPr>
        <w:t>2,000,000.00</w:t>
        <w:tab/>
        <w:t>2,000,000.00</w:t>
        <w:tab/>
      </w:r>
      <w:r>
        <w:rPr>
          <w:rFonts w:ascii="Times New Roman" w:hAnsi="Times New Roman" w:cs="Times New Roman" w:eastAsia="Times New Roman" w:hint="default"/>
          <w:sz w:val="18"/>
          <w:szCs w:val="18"/>
        </w:rPr>
        <w:t>-56,960.14</w:t>
        <w:tab/>
      </w:r>
      <w:r>
        <w:rPr>
          <w:rFonts w:ascii="Times New Roman" w:hAnsi="Times New Roman" w:cs="Times New Roman" w:eastAsia="Times New Roman" w:hint="default"/>
          <w:spacing w:val="-1"/>
          <w:sz w:val="18"/>
          <w:szCs w:val="18"/>
        </w:rPr>
        <w:t>1,943,039.86</w:t>
        <w:tab/>
      </w:r>
      <w:r>
        <w:rPr>
          <w:rFonts w:ascii="Times New Roman" w:hAnsi="Times New Roman" w:cs="Times New Roman" w:eastAsia="Times New Roman" w:hint="default"/>
          <w:sz w:val="18"/>
          <w:szCs w:val="18"/>
        </w:rPr>
        <w:t>20</w:t>
        <w:tab/>
        <w:t>20</w:t>
      </w:r>
    </w:p>
    <w:p>
      <w:pPr>
        <w:spacing w:after="0"/>
        <w:jc w:val="left"/>
        <w:rPr>
          <w:rFonts w:ascii="Times New Roman" w:hAnsi="Times New Roman" w:cs="Times New Roman" w:eastAsia="Times New Roman" w:hint="default"/>
          <w:sz w:val="18"/>
          <w:szCs w:val="18"/>
        </w:rPr>
        <w:sectPr>
          <w:type w:val="continuous"/>
          <w:pgSz w:w="16840" w:h="11910" w:orient="landscape"/>
          <w:pgMar w:top="1100" w:bottom="1240" w:left="780" w:right="700"/>
          <w:cols w:num="2" w:equalWidth="0">
            <w:col w:w="1710" w:space="40"/>
            <w:col w:w="13610"/>
          </w:cols>
        </w:sect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51"/>
        <w:ind w:left="242" w:right="0" w:firstLine="0"/>
        <w:jc w:val="left"/>
        <w:rPr>
          <w:rFonts w:ascii="宋体" w:hAnsi="宋体" w:cs="宋体" w:eastAsia="宋体" w:hint="default"/>
          <w:sz w:val="18"/>
          <w:szCs w:val="18"/>
        </w:rPr>
      </w:pPr>
      <w:r>
        <w:rPr/>
        <w:pict>
          <v:shape style="position:absolute;margin-left:44.991001pt;margin-top:-46.480045pt;width:755pt;height:243.9pt;mso-position-horizontal-relative:page;mso-position-vertical-relative:paragraph;z-index:273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02"/>
                    <w:gridCol w:w="1403"/>
                    <w:gridCol w:w="1260"/>
                    <w:gridCol w:w="1952"/>
                    <w:gridCol w:w="2126"/>
                    <w:gridCol w:w="987"/>
                    <w:gridCol w:w="4869"/>
                  </w:tblGrid>
                  <w:tr>
                    <w:trPr>
                      <w:trHeight w:val="568" w:hRule="exact"/>
                    </w:trPr>
                    <w:tc>
                      <w:tcPr>
                        <w:tcW w:w="2502" w:type="dxa"/>
                        <w:tcBorders>
                          <w:top w:val="nil" w:sz="6" w:space="0" w:color="auto"/>
                          <w:left w:val="nil" w:sz="6" w:space="0" w:color="auto"/>
                          <w:bottom w:val="nil" w:sz="6" w:space="0" w:color="auto"/>
                          <w:right w:val="nil" w:sz="6" w:space="0" w:color="auto"/>
                        </w:tcBorders>
                      </w:tcPr>
                      <w:p>
                        <w:pPr>
                          <w:pStyle w:val="TableParagraph"/>
                          <w:spacing w:line="173" w:lineRule="exact"/>
                          <w:ind w:left="122" w:right="0"/>
                          <w:jc w:val="left"/>
                          <w:rPr>
                            <w:rFonts w:ascii="宋体" w:hAnsi="宋体" w:cs="宋体" w:eastAsia="宋体" w:hint="default"/>
                            <w:sz w:val="18"/>
                            <w:szCs w:val="18"/>
                          </w:rPr>
                        </w:pPr>
                        <w:r>
                          <w:rPr>
                            <w:rFonts w:ascii="宋体" w:hAnsi="宋体" w:cs="宋体" w:eastAsia="宋体" w:hint="default"/>
                            <w:sz w:val="18"/>
                            <w:szCs w:val="18"/>
                          </w:rPr>
                          <w:t>权益法小计</w:t>
                        </w:r>
                      </w:p>
                      <w:p>
                        <w:pPr>
                          <w:pStyle w:val="TableParagraph"/>
                          <w:spacing w:line="240" w:lineRule="auto" w:before="148"/>
                          <w:ind w:left="1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403"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Style w:val="TableParagraph"/>
                          <w:spacing w:line="184" w:lineRule="exact"/>
                          <w:ind w:right="110"/>
                          <w:jc w:val="right"/>
                          <w:rPr>
                            <w:rFonts w:ascii="Times New Roman" w:hAnsi="Times New Roman" w:cs="Times New Roman" w:eastAsia="Times New Roman" w:hint="default"/>
                            <w:sz w:val="18"/>
                            <w:szCs w:val="18"/>
                          </w:rPr>
                        </w:pPr>
                        <w:r>
                          <w:rPr>
                            <w:rFonts w:ascii="Times New Roman"/>
                            <w:spacing w:val="-1"/>
                            <w:sz w:val="18"/>
                          </w:rPr>
                          <w:t>2,000,000.00</w:t>
                        </w:r>
                      </w:p>
                    </w:tc>
                    <w:tc>
                      <w:tcPr>
                        <w:tcW w:w="1952" w:type="dxa"/>
                        <w:tcBorders>
                          <w:top w:val="nil" w:sz="6" w:space="0" w:color="auto"/>
                          <w:left w:val="nil" w:sz="6" w:space="0" w:color="auto"/>
                          <w:bottom w:val="nil" w:sz="6" w:space="0" w:color="auto"/>
                          <w:right w:val="nil" w:sz="6" w:space="0" w:color="auto"/>
                        </w:tcBorders>
                      </w:tcPr>
                      <w:p>
                        <w:pPr>
                          <w:pStyle w:val="TableParagraph"/>
                          <w:spacing w:line="184" w:lineRule="exact"/>
                          <w:ind w:right="802"/>
                          <w:jc w:val="right"/>
                          <w:rPr>
                            <w:rFonts w:ascii="Times New Roman" w:hAnsi="Times New Roman" w:cs="Times New Roman" w:eastAsia="Times New Roman" w:hint="default"/>
                            <w:sz w:val="18"/>
                            <w:szCs w:val="18"/>
                          </w:rPr>
                        </w:pPr>
                        <w:r>
                          <w:rPr>
                            <w:rFonts w:ascii="Times New Roman"/>
                            <w:w w:val="95"/>
                            <w:sz w:val="18"/>
                          </w:rPr>
                          <w:t>-56,960.14</w:t>
                        </w:r>
                        <w:r>
                          <w:rPr>
                            <w:rFonts w:ascii="Times New Roman"/>
                            <w:sz w:val="18"/>
                          </w:rPr>
                        </w:r>
                      </w:p>
                    </w:tc>
                    <w:tc>
                      <w:tcPr>
                        <w:tcW w:w="2126" w:type="dxa"/>
                        <w:tcBorders>
                          <w:top w:val="nil" w:sz="6" w:space="0" w:color="auto"/>
                          <w:left w:val="nil" w:sz="6" w:space="0" w:color="auto"/>
                          <w:bottom w:val="nil" w:sz="6" w:space="0" w:color="auto"/>
                          <w:right w:val="nil" w:sz="6" w:space="0" w:color="auto"/>
                        </w:tcBorders>
                      </w:tcPr>
                      <w:p>
                        <w:pPr>
                          <w:pStyle w:val="TableParagraph"/>
                          <w:spacing w:line="184" w:lineRule="exact"/>
                          <w:ind w:right="282"/>
                          <w:jc w:val="right"/>
                          <w:rPr>
                            <w:rFonts w:ascii="Times New Roman" w:hAnsi="Times New Roman" w:cs="Times New Roman" w:eastAsia="Times New Roman" w:hint="default"/>
                            <w:sz w:val="18"/>
                            <w:szCs w:val="18"/>
                          </w:rPr>
                        </w:pPr>
                        <w:r>
                          <w:rPr>
                            <w:rFonts w:ascii="Times New Roman"/>
                            <w:spacing w:val="-1"/>
                            <w:sz w:val="18"/>
                          </w:rPr>
                          <w:t>1,943,039.86</w:t>
                        </w:r>
                      </w:p>
                    </w:tc>
                    <w:tc>
                      <w:tcPr>
                        <w:tcW w:w="5856" w:type="dxa"/>
                        <w:gridSpan w:val="2"/>
                        <w:vMerge w:val="restart"/>
                        <w:tcBorders>
                          <w:top w:val="nil" w:sz="6" w:space="0" w:color="auto"/>
                          <w:left w:val="nil" w:sz="6" w:space="0" w:color="auto"/>
                          <w:right w:val="nil" w:sz="6" w:space="0" w:color="auto"/>
                        </w:tcBorders>
                      </w:tcPr>
                      <w:p>
                        <w:pPr/>
                      </w:p>
                    </w:tc>
                  </w:tr>
                  <w:tr>
                    <w:trPr>
                      <w:trHeight w:val="874" w:hRule="exact"/>
                    </w:trPr>
                    <w:tc>
                      <w:tcPr>
                        <w:tcW w:w="2502" w:type="dxa"/>
                        <w:tcBorders>
                          <w:top w:val="nil" w:sz="6" w:space="0" w:color="auto"/>
                          <w:left w:val="nil" w:sz="6" w:space="0" w:color="auto"/>
                          <w:bottom w:val="nil" w:sz="6" w:space="0" w:color="auto"/>
                          <w:right w:val="nil" w:sz="6" w:space="0" w:color="auto"/>
                        </w:tcBorders>
                      </w:tcPr>
                      <w:p>
                        <w:pPr>
                          <w:pStyle w:val="TableParagraph"/>
                          <w:spacing w:line="232" w:lineRule="exact" w:before="138"/>
                          <w:ind w:left="122" w:right="0"/>
                          <w:jc w:val="left"/>
                          <w:rPr>
                            <w:rFonts w:ascii="宋体" w:hAnsi="宋体" w:cs="宋体" w:eastAsia="宋体" w:hint="default"/>
                            <w:sz w:val="18"/>
                            <w:szCs w:val="18"/>
                          </w:rPr>
                        </w:pPr>
                        <w:r>
                          <w:rPr>
                            <w:rFonts w:ascii="宋体" w:hAnsi="宋体" w:cs="宋体" w:eastAsia="宋体" w:hint="default"/>
                            <w:spacing w:val="2"/>
                            <w:sz w:val="18"/>
                            <w:szCs w:val="18"/>
                          </w:rPr>
                          <w:t>珠海市御银电子科</w:t>
                        </w:r>
                        <w:r>
                          <w:rPr>
                            <w:rFonts w:ascii="宋体" w:hAnsi="宋体" w:cs="宋体" w:eastAsia="宋体" w:hint="default"/>
                            <w:sz w:val="18"/>
                            <w:szCs w:val="18"/>
                          </w:rPr>
                        </w:r>
                      </w:p>
                      <w:p>
                        <w:pPr>
                          <w:pStyle w:val="TableParagraph"/>
                          <w:spacing w:line="232" w:lineRule="exact"/>
                          <w:ind w:right="157"/>
                          <w:jc w:val="right"/>
                          <w:rPr>
                            <w:rFonts w:ascii="宋体" w:hAnsi="宋体" w:cs="宋体" w:eastAsia="宋体" w:hint="default"/>
                            <w:sz w:val="18"/>
                            <w:szCs w:val="18"/>
                          </w:rPr>
                        </w:pPr>
                        <w:r>
                          <w:rPr>
                            <w:rFonts w:ascii="宋体" w:hAnsi="宋体" w:cs="宋体" w:eastAsia="宋体" w:hint="default"/>
                            <w:sz w:val="18"/>
                            <w:szCs w:val="18"/>
                          </w:rPr>
                          <w:t>成本法</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9"/>
                          <w:jc w:val="right"/>
                          <w:rPr>
                            <w:rFonts w:ascii="Times New Roman" w:hAnsi="Times New Roman" w:cs="Times New Roman" w:eastAsia="Times New Roman" w:hint="default"/>
                            <w:sz w:val="18"/>
                            <w:szCs w:val="18"/>
                          </w:rPr>
                        </w:pPr>
                        <w:r>
                          <w:rPr>
                            <w:rFonts w:ascii="Times New Roman"/>
                            <w:spacing w:val="-1"/>
                            <w:sz w:val="18"/>
                          </w:rPr>
                          <w:t>2,000,000.00</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11"/>
                          <w:jc w:val="right"/>
                          <w:rPr>
                            <w:rFonts w:ascii="Times New Roman" w:hAnsi="Times New Roman" w:cs="Times New Roman" w:eastAsia="Times New Roman" w:hint="default"/>
                            <w:sz w:val="18"/>
                            <w:szCs w:val="18"/>
                          </w:rPr>
                        </w:pPr>
                        <w:r>
                          <w:rPr>
                            <w:rFonts w:ascii="Times New Roman"/>
                            <w:spacing w:val="-1"/>
                            <w:sz w:val="18"/>
                          </w:rPr>
                          <w:t>2,000,000.00</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803"/>
                          <w:jc w:val="right"/>
                          <w:rPr>
                            <w:rFonts w:ascii="Times New Roman" w:hAnsi="Times New Roman" w:cs="Times New Roman" w:eastAsia="Times New Roman" w:hint="default"/>
                            <w:sz w:val="18"/>
                            <w:szCs w:val="18"/>
                          </w:rPr>
                        </w:pPr>
                        <w:r>
                          <w:rPr>
                            <w:rFonts w:ascii="Times New Roman"/>
                            <w:spacing w:val="-1"/>
                            <w:sz w:val="18"/>
                          </w:rPr>
                          <w:t>-2,000,000.00</w:t>
                        </w:r>
                      </w:p>
                    </w:tc>
                    <w:tc>
                      <w:tcPr>
                        <w:tcW w:w="2126" w:type="dxa"/>
                        <w:tcBorders>
                          <w:top w:val="nil" w:sz="6" w:space="0" w:color="auto"/>
                          <w:left w:val="nil" w:sz="6" w:space="0" w:color="auto"/>
                          <w:bottom w:val="nil" w:sz="6" w:space="0" w:color="auto"/>
                          <w:right w:val="nil" w:sz="6" w:space="0" w:color="auto"/>
                        </w:tcBorders>
                      </w:tcPr>
                      <w:p>
                        <w:pPr/>
                      </w:p>
                    </w:tc>
                    <w:tc>
                      <w:tcPr>
                        <w:tcW w:w="5856" w:type="dxa"/>
                        <w:gridSpan w:val="2"/>
                        <w:vMerge/>
                        <w:tcBorders>
                          <w:left w:val="nil" w:sz="6" w:space="0" w:color="auto"/>
                          <w:bottom w:val="nil" w:sz="6" w:space="0" w:color="auto"/>
                          <w:right w:val="nil" w:sz="6" w:space="0" w:color="auto"/>
                        </w:tcBorders>
                      </w:tcPr>
                      <w:p>
                        <w:pPr/>
                      </w:p>
                    </w:tc>
                  </w:tr>
                  <w:tr>
                    <w:trPr>
                      <w:trHeight w:val="759" w:hRule="exact"/>
                    </w:trPr>
                    <w:tc>
                      <w:tcPr>
                        <w:tcW w:w="2502" w:type="dxa"/>
                        <w:tcBorders>
                          <w:top w:val="nil" w:sz="6" w:space="0" w:color="auto"/>
                          <w:left w:val="nil" w:sz="6" w:space="0" w:color="auto"/>
                          <w:bottom w:val="nil" w:sz="6" w:space="0" w:color="auto"/>
                          <w:right w:val="nil" w:sz="6" w:space="0" w:color="auto"/>
                        </w:tcBorders>
                      </w:tcPr>
                      <w:p>
                        <w:pPr>
                          <w:pStyle w:val="TableParagraph"/>
                          <w:spacing w:line="232" w:lineRule="exact" w:before="22"/>
                          <w:ind w:left="122" w:right="0"/>
                          <w:jc w:val="left"/>
                          <w:rPr>
                            <w:rFonts w:ascii="宋体" w:hAnsi="宋体" w:cs="宋体" w:eastAsia="宋体" w:hint="default"/>
                            <w:sz w:val="18"/>
                            <w:szCs w:val="18"/>
                          </w:rPr>
                        </w:pPr>
                        <w:r>
                          <w:rPr>
                            <w:rFonts w:ascii="宋体" w:hAnsi="宋体" w:cs="宋体" w:eastAsia="宋体" w:hint="default"/>
                            <w:spacing w:val="2"/>
                            <w:sz w:val="18"/>
                            <w:szCs w:val="18"/>
                          </w:rPr>
                          <w:t>广州御新软件有限</w:t>
                        </w:r>
                        <w:r>
                          <w:rPr>
                            <w:rFonts w:ascii="宋体" w:hAnsi="宋体" w:cs="宋体" w:eastAsia="宋体" w:hint="default"/>
                            <w:sz w:val="18"/>
                            <w:szCs w:val="18"/>
                          </w:rPr>
                        </w:r>
                      </w:p>
                      <w:p>
                        <w:pPr>
                          <w:pStyle w:val="TableParagraph"/>
                          <w:spacing w:line="232" w:lineRule="exact"/>
                          <w:ind w:right="157"/>
                          <w:jc w:val="right"/>
                          <w:rPr>
                            <w:rFonts w:ascii="宋体" w:hAnsi="宋体" w:cs="宋体" w:eastAsia="宋体" w:hint="default"/>
                            <w:sz w:val="18"/>
                            <w:szCs w:val="18"/>
                          </w:rPr>
                        </w:pPr>
                        <w:r>
                          <w:rPr>
                            <w:rFonts w:ascii="宋体" w:hAnsi="宋体" w:cs="宋体" w:eastAsia="宋体" w:hint="default"/>
                            <w:sz w:val="18"/>
                            <w:szCs w:val="18"/>
                          </w:rPr>
                          <w:t>成本法</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9"/>
                          <w:jc w:val="right"/>
                          <w:rPr>
                            <w:rFonts w:ascii="Times New Roman" w:hAnsi="Times New Roman" w:cs="Times New Roman" w:eastAsia="Times New Roman" w:hint="default"/>
                            <w:sz w:val="18"/>
                            <w:szCs w:val="18"/>
                          </w:rPr>
                        </w:pPr>
                        <w:r>
                          <w:rPr>
                            <w:rFonts w:ascii="Times New Roman"/>
                            <w:spacing w:val="-1"/>
                            <w:sz w:val="18"/>
                          </w:rPr>
                          <w:t>2,000,000.00</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11"/>
                          <w:jc w:val="right"/>
                          <w:rPr>
                            <w:rFonts w:ascii="Times New Roman" w:hAnsi="Times New Roman" w:cs="Times New Roman" w:eastAsia="Times New Roman" w:hint="default"/>
                            <w:sz w:val="18"/>
                            <w:szCs w:val="18"/>
                          </w:rPr>
                        </w:pPr>
                        <w:r>
                          <w:rPr>
                            <w:rFonts w:ascii="Times New Roman"/>
                            <w:spacing w:val="-1"/>
                            <w:sz w:val="18"/>
                          </w:rPr>
                          <w:t>2,000,000.00</w:t>
                        </w:r>
                      </w:p>
                    </w:tc>
                    <w:tc>
                      <w:tcPr>
                        <w:tcW w:w="1952" w:type="dxa"/>
                        <w:tcBorders>
                          <w:top w:val="nil" w:sz="6" w:space="0" w:color="auto"/>
                          <w:left w:val="nil" w:sz="6" w:space="0" w:color="auto"/>
                          <w:bottom w:val="nil" w:sz="6" w:space="0" w:color="auto"/>
                          <w:right w:val="nil" w:sz="6" w:space="0" w:color="auto"/>
                        </w:tcBorders>
                      </w:tcPr>
                      <w:p>
                        <w:pP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84"/>
                          <w:jc w:val="right"/>
                          <w:rPr>
                            <w:rFonts w:ascii="Times New Roman" w:hAnsi="Times New Roman" w:cs="Times New Roman" w:eastAsia="Times New Roman" w:hint="default"/>
                            <w:sz w:val="18"/>
                            <w:szCs w:val="18"/>
                          </w:rPr>
                        </w:pPr>
                        <w:r>
                          <w:rPr>
                            <w:rFonts w:ascii="Times New Roman"/>
                            <w:spacing w:val="-1"/>
                            <w:sz w:val="18"/>
                          </w:rPr>
                          <w:t>2,000,000.00</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430"/>
                          <w:jc w:val="right"/>
                          <w:rPr>
                            <w:rFonts w:ascii="Times New Roman" w:hAnsi="Times New Roman" w:cs="Times New Roman" w:eastAsia="Times New Roman" w:hint="default"/>
                            <w:sz w:val="18"/>
                            <w:szCs w:val="18"/>
                          </w:rPr>
                        </w:pPr>
                        <w:r>
                          <w:rPr>
                            <w:rFonts w:ascii="Times New Roman"/>
                            <w:sz w:val="18"/>
                          </w:rPr>
                          <w:t>100</w:t>
                        </w:r>
                      </w:p>
                    </w:tc>
                    <w:tc>
                      <w:tcPr>
                        <w:tcW w:w="486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31" w:right="0"/>
                          <w:jc w:val="left"/>
                          <w:rPr>
                            <w:rFonts w:ascii="Times New Roman" w:hAnsi="Times New Roman" w:cs="Times New Roman" w:eastAsia="Times New Roman" w:hint="default"/>
                            <w:sz w:val="18"/>
                            <w:szCs w:val="18"/>
                          </w:rPr>
                        </w:pPr>
                        <w:r>
                          <w:rPr>
                            <w:rFonts w:ascii="Times New Roman"/>
                            <w:sz w:val="18"/>
                          </w:rPr>
                          <w:t>100</w:t>
                        </w:r>
                      </w:p>
                    </w:tc>
                  </w:tr>
                  <w:tr>
                    <w:trPr>
                      <w:trHeight w:val="759" w:hRule="exact"/>
                    </w:trPr>
                    <w:tc>
                      <w:tcPr>
                        <w:tcW w:w="2502" w:type="dxa"/>
                        <w:tcBorders>
                          <w:top w:val="nil" w:sz="6" w:space="0" w:color="auto"/>
                          <w:left w:val="nil" w:sz="6" w:space="0" w:color="auto"/>
                          <w:bottom w:val="nil" w:sz="6" w:space="0" w:color="auto"/>
                          <w:right w:val="nil" w:sz="6" w:space="0" w:color="auto"/>
                        </w:tcBorders>
                      </w:tcPr>
                      <w:p>
                        <w:pPr>
                          <w:pStyle w:val="TableParagraph"/>
                          <w:spacing w:line="232" w:lineRule="exact" w:before="21"/>
                          <w:ind w:left="122" w:right="0"/>
                          <w:jc w:val="left"/>
                          <w:rPr>
                            <w:rFonts w:ascii="宋体" w:hAnsi="宋体" w:cs="宋体" w:eastAsia="宋体" w:hint="default"/>
                            <w:sz w:val="18"/>
                            <w:szCs w:val="18"/>
                          </w:rPr>
                        </w:pPr>
                        <w:r>
                          <w:rPr>
                            <w:rFonts w:ascii="宋体" w:hAnsi="宋体" w:cs="宋体" w:eastAsia="宋体" w:hint="default"/>
                            <w:spacing w:val="2"/>
                            <w:sz w:val="18"/>
                            <w:szCs w:val="18"/>
                          </w:rPr>
                          <w:t>安徽御银电子科技</w:t>
                        </w:r>
                        <w:r>
                          <w:rPr>
                            <w:rFonts w:ascii="宋体" w:hAnsi="宋体" w:cs="宋体" w:eastAsia="宋体" w:hint="default"/>
                            <w:sz w:val="18"/>
                            <w:szCs w:val="18"/>
                          </w:rPr>
                        </w:r>
                      </w:p>
                      <w:p>
                        <w:pPr>
                          <w:pStyle w:val="TableParagraph"/>
                          <w:spacing w:line="232" w:lineRule="exact"/>
                          <w:ind w:right="157"/>
                          <w:jc w:val="right"/>
                          <w:rPr>
                            <w:rFonts w:ascii="宋体" w:hAnsi="宋体" w:cs="宋体" w:eastAsia="宋体" w:hint="default"/>
                            <w:sz w:val="18"/>
                            <w:szCs w:val="18"/>
                          </w:rPr>
                        </w:pPr>
                        <w:r>
                          <w:rPr>
                            <w:rFonts w:ascii="宋体" w:hAnsi="宋体" w:cs="宋体" w:eastAsia="宋体" w:hint="default"/>
                            <w:sz w:val="18"/>
                            <w:szCs w:val="18"/>
                          </w:rPr>
                          <w:t>成本法</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9"/>
                          <w:jc w:val="right"/>
                          <w:rPr>
                            <w:rFonts w:ascii="Times New Roman" w:hAnsi="Times New Roman" w:cs="Times New Roman" w:eastAsia="Times New Roman" w:hint="default"/>
                            <w:sz w:val="18"/>
                            <w:szCs w:val="18"/>
                          </w:rPr>
                        </w:pPr>
                        <w:r>
                          <w:rPr>
                            <w:rFonts w:ascii="Times New Roman"/>
                            <w:spacing w:val="-1"/>
                            <w:sz w:val="18"/>
                          </w:rPr>
                          <w:t>4,992,258.86</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11"/>
                          <w:jc w:val="right"/>
                          <w:rPr>
                            <w:rFonts w:ascii="Times New Roman" w:hAnsi="Times New Roman" w:cs="Times New Roman" w:eastAsia="Times New Roman" w:hint="default"/>
                            <w:sz w:val="18"/>
                            <w:szCs w:val="18"/>
                          </w:rPr>
                        </w:pPr>
                        <w:r>
                          <w:rPr>
                            <w:rFonts w:ascii="Times New Roman"/>
                            <w:spacing w:val="-1"/>
                            <w:sz w:val="18"/>
                          </w:rPr>
                          <w:t>4,992,258.86</w:t>
                        </w:r>
                      </w:p>
                    </w:tc>
                    <w:tc>
                      <w:tcPr>
                        <w:tcW w:w="1952" w:type="dxa"/>
                        <w:tcBorders>
                          <w:top w:val="nil" w:sz="6" w:space="0" w:color="auto"/>
                          <w:left w:val="nil" w:sz="6" w:space="0" w:color="auto"/>
                          <w:bottom w:val="nil" w:sz="6" w:space="0" w:color="auto"/>
                          <w:right w:val="nil" w:sz="6" w:space="0" w:color="auto"/>
                        </w:tcBorders>
                      </w:tcPr>
                      <w:p>
                        <w:pP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84"/>
                          <w:jc w:val="right"/>
                          <w:rPr>
                            <w:rFonts w:ascii="Times New Roman" w:hAnsi="Times New Roman" w:cs="Times New Roman" w:eastAsia="Times New Roman" w:hint="default"/>
                            <w:sz w:val="18"/>
                            <w:szCs w:val="18"/>
                          </w:rPr>
                        </w:pPr>
                        <w:r>
                          <w:rPr>
                            <w:rFonts w:ascii="Times New Roman"/>
                            <w:spacing w:val="-1"/>
                            <w:sz w:val="18"/>
                          </w:rPr>
                          <w:t>4,992,258.86</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430"/>
                          <w:jc w:val="right"/>
                          <w:rPr>
                            <w:rFonts w:ascii="Times New Roman" w:hAnsi="Times New Roman" w:cs="Times New Roman" w:eastAsia="Times New Roman" w:hint="default"/>
                            <w:sz w:val="18"/>
                            <w:szCs w:val="18"/>
                          </w:rPr>
                        </w:pPr>
                        <w:r>
                          <w:rPr>
                            <w:rFonts w:ascii="Times New Roman"/>
                            <w:sz w:val="18"/>
                          </w:rPr>
                          <w:t>100</w:t>
                        </w:r>
                      </w:p>
                    </w:tc>
                    <w:tc>
                      <w:tcPr>
                        <w:tcW w:w="48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431" w:right="0"/>
                          <w:jc w:val="left"/>
                          <w:rPr>
                            <w:rFonts w:ascii="Times New Roman" w:hAnsi="Times New Roman" w:cs="Times New Roman" w:eastAsia="Times New Roman" w:hint="default"/>
                            <w:sz w:val="18"/>
                            <w:szCs w:val="18"/>
                          </w:rPr>
                        </w:pPr>
                        <w:r>
                          <w:rPr>
                            <w:rFonts w:ascii="Times New Roman"/>
                            <w:sz w:val="18"/>
                          </w:rPr>
                          <w:t>100</w:t>
                        </w:r>
                      </w:p>
                    </w:tc>
                  </w:tr>
                  <w:tr>
                    <w:trPr>
                      <w:trHeight w:val="758" w:hRule="exact"/>
                    </w:trPr>
                    <w:tc>
                      <w:tcPr>
                        <w:tcW w:w="2502" w:type="dxa"/>
                        <w:tcBorders>
                          <w:top w:val="nil" w:sz="6" w:space="0" w:color="auto"/>
                          <w:left w:val="nil" w:sz="6" w:space="0" w:color="auto"/>
                          <w:bottom w:val="nil" w:sz="6" w:space="0" w:color="auto"/>
                          <w:right w:val="nil" w:sz="6" w:space="0" w:color="auto"/>
                        </w:tcBorders>
                      </w:tcPr>
                      <w:p>
                        <w:pPr>
                          <w:pStyle w:val="TableParagraph"/>
                          <w:spacing w:line="232" w:lineRule="exact" w:before="22"/>
                          <w:ind w:left="122" w:right="0"/>
                          <w:jc w:val="left"/>
                          <w:rPr>
                            <w:rFonts w:ascii="宋体" w:hAnsi="宋体" w:cs="宋体" w:eastAsia="宋体" w:hint="default"/>
                            <w:sz w:val="18"/>
                            <w:szCs w:val="18"/>
                          </w:rPr>
                        </w:pPr>
                        <w:r>
                          <w:rPr>
                            <w:rFonts w:ascii="宋体" w:hAnsi="宋体" w:cs="宋体" w:eastAsia="宋体" w:hint="default"/>
                            <w:spacing w:val="2"/>
                            <w:sz w:val="18"/>
                            <w:szCs w:val="18"/>
                          </w:rPr>
                          <w:t>广州御银金融服务</w:t>
                        </w:r>
                        <w:r>
                          <w:rPr>
                            <w:rFonts w:ascii="宋体" w:hAnsi="宋体" w:cs="宋体" w:eastAsia="宋体" w:hint="default"/>
                            <w:sz w:val="18"/>
                            <w:szCs w:val="18"/>
                          </w:rPr>
                        </w:r>
                      </w:p>
                      <w:p>
                        <w:pPr>
                          <w:pStyle w:val="TableParagraph"/>
                          <w:spacing w:line="187" w:lineRule="exact"/>
                          <w:ind w:right="157"/>
                          <w:jc w:val="right"/>
                          <w:rPr>
                            <w:rFonts w:ascii="宋体" w:hAnsi="宋体" w:cs="宋体" w:eastAsia="宋体" w:hint="default"/>
                            <w:sz w:val="18"/>
                            <w:szCs w:val="18"/>
                          </w:rPr>
                        </w:pPr>
                        <w:r>
                          <w:rPr>
                            <w:rFonts w:ascii="宋体" w:hAnsi="宋体" w:cs="宋体" w:eastAsia="宋体" w:hint="default"/>
                            <w:sz w:val="18"/>
                            <w:szCs w:val="18"/>
                          </w:rPr>
                          <w:t>成本法</w:t>
                        </w:r>
                      </w:p>
                      <w:p>
                        <w:pPr>
                          <w:pStyle w:val="TableParagraph"/>
                          <w:spacing w:line="191" w:lineRule="exact"/>
                          <w:ind w:left="1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9"/>
                          <w:jc w:val="right"/>
                          <w:rPr>
                            <w:rFonts w:ascii="Times New Roman" w:hAnsi="Times New Roman" w:cs="Times New Roman" w:eastAsia="Times New Roman" w:hint="default"/>
                            <w:sz w:val="18"/>
                            <w:szCs w:val="18"/>
                          </w:rPr>
                        </w:pPr>
                        <w:r>
                          <w:rPr>
                            <w:rFonts w:ascii="Times New Roman"/>
                            <w:spacing w:val="-1"/>
                            <w:sz w:val="18"/>
                          </w:rPr>
                          <w:t>24,000,000.00</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11"/>
                          <w:jc w:val="right"/>
                          <w:rPr>
                            <w:rFonts w:ascii="Times New Roman" w:hAnsi="Times New Roman" w:cs="Times New Roman" w:eastAsia="Times New Roman" w:hint="default"/>
                            <w:sz w:val="18"/>
                            <w:szCs w:val="18"/>
                          </w:rPr>
                        </w:pPr>
                        <w:r>
                          <w:rPr>
                            <w:rFonts w:ascii="Times New Roman"/>
                            <w:spacing w:val="-1"/>
                            <w:sz w:val="18"/>
                          </w:rPr>
                          <w:t>24,000,000.00</w:t>
                        </w:r>
                      </w:p>
                    </w:tc>
                    <w:tc>
                      <w:tcPr>
                        <w:tcW w:w="1952" w:type="dxa"/>
                        <w:tcBorders>
                          <w:top w:val="nil" w:sz="6" w:space="0" w:color="auto"/>
                          <w:left w:val="nil" w:sz="6" w:space="0" w:color="auto"/>
                          <w:bottom w:val="nil" w:sz="6" w:space="0" w:color="auto"/>
                          <w:right w:val="nil" w:sz="6" w:space="0" w:color="auto"/>
                        </w:tcBorders>
                      </w:tcPr>
                      <w:p>
                        <w:pP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84"/>
                          <w:jc w:val="right"/>
                          <w:rPr>
                            <w:rFonts w:ascii="Times New Roman" w:hAnsi="Times New Roman" w:cs="Times New Roman" w:eastAsia="Times New Roman" w:hint="default"/>
                            <w:sz w:val="18"/>
                            <w:szCs w:val="18"/>
                          </w:rPr>
                        </w:pPr>
                        <w:r>
                          <w:rPr>
                            <w:rFonts w:ascii="Times New Roman"/>
                            <w:spacing w:val="-1"/>
                            <w:sz w:val="18"/>
                          </w:rPr>
                          <w:t>24,000,000.00</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430"/>
                          <w:jc w:val="right"/>
                          <w:rPr>
                            <w:rFonts w:ascii="Times New Roman" w:hAnsi="Times New Roman" w:cs="Times New Roman" w:eastAsia="Times New Roman" w:hint="default"/>
                            <w:sz w:val="18"/>
                            <w:szCs w:val="18"/>
                          </w:rPr>
                        </w:pPr>
                        <w:r>
                          <w:rPr>
                            <w:rFonts w:ascii="Times New Roman"/>
                            <w:sz w:val="18"/>
                          </w:rPr>
                          <w:t>80</w:t>
                        </w:r>
                      </w:p>
                    </w:tc>
                    <w:tc>
                      <w:tcPr>
                        <w:tcW w:w="4869" w:type="dxa"/>
                        <w:tcBorders>
                          <w:top w:val="nil" w:sz="6" w:space="0" w:color="auto"/>
                          <w:left w:val="nil" w:sz="6" w:space="0" w:color="auto"/>
                          <w:bottom w:val="nil" w:sz="6" w:space="0" w:color="auto"/>
                          <w:right w:val="nil" w:sz="6" w:space="0" w:color="auto"/>
                        </w:tcBorders>
                      </w:tcPr>
                      <w:p>
                        <w:pPr>
                          <w:pStyle w:val="TableParagraph"/>
                          <w:tabs>
                            <w:tab w:pos="986" w:val="left" w:leader="none"/>
                          </w:tabs>
                          <w:spacing w:line="326" w:lineRule="exact" w:before="116"/>
                          <w:ind w:left="431" w:right="0"/>
                          <w:jc w:val="left"/>
                          <w:rPr>
                            <w:rFonts w:ascii="宋体" w:hAnsi="宋体" w:cs="宋体" w:eastAsia="宋体" w:hint="default"/>
                            <w:sz w:val="18"/>
                            <w:szCs w:val="18"/>
                          </w:rPr>
                        </w:pPr>
                        <w:r>
                          <w:rPr>
                            <w:rFonts w:ascii="Times New Roman" w:hAnsi="Times New Roman" w:cs="Times New Roman" w:eastAsia="Times New Roman" w:hint="default"/>
                            <w:position w:val="-8"/>
                            <w:sz w:val="18"/>
                            <w:szCs w:val="18"/>
                          </w:rPr>
                          <w:t>100</w:t>
                          <w:tab/>
                        </w:r>
                        <w:r>
                          <w:rPr>
                            <w:rFonts w:ascii="宋体" w:hAnsi="宋体" w:cs="宋体" w:eastAsia="宋体" w:hint="default"/>
                            <w:sz w:val="18"/>
                            <w:szCs w:val="18"/>
                          </w:rPr>
                          <w:t>通过御新软件</w:t>
                        </w:r>
                      </w:p>
                      <w:p>
                        <w:pPr>
                          <w:pStyle w:val="TableParagraph"/>
                          <w:spacing w:line="236" w:lineRule="exact"/>
                          <w:ind w:left="97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间接持有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p>
                    </w:tc>
                  </w:tr>
                  <w:tr>
                    <w:trPr>
                      <w:trHeight w:val="665" w:hRule="exact"/>
                    </w:trPr>
                    <w:tc>
                      <w:tcPr>
                        <w:tcW w:w="2502" w:type="dxa"/>
                        <w:tcBorders>
                          <w:top w:val="nil" w:sz="6" w:space="0" w:color="auto"/>
                          <w:left w:val="nil" w:sz="6" w:space="0" w:color="auto"/>
                          <w:bottom w:val="nil" w:sz="6" w:space="0" w:color="auto"/>
                          <w:right w:val="nil" w:sz="6" w:space="0" w:color="auto"/>
                        </w:tcBorders>
                      </w:tcPr>
                      <w:p>
                        <w:pPr>
                          <w:pStyle w:val="TableParagraph"/>
                          <w:spacing w:line="232" w:lineRule="exact" w:before="22"/>
                          <w:ind w:left="122" w:right="0"/>
                          <w:jc w:val="left"/>
                          <w:rPr>
                            <w:rFonts w:ascii="宋体" w:hAnsi="宋体" w:cs="宋体" w:eastAsia="宋体" w:hint="default"/>
                            <w:sz w:val="18"/>
                            <w:szCs w:val="18"/>
                          </w:rPr>
                        </w:pPr>
                        <w:r>
                          <w:rPr>
                            <w:rFonts w:ascii="宋体" w:hAnsi="宋体" w:cs="宋体" w:eastAsia="宋体" w:hint="default"/>
                            <w:spacing w:val="2"/>
                            <w:sz w:val="18"/>
                            <w:szCs w:val="18"/>
                          </w:rPr>
                          <w:t>御银（中国）科技</w:t>
                        </w:r>
                        <w:r>
                          <w:rPr>
                            <w:rFonts w:ascii="宋体" w:hAnsi="宋体" w:cs="宋体" w:eastAsia="宋体" w:hint="default"/>
                            <w:sz w:val="18"/>
                            <w:szCs w:val="18"/>
                          </w:rPr>
                        </w:r>
                      </w:p>
                      <w:p>
                        <w:pPr>
                          <w:pStyle w:val="TableParagraph"/>
                          <w:spacing w:line="232" w:lineRule="exact"/>
                          <w:ind w:right="157"/>
                          <w:jc w:val="right"/>
                          <w:rPr>
                            <w:rFonts w:ascii="宋体" w:hAnsi="宋体" w:cs="宋体" w:eastAsia="宋体" w:hint="default"/>
                            <w:sz w:val="18"/>
                            <w:szCs w:val="18"/>
                          </w:rPr>
                        </w:pPr>
                        <w:r>
                          <w:rPr>
                            <w:rFonts w:ascii="宋体" w:hAnsi="宋体" w:cs="宋体" w:eastAsia="宋体" w:hint="default"/>
                            <w:sz w:val="18"/>
                            <w:szCs w:val="18"/>
                          </w:rPr>
                          <w:t>成本法</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w w:val="95"/>
                            <w:sz w:val="18"/>
                          </w:rPr>
                          <w:t>US$100,000.00</w:t>
                        </w:r>
                        <w:r>
                          <w:rPr>
                            <w:rFonts w:ascii="Times New Roman"/>
                            <w:sz w:val="18"/>
                          </w:rPr>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11"/>
                          <w:jc w:val="right"/>
                          <w:rPr>
                            <w:rFonts w:ascii="Times New Roman" w:hAnsi="Times New Roman" w:cs="Times New Roman" w:eastAsia="Times New Roman" w:hint="default"/>
                            <w:sz w:val="18"/>
                            <w:szCs w:val="18"/>
                          </w:rPr>
                        </w:pPr>
                        <w:r>
                          <w:rPr>
                            <w:rFonts w:ascii="Times New Roman"/>
                            <w:sz w:val="18"/>
                          </w:rPr>
                          <w:t>670,460.00</w:t>
                        </w:r>
                      </w:p>
                    </w:tc>
                    <w:tc>
                      <w:tcPr>
                        <w:tcW w:w="1952" w:type="dxa"/>
                        <w:tcBorders>
                          <w:top w:val="nil" w:sz="6" w:space="0" w:color="auto"/>
                          <w:left w:val="nil" w:sz="6" w:space="0" w:color="auto"/>
                          <w:bottom w:val="nil" w:sz="6" w:space="0" w:color="auto"/>
                          <w:right w:val="nil" w:sz="6" w:space="0" w:color="auto"/>
                        </w:tcBorders>
                      </w:tcPr>
                      <w:p>
                        <w:pP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84"/>
                          <w:jc w:val="right"/>
                          <w:rPr>
                            <w:rFonts w:ascii="Times New Roman" w:hAnsi="Times New Roman" w:cs="Times New Roman" w:eastAsia="Times New Roman" w:hint="default"/>
                            <w:sz w:val="18"/>
                            <w:szCs w:val="18"/>
                          </w:rPr>
                        </w:pPr>
                        <w:r>
                          <w:rPr>
                            <w:rFonts w:ascii="Times New Roman"/>
                            <w:sz w:val="18"/>
                          </w:rPr>
                          <w:t>670,460.00</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429"/>
                          <w:jc w:val="right"/>
                          <w:rPr>
                            <w:rFonts w:ascii="Times New Roman" w:hAnsi="Times New Roman" w:cs="Times New Roman" w:eastAsia="Times New Roman" w:hint="default"/>
                            <w:sz w:val="18"/>
                            <w:szCs w:val="18"/>
                          </w:rPr>
                        </w:pPr>
                        <w:r>
                          <w:rPr>
                            <w:rFonts w:ascii="Times New Roman"/>
                            <w:sz w:val="18"/>
                          </w:rPr>
                          <w:t>100</w:t>
                        </w:r>
                      </w:p>
                    </w:tc>
                    <w:tc>
                      <w:tcPr>
                        <w:tcW w:w="486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32" w:right="0"/>
                          <w:jc w:val="left"/>
                          <w:rPr>
                            <w:rFonts w:ascii="Times New Roman" w:hAnsi="Times New Roman" w:cs="Times New Roman" w:eastAsia="Times New Roman" w:hint="default"/>
                            <w:sz w:val="18"/>
                            <w:szCs w:val="18"/>
                          </w:rPr>
                        </w:pPr>
                        <w:r>
                          <w:rPr>
                            <w:rFonts w:ascii="Times New Roman"/>
                            <w:sz w:val="18"/>
                          </w:rPr>
                          <w:t>100</w:t>
                        </w:r>
                      </w:p>
                    </w:tc>
                  </w:tr>
                  <w:tr>
                    <w:trPr>
                      <w:trHeight w:val="463" w:hRule="exact"/>
                    </w:trPr>
                    <w:tc>
                      <w:tcPr>
                        <w:tcW w:w="2502" w:type="dxa"/>
                        <w:tcBorders>
                          <w:top w:val="nil" w:sz="6" w:space="0" w:color="auto"/>
                          <w:left w:val="nil" w:sz="6" w:space="0" w:color="auto"/>
                          <w:bottom w:val="single" w:sz="12" w:space="0" w:color="000000"/>
                          <w:right w:val="nil" w:sz="6" w:space="0" w:color="auto"/>
                        </w:tcBorders>
                      </w:tcPr>
                      <w:p>
                        <w:pPr>
                          <w:pStyle w:val="TableParagraph"/>
                          <w:tabs>
                            <w:tab w:pos="1802" w:val="left" w:leader="none"/>
                          </w:tabs>
                          <w:spacing w:line="240" w:lineRule="auto" w:before="115"/>
                          <w:ind w:left="122" w:right="0"/>
                          <w:jc w:val="left"/>
                          <w:rPr>
                            <w:rFonts w:ascii="宋体" w:hAnsi="宋体" w:cs="宋体" w:eastAsia="宋体" w:hint="default"/>
                            <w:sz w:val="18"/>
                            <w:szCs w:val="18"/>
                          </w:rPr>
                        </w:pPr>
                        <w:r>
                          <w:rPr>
                            <w:rFonts w:ascii="宋体" w:hAnsi="宋体" w:cs="宋体" w:eastAsia="宋体" w:hint="default"/>
                            <w:spacing w:val="2"/>
                            <w:sz w:val="18"/>
                            <w:szCs w:val="18"/>
                          </w:rPr>
                          <w:t>广州御银先端电子</w:t>
                          <w:tab/>
                        </w:r>
                        <w:r>
                          <w:rPr>
                            <w:rFonts w:ascii="宋体" w:hAnsi="宋体" w:cs="宋体" w:eastAsia="宋体" w:hint="default"/>
                            <w:position w:val="-3"/>
                            <w:sz w:val="18"/>
                            <w:szCs w:val="18"/>
                          </w:rPr>
                          <w:t>成本法</w:t>
                        </w:r>
                        <w:r>
                          <w:rPr>
                            <w:rFonts w:ascii="宋体" w:hAnsi="宋体" w:cs="宋体" w:eastAsia="宋体" w:hint="default"/>
                            <w:sz w:val="18"/>
                            <w:szCs w:val="18"/>
                          </w:rPr>
                        </w:r>
                      </w:p>
                    </w:tc>
                    <w:tc>
                      <w:tcPr>
                        <w:tcW w:w="1403" w:type="dxa"/>
                        <w:tcBorders>
                          <w:top w:val="nil" w:sz="6" w:space="0" w:color="auto"/>
                          <w:left w:val="nil" w:sz="6" w:space="0" w:color="auto"/>
                          <w:bottom w:val="single" w:sz="12" w:space="0" w:color="000000"/>
                          <w:right w:val="nil" w:sz="6" w:space="0" w:color="auto"/>
                        </w:tcBorders>
                      </w:tcPr>
                      <w:p>
                        <w:pPr>
                          <w:pStyle w:val="TableParagraph"/>
                          <w:spacing w:line="240" w:lineRule="auto" w:before="155"/>
                          <w:ind w:right="111"/>
                          <w:jc w:val="right"/>
                          <w:rPr>
                            <w:rFonts w:ascii="Times New Roman" w:hAnsi="Times New Roman" w:cs="Times New Roman" w:eastAsia="Times New Roman" w:hint="default"/>
                            <w:sz w:val="18"/>
                            <w:szCs w:val="18"/>
                          </w:rPr>
                        </w:pPr>
                        <w:r>
                          <w:rPr>
                            <w:rFonts w:ascii="Times New Roman"/>
                            <w:spacing w:val="-1"/>
                            <w:sz w:val="18"/>
                          </w:rPr>
                          <w:t>20,000,000.00</w:t>
                        </w:r>
                      </w:p>
                    </w:tc>
                    <w:tc>
                      <w:tcPr>
                        <w:tcW w:w="1260" w:type="dxa"/>
                        <w:tcBorders>
                          <w:top w:val="nil" w:sz="6" w:space="0" w:color="auto"/>
                          <w:left w:val="nil" w:sz="6" w:space="0" w:color="auto"/>
                          <w:bottom w:val="single" w:sz="12" w:space="0" w:color="000000"/>
                          <w:right w:val="nil" w:sz="6" w:space="0" w:color="auto"/>
                        </w:tcBorders>
                      </w:tcPr>
                      <w:p>
                        <w:pPr/>
                      </w:p>
                    </w:tc>
                    <w:tc>
                      <w:tcPr>
                        <w:tcW w:w="1952" w:type="dxa"/>
                        <w:tcBorders>
                          <w:top w:val="nil" w:sz="6" w:space="0" w:color="auto"/>
                          <w:left w:val="nil" w:sz="6" w:space="0" w:color="auto"/>
                          <w:bottom w:val="single" w:sz="12" w:space="0" w:color="000000"/>
                          <w:right w:val="nil" w:sz="6" w:space="0" w:color="auto"/>
                        </w:tcBorders>
                      </w:tcPr>
                      <w:p>
                        <w:pPr>
                          <w:pStyle w:val="TableParagraph"/>
                          <w:spacing w:line="240" w:lineRule="auto" w:before="155"/>
                          <w:ind w:right="802"/>
                          <w:jc w:val="right"/>
                          <w:rPr>
                            <w:rFonts w:ascii="Times New Roman" w:hAnsi="Times New Roman" w:cs="Times New Roman" w:eastAsia="Times New Roman" w:hint="default"/>
                            <w:sz w:val="18"/>
                            <w:szCs w:val="18"/>
                          </w:rPr>
                        </w:pPr>
                        <w:r>
                          <w:rPr>
                            <w:rFonts w:ascii="Times New Roman"/>
                            <w:spacing w:val="-1"/>
                            <w:sz w:val="18"/>
                          </w:rPr>
                          <w:t>20,000,000.00</w:t>
                        </w:r>
                      </w:p>
                    </w:tc>
                    <w:tc>
                      <w:tcPr>
                        <w:tcW w:w="2126" w:type="dxa"/>
                        <w:tcBorders>
                          <w:top w:val="nil" w:sz="6" w:space="0" w:color="auto"/>
                          <w:left w:val="nil" w:sz="6" w:space="0" w:color="auto"/>
                          <w:bottom w:val="single" w:sz="12" w:space="0" w:color="000000"/>
                          <w:right w:val="nil" w:sz="6" w:space="0" w:color="auto"/>
                        </w:tcBorders>
                      </w:tcPr>
                      <w:p>
                        <w:pPr>
                          <w:pStyle w:val="TableParagraph"/>
                          <w:spacing w:line="240" w:lineRule="auto" w:before="155"/>
                          <w:ind w:right="284"/>
                          <w:jc w:val="right"/>
                          <w:rPr>
                            <w:rFonts w:ascii="Times New Roman" w:hAnsi="Times New Roman" w:cs="Times New Roman" w:eastAsia="Times New Roman" w:hint="default"/>
                            <w:sz w:val="18"/>
                            <w:szCs w:val="18"/>
                          </w:rPr>
                        </w:pPr>
                        <w:r>
                          <w:rPr>
                            <w:rFonts w:ascii="Times New Roman"/>
                            <w:spacing w:val="-1"/>
                            <w:sz w:val="18"/>
                          </w:rPr>
                          <w:t>20,000,000.00</w:t>
                        </w:r>
                      </w:p>
                    </w:tc>
                    <w:tc>
                      <w:tcPr>
                        <w:tcW w:w="987" w:type="dxa"/>
                        <w:tcBorders>
                          <w:top w:val="nil" w:sz="6" w:space="0" w:color="auto"/>
                          <w:left w:val="nil" w:sz="6" w:space="0" w:color="auto"/>
                          <w:bottom w:val="single" w:sz="12" w:space="0" w:color="000000"/>
                          <w:right w:val="nil" w:sz="6" w:space="0" w:color="auto"/>
                        </w:tcBorders>
                      </w:tcPr>
                      <w:p>
                        <w:pPr>
                          <w:pStyle w:val="TableParagraph"/>
                          <w:spacing w:line="240" w:lineRule="auto" w:before="155"/>
                          <w:ind w:right="429"/>
                          <w:jc w:val="right"/>
                          <w:rPr>
                            <w:rFonts w:ascii="Times New Roman" w:hAnsi="Times New Roman" w:cs="Times New Roman" w:eastAsia="Times New Roman" w:hint="default"/>
                            <w:sz w:val="18"/>
                            <w:szCs w:val="18"/>
                          </w:rPr>
                        </w:pPr>
                        <w:r>
                          <w:rPr>
                            <w:rFonts w:ascii="Times New Roman"/>
                            <w:sz w:val="18"/>
                          </w:rPr>
                          <w:t>100</w:t>
                        </w:r>
                      </w:p>
                    </w:tc>
                    <w:tc>
                      <w:tcPr>
                        <w:tcW w:w="4869" w:type="dxa"/>
                        <w:tcBorders>
                          <w:top w:val="nil" w:sz="6" w:space="0" w:color="auto"/>
                          <w:left w:val="nil" w:sz="6" w:space="0" w:color="auto"/>
                          <w:bottom w:val="single" w:sz="12" w:space="0" w:color="000000"/>
                          <w:right w:val="nil" w:sz="6" w:space="0" w:color="auto"/>
                        </w:tcBorders>
                      </w:tcPr>
                      <w:p>
                        <w:pPr>
                          <w:pStyle w:val="TableParagraph"/>
                          <w:spacing w:line="240" w:lineRule="auto" w:before="155"/>
                          <w:ind w:left="431" w:right="0"/>
                          <w:jc w:val="left"/>
                          <w:rPr>
                            <w:rFonts w:ascii="Times New Roman" w:hAnsi="Times New Roman" w:cs="Times New Roman" w:eastAsia="Times New Roman" w:hint="default"/>
                            <w:sz w:val="18"/>
                            <w:szCs w:val="18"/>
                          </w:rPr>
                        </w:pPr>
                        <w:r>
                          <w:rPr>
                            <w:rFonts w:ascii="Times New Roman"/>
                            <w:sz w:val="18"/>
                          </w:rPr>
                          <w:t>100</w:t>
                        </w:r>
                      </w:p>
                    </w:tc>
                  </w:tr>
                </w:tbl>
                <w:p>
                  <w:pPr/>
                </w:p>
              </w:txbxContent>
            </v:textbox>
            <w10:wrap type="none"/>
          </v:shape>
        </w:pict>
      </w:r>
      <w:r>
        <w:rPr>
          <w:rFonts w:ascii="宋体" w:hAnsi="宋体" w:cs="宋体" w:eastAsia="宋体" w:hint="default"/>
          <w:sz w:val="18"/>
          <w:szCs w:val="18"/>
        </w:rPr>
        <w:t>技有限公司</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spacing w:before="44"/>
        <w:ind w:left="242" w:right="0" w:firstLine="0"/>
        <w:jc w:val="left"/>
        <w:rPr>
          <w:rFonts w:ascii="宋体" w:hAnsi="宋体" w:cs="宋体" w:eastAsia="宋体" w:hint="default"/>
          <w:sz w:val="18"/>
          <w:szCs w:val="18"/>
        </w:rPr>
      </w:pPr>
      <w:r>
        <w:rPr>
          <w:rFonts w:ascii="宋体" w:hAnsi="宋体" w:cs="宋体" w:eastAsia="宋体" w:hint="default"/>
          <w:sz w:val="18"/>
          <w:szCs w:val="18"/>
        </w:rPr>
        <w:t>公司</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spacing w:before="44"/>
        <w:ind w:left="242"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spacing w:before="44"/>
        <w:ind w:left="242" w:right="0" w:firstLine="0"/>
        <w:jc w:val="left"/>
        <w:rPr>
          <w:rFonts w:ascii="宋体" w:hAnsi="宋体" w:cs="宋体" w:eastAsia="宋体" w:hint="default"/>
          <w:sz w:val="18"/>
          <w:szCs w:val="18"/>
        </w:rPr>
      </w:pPr>
      <w:r>
        <w:rPr>
          <w:rFonts w:ascii="宋体" w:hAnsi="宋体" w:cs="宋体" w:eastAsia="宋体" w:hint="default"/>
          <w:sz w:val="18"/>
          <w:szCs w:val="18"/>
        </w:rPr>
        <w:t>国际有限公司</w:t>
      </w:r>
    </w:p>
    <w:p>
      <w:pPr>
        <w:spacing w:after="0"/>
        <w:jc w:val="left"/>
        <w:rPr>
          <w:rFonts w:ascii="宋体" w:hAnsi="宋体" w:cs="宋体" w:eastAsia="宋体" w:hint="default"/>
          <w:sz w:val="18"/>
          <w:szCs w:val="18"/>
        </w:rPr>
        <w:sectPr>
          <w:type w:val="continuous"/>
          <w:pgSz w:w="16840" w:h="11910" w:orient="landscape"/>
          <w:pgMar w:top="1100" w:bottom="1240" w:left="780" w:right="7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3"/>
          <w:szCs w:val="13"/>
        </w:rPr>
      </w:pPr>
    </w:p>
    <w:tbl>
      <w:tblPr>
        <w:tblW w:w="0" w:type="auto"/>
        <w:jc w:val="left"/>
        <w:tblInd w:w="1887" w:type="dxa"/>
        <w:tblLayout w:type="fixed"/>
        <w:tblCellMar>
          <w:top w:w="0" w:type="dxa"/>
          <w:left w:w="0" w:type="dxa"/>
          <w:bottom w:w="0" w:type="dxa"/>
          <w:right w:w="0" w:type="dxa"/>
        </w:tblCellMar>
        <w:tblLook w:val="01E0"/>
      </w:tblPr>
      <w:tblGrid>
        <w:gridCol w:w="782"/>
        <w:gridCol w:w="1356"/>
        <w:gridCol w:w="1260"/>
        <w:gridCol w:w="1953"/>
        <w:gridCol w:w="2014"/>
        <w:gridCol w:w="988"/>
        <w:gridCol w:w="850"/>
      </w:tblGrid>
      <w:tr>
        <w:trPr>
          <w:trHeight w:val="486" w:hRule="exact"/>
        </w:trPr>
        <w:tc>
          <w:tcPr>
            <w:tcW w:w="782" w:type="dxa"/>
            <w:tcBorders>
              <w:top w:val="nil" w:sz="6" w:space="0" w:color="auto"/>
              <w:left w:val="nil" w:sz="6" w:space="0" w:color="auto"/>
              <w:bottom w:val="nil" w:sz="6" w:space="0" w:color="auto"/>
              <w:right w:val="nil" w:sz="6" w:space="0" w:color="auto"/>
            </w:tcBorders>
          </w:tcPr>
          <w:p>
            <w:pPr>
              <w:pStyle w:val="TableParagraph"/>
              <w:spacing w:line="215" w:lineRule="exact"/>
              <w:ind w:left="35"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6" w:type="dxa"/>
            <w:tcBorders>
              <w:top w:val="nil" w:sz="6" w:space="0" w:color="auto"/>
              <w:left w:val="nil" w:sz="6" w:space="0" w:color="auto"/>
              <w:bottom w:val="nil" w:sz="6" w:space="0" w:color="auto"/>
              <w:right w:val="nil" w:sz="6" w:space="0" w:color="auto"/>
            </w:tcBorders>
          </w:tcPr>
          <w:p>
            <w:pPr>
              <w:pStyle w:val="TableParagraph"/>
              <w:spacing w:line="184" w:lineRule="exact"/>
              <w:ind w:right="110"/>
              <w:jc w:val="right"/>
              <w:rPr>
                <w:rFonts w:ascii="Times New Roman" w:hAnsi="Times New Roman" w:cs="Times New Roman" w:eastAsia="Times New Roman" w:hint="default"/>
                <w:sz w:val="18"/>
                <w:szCs w:val="18"/>
              </w:rPr>
            </w:pPr>
            <w:r>
              <w:rPr>
                <w:rFonts w:ascii="Times New Roman"/>
                <w:sz w:val="18"/>
              </w:rPr>
              <w:t>60,000.00</w:t>
            </w:r>
          </w:p>
        </w:tc>
        <w:tc>
          <w:tcPr>
            <w:tcW w:w="1260" w:type="dxa"/>
            <w:tcBorders>
              <w:top w:val="nil" w:sz="6" w:space="0" w:color="auto"/>
              <w:left w:val="nil" w:sz="6" w:space="0" w:color="auto"/>
              <w:bottom w:val="nil" w:sz="6" w:space="0" w:color="auto"/>
              <w:right w:val="nil" w:sz="6" w:space="0" w:color="auto"/>
            </w:tcBorders>
          </w:tcPr>
          <w:p>
            <w:pPr>
              <w:pStyle w:val="TableParagraph"/>
              <w:spacing w:line="184" w:lineRule="exact"/>
              <w:ind w:right="110"/>
              <w:jc w:val="right"/>
              <w:rPr>
                <w:rFonts w:ascii="Times New Roman" w:hAnsi="Times New Roman" w:cs="Times New Roman" w:eastAsia="Times New Roman" w:hint="default"/>
                <w:sz w:val="18"/>
                <w:szCs w:val="18"/>
              </w:rPr>
            </w:pPr>
            <w:r>
              <w:rPr>
                <w:rFonts w:ascii="Times New Roman"/>
                <w:sz w:val="18"/>
              </w:rPr>
              <w:t>60,000.00</w:t>
            </w:r>
          </w:p>
        </w:tc>
        <w:tc>
          <w:tcPr>
            <w:tcW w:w="1953"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nil" w:sz="6" w:space="0" w:color="auto"/>
              <w:right w:val="nil" w:sz="6" w:space="0" w:color="auto"/>
            </w:tcBorders>
          </w:tcPr>
          <w:p>
            <w:pPr>
              <w:pStyle w:val="TableParagraph"/>
              <w:spacing w:line="184" w:lineRule="exact"/>
              <w:ind w:right="172"/>
              <w:jc w:val="right"/>
              <w:rPr>
                <w:rFonts w:ascii="Times New Roman" w:hAnsi="Times New Roman" w:cs="Times New Roman" w:eastAsia="Times New Roman" w:hint="default"/>
                <w:sz w:val="18"/>
                <w:szCs w:val="18"/>
              </w:rPr>
            </w:pPr>
            <w:r>
              <w:rPr>
                <w:rFonts w:ascii="Times New Roman"/>
                <w:sz w:val="18"/>
              </w:rPr>
              <w:t>60,000.00</w:t>
            </w:r>
          </w:p>
        </w:tc>
        <w:tc>
          <w:tcPr>
            <w:tcW w:w="988" w:type="dxa"/>
            <w:tcBorders>
              <w:top w:val="nil" w:sz="6" w:space="0" w:color="auto"/>
              <w:left w:val="nil" w:sz="6" w:space="0" w:color="auto"/>
              <w:bottom w:val="nil" w:sz="6" w:space="0" w:color="auto"/>
              <w:right w:val="nil" w:sz="6" w:space="0" w:color="auto"/>
            </w:tcBorders>
          </w:tcPr>
          <w:p>
            <w:pPr>
              <w:pStyle w:val="TableParagraph"/>
              <w:spacing w:line="184" w:lineRule="exact"/>
              <w:ind w:right="317"/>
              <w:jc w:val="right"/>
              <w:rPr>
                <w:rFonts w:ascii="Times New Roman" w:hAnsi="Times New Roman" w:cs="Times New Roman" w:eastAsia="Times New Roman" w:hint="default"/>
                <w:sz w:val="18"/>
                <w:szCs w:val="18"/>
              </w:rPr>
            </w:pPr>
            <w:r>
              <w:rPr>
                <w:rFonts w:ascii="Times New Roman"/>
                <w:sz w:val="18"/>
              </w:rPr>
              <w:t>0.0015</w:t>
            </w:r>
          </w:p>
        </w:tc>
        <w:tc>
          <w:tcPr>
            <w:tcW w:w="850"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Times New Roman" w:hAnsi="Times New Roman" w:cs="Times New Roman" w:eastAsia="Times New Roman" w:hint="default"/>
                <w:sz w:val="18"/>
                <w:szCs w:val="18"/>
              </w:rPr>
            </w:pPr>
            <w:r>
              <w:rPr>
                <w:rFonts w:ascii="Times New Roman"/>
                <w:sz w:val="18"/>
              </w:rPr>
              <w:t>0.0015</w:t>
            </w:r>
          </w:p>
        </w:tc>
      </w:tr>
      <w:tr>
        <w:trPr>
          <w:trHeight w:val="759" w:hRule="exact"/>
        </w:trPr>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10,000,000.00</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10,000,000.00</w:t>
            </w:r>
          </w:p>
        </w:tc>
        <w:tc>
          <w:tcPr>
            <w:tcW w:w="1953"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71"/>
              <w:jc w:val="right"/>
              <w:rPr>
                <w:rFonts w:ascii="Times New Roman" w:hAnsi="Times New Roman" w:cs="Times New Roman" w:eastAsia="Times New Roman" w:hint="default"/>
                <w:sz w:val="18"/>
                <w:szCs w:val="18"/>
              </w:rPr>
            </w:pPr>
            <w:r>
              <w:rPr>
                <w:rFonts w:ascii="Times New Roman"/>
                <w:spacing w:val="-1"/>
                <w:sz w:val="18"/>
              </w:rPr>
              <w:t>10,000,000.00</w:t>
            </w:r>
          </w:p>
        </w:tc>
        <w:tc>
          <w:tcPr>
            <w:tcW w:w="9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319"/>
              <w:jc w:val="right"/>
              <w:rPr>
                <w:rFonts w:ascii="Times New Roman" w:hAnsi="Times New Roman" w:cs="Times New Roman" w:eastAsia="Times New Roman" w:hint="default"/>
                <w:sz w:val="18"/>
                <w:szCs w:val="18"/>
              </w:rPr>
            </w:pPr>
            <w:r>
              <w:rPr>
                <w:rFonts w:ascii="Times New Roman"/>
                <w:sz w:val="18"/>
              </w:rPr>
              <w:t>16</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35"/>
              <w:jc w:val="right"/>
              <w:rPr>
                <w:rFonts w:ascii="Times New Roman" w:hAnsi="Times New Roman" w:cs="Times New Roman" w:eastAsia="Times New Roman" w:hint="default"/>
                <w:sz w:val="18"/>
                <w:szCs w:val="18"/>
              </w:rPr>
            </w:pPr>
            <w:r>
              <w:rPr>
                <w:rFonts w:ascii="Times New Roman"/>
                <w:sz w:val="18"/>
              </w:rPr>
              <w:t>16</w:t>
            </w:r>
          </w:p>
        </w:tc>
      </w:tr>
      <w:tr>
        <w:trPr>
          <w:trHeight w:val="665" w:hRule="exact"/>
        </w:trPr>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11"/>
              <w:jc w:val="right"/>
              <w:rPr>
                <w:rFonts w:ascii="Times New Roman" w:hAnsi="Times New Roman" w:cs="Times New Roman" w:eastAsia="Times New Roman" w:hint="default"/>
                <w:sz w:val="18"/>
                <w:szCs w:val="18"/>
              </w:rPr>
            </w:pPr>
            <w:r>
              <w:rPr>
                <w:rFonts w:ascii="Times New Roman"/>
                <w:spacing w:val="-1"/>
                <w:sz w:val="18"/>
              </w:rPr>
              <w:t>25,000,000.00</w:t>
            </w:r>
          </w:p>
        </w:tc>
        <w:tc>
          <w:tcPr>
            <w:tcW w:w="1260" w:type="dxa"/>
            <w:tcBorders>
              <w:top w:val="nil" w:sz="6" w:space="0" w:color="auto"/>
              <w:left w:val="nil" w:sz="6" w:space="0" w:color="auto"/>
              <w:bottom w:val="nil" w:sz="6" w:space="0" w:color="auto"/>
              <w:right w:val="nil" w:sz="6" w:space="0" w:color="auto"/>
            </w:tcBorders>
          </w:tcPr>
          <w:p>
            <w:pPr/>
          </w:p>
        </w:tc>
        <w:tc>
          <w:tcPr>
            <w:tcW w:w="195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25,000,000.00</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1"/>
              <w:jc w:val="right"/>
              <w:rPr>
                <w:rFonts w:ascii="Times New Roman" w:hAnsi="Times New Roman" w:cs="Times New Roman" w:eastAsia="Times New Roman" w:hint="default"/>
                <w:sz w:val="18"/>
                <w:szCs w:val="18"/>
              </w:rPr>
            </w:pPr>
            <w:r>
              <w:rPr>
                <w:rFonts w:ascii="Times New Roman"/>
                <w:spacing w:val="-1"/>
                <w:sz w:val="18"/>
              </w:rPr>
              <w:t>25,000,000.00</w:t>
            </w:r>
          </w:p>
        </w:tc>
        <w:tc>
          <w:tcPr>
            <w:tcW w:w="98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318"/>
              <w:jc w:val="right"/>
              <w:rPr>
                <w:rFonts w:ascii="Times New Roman" w:hAnsi="Times New Roman" w:cs="Times New Roman" w:eastAsia="Times New Roman" w:hint="default"/>
                <w:sz w:val="18"/>
                <w:szCs w:val="18"/>
              </w:rPr>
            </w:pPr>
            <w:r>
              <w:rPr>
                <w:rFonts w:ascii="Times New Roman"/>
                <w:sz w:val="18"/>
              </w:rPr>
              <w:t>10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34"/>
              <w:jc w:val="right"/>
              <w:rPr>
                <w:rFonts w:ascii="Times New Roman" w:hAnsi="Times New Roman" w:cs="Times New Roman" w:eastAsia="Times New Roman" w:hint="default"/>
                <w:sz w:val="18"/>
                <w:szCs w:val="18"/>
              </w:rPr>
            </w:pPr>
            <w:r>
              <w:rPr>
                <w:rFonts w:ascii="Times New Roman"/>
                <w:sz w:val="18"/>
              </w:rPr>
              <w:t>10</w:t>
            </w:r>
          </w:p>
        </w:tc>
      </w:tr>
      <w:tr>
        <w:trPr>
          <w:trHeight w:val="461" w:hRule="exact"/>
        </w:trPr>
        <w:tc>
          <w:tcPr>
            <w:tcW w:w="782"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55"/>
              <w:ind w:right="110"/>
              <w:jc w:val="right"/>
              <w:rPr>
                <w:rFonts w:ascii="Times New Roman" w:hAnsi="Times New Roman" w:cs="Times New Roman" w:eastAsia="Times New Roman" w:hint="default"/>
                <w:sz w:val="18"/>
                <w:szCs w:val="18"/>
              </w:rPr>
            </w:pPr>
            <w:r>
              <w:rPr>
                <w:rFonts w:ascii="Times New Roman"/>
                <w:spacing w:val="-1"/>
                <w:sz w:val="18"/>
              </w:rPr>
              <w:t>43,722,718.86</w:t>
            </w:r>
          </w:p>
        </w:tc>
        <w:tc>
          <w:tcPr>
            <w:tcW w:w="1953" w:type="dxa"/>
            <w:tcBorders>
              <w:top w:val="nil" w:sz="6" w:space="0" w:color="auto"/>
              <w:left w:val="nil" w:sz="6" w:space="0" w:color="auto"/>
              <w:bottom w:val="nil" w:sz="6" w:space="0" w:color="auto"/>
              <w:right w:val="nil" w:sz="6" w:space="0" w:color="auto"/>
            </w:tcBorders>
          </w:tcPr>
          <w:p>
            <w:pPr>
              <w:pStyle w:val="TableParagraph"/>
              <w:spacing w:line="240" w:lineRule="auto" w:before="155"/>
              <w:ind w:left="112" w:right="0"/>
              <w:jc w:val="left"/>
              <w:rPr>
                <w:rFonts w:ascii="Times New Roman" w:hAnsi="Times New Roman" w:cs="Times New Roman" w:eastAsia="Times New Roman" w:hint="default"/>
                <w:sz w:val="18"/>
                <w:szCs w:val="18"/>
              </w:rPr>
            </w:pPr>
            <w:r>
              <w:rPr>
                <w:rFonts w:ascii="Times New Roman"/>
                <w:sz w:val="18"/>
              </w:rPr>
              <w:t>43,000,000.00</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155"/>
              <w:ind w:right="170"/>
              <w:jc w:val="right"/>
              <w:rPr>
                <w:rFonts w:ascii="Times New Roman" w:hAnsi="Times New Roman" w:cs="Times New Roman" w:eastAsia="Times New Roman" w:hint="default"/>
                <w:sz w:val="18"/>
                <w:szCs w:val="18"/>
              </w:rPr>
            </w:pPr>
            <w:r>
              <w:rPr>
                <w:rFonts w:ascii="Times New Roman"/>
                <w:spacing w:val="-1"/>
                <w:sz w:val="18"/>
              </w:rPr>
              <w:t>86,722,718.86</w:t>
            </w:r>
          </w:p>
        </w:tc>
        <w:tc>
          <w:tcPr>
            <w:tcW w:w="988"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r>
      <w:tr>
        <w:trPr>
          <w:trHeight w:val="387" w:hRule="exact"/>
        </w:trPr>
        <w:tc>
          <w:tcPr>
            <w:tcW w:w="782"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10"/>
              <w:jc w:val="right"/>
              <w:rPr>
                <w:rFonts w:ascii="Times New Roman" w:hAnsi="Times New Roman" w:cs="Times New Roman" w:eastAsia="Times New Roman" w:hint="default"/>
                <w:sz w:val="18"/>
                <w:szCs w:val="18"/>
              </w:rPr>
            </w:pPr>
            <w:r>
              <w:rPr>
                <w:rFonts w:ascii="Times New Roman"/>
                <w:spacing w:val="-1"/>
                <w:sz w:val="18"/>
              </w:rPr>
              <w:t>45,722,718.86</w:t>
            </w:r>
          </w:p>
        </w:tc>
        <w:tc>
          <w:tcPr>
            <w:tcW w:w="1953"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12" w:right="0"/>
              <w:jc w:val="left"/>
              <w:rPr>
                <w:rFonts w:ascii="Times New Roman" w:hAnsi="Times New Roman" w:cs="Times New Roman" w:eastAsia="Times New Roman" w:hint="default"/>
                <w:sz w:val="18"/>
                <w:szCs w:val="18"/>
              </w:rPr>
            </w:pPr>
            <w:r>
              <w:rPr>
                <w:rFonts w:ascii="Times New Roman"/>
                <w:sz w:val="18"/>
              </w:rPr>
              <w:t>42,943,039.86</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70"/>
              <w:jc w:val="right"/>
              <w:rPr>
                <w:rFonts w:ascii="Times New Roman" w:hAnsi="Times New Roman" w:cs="Times New Roman" w:eastAsia="Times New Roman" w:hint="default"/>
                <w:sz w:val="18"/>
                <w:szCs w:val="18"/>
              </w:rPr>
            </w:pPr>
            <w:r>
              <w:rPr>
                <w:rFonts w:ascii="Times New Roman"/>
                <w:spacing w:val="-1"/>
                <w:sz w:val="18"/>
              </w:rPr>
              <w:t>88,665,758.72</w:t>
            </w:r>
          </w:p>
        </w:tc>
        <w:tc>
          <w:tcPr>
            <w:tcW w:w="988"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tabs>
          <w:tab w:pos="1916" w:val="left" w:leader="none"/>
        </w:tabs>
        <w:spacing w:before="35"/>
        <w:ind w:left="1377" w:right="0" w:firstLine="0"/>
        <w:jc w:val="left"/>
        <w:rPr>
          <w:rFonts w:ascii="宋体" w:hAnsi="宋体" w:cs="宋体" w:eastAsia="宋体" w:hint="default"/>
          <w:sz w:val="21"/>
          <w:szCs w:val="21"/>
        </w:rPr>
      </w:pPr>
      <w:r>
        <w:rPr/>
        <w:pict>
          <v:group style="position:absolute;margin-left:44.241001pt;margin-top:-280.586487pt;width:757.25pt;height:257.6500pt;mso-position-horizontal-relative:page;mso-position-vertical-relative:paragraph;z-index:-800872" coordorigin="885,-5612" coordsize="15145,5153">
            <v:group style="position:absolute;left:914;top:-5597;width:15086;height:2" coordorigin="914,-5597" coordsize="15086,2">
              <v:shape style="position:absolute;left:914;top:-5597;width:15086;height:2" coordorigin="914,-5597" coordsize="15086,0" path="m914,-5597l15999,-5597e" filled="false" stroked="true" strokeweight="1.5pt" strokecolor="#000000">
                <v:path arrowok="t"/>
              </v:shape>
              <v:shape style="position:absolute;left:2562;top:-5611;width:12479;height:431" type="#_x0000_t75" stroked="false">
                <v:imagedata r:id="rId373" o:title=""/>
              </v:shape>
            </v:group>
            <v:group style="position:absolute;left:900;top:-474;width:1691;height:2" coordorigin="900,-474" coordsize="1691,2">
              <v:shape style="position:absolute;left:900;top:-474;width:1691;height:2" coordorigin="900,-474" coordsize="1691,0" path="m900,-474l2591,-474e" filled="false" stroked="true" strokeweight="1.5pt" strokecolor="#000000">
                <v:path arrowok="t"/>
              </v:shape>
            </v:group>
            <v:group style="position:absolute;left:2591;top:-474;width:834;height:2" coordorigin="2591,-474" coordsize="834,2">
              <v:shape style="position:absolute;left:2591;top:-474;width:834;height:2" coordorigin="2591,-474" coordsize="834,0" path="m2591,-474l3425,-474e" filled="false" stroked="true" strokeweight="1.5pt" strokecolor="#000000">
                <v:path arrowok="t"/>
              </v:shape>
            </v:group>
            <v:group style="position:absolute;left:3425;top:-474;width:1371;height:2" coordorigin="3425,-474" coordsize="1371,2">
              <v:shape style="position:absolute;left:3425;top:-474;width:1371;height:2" coordorigin="3425,-474" coordsize="1371,0" path="m3425,-474l4795,-474e" filled="false" stroked="true" strokeweight="1.5pt" strokecolor="#000000">
                <v:path arrowok="t"/>
              </v:shape>
            </v:group>
            <v:group style="position:absolute;left:4795;top:-474;width:1260;height:2" coordorigin="4795,-474" coordsize="1260,2">
              <v:shape style="position:absolute;left:4795;top:-474;width:1260;height:2" coordorigin="4795,-474" coordsize="1260,0" path="m4795,-474l6055,-474e" filled="false" stroked="true" strokeweight="1.5pt" strokecolor="#000000">
                <v:path arrowok="t"/>
              </v:shape>
            </v:group>
            <v:group style="position:absolute;left:6055;top:-474;width:1260;height:2" coordorigin="6055,-474" coordsize="1260,2">
              <v:shape style="position:absolute;left:6055;top:-474;width:1260;height:2" coordorigin="6055,-474" coordsize="1260,0" path="m6055,-474l7315,-474e" filled="false" stroked="true" strokeweight="1.5pt" strokecolor="#000000">
                <v:path arrowok="t"/>
              </v:shape>
            </v:group>
            <v:group style="position:absolute;left:7315;top:-474;width:1366;height:2" coordorigin="7315,-474" coordsize="1366,2">
              <v:shape style="position:absolute;left:7315;top:-474;width:1366;height:2" coordorigin="7315,-474" coordsize="1366,0" path="m7315,-474l8681,-474e" filled="false" stroked="true" strokeweight="1.5pt" strokecolor="#000000">
                <v:path arrowok="t"/>
              </v:shape>
            </v:group>
            <v:group style="position:absolute;left:8681;top:-474;width:1282;height:2" coordorigin="8681,-474" coordsize="1282,2">
              <v:shape style="position:absolute;left:8681;top:-474;width:1282;height:2" coordorigin="8681,-474" coordsize="1282,0" path="m8681,-474l9962,-474e" filled="false" stroked="true" strokeweight="1.5pt" strokecolor="#000000">
                <v:path arrowok="t"/>
              </v:shape>
            </v:group>
            <v:group style="position:absolute;left:9962;top:-474;width:840;height:2" coordorigin="9962,-474" coordsize="840,2">
              <v:shape style="position:absolute;left:9962;top:-474;width:840;height:2" coordorigin="9962,-474" coordsize="840,0" path="m9962,-474l10802,-474e" filled="false" stroked="true" strokeweight="1.5pt" strokecolor="#000000">
                <v:path arrowok="t"/>
              </v:shape>
            </v:group>
            <v:group style="position:absolute;left:10802;top:-474;width:1134;height:2" coordorigin="10802,-474" coordsize="1134,2">
              <v:shape style="position:absolute;left:10802;top:-474;width:1134;height:2" coordorigin="10802,-474" coordsize="1134,0" path="m10802,-474l11936,-474e" filled="false" stroked="true" strokeweight="1.5pt" strokecolor="#000000">
                <v:path arrowok="t"/>
              </v:shape>
            </v:group>
            <v:group style="position:absolute;left:11936;top:-474;width:1365;height:2" coordorigin="11936,-474" coordsize="1365,2">
              <v:shape style="position:absolute;left:11936;top:-474;width:1365;height:2" coordorigin="11936,-474" coordsize="1365,0" path="m11936,-474l13301,-474e" filled="false" stroked="true" strokeweight="1.5pt" strokecolor="#000000">
                <v:path arrowok="t"/>
              </v:shape>
            </v:group>
            <v:group style="position:absolute;left:13301;top:-474;width:708;height:2" coordorigin="13301,-474" coordsize="708,2">
              <v:shape style="position:absolute;left:13301;top:-474;width:708;height:2" coordorigin="13301,-474" coordsize="708,0" path="m13301,-474l14009,-474e" filled="false" stroked="true" strokeweight="1.5pt" strokecolor="#000000">
                <v:path arrowok="t"/>
              </v:shape>
            </v:group>
            <v:group style="position:absolute;left:14009;top:-474;width:994;height:2" coordorigin="14009,-474" coordsize="994,2">
              <v:shape style="position:absolute;left:14009;top:-474;width:994;height:2" coordorigin="14009,-474" coordsize="994,0" path="m14009,-474l15002,-474e" filled="false" stroked="true" strokeweight="1.5pt" strokecolor="#000000">
                <v:path arrowok="t"/>
              </v:shape>
              <v:shape style="position:absolute;left:885;top:-5228;width:15144;height:4739" type="#_x0000_t75" stroked="false">
                <v:imagedata r:id="rId374" o:title=""/>
              </v:shape>
            </v:group>
            <v:group style="position:absolute;left:15002;top:-474;width:998;height:2" coordorigin="15002,-474" coordsize="998,2">
              <v:shape style="position:absolute;left:15002;top:-474;width:998;height:2" coordorigin="15002,-474" coordsize="998,0" path="m15002,-474l15999,-474e" filled="false" stroked="true" strokeweight="1.5pt" strokecolor="#000000">
                <v:path arrowok="t"/>
              </v:shape>
              <v:shape style="position:absolute;left:1022;top:-548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科技有限公司</w:t>
                      </w:r>
                    </w:p>
                  </w:txbxContent>
                </v:textbox>
                <w10:wrap type="none"/>
              </v:shape>
              <v:shape style="position:absolute;left:1304;top:-460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txbxContent>
                </v:textbox>
                <w10:wrap type="none"/>
              </v:shape>
              <v:shape style="position:absolute;left:2741;top:-4767;width:540;height:501"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核算方</w:t>
                      </w:r>
                    </w:p>
                    <w:p>
                      <w:pPr>
                        <w:spacing w:before="85"/>
                        <w:ind w:left="0" w:right="0" w:firstLine="0"/>
                        <w:jc w:val="center"/>
                        <w:rPr>
                          <w:rFonts w:ascii="宋体" w:hAnsi="宋体" w:cs="宋体" w:eastAsia="宋体" w:hint="default"/>
                          <w:sz w:val="18"/>
                          <w:szCs w:val="18"/>
                        </w:rPr>
                      </w:pPr>
                      <w:r>
                        <w:rPr>
                          <w:rFonts w:ascii="宋体" w:hAnsi="宋体" w:cs="宋体" w:eastAsia="宋体" w:hint="default"/>
                          <w:sz w:val="18"/>
                          <w:szCs w:val="18"/>
                        </w:rPr>
                        <w:t>法</w:t>
                      </w:r>
                    </w:p>
                  </w:txbxContent>
                </v:textbox>
                <w10:wrap type="none"/>
              </v:shape>
              <v:shape style="position:absolute;left:3745;top:-460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投资成本</w:t>
                      </w:r>
                    </w:p>
                  </w:txbxContent>
                </v:textbox>
                <w10:wrap type="none"/>
              </v:shape>
              <v:shape style="position:absolute;left:5061;top:-460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6321;top:-460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增减变动</w:t>
                      </w:r>
                    </w:p>
                  </w:txbxContent>
                </v:textbox>
                <w10:wrap type="none"/>
              </v:shape>
              <v:shape style="position:absolute;left:7461;top:-5086;width:1080;height:114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其中：联营及</w:t>
                      </w:r>
                    </w:p>
                    <w:p>
                      <w:pPr>
                        <w:spacing w:line="320" w:lineRule="exact" w:before="38"/>
                        <w:ind w:left="0" w:right="0" w:firstLine="0"/>
                        <w:jc w:val="both"/>
                        <w:rPr>
                          <w:rFonts w:ascii="宋体" w:hAnsi="宋体" w:cs="宋体" w:eastAsia="宋体" w:hint="default"/>
                          <w:sz w:val="18"/>
                          <w:szCs w:val="18"/>
                        </w:rPr>
                      </w:pPr>
                      <w:r>
                        <w:rPr>
                          <w:rFonts w:ascii="宋体" w:hAnsi="宋体" w:cs="宋体" w:eastAsia="宋体" w:hint="default"/>
                          <w:sz w:val="18"/>
                          <w:szCs w:val="18"/>
                        </w:rPr>
                        <w:t>合营企业其他 综合收益变动 中享有的份额</w:t>
                      </w:r>
                    </w:p>
                  </w:txbxContent>
                </v:textbox>
                <w10:wrap type="none"/>
              </v:shape>
              <v:shape style="position:absolute;left:8981;top:-460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10117;top:-5086;width:1707;height:1150" type="#_x0000_t202" filled="false" stroked="false">
                <v:textbox inset="0,0,0,0">
                  <w:txbxContent>
                    <w:p>
                      <w:pPr>
                        <w:spacing w:line="14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在被投</w:t>
                      </w:r>
                    </w:p>
                    <w:p>
                      <w:pPr>
                        <w:spacing w:line="160" w:lineRule="exact" w:before="0"/>
                        <w:ind w:left="896" w:right="0" w:firstLine="0"/>
                        <w:jc w:val="left"/>
                        <w:rPr>
                          <w:rFonts w:ascii="宋体" w:hAnsi="宋体" w:cs="宋体" w:eastAsia="宋体" w:hint="default"/>
                          <w:sz w:val="18"/>
                          <w:szCs w:val="18"/>
                        </w:rPr>
                      </w:pPr>
                      <w:r>
                        <w:rPr>
                          <w:rFonts w:ascii="宋体" w:hAnsi="宋体" w:cs="宋体" w:eastAsia="宋体" w:hint="default"/>
                          <w:sz w:val="18"/>
                          <w:szCs w:val="18"/>
                        </w:rPr>
                        <w:t>在被投资</w:t>
                      </w:r>
                    </w:p>
                    <w:p>
                      <w:pPr>
                        <w:spacing w:line="16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资单位</w:t>
                      </w:r>
                    </w:p>
                    <w:p>
                      <w:pPr>
                        <w:spacing w:line="160" w:lineRule="exact" w:before="0"/>
                        <w:ind w:left="806" w:right="0" w:firstLine="0"/>
                        <w:jc w:val="center"/>
                        <w:rPr>
                          <w:rFonts w:ascii="宋体" w:hAnsi="宋体" w:cs="宋体" w:eastAsia="宋体" w:hint="default"/>
                          <w:sz w:val="18"/>
                          <w:szCs w:val="18"/>
                        </w:rPr>
                      </w:pPr>
                      <w:r>
                        <w:rPr>
                          <w:rFonts w:ascii="宋体" w:hAnsi="宋体" w:cs="宋体" w:eastAsia="宋体" w:hint="default"/>
                          <w:sz w:val="18"/>
                          <w:szCs w:val="18"/>
                        </w:rPr>
                        <w:t>单位表决权</w:t>
                      </w:r>
                    </w:p>
                    <w:p>
                      <w:pPr>
                        <w:spacing w:line="16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持股比</w:t>
                      </w:r>
                    </w:p>
                    <w:p>
                      <w:pPr>
                        <w:spacing w:line="167" w:lineRule="exact" w:before="0"/>
                        <w:ind w:left="807" w:right="0" w:firstLine="0"/>
                        <w:jc w:val="center"/>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p>
                      <w:pPr>
                        <w:spacing w:line="201" w:lineRule="exact" w:before="0"/>
                        <w:ind w:left="4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txbxContent>
                </v:textbox>
                <w10:wrap type="none"/>
              </v:shape>
              <v:shape style="position:absolute;left:12083;top:-5086;width:1080;height:114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在被投资单位</w:t>
                      </w:r>
                    </w:p>
                    <w:p>
                      <w:pPr>
                        <w:spacing w:line="320" w:lineRule="exact" w:before="38"/>
                        <w:ind w:left="0" w:right="0" w:firstLine="0"/>
                        <w:jc w:val="center"/>
                        <w:rPr>
                          <w:rFonts w:ascii="宋体" w:hAnsi="宋体" w:cs="宋体" w:eastAsia="宋体" w:hint="default"/>
                          <w:sz w:val="18"/>
                          <w:szCs w:val="18"/>
                        </w:rPr>
                      </w:pPr>
                      <w:r>
                        <w:rPr>
                          <w:rFonts w:ascii="宋体" w:hAnsi="宋体" w:cs="宋体" w:eastAsia="宋体" w:hint="default"/>
                          <w:sz w:val="18"/>
                          <w:szCs w:val="18"/>
                        </w:rPr>
                        <w:t>持股比例与表 决权比例不一 致的说明</w:t>
                      </w:r>
                    </w:p>
                  </w:txbxContent>
                </v:textbox>
                <w10:wrap type="none"/>
              </v:shape>
              <v:shape style="position:absolute;left:13478;top:-4767;width:2385;height:501" type="#_x0000_t202" filled="false" stroked="false">
                <v:textbox inset="0,0,0,0">
                  <w:txbxContent>
                    <w:p>
                      <w:pPr>
                        <w:tabs>
                          <w:tab w:pos="671" w:val="left" w:leader="none"/>
                          <w:tab w:pos="166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减值</w:t>
                        <w:tab/>
                        <w:t>本期计提</w:t>
                        <w:tab/>
                        <w:t>本期现金</w:t>
                      </w:r>
                    </w:p>
                    <w:p>
                      <w:pPr>
                        <w:tabs>
                          <w:tab w:pos="671" w:val="left" w:leader="none"/>
                          <w:tab w:pos="1844" w:val="left" w:leader="none"/>
                        </w:tabs>
                        <w:spacing w:before="85"/>
                        <w:ind w:left="0" w:right="0" w:firstLine="0"/>
                        <w:jc w:val="left"/>
                        <w:rPr>
                          <w:rFonts w:ascii="宋体" w:hAnsi="宋体" w:cs="宋体" w:eastAsia="宋体" w:hint="default"/>
                          <w:sz w:val="18"/>
                          <w:szCs w:val="18"/>
                        </w:rPr>
                      </w:pPr>
                      <w:r>
                        <w:rPr>
                          <w:rFonts w:ascii="宋体" w:hAnsi="宋体" w:cs="宋体" w:eastAsia="宋体" w:hint="default"/>
                          <w:sz w:val="18"/>
                          <w:szCs w:val="18"/>
                        </w:rPr>
                        <w:t>准备</w:t>
                        <w:tab/>
                        <w:t>减值准备</w:t>
                        <w:tab/>
                        <w:t>红利</w:t>
                      </w:r>
                    </w:p>
                  </w:txbxContent>
                </v:textbox>
                <w10:wrap type="none"/>
              </v:shape>
              <v:shape style="position:absolute;left:1022;top:-3810;width:1468;height:56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其他被投资单位</w:t>
                      </w:r>
                    </w:p>
                    <w:p>
                      <w:pPr>
                        <w:spacing w:before="148"/>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广州市农村信用合</w:t>
                      </w:r>
                      <w:r>
                        <w:rPr>
                          <w:rFonts w:ascii="宋体" w:hAnsi="宋体" w:cs="宋体" w:eastAsia="宋体" w:hint="default"/>
                          <w:sz w:val="18"/>
                          <w:szCs w:val="18"/>
                        </w:rPr>
                      </w:r>
                    </w:p>
                  </w:txbxContent>
                </v:textbox>
                <w10:wrap type="none"/>
              </v:shape>
              <v:shape style="position:absolute;left:15260;top:-3232;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7,308.00</w:t>
                      </w:r>
                    </w:p>
                  </w:txbxContent>
                </v:textbox>
                <w10:wrap type="none"/>
              </v:shape>
              <v:shape style="position:absolute;left:1022;top:-3052;width:1468;height:246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作联社</w:t>
                      </w:r>
                    </w:p>
                    <w:p>
                      <w:pPr>
                        <w:spacing w:line="386" w:lineRule="auto" w:before="148"/>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深圳市信威电子有</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限公司</w:t>
                      </w:r>
                      <w:r>
                        <w:rPr>
                          <w:rFonts w:ascii="宋体" w:hAnsi="宋体" w:cs="宋体" w:eastAsia="宋体" w:hint="default"/>
                          <w:sz w:val="18"/>
                          <w:szCs w:val="18"/>
                        </w:rPr>
                        <w:t> </w:t>
                      </w:r>
                      <w:r>
                        <w:rPr>
                          <w:rFonts w:ascii="宋体" w:hAnsi="宋体" w:cs="宋体" w:eastAsia="宋体" w:hint="default"/>
                          <w:spacing w:val="2"/>
                          <w:sz w:val="18"/>
                          <w:szCs w:val="18"/>
                        </w:rPr>
                        <w:t>广州花都稠州村镇</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银行股份有限公司</w:t>
                      </w:r>
                      <w:r>
                        <w:rPr>
                          <w:rFonts w:ascii="宋体" w:hAnsi="宋体" w:cs="宋体" w:eastAsia="宋体" w:hint="default"/>
                          <w:sz w:val="18"/>
                          <w:szCs w:val="18"/>
                        </w:rPr>
                        <w:t> 成本法小计</w:t>
                      </w:r>
                    </w:p>
                    <w:p>
                      <w:pPr>
                        <w:spacing w:before="38"/>
                        <w:ind w:left="0" w:right="1"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本期无以明显高于账面价值的价格出售长期股权投资的情况。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6840" w:h="11910" w:orient="landscape"/>
          <w:pgMar w:header="877" w:footer="1252" w:top="1100" w:bottom="1440" w:left="780" w:right="700"/>
        </w:sectPr>
      </w:pPr>
    </w:p>
    <w:p>
      <w:pPr>
        <w:spacing w:line="240" w:lineRule="auto" w:before="2"/>
        <w:rPr>
          <w:rFonts w:ascii="宋体" w:hAnsi="宋体" w:cs="宋体" w:eastAsia="宋体" w:hint="default"/>
          <w:b/>
          <w:bCs/>
          <w:sz w:val="28"/>
          <w:szCs w:val="28"/>
        </w:rPr>
      </w:pPr>
    </w:p>
    <w:tbl>
      <w:tblPr>
        <w:tblW w:w="0" w:type="auto"/>
        <w:jc w:val="left"/>
        <w:tblInd w:w="103" w:type="dxa"/>
        <w:tblLayout w:type="fixed"/>
        <w:tblCellMar>
          <w:top w:w="0" w:type="dxa"/>
          <w:left w:w="0" w:type="dxa"/>
          <w:bottom w:w="0" w:type="dxa"/>
          <w:right w:w="0" w:type="dxa"/>
        </w:tblCellMar>
        <w:tblLook w:val="01E0"/>
      </w:tblPr>
      <w:tblGrid>
        <w:gridCol w:w="659"/>
        <w:gridCol w:w="3159"/>
        <w:gridCol w:w="2545"/>
        <w:gridCol w:w="2051"/>
      </w:tblGrid>
      <w:tr>
        <w:trPr>
          <w:trHeight w:val="747"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3159"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4" w:right="0"/>
              <w:jc w:val="left"/>
              <w:rPr>
                <w:rFonts w:ascii="宋体" w:hAnsi="宋体" w:cs="宋体" w:eastAsia="宋体" w:hint="default"/>
                <w:sz w:val="21"/>
                <w:szCs w:val="21"/>
              </w:rPr>
            </w:pPr>
            <w:r>
              <w:rPr>
                <w:rFonts w:ascii="宋体" w:hAnsi="宋体" w:cs="宋体" w:eastAsia="宋体" w:hint="default"/>
                <w:b/>
                <w:bCs/>
                <w:sz w:val="21"/>
                <w:szCs w:val="21"/>
              </w:rPr>
              <w:t>营业收入和营业成本</w:t>
            </w:r>
            <w:r>
              <w:rPr>
                <w:rFonts w:ascii="宋体" w:hAnsi="宋体" w:cs="宋体" w:eastAsia="宋体" w:hint="default"/>
                <w:sz w:val="21"/>
                <w:szCs w:val="21"/>
              </w:rPr>
            </w:r>
          </w:p>
          <w:p>
            <w:pPr>
              <w:pStyle w:val="TableParagraph"/>
              <w:tabs>
                <w:tab w:pos="646" w:val="left" w:leader="none"/>
              </w:tabs>
              <w:spacing w:line="240" w:lineRule="auto" w:before="115"/>
              <w:ind w:left="10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营业收入、营业成本</w:t>
            </w:r>
            <w:r>
              <w:rPr>
                <w:rFonts w:ascii="宋体" w:hAnsi="宋体" w:cs="宋体" w:eastAsia="宋体" w:hint="default"/>
                <w:sz w:val="21"/>
                <w:szCs w:val="21"/>
              </w:rPr>
            </w:r>
          </w:p>
        </w:tc>
        <w:tc>
          <w:tcPr>
            <w:tcW w:w="4595" w:type="dxa"/>
            <w:gridSpan w:val="2"/>
            <w:tcBorders>
              <w:top w:val="nil" w:sz="6" w:space="0" w:color="auto"/>
              <w:left w:val="nil" w:sz="6" w:space="0" w:color="auto"/>
              <w:bottom w:val="single" w:sz="12" w:space="0" w:color="000000"/>
              <w:right w:val="nil" w:sz="6" w:space="0" w:color="auto"/>
            </w:tcBorders>
          </w:tcPr>
          <w:p>
            <w:pPr/>
          </w:p>
        </w:tc>
      </w:tr>
      <w:tr>
        <w:trPr>
          <w:trHeight w:val="680" w:hRule="exact"/>
        </w:trPr>
        <w:tc>
          <w:tcPr>
            <w:tcW w:w="659" w:type="dxa"/>
            <w:tcBorders>
              <w:top w:val="nil" w:sz="6" w:space="0" w:color="auto"/>
              <w:left w:val="nil" w:sz="6" w:space="0" w:color="auto"/>
              <w:bottom w:val="nil" w:sz="6" w:space="0" w:color="auto"/>
              <w:right w:val="nil" w:sz="6" w:space="0" w:color="auto"/>
            </w:tcBorders>
          </w:tcPr>
          <w:p>
            <w:pPr/>
          </w:p>
        </w:tc>
        <w:tc>
          <w:tcPr>
            <w:tcW w:w="3159" w:type="dxa"/>
            <w:tcBorders>
              <w:top w:val="single" w:sz="12" w:space="0" w:color="000000"/>
              <w:left w:val="nil" w:sz="6" w:space="0" w:color="auto"/>
              <w:bottom w:val="nil" w:sz="6" w:space="0" w:color="auto"/>
              <w:right w:val="nil" w:sz="6" w:space="0" w:color="auto"/>
            </w:tcBorders>
          </w:tcPr>
          <w:p>
            <w:pPr>
              <w:pStyle w:val="TableParagraph"/>
              <w:tabs>
                <w:tab w:pos="1647" w:val="left" w:leader="none"/>
              </w:tabs>
              <w:spacing w:line="247" w:lineRule="auto" w:before="127"/>
              <w:ind w:left="109" w:right="1329" w:firstLine="998"/>
              <w:jc w:val="left"/>
              <w:rPr>
                <w:rFonts w:ascii="宋体" w:hAnsi="宋体" w:cs="宋体" w:eastAsia="宋体" w:hint="default"/>
                <w:sz w:val="18"/>
                <w:szCs w:val="18"/>
              </w:rPr>
            </w:pPr>
            <w:r>
              <w:rPr>
                <w:rFonts w:ascii="宋体" w:hAnsi="宋体" w:cs="宋体" w:eastAsia="宋体" w:hint="default"/>
                <w:sz w:val="18"/>
                <w:szCs w:val="18"/>
              </w:rPr>
              <w:t>项</w:t>
              <w:tab/>
              <w:t>目 主营业务收入</w:t>
            </w:r>
          </w:p>
        </w:tc>
        <w:tc>
          <w:tcPr>
            <w:tcW w:w="2545" w:type="dxa"/>
            <w:tcBorders>
              <w:top w:val="single" w:sz="12" w:space="0" w:color="000000"/>
              <w:left w:val="nil" w:sz="6" w:space="0" w:color="auto"/>
              <w:bottom w:val="nil" w:sz="6" w:space="0" w:color="auto"/>
              <w:right w:val="nil" w:sz="6" w:space="0" w:color="auto"/>
            </w:tcBorders>
          </w:tcPr>
          <w:p>
            <w:pPr>
              <w:pStyle w:val="TableParagraph"/>
              <w:spacing w:line="240" w:lineRule="auto" w:before="127"/>
              <w:ind w:left="613"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49"/>
              <w:ind w:left="940" w:right="0"/>
              <w:jc w:val="left"/>
              <w:rPr>
                <w:rFonts w:ascii="Times New Roman" w:hAnsi="Times New Roman" w:cs="Times New Roman" w:eastAsia="Times New Roman" w:hint="default"/>
                <w:sz w:val="18"/>
                <w:szCs w:val="18"/>
              </w:rPr>
            </w:pPr>
            <w:r>
              <w:rPr>
                <w:rFonts w:ascii="Times New Roman"/>
                <w:sz w:val="18"/>
              </w:rPr>
              <w:t>626,010,652.91</w:t>
            </w:r>
          </w:p>
        </w:tc>
        <w:tc>
          <w:tcPr>
            <w:tcW w:w="2051" w:type="dxa"/>
            <w:tcBorders>
              <w:top w:val="single" w:sz="12" w:space="0" w:color="000000"/>
              <w:left w:val="nil" w:sz="6" w:space="0" w:color="auto"/>
              <w:bottom w:val="nil" w:sz="6" w:space="0" w:color="auto"/>
              <w:right w:val="nil" w:sz="6" w:space="0" w:color="auto"/>
            </w:tcBorders>
          </w:tcPr>
          <w:p>
            <w:pPr>
              <w:pStyle w:val="TableParagraph"/>
              <w:spacing w:line="240" w:lineRule="auto" w:before="127"/>
              <w:ind w:left="478"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49"/>
              <w:ind w:left="818" w:right="0"/>
              <w:jc w:val="left"/>
              <w:rPr>
                <w:rFonts w:ascii="Times New Roman" w:hAnsi="Times New Roman" w:cs="Times New Roman" w:eastAsia="Times New Roman" w:hint="default"/>
                <w:sz w:val="18"/>
                <w:szCs w:val="18"/>
              </w:rPr>
            </w:pPr>
            <w:r>
              <w:rPr>
                <w:rFonts w:ascii="Times New Roman"/>
                <w:sz w:val="18"/>
              </w:rPr>
              <w:t>400,543,309.25</w:t>
            </w:r>
          </w:p>
        </w:tc>
      </w:tr>
      <w:tr>
        <w:trPr>
          <w:trHeight w:val="290" w:hRule="exact"/>
        </w:trPr>
        <w:tc>
          <w:tcPr>
            <w:tcW w:w="659" w:type="dxa"/>
            <w:tcBorders>
              <w:top w:val="nil" w:sz="6" w:space="0" w:color="auto"/>
              <w:left w:val="nil" w:sz="6" w:space="0" w:color="auto"/>
              <w:bottom w:val="nil" w:sz="6" w:space="0" w:color="auto"/>
              <w:right w:val="nil" w:sz="6" w:space="0" w:color="auto"/>
            </w:tcBorders>
          </w:tcPr>
          <w:p>
            <w:pPr/>
          </w:p>
        </w:tc>
        <w:tc>
          <w:tcPr>
            <w:tcW w:w="3159" w:type="dxa"/>
            <w:tcBorders>
              <w:top w:val="nil" w:sz="6" w:space="0" w:color="auto"/>
              <w:left w:val="nil" w:sz="6" w:space="0" w:color="auto"/>
              <w:bottom w:val="nil" w:sz="6" w:space="0" w:color="auto"/>
              <w:right w:val="nil" w:sz="6" w:space="0" w:color="auto"/>
            </w:tcBorders>
          </w:tcPr>
          <w:p>
            <w:pPr>
              <w:pStyle w:val="TableParagraph"/>
              <w:spacing w:line="230" w:lineRule="exact"/>
              <w:ind w:left="109"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76"/>
              <w:jc w:val="right"/>
              <w:rPr>
                <w:rFonts w:ascii="Times New Roman" w:hAnsi="Times New Roman" w:cs="Times New Roman" w:eastAsia="Times New Roman" w:hint="default"/>
                <w:sz w:val="18"/>
                <w:szCs w:val="18"/>
              </w:rPr>
            </w:pPr>
            <w:r>
              <w:rPr>
                <w:rFonts w:ascii="Times New Roman"/>
                <w:spacing w:val="-1"/>
                <w:sz w:val="18"/>
              </w:rPr>
              <w:t>4,942,569.79</w:t>
            </w:r>
          </w:p>
        </w:tc>
        <w:tc>
          <w:tcPr>
            <w:tcW w:w="205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Times New Roman" w:hAnsi="Times New Roman" w:cs="Times New Roman" w:eastAsia="Times New Roman" w:hint="default"/>
                <w:sz w:val="18"/>
                <w:szCs w:val="18"/>
              </w:rPr>
            </w:pPr>
            <w:r>
              <w:rPr>
                <w:rFonts w:ascii="Times New Roman"/>
                <w:spacing w:val="-1"/>
                <w:sz w:val="18"/>
              </w:rPr>
              <w:t>3,393,290.20</w:t>
            </w:r>
          </w:p>
        </w:tc>
      </w:tr>
      <w:tr>
        <w:trPr>
          <w:trHeight w:val="320" w:hRule="exact"/>
        </w:trPr>
        <w:tc>
          <w:tcPr>
            <w:tcW w:w="659" w:type="dxa"/>
            <w:tcBorders>
              <w:top w:val="nil" w:sz="6" w:space="0" w:color="auto"/>
              <w:left w:val="nil" w:sz="6" w:space="0" w:color="auto"/>
              <w:bottom w:val="nil" w:sz="6" w:space="0" w:color="auto"/>
              <w:right w:val="nil" w:sz="6" w:space="0" w:color="auto"/>
            </w:tcBorders>
          </w:tcPr>
          <w:p>
            <w:pPr/>
          </w:p>
        </w:tc>
        <w:tc>
          <w:tcPr>
            <w:tcW w:w="3159" w:type="dxa"/>
            <w:tcBorders>
              <w:top w:val="nil" w:sz="6" w:space="0" w:color="auto"/>
              <w:left w:val="nil" w:sz="6" w:space="0" w:color="auto"/>
              <w:bottom w:val="single" w:sz="12" w:space="0" w:color="000000"/>
              <w:right w:val="nil" w:sz="6" w:space="0" w:color="auto"/>
            </w:tcBorders>
          </w:tcPr>
          <w:p>
            <w:pPr>
              <w:pStyle w:val="TableParagraph"/>
              <w:spacing w:line="231" w:lineRule="exact"/>
              <w:ind w:left="109"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2545"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477"/>
              <w:jc w:val="right"/>
              <w:rPr>
                <w:rFonts w:ascii="Times New Roman" w:hAnsi="Times New Roman" w:cs="Times New Roman" w:eastAsia="Times New Roman" w:hint="default"/>
                <w:sz w:val="18"/>
                <w:szCs w:val="18"/>
              </w:rPr>
            </w:pPr>
            <w:r>
              <w:rPr>
                <w:rFonts w:ascii="Times New Roman"/>
                <w:spacing w:val="-1"/>
                <w:sz w:val="18"/>
              </w:rPr>
              <w:t>364,099,076.08</w:t>
            </w:r>
          </w:p>
        </w:tc>
        <w:tc>
          <w:tcPr>
            <w:tcW w:w="2051"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105"/>
              <w:jc w:val="right"/>
              <w:rPr>
                <w:rFonts w:ascii="Times New Roman" w:hAnsi="Times New Roman" w:cs="Times New Roman" w:eastAsia="Times New Roman" w:hint="default"/>
                <w:sz w:val="18"/>
                <w:szCs w:val="18"/>
              </w:rPr>
            </w:pPr>
            <w:r>
              <w:rPr>
                <w:rFonts w:ascii="Times New Roman"/>
                <w:spacing w:val="-1"/>
                <w:sz w:val="18"/>
              </w:rPr>
              <w:t>230,959,583.26</w:t>
            </w:r>
          </w:p>
        </w:tc>
      </w:tr>
    </w:tbl>
    <w:p>
      <w:pPr>
        <w:spacing w:line="240" w:lineRule="auto" w:before="0"/>
        <w:rPr>
          <w:rFonts w:ascii="宋体" w:hAnsi="宋体" w:cs="宋体" w:eastAsia="宋体" w:hint="default"/>
          <w:b/>
          <w:bCs/>
          <w:sz w:val="20"/>
          <w:szCs w:val="20"/>
        </w:rPr>
      </w:pPr>
    </w:p>
    <w:p>
      <w:pPr>
        <w:tabs>
          <w:tab w:pos="1408" w:val="left" w:leader="none"/>
        </w:tabs>
        <w:spacing w:before="197"/>
        <w:ind w:left="869" w:right="0" w:firstLine="0"/>
        <w:jc w:val="left"/>
        <w:rPr>
          <w:rFonts w:ascii="宋体" w:hAnsi="宋体" w:cs="宋体" w:eastAsia="宋体" w:hint="default"/>
          <w:sz w:val="21"/>
          <w:szCs w:val="21"/>
        </w:rPr>
      </w:pPr>
      <w:r>
        <w:rPr/>
        <w:pict>
          <v:group style="position:absolute;margin-left:93.660004pt;margin-top:-79.766327pt;width:390.15pt;height:64.45pt;mso-position-horizontal-relative:page;mso-position-vertical-relative:paragraph;z-index:-800704" coordorigin="1873,-1595" coordsize="7803,1289">
            <v:shape style="position:absolute;left:4802;top:-1595;width:2464;height:448" type="#_x0000_t75" stroked="false">
              <v:imagedata r:id="rId377" o:title=""/>
            </v:shape>
            <v:shape style="position:absolute;left:1873;top:-1196;width:7802;height:889" type="#_x0000_t75" stroked="false">
              <v:imagedata r:id="rId378" o:title=""/>
            </v:shape>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主营业务（分行业）</w:t>
      </w:r>
      <w:r>
        <w:rPr>
          <w:rFonts w:ascii="宋体" w:hAnsi="宋体" w:cs="宋体" w:eastAsia="宋体" w:hint="default"/>
          <w:sz w:val="21"/>
          <w:szCs w:val="21"/>
        </w:rPr>
      </w:r>
    </w:p>
    <w:p>
      <w:pPr>
        <w:spacing w:line="1430" w:lineRule="exact"/>
        <w:ind w:left="732"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392.65pt;height:71.55pt;mso-position-horizontal-relative:char;mso-position-vertical-relative:line" coordorigin="0,0" coordsize="7853,1431">
            <v:group style="position:absolute;left:29;top:15;width:7800;height:2" coordorigin="29,15" coordsize="7800,2">
              <v:shape style="position:absolute;left:29;top:15;width:7800;height:2" coordorigin="29,15" coordsize="7800,0" path="m29,15l7829,15e" filled="false" stroked="true" strokeweight="1.5pt" strokecolor="#000000">
                <v:path arrowok="t"/>
              </v:shape>
              <v:shape style="position:absolute;left:1906;top:1;width:2981;height:448" type="#_x0000_t75" stroked="false">
                <v:imagedata r:id="rId379" o:title=""/>
              </v:shape>
              <v:shape style="position:absolute;left:1916;top:401;width:5936;height:439" type="#_x0000_t75" stroked="false">
                <v:imagedata r:id="rId380" o:title=""/>
              </v:shape>
            </v:group>
            <v:group style="position:absolute;left:15;top:1415;width:1920;height:2" coordorigin="15,1415" coordsize="1920,2">
              <v:shape style="position:absolute;left:15;top:1415;width:1920;height:2" coordorigin="15,1415" coordsize="1920,0" path="m15,1415l1935,1415e" filled="false" stroked="true" strokeweight="1.5pt" strokecolor="#000000">
                <v:path arrowok="t"/>
              </v:shape>
            </v:group>
            <v:group style="position:absolute;left:1935;top:1415;width:1470;height:2" coordorigin="1935,1415" coordsize="1470,2">
              <v:shape style="position:absolute;left:1935;top:1415;width:1470;height:2" coordorigin="1935,1415" coordsize="1470,0" path="m1935,1415l3405,1415e" filled="false" stroked="true" strokeweight="1.5pt" strokecolor="#000000">
                <v:path arrowok="t"/>
              </v:shape>
            </v:group>
            <v:group style="position:absolute;left:3405;top:1415;width:1444;height:2" coordorigin="3405,1415" coordsize="1444,2">
              <v:shape style="position:absolute;left:3405;top:1415;width:1444;height:2" coordorigin="3405,1415" coordsize="1444,0" path="m3405,1415l4849,1415e" filled="false" stroked="true" strokeweight="1.5pt" strokecolor="#000000">
                <v:path arrowok="t"/>
              </v:shape>
            </v:group>
            <v:group style="position:absolute;left:4849;top:1415;width:1602;height:2" coordorigin="4849,1415" coordsize="1602,2">
              <v:shape style="position:absolute;left:4849;top:1415;width:1602;height:2" coordorigin="4849,1415" coordsize="1602,0" path="m4849,1415l6451,1415e" filled="false" stroked="true" strokeweight="1.5pt" strokecolor="#000000">
                <v:path arrowok="t"/>
              </v:shape>
              <v:shape style="position:absolute;left:10;top:802;width:7842;height:599" type="#_x0000_t75" stroked="false">
                <v:imagedata r:id="rId381" o:title=""/>
              </v:shape>
            </v:group>
            <v:group style="position:absolute;left:6451;top:1415;width:1379;height:2" coordorigin="6451,1415" coordsize="1379,2">
              <v:shape style="position:absolute;left:6451;top:1415;width:1379;height:2" coordorigin="6451,1415" coordsize="1379,0" path="m6451,1415l7829,1415e" filled="false" stroked="true" strokeweight="1.5pt" strokecolor="#000000">
                <v:path arrowok="t"/>
              </v:shape>
              <v:shape style="position:absolute;left:3037;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5981;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626;top:413;width:720;height:914"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p>
                      <w:pPr>
                        <w:spacing w:line="240" w:lineRule="auto" w:before="11"/>
                        <w:rPr>
                          <w:rFonts w:ascii="宋体" w:hAnsi="宋体" w:cs="宋体" w:eastAsia="宋体" w:hint="default"/>
                          <w:b/>
                          <w:bCs/>
                          <w:sz w:val="15"/>
                          <w:szCs w:val="15"/>
                        </w:rPr>
                      </w:pPr>
                    </w:p>
                    <w:p>
                      <w:pPr>
                        <w:tabs>
                          <w:tab w:pos="539" w:val="left" w:leader="none"/>
                        </w:tabs>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工</w:t>
                        <w:tab/>
                        <w:t>业</w:t>
                      </w:r>
                    </w:p>
                    <w:p>
                      <w:pPr>
                        <w:tabs>
                          <w:tab w:pos="494" w:val="left" w:leader="none"/>
                        </w:tabs>
                        <w:spacing w:before="55"/>
                        <w:ind w:left="44"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2177;top:613;width:2569;height:722" type="#_x0000_t202" filled="false" stroked="false">
                <v:textbox inset="0,0,0,0">
                  <w:txbxContent>
                    <w:p>
                      <w:pPr>
                        <w:tabs>
                          <w:tab w:pos="1593" w:val="left" w:leader="none"/>
                        </w:tabs>
                        <w:spacing w:line="180" w:lineRule="exact" w:before="0"/>
                        <w:ind w:left="136" w:right="0" w:firstLine="0"/>
                        <w:jc w:val="left"/>
                        <w:rPr>
                          <w:rFonts w:ascii="宋体" w:hAnsi="宋体" w:cs="宋体" w:eastAsia="宋体" w:hint="default"/>
                          <w:sz w:val="18"/>
                          <w:szCs w:val="18"/>
                        </w:rPr>
                      </w:pPr>
                      <w:r>
                        <w:rPr>
                          <w:rFonts w:ascii="宋体" w:hAnsi="宋体" w:cs="宋体" w:eastAsia="宋体" w:hint="default"/>
                          <w:sz w:val="18"/>
                          <w:szCs w:val="18"/>
                        </w:rPr>
                        <w:t>营业收入</w:t>
                        <w:tab/>
                        <w:t>营业成本</w:t>
                      </w:r>
                    </w:p>
                    <w:p>
                      <w:pPr>
                        <w:tabs>
                          <w:tab w:pos="1449" w:val="left" w:leader="none"/>
                        </w:tabs>
                        <w:spacing w:before="48"/>
                        <w:ind w:left="0" w:right="0" w:firstLine="0"/>
                        <w:jc w:val="left"/>
                        <w:rPr>
                          <w:rFonts w:ascii="Times New Roman" w:hAnsi="Times New Roman" w:cs="Times New Roman" w:eastAsia="Times New Roman" w:hint="default"/>
                          <w:sz w:val="18"/>
                          <w:szCs w:val="18"/>
                        </w:rPr>
                      </w:pPr>
                      <w:r>
                        <w:rPr>
                          <w:rFonts w:ascii="Times New Roman"/>
                          <w:spacing w:val="-1"/>
                          <w:sz w:val="18"/>
                        </w:rPr>
                        <w:t>626,010,652.91</w:t>
                        <w:tab/>
                        <w:t>360,782,010.11</w:t>
                      </w:r>
                    </w:p>
                    <w:p>
                      <w:pPr>
                        <w:tabs>
                          <w:tab w:pos="1449" w:val="left" w:leader="none"/>
                        </w:tabs>
                        <w:spacing w:line="203" w:lineRule="exact" w:before="83"/>
                        <w:ind w:left="0" w:right="0" w:firstLine="0"/>
                        <w:jc w:val="left"/>
                        <w:rPr>
                          <w:rFonts w:ascii="Times New Roman" w:hAnsi="Times New Roman" w:cs="Times New Roman" w:eastAsia="Times New Roman" w:hint="default"/>
                          <w:sz w:val="18"/>
                          <w:szCs w:val="18"/>
                        </w:rPr>
                      </w:pPr>
                      <w:r>
                        <w:rPr>
                          <w:rFonts w:ascii="Times New Roman"/>
                          <w:spacing w:val="-1"/>
                          <w:sz w:val="18"/>
                        </w:rPr>
                        <w:t>626,010,652.91</w:t>
                        <w:tab/>
                        <w:t>360,782,010.11</w:t>
                      </w:r>
                    </w:p>
                  </w:txbxContent>
                </v:textbox>
                <w10:wrap type="none"/>
              </v:shape>
              <v:shape style="position:absolute;left:5224;top:613;width:2500;height:722" type="#_x0000_t202" filled="false" stroked="false">
                <v:textbox inset="0,0,0,0">
                  <w:txbxContent>
                    <w:p>
                      <w:pPr>
                        <w:tabs>
                          <w:tab w:pos="1558" w:val="left" w:leader="none"/>
                        </w:tabs>
                        <w:spacing w:line="180" w:lineRule="exact" w:before="0"/>
                        <w:ind w:left="70" w:right="0" w:firstLine="0"/>
                        <w:jc w:val="left"/>
                        <w:rPr>
                          <w:rFonts w:ascii="宋体" w:hAnsi="宋体" w:cs="宋体" w:eastAsia="宋体" w:hint="default"/>
                          <w:sz w:val="18"/>
                          <w:szCs w:val="18"/>
                        </w:rPr>
                      </w:pPr>
                      <w:r>
                        <w:rPr>
                          <w:rFonts w:ascii="宋体" w:hAnsi="宋体" w:cs="宋体" w:eastAsia="宋体" w:hint="default"/>
                          <w:sz w:val="18"/>
                          <w:szCs w:val="18"/>
                        </w:rPr>
                        <w:t>营业收入</w:t>
                        <w:tab/>
                        <w:t>营业成本</w:t>
                      </w:r>
                    </w:p>
                    <w:p>
                      <w:pPr>
                        <w:tabs>
                          <w:tab w:pos="1373" w:val="left" w:leader="none"/>
                        </w:tabs>
                        <w:spacing w:before="48"/>
                        <w:ind w:left="0" w:right="0" w:firstLine="0"/>
                        <w:jc w:val="left"/>
                        <w:rPr>
                          <w:rFonts w:ascii="Times New Roman" w:hAnsi="Times New Roman" w:cs="Times New Roman" w:eastAsia="Times New Roman" w:hint="default"/>
                          <w:sz w:val="18"/>
                          <w:szCs w:val="18"/>
                        </w:rPr>
                      </w:pPr>
                      <w:r>
                        <w:rPr>
                          <w:rFonts w:ascii="Times New Roman"/>
                          <w:spacing w:val="-1"/>
                          <w:sz w:val="18"/>
                        </w:rPr>
                        <w:t>400,543,309.25</w:t>
                        <w:tab/>
                        <w:t>229,384,974.60</w:t>
                      </w:r>
                    </w:p>
                    <w:p>
                      <w:pPr>
                        <w:tabs>
                          <w:tab w:pos="1373" w:val="left" w:leader="none"/>
                        </w:tabs>
                        <w:spacing w:line="203" w:lineRule="exact" w:before="83"/>
                        <w:ind w:left="0" w:right="0" w:firstLine="0"/>
                        <w:jc w:val="left"/>
                        <w:rPr>
                          <w:rFonts w:ascii="Times New Roman" w:hAnsi="Times New Roman" w:cs="Times New Roman" w:eastAsia="Times New Roman" w:hint="default"/>
                          <w:sz w:val="18"/>
                          <w:szCs w:val="18"/>
                        </w:rPr>
                      </w:pPr>
                      <w:r>
                        <w:rPr>
                          <w:rFonts w:ascii="Times New Roman"/>
                          <w:spacing w:val="-1"/>
                          <w:sz w:val="18"/>
                        </w:rPr>
                        <w:t>400,543,309.25</w:t>
                        <w:tab/>
                        <w:t>229,384,974.60</w:t>
                      </w:r>
                    </w:p>
                  </w:txbxContent>
                </v:textbox>
                <w10:wrap type="none"/>
              </v:shape>
            </v:group>
          </v:group>
        </w:pict>
      </w:r>
      <w:r>
        <w:rPr>
          <w:rFonts w:ascii="宋体" w:hAnsi="宋体" w:cs="宋体" w:eastAsia="宋体" w:hint="default"/>
          <w:position w:val="-28"/>
          <w:sz w:val="20"/>
          <w:szCs w:val="2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tabs>
          <w:tab w:pos="1408" w:val="left" w:leader="none"/>
        </w:tabs>
        <w:spacing w:before="35"/>
        <w:ind w:left="869" w:right="0" w:firstLine="0"/>
        <w:jc w:val="left"/>
        <w:rPr>
          <w:rFonts w:ascii="宋体" w:hAnsi="宋体" w:cs="宋体" w:eastAsia="宋体" w:hint="default"/>
          <w:sz w:val="21"/>
          <w:szCs w:val="21"/>
        </w:rPr>
      </w:pPr>
      <w:r>
        <w:rPr/>
        <w:pict>
          <v:group style="position:absolute;margin-left:88.379997pt;margin-top:17.07365pt;width:393.45pt;height:128.0500pt;mso-position-horizontal-relative:page;mso-position-vertical-relative:paragraph;z-index:-800632" coordorigin="1768,341" coordsize="7869,2561">
            <v:group style="position:absolute;left:1787;top:356;width:7827;height:2" coordorigin="1787,356" coordsize="7827,2">
              <v:shape style="position:absolute;left:1787;top:356;width:7827;height:2" coordorigin="1787,356" coordsize="7827,0" path="m1787,356l9613,356e" filled="false" stroked="true" strokeweight="1.5pt" strokecolor="#000000">
                <v:path arrowok="t"/>
              </v:shape>
              <v:shape style="position:absolute;left:3662;top:343;width:3007;height:448" type="#_x0000_t75" stroked="false">
                <v:imagedata r:id="rId382" o:title=""/>
              </v:shape>
              <v:shape style="position:absolute;left:3672;top:742;width:5964;height:439" type="#_x0000_t75" stroked="false">
                <v:imagedata r:id="rId383" o:title=""/>
              </v:shape>
              <v:shape style="position:absolute;left:1768;top:1143;width:7868;height:1759" type="#_x0000_t75" stroked="false">
                <v:imagedata r:id="rId384" o:title=""/>
              </v:shape>
              <v:shape style="position:absolute;left:4807;top:55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7765;top:55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group>
            <w10:wrap type="none"/>
          </v:group>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主营业务（分产品）</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2"/>
          <w:szCs w:val="12"/>
        </w:rPr>
      </w:pPr>
    </w:p>
    <w:tbl>
      <w:tblPr>
        <w:tblW w:w="0" w:type="auto"/>
        <w:jc w:val="left"/>
        <w:tblInd w:w="719" w:type="dxa"/>
        <w:tblLayout w:type="fixed"/>
        <w:tblCellMar>
          <w:top w:w="0" w:type="dxa"/>
          <w:left w:w="0" w:type="dxa"/>
          <w:bottom w:w="0" w:type="dxa"/>
          <w:right w:w="0" w:type="dxa"/>
        </w:tblCellMar>
        <w:tblLook w:val="01E0"/>
      </w:tblPr>
      <w:tblGrid>
        <w:gridCol w:w="1659"/>
        <w:gridCol w:w="1714"/>
        <w:gridCol w:w="1537"/>
        <w:gridCol w:w="1489"/>
        <w:gridCol w:w="1285"/>
      </w:tblGrid>
      <w:tr>
        <w:trPr>
          <w:trHeight w:val="412" w:hRule="exact"/>
        </w:trPr>
        <w:tc>
          <w:tcPr>
            <w:tcW w:w="1659" w:type="dxa"/>
            <w:tcBorders>
              <w:top w:val="nil" w:sz="6" w:space="0" w:color="auto"/>
              <w:left w:val="nil" w:sz="6" w:space="0" w:color="auto"/>
              <w:bottom w:val="nil" w:sz="6" w:space="0" w:color="auto"/>
              <w:right w:val="nil" w:sz="6" w:space="0" w:color="auto"/>
            </w:tcBorders>
          </w:tcPr>
          <w:p>
            <w:pPr>
              <w:pStyle w:val="TableParagraph"/>
              <w:tabs>
                <w:tab w:pos="539" w:val="left" w:leader="none"/>
              </w:tabs>
              <w:spacing w:line="180" w:lineRule="exact"/>
              <w:ind w:right="414"/>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55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308"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30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308"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271" w:hRule="exact"/>
        </w:trPr>
        <w:tc>
          <w:tcPr>
            <w:tcW w:w="1659" w:type="dxa"/>
            <w:tcBorders>
              <w:top w:val="nil" w:sz="6" w:space="0" w:color="auto"/>
              <w:left w:val="nil" w:sz="6" w:space="0" w:color="auto"/>
              <w:bottom w:val="nil" w:sz="6" w:space="0" w:color="auto"/>
              <w:right w:val="nil" w:sz="6" w:space="0" w:color="auto"/>
            </w:tcBorders>
          </w:tcPr>
          <w:p>
            <w:pPr>
              <w:pStyle w:val="TableParagraph"/>
              <w:spacing w:line="225" w:lineRule="exact"/>
              <w:ind w:left="35" w:right="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销售</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70"/>
              <w:jc w:val="right"/>
              <w:rPr>
                <w:rFonts w:ascii="Times New Roman" w:hAnsi="Times New Roman" w:cs="Times New Roman" w:eastAsia="Times New Roman" w:hint="default"/>
                <w:sz w:val="18"/>
                <w:szCs w:val="18"/>
              </w:rPr>
            </w:pPr>
            <w:r>
              <w:rPr>
                <w:rFonts w:ascii="Times New Roman"/>
                <w:spacing w:val="-1"/>
                <w:sz w:val="18"/>
              </w:rPr>
              <w:t>234,490,466.64</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36"/>
              <w:jc w:val="right"/>
              <w:rPr>
                <w:rFonts w:ascii="Times New Roman" w:hAnsi="Times New Roman" w:cs="Times New Roman" w:eastAsia="Times New Roman" w:hint="default"/>
                <w:sz w:val="18"/>
                <w:szCs w:val="18"/>
              </w:rPr>
            </w:pPr>
            <w:r>
              <w:rPr>
                <w:rFonts w:ascii="Times New Roman"/>
                <w:spacing w:val="-1"/>
                <w:sz w:val="18"/>
              </w:rPr>
              <w:t>170,961,999.72</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22"/>
              <w:jc w:val="right"/>
              <w:rPr>
                <w:rFonts w:ascii="Times New Roman" w:hAnsi="Times New Roman" w:cs="Times New Roman" w:eastAsia="Times New Roman" w:hint="default"/>
                <w:sz w:val="18"/>
                <w:szCs w:val="18"/>
              </w:rPr>
            </w:pPr>
            <w:r>
              <w:rPr>
                <w:rFonts w:ascii="Times New Roman"/>
                <w:spacing w:val="-1"/>
                <w:sz w:val="18"/>
              </w:rPr>
              <w:t>158,459,611.72</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Times New Roman" w:hAnsi="Times New Roman" w:cs="Times New Roman" w:eastAsia="Times New Roman" w:hint="default"/>
                <w:sz w:val="18"/>
                <w:szCs w:val="18"/>
              </w:rPr>
            </w:pPr>
            <w:r>
              <w:rPr>
                <w:rFonts w:ascii="Times New Roman"/>
                <w:spacing w:val="-1"/>
                <w:sz w:val="18"/>
              </w:rPr>
              <w:t>114,364,359.94</w:t>
            </w:r>
          </w:p>
        </w:tc>
      </w:tr>
      <w:tr>
        <w:trPr>
          <w:trHeight w:val="290" w:hRule="exact"/>
        </w:trPr>
        <w:tc>
          <w:tcPr>
            <w:tcW w:w="1659" w:type="dxa"/>
            <w:tcBorders>
              <w:top w:val="nil" w:sz="6" w:space="0" w:color="auto"/>
              <w:left w:val="nil" w:sz="6" w:space="0" w:color="auto"/>
              <w:bottom w:val="nil" w:sz="6" w:space="0" w:color="auto"/>
              <w:right w:val="nil" w:sz="6" w:space="0" w:color="auto"/>
            </w:tcBorders>
          </w:tcPr>
          <w:p>
            <w:pPr>
              <w:pStyle w:val="TableParagraph"/>
              <w:spacing w:line="244" w:lineRule="exact"/>
              <w:ind w:left="35" w:right="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合作运营</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0"/>
              <w:jc w:val="right"/>
              <w:rPr>
                <w:rFonts w:ascii="Times New Roman" w:hAnsi="Times New Roman" w:cs="Times New Roman" w:eastAsia="Times New Roman" w:hint="default"/>
                <w:sz w:val="18"/>
                <w:szCs w:val="18"/>
              </w:rPr>
            </w:pPr>
            <w:r>
              <w:rPr>
                <w:rFonts w:ascii="Times New Roman"/>
                <w:spacing w:val="-1"/>
                <w:sz w:val="18"/>
              </w:rPr>
              <w:t>167,370,888.61</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6"/>
              <w:jc w:val="right"/>
              <w:rPr>
                <w:rFonts w:ascii="Times New Roman" w:hAnsi="Times New Roman" w:cs="Times New Roman" w:eastAsia="Times New Roman" w:hint="default"/>
                <w:sz w:val="18"/>
                <w:szCs w:val="18"/>
              </w:rPr>
            </w:pPr>
            <w:r>
              <w:rPr>
                <w:rFonts w:ascii="Times New Roman"/>
                <w:spacing w:val="-1"/>
                <w:sz w:val="18"/>
              </w:rPr>
              <w:t>84,538,930.06</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22"/>
              <w:jc w:val="right"/>
              <w:rPr>
                <w:rFonts w:ascii="Times New Roman" w:hAnsi="Times New Roman" w:cs="Times New Roman" w:eastAsia="Times New Roman" w:hint="default"/>
                <w:sz w:val="18"/>
                <w:szCs w:val="18"/>
              </w:rPr>
            </w:pPr>
            <w:r>
              <w:rPr>
                <w:rFonts w:ascii="Times New Roman"/>
                <w:spacing w:val="-1"/>
                <w:sz w:val="18"/>
              </w:rPr>
              <w:t>150,912,635.77</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Times New Roman" w:hAnsi="Times New Roman" w:cs="Times New Roman" w:eastAsia="Times New Roman" w:hint="default"/>
                <w:sz w:val="18"/>
                <w:szCs w:val="18"/>
              </w:rPr>
            </w:pPr>
            <w:r>
              <w:rPr>
                <w:rFonts w:ascii="Times New Roman"/>
                <w:spacing w:val="-1"/>
                <w:sz w:val="18"/>
              </w:rPr>
              <w:t>77,765,938.80</w:t>
            </w:r>
          </w:p>
        </w:tc>
      </w:tr>
      <w:tr>
        <w:trPr>
          <w:trHeight w:val="290" w:hRule="exact"/>
        </w:trPr>
        <w:tc>
          <w:tcPr>
            <w:tcW w:w="1659" w:type="dxa"/>
            <w:tcBorders>
              <w:top w:val="nil" w:sz="6" w:space="0" w:color="auto"/>
              <w:left w:val="nil" w:sz="6" w:space="0" w:color="auto"/>
              <w:bottom w:val="nil" w:sz="6" w:space="0" w:color="auto"/>
              <w:right w:val="nil" w:sz="6" w:space="0" w:color="auto"/>
            </w:tcBorders>
          </w:tcPr>
          <w:p>
            <w:pPr>
              <w:pStyle w:val="TableParagraph"/>
              <w:spacing w:line="243" w:lineRule="exact"/>
              <w:ind w:left="35" w:right="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融资租赁</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70"/>
              <w:jc w:val="right"/>
              <w:rPr>
                <w:rFonts w:ascii="Times New Roman" w:hAnsi="Times New Roman" w:cs="Times New Roman" w:eastAsia="Times New Roman" w:hint="default"/>
                <w:sz w:val="18"/>
                <w:szCs w:val="18"/>
              </w:rPr>
            </w:pPr>
            <w:r>
              <w:rPr>
                <w:rFonts w:ascii="Times New Roman"/>
                <w:spacing w:val="-1"/>
                <w:sz w:val="18"/>
              </w:rPr>
              <w:t>196,816,306.06</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37"/>
              <w:jc w:val="right"/>
              <w:rPr>
                <w:rFonts w:ascii="Times New Roman" w:hAnsi="Times New Roman" w:cs="Times New Roman" w:eastAsia="Times New Roman" w:hint="default"/>
                <w:sz w:val="18"/>
                <w:szCs w:val="18"/>
              </w:rPr>
            </w:pPr>
            <w:r>
              <w:rPr>
                <w:rFonts w:ascii="Times New Roman"/>
                <w:spacing w:val="-1"/>
                <w:sz w:val="18"/>
              </w:rPr>
              <w:t>95,295,800.11</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22"/>
              <w:jc w:val="right"/>
              <w:rPr>
                <w:rFonts w:ascii="Times New Roman" w:hAnsi="Times New Roman" w:cs="Times New Roman" w:eastAsia="Times New Roman" w:hint="default"/>
                <w:sz w:val="18"/>
                <w:szCs w:val="18"/>
              </w:rPr>
            </w:pPr>
            <w:r>
              <w:rPr>
                <w:rFonts w:ascii="Times New Roman"/>
                <w:spacing w:val="-1"/>
                <w:sz w:val="18"/>
              </w:rPr>
              <w:t>75,579,037.10</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3"/>
              <w:jc w:val="right"/>
              <w:rPr>
                <w:rFonts w:ascii="Times New Roman" w:hAnsi="Times New Roman" w:cs="Times New Roman" w:eastAsia="Times New Roman" w:hint="default"/>
                <w:sz w:val="18"/>
                <w:szCs w:val="18"/>
              </w:rPr>
            </w:pPr>
            <w:r>
              <w:rPr>
                <w:rFonts w:ascii="Times New Roman"/>
                <w:spacing w:val="-1"/>
                <w:sz w:val="18"/>
              </w:rPr>
              <w:t>31,336,458.10</w:t>
            </w:r>
          </w:p>
        </w:tc>
      </w:tr>
      <w:tr>
        <w:trPr>
          <w:trHeight w:val="290" w:hRule="exact"/>
        </w:trPr>
        <w:tc>
          <w:tcPr>
            <w:tcW w:w="1659" w:type="dxa"/>
            <w:tcBorders>
              <w:top w:val="nil" w:sz="6" w:space="0" w:color="auto"/>
              <w:left w:val="nil" w:sz="6" w:space="0" w:color="auto"/>
              <w:bottom w:val="nil" w:sz="6" w:space="0" w:color="auto"/>
              <w:right w:val="nil" w:sz="6" w:space="0" w:color="auto"/>
            </w:tcBorders>
          </w:tcPr>
          <w:p>
            <w:pPr>
              <w:pStyle w:val="TableParagraph"/>
              <w:spacing w:line="244" w:lineRule="exact"/>
              <w:ind w:left="35" w:right="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技术服务</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0"/>
              <w:jc w:val="right"/>
              <w:rPr>
                <w:rFonts w:ascii="Times New Roman" w:hAnsi="Times New Roman" w:cs="Times New Roman" w:eastAsia="Times New Roman" w:hint="default"/>
                <w:sz w:val="18"/>
                <w:szCs w:val="18"/>
              </w:rPr>
            </w:pPr>
            <w:r>
              <w:rPr>
                <w:rFonts w:ascii="Times New Roman"/>
                <w:spacing w:val="-1"/>
                <w:sz w:val="18"/>
              </w:rPr>
              <w:t>16,300,683.91</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6"/>
              <w:jc w:val="right"/>
              <w:rPr>
                <w:rFonts w:ascii="Times New Roman" w:hAnsi="Times New Roman" w:cs="Times New Roman" w:eastAsia="Times New Roman" w:hint="default"/>
                <w:sz w:val="18"/>
                <w:szCs w:val="18"/>
              </w:rPr>
            </w:pPr>
            <w:r>
              <w:rPr>
                <w:rFonts w:ascii="Times New Roman"/>
                <w:spacing w:val="-1"/>
                <w:sz w:val="18"/>
              </w:rPr>
              <w:t>3,256,922.32</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22"/>
              <w:jc w:val="right"/>
              <w:rPr>
                <w:rFonts w:ascii="Times New Roman" w:hAnsi="Times New Roman" w:cs="Times New Roman" w:eastAsia="Times New Roman" w:hint="default"/>
                <w:sz w:val="18"/>
                <w:szCs w:val="18"/>
              </w:rPr>
            </w:pPr>
            <w:r>
              <w:rPr>
                <w:rFonts w:ascii="Times New Roman"/>
                <w:spacing w:val="-1"/>
                <w:sz w:val="18"/>
              </w:rPr>
              <w:t>7,880,486.20</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Times New Roman" w:hAnsi="Times New Roman" w:cs="Times New Roman" w:eastAsia="Times New Roman" w:hint="default"/>
                <w:sz w:val="18"/>
                <w:szCs w:val="18"/>
              </w:rPr>
            </w:pPr>
            <w:r>
              <w:rPr>
                <w:rFonts w:ascii="Times New Roman"/>
                <w:sz w:val="18"/>
              </w:rPr>
              <w:t>910,052.34</w:t>
            </w:r>
          </w:p>
        </w:tc>
      </w:tr>
      <w:tr>
        <w:trPr>
          <w:trHeight w:val="290" w:hRule="exact"/>
        </w:trPr>
        <w:tc>
          <w:tcPr>
            <w:tcW w:w="1659" w:type="dxa"/>
            <w:tcBorders>
              <w:top w:val="nil" w:sz="6" w:space="0" w:color="auto"/>
              <w:left w:val="nil" w:sz="6" w:space="0" w:color="auto"/>
              <w:bottom w:val="nil" w:sz="6" w:space="0" w:color="auto"/>
              <w:right w:val="nil" w:sz="6" w:space="0" w:color="auto"/>
            </w:tcBorders>
          </w:tcPr>
          <w:p>
            <w:pPr>
              <w:pStyle w:val="TableParagraph"/>
              <w:spacing w:line="230" w:lineRule="exact"/>
              <w:ind w:left="35" w:right="0"/>
              <w:jc w:val="left"/>
              <w:rPr>
                <w:rFonts w:ascii="宋体" w:hAnsi="宋体" w:cs="宋体" w:eastAsia="宋体" w:hint="default"/>
                <w:sz w:val="18"/>
                <w:szCs w:val="18"/>
              </w:rPr>
            </w:pPr>
            <w:r>
              <w:rPr>
                <w:rFonts w:ascii="宋体" w:hAnsi="宋体" w:cs="宋体" w:eastAsia="宋体" w:hint="default"/>
                <w:sz w:val="18"/>
                <w:szCs w:val="18"/>
              </w:rPr>
              <w:t>加工收入</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0"/>
              <w:jc w:val="right"/>
              <w:rPr>
                <w:rFonts w:ascii="Times New Roman" w:hAnsi="Times New Roman" w:cs="Times New Roman" w:eastAsia="Times New Roman" w:hint="default"/>
                <w:sz w:val="18"/>
                <w:szCs w:val="18"/>
              </w:rPr>
            </w:pPr>
            <w:r>
              <w:rPr>
                <w:rFonts w:ascii="Times New Roman"/>
                <w:spacing w:val="-1"/>
                <w:sz w:val="18"/>
              </w:rPr>
              <w:t>11,032,307.69</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6"/>
              <w:jc w:val="right"/>
              <w:rPr>
                <w:rFonts w:ascii="Times New Roman" w:hAnsi="Times New Roman" w:cs="Times New Roman" w:eastAsia="Times New Roman" w:hint="default"/>
                <w:sz w:val="18"/>
                <w:szCs w:val="18"/>
              </w:rPr>
            </w:pPr>
            <w:r>
              <w:rPr>
                <w:rFonts w:ascii="Times New Roman"/>
                <w:spacing w:val="-1"/>
                <w:sz w:val="18"/>
              </w:rPr>
              <w:t>6,728,357.90</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22"/>
              <w:jc w:val="right"/>
              <w:rPr>
                <w:rFonts w:ascii="Times New Roman" w:hAnsi="Times New Roman" w:cs="Times New Roman" w:eastAsia="Times New Roman" w:hint="default"/>
                <w:sz w:val="18"/>
                <w:szCs w:val="18"/>
              </w:rPr>
            </w:pPr>
            <w:r>
              <w:rPr>
                <w:rFonts w:ascii="Times New Roman"/>
                <w:spacing w:val="-1"/>
                <w:sz w:val="18"/>
              </w:rPr>
              <w:t>7,711,538.46</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Times New Roman" w:hAnsi="Times New Roman" w:cs="Times New Roman" w:eastAsia="Times New Roman" w:hint="default"/>
                <w:sz w:val="18"/>
                <w:szCs w:val="18"/>
              </w:rPr>
            </w:pPr>
            <w:r>
              <w:rPr>
                <w:rFonts w:ascii="Times New Roman"/>
                <w:spacing w:val="-1"/>
                <w:sz w:val="18"/>
              </w:rPr>
              <w:t>5,008,165.42</w:t>
            </w:r>
          </w:p>
        </w:tc>
      </w:tr>
      <w:tr>
        <w:trPr>
          <w:trHeight w:val="320" w:hRule="exact"/>
        </w:trPr>
        <w:tc>
          <w:tcPr>
            <w:tcW w:w="1659" w:type="dxa"/>
            <w:tcBorders>
              <w:top w:val="nil" w:sz="6" w:space="0" w:color="auto"/>
              <w:left w:val="nil" w:sz="6" w:space="0" w:color="auto"/>
              <w:bottom w:val="single" w:sz="12" w:space="0" w:color="000000"/>
              <w:right w:val="nil" w:sz="6" w:space="0" w:color="auto"/>
            </w:tcBorders>
          </w:tcPr>
          <w:p>
            <w:pPr>
              <w:pStyle w:val="TableParagraph"/>
              <w:tabs>
                <w:tab w:pos="449" w:val="left" w:leader="none"/>
              </w:tabs>
              <w:spacing w:line="231" w:lineRule="exact"/>
              <w:ind w:right="460"/>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1714"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170"/>
              <w:jc w:val="right"/>
              <w:rPr>
                <w:rFonts w:ascii="Times New Roman" w:hAnsi="Times New Roman" w:cs="Times New Roman" w:eastAsia="Times New Roman" w:hint="default"/>
                <w:sz w:val="18"/>
                <w:szCs w:val="18"/>
              </w:rPr>
            </w:pPr>
            <w:r>
              <w:rPr>
                <w:rFonts w:ascii="Times New Roman"/>
                <w:spacing w:val="-1"/>
                <w:sz w:val="18"/>
              </w:rPr>
              <w:t>626,010,652.91</w:t>
            </w:r>
          </w:p>
        </w:tc>
        <w:tc>
          <w:tcPr>
            <w:tcW w:w="1537"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237"/>
              <w:jc w:val="right"/>
              <w:rPr>
                <w:rFonts w:ascii="Times New Roman" w:hAnsi="Times New Roman" w:cs="Times New Roman" w:eastAsia="Times New Roman" w:hint="default"/>
                <w:sz w:val="18"/>
                <w:szCs w:val="18"/>
              </w:rPr>
            </w:pPr>
            <w:r>
              <w:rPr>
                <w:rFonts w:ascii="Times New Roman"/>
                <w:spacing w:val="-1"/>
                <w:sz w:val="18"/>
              </w:rPr>
              <w:t>360,782,010.11</w:t>
            </w:r>
          </w:p>
        </w:tc>
        <w:tc>
          <w:tcPr>
            <w:tcW w:w="1489"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122"/>
              <w:jc w:val="right"/>
              <w:rPr>
                <w:rFonts w:ascii="Times New Roman" w:hAnsi="Times New Roman" w:cs="Times New Roman" w:eastAsia="Times New Roman" w:hint="default"/>
                <w:sz w:val="18"/>
                <w:szCs w:val="18"/>
              </w:rPr>
            </w:pPr>
            <w:r>
              <w:rPr>
                <w:rFonts w:ascii="Times New Roman"/>
                <w:spacing w:val="-1"/>
                <w:sz w:val="18"/>
              </w:rPr>
              <w:t>400,543,309.25</w:t>
            </w:r>
          </w:p>
        </w:tc>
        <w:tc>
          <w:tcPr>
            <w:tcW w:w="1285"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33"/>
              <w:jc w:val="right"/>
              <w:rPr>
                <w:rFonts w:ascii="Times New Roman" w:hAnsi="Times New Roman" w:cs="Times New Roman" w:eastAsia="Times New Roman" w:hint="default"/>
                <w:sz w:val="18"/>
                <w:szCs w:val="18"/>
              </w:rPr>
            </w:pPr>
            <w:r>
              <w:rPr>
                <w:rFonts w:ascii="Times New Roman"/>
                <w:spacing w:val="-1"/>
                <w:sz w:val="18"/>
              </w:rPr>
              <w:t>229,384,974.60</w:t>
            </w:r>
          </w:p>
        </w:tc>
      </w:tr>
    </w:tbl>
    <w:p>
      <w:pPr>
        <w:spacing w:line="240" w:lineRule="auto" w:before="0"/>
        <w:rPr>
          <w:rFonts w:ascii="宋体" w:hAnsi="宋体" w:cs="宋体" w:eastAsia="宋体" w:hint="default"/>
          <w:b/>
          <w:bCs/>
          <w:sz w:val="20"/>
          <w:szCs w:val="20"/>
        </w:rPr>
      </w:pPr>
    </w:p>
    <w:p>
      <w:pPr>
        <w:tabs>
          <w:tab w:pos="1408" w:val="left" w:leader="none"/>
        </w:tabs>
        <w:spacing w:before="197"/>
        <w:ind w:left="869" w:right="0" w:firstLine="0"/>
        <w:jc w:val="left"/>
        <w:rPr>
          <w:rFonts w:ascii="宋体" w:hAnsi="宋体" w:cs="宋体" w:eastAsia="宋体" w:hint="default"/>
          <w:sz w:val="21"/>
          <w:szCs w:val="21"/>
        </w:rPr>
      </w:pPr>
      <w:r>
        <w:rPr/>
        <w:pict>
          <v:group style="position:absolute;margin-left:93.629997pt;margin-top:25.173672pt;width:405pt;height:100.6pt;mso-position-horizontal-relative:page;mso-position-vertical-relative:paragraph;z-index:-800560" coordorigin="1873,503" coordsize="8100,2012">
            <v:group style="position:absolute;left:1902;top:518;width:8038;height:2" coordorigin="1902,518" coordsize="8038,2">
              <v:shape style="position:absolute;left:1902;top:518;width:8038;height:2" coordorigin="1902,518" coordsize="8038,0" path="m1902,518l9940,518e" filled="false" stroked="true" strokeweight="1.5pt" strokecolor="#000000">
                <v:path arrowok="t"/>
              </v:shape>
              <v:shape style="position:absolute;left:3779;top:505;width:3217;height:448" type="#_x0000_t75" stroked="false">
                <v:imagedata r:id="rId385" o:title=""/>
              </v:shape>
              <v:shape style="position:absolute;left:3779;top:895;width:6193;height:457" type="#_x0000_t75" stroked="false">
                <v:imagedata r:id="rId386" o:title=""/>
              </v:shape>
            </v:group>
            <v:group style="position:absolute;left:3704;top:1334;width:104;height:280" coordorigin="3704,1334" coordsize="104,280">
              <v:shape style="position:absolute;left:3704;top:1334;width:104;height:280" coordorigin="3704,1334" coordsize="104,280" path="m3704,1613l3808,1613,3808,1334,3704,1334,3704,1613xe" filled="true" fillcolor="#ffffff" stroked="false">
                <v:path arrowok="t"/>
                <v:fill type="solid"/>
              </v:shape>
            </v:group>
            <v:group style="position:absolute;left:1903;top:1334;width:108;height:280" coordorigin="1903,1334" coordsize="108,280">
              <v:shape style="position:absolute;left:1903;top:1334;width:108;height:280" coordorigin="1903,1334" coordsize="108,280" path="m1903,1613l2011,1613,2011,1334,1903,1334,1903,1613xe" filled="true" fillcolor="#ffffff" stroked="false">
                <v:path arrowok="t"/>
                <v:fill type="solid"/>
              </v:shape>
            </v:group>
            <v:group style="position:absolute;left:3818;top:1334;width:1592;height:280" coordorigin="3818,1334" coordsize="1592,280">
              <v:shape style="position:absolute;left:3818;top:1334;width:1592;height:280" coordorigin="3818,1334" coordsize="1592,280" path="m3818,1613l5410,1613,5410,1334,3818,1334,3818,1613xe" filled="true" fillcolor="#ffffff" stroked="false">
                <v:path arrowok="t"/>
                <v:fill type="solid"/>
              </v:shape>
            </v:group>
            <v:group style="position:absolute;left:3920;top:1365;width:1386;height:249" coordorigin="3920,1365" coordsize="1386,249">
              <v:shape style="position:absolute;left:3920;top:1365;width:1386;height:249" coordorigin="3920,1365" coordsize="1386,249" path="m3920,1613l5306,1613,5306,1365,3920,1365,3920,1613xe" filled="true" fillcolor="#ffffff" stroked="false">
                <v:path arrowok="t"/>
                <v:fill type="solid"/>
              </v:shape>
            </v:group>
            <v:group style="position:absolute;left:5420;top:1334;width:1538;height:280" coordorigin="5420,1334" coordsize="1538,280">
              <v:shape style="position:absolute;left:5420;top:1334;width:1538;height:280" coordorigin="5420,1334" coordsize="1538,280" path="m5420,1613l6958,1613,6958,1334,5420,1334,5420,1613xe" filled="true" fillcolor="#ffffff" stroked="false">
                <v:path arrowok="t"/>
                <v:fill type="solid"/>
              </v:shape>
            </v:group>
            <v:group style="position:absolute;left:5522;top:1349;width:1334;height:249" coordorigin="5522,1349" coordsize="1334,249">
              <v:shape style="position:absolute;left:5522;top:1349;width:1334;height:249" coordorigin="5522,1349" coordsize="1334,249" path="m5522,1598l6856,1598,6856,1349,5522,1349,5522,1598xe" filled="true" fillcolor="#ffffff" stroked="false">
                <v:path arrowok="t"/>
                <v:fill type="solid"/>
              </v:shape>
            </v:group>
            <v:group style="position:absolute;left:6968;top:1334;width:1593;height:280" coordorigin="6968,1334" coordsize="1593,280">
              <v:shape style="position:absolute;left:6968;top:1334;width:1593;height:280" coordorigin="6968,1334" coordsize="1593,280" path="m6968,1613l8561,1613,8561,1334,6968,1334,6968,1613xe" filled="true" fillcolor="#ffffff" stroked="false">
                <v:path arrowok="t"/>
                <v:fill type="solid"/>
              </v:shape>
            </v:group>
            <v:group style="position:absolute;left:7070;top:1349;width:1388;height:249" coordorigin="7070,1349" coordsize="1388,249">
              <v:shape style="position:absolute;left:7070;top:1349;width:1388;height:249" coordorigin="7070,1349" coordsize="1388,249" path="m7070,1598l8458,1598,8458,1349,7070,1349,7070,1598xe" filled="true" fillcolor="#ffffff" stroked="false">
                <v:path arrowok="t"/>
                <v:fill type="solid"/>
              </v:shape>
            </v:group>
            <v:group style="position:absolute;left:8570;top:1334;width:1370;height:280" coordorigin="8570,1334" coordsize="1370,280">
              <v:shape style="position:absolute;left:8570;top:1334;width:1370;height:280" coordorigin="8570,1334" coordsize="1370,280" path="m8570,1613l9940,1613,9940,1334,8570,1334,8570,1613xe" filled="true" fillcolor="#ffffff" stroked="false">
                <v:path arrowok="t"/>
                <v:fill type="solid"/>
              </v:shape>
            </v:group>
            <v:group style="position:absolute;left:8674;top:1349;width:1158;height:249" coordorigin="8674,1349" coordsize="1158,249">
              <v:shape style="position:absolute;left:8674;top:1349;width:1158;height:249" coordorigin="8674,1349" coordsize="1158,249" path="m8674,1598l9832,1598,9832,1349,8674,1349,8674,1598xe" filled="true" fillcolor="#ffffff" stroked="false">
                <v:path arrowok="t"/>
                <v:fill type="solid"/>
              </v:shape>
            </v:group>
            <v:group style="position:absolute;left:1888;top:2500;width:1920;height:2" coordorigin="1888,2500" coordsize="1920,2">
              <v:shape style="position:absolute;left:1888;top:2500;width:1920;height:2" coordorigin="1888,2500" coordsize="1920,0" path="m1888,2500l3808,2500e" filled="false" stroked="true" strokeweight="1.5pt" strokecolor="#000000">
                <v:path arrowok="t"/>
              </v:shape>
            </v:group>
            <v:group style="position:absolute;left:3808;top:2500;width:1602;height:2" coordorigin="3808,2500" coordsize="1602,2">
              <v:shape style="position:absolute;left:3808;top:2500;width:1602;height:2" coordorigin="3808,2500" coordsize="1602,0" path="m3808,2500l5410,2500e" filled="false" stroked="true" strokeweight="1.5pt" strokecolor="#000000">
                <v:path arrowok="t"/>
              </v:shape>
            </v:group>
            <v:group style="position:absolute;left:5410;top:2500;width:1548;height:2" coordorigin="5410,2500" coordsize="1548,2">
              <v:shape style="position:absolute;left:5410;top:2500;width:1548;height:2" coordorigin="5410,2500" coordsize="1548,0" path="m5410,2500l6958,2500e" filled="false" stroked="true" strokeweight="1.5pt" strokecolor="#000000">
                <v:path arrowok="t"/>
              </v:shape>
            </v:group>
            <v:group style="position:absolute;left:6958;top:2500;width:1604;height:2" coordorigin="6958,2500" coordsize="1604,2">
              <v:shape style="position:absolute;left:6958;top:2500;width:1604;height:2" coordorigin="6958,2500" coordsize="1604,0" path="m6958,2500l8561,2500e" filled="false" stroked="true" strokeweight="1.5pt" strokecolor="#000000">
                <v:path arrowok="t"/>
              </v:shape>
              <v:shape style="position:absolute;left:1873;top:1304;width:8089;height:1181" type="#_x0000_t75" stroked="false">
                <v:imagedata r:id="rId387" o:title=""/>
              </v:shape>
            </v:group>
            <v:group style="position:absolute;left:8561;top:2500;width:1379;height:2" coordorigin="8561,2500" coordsize="1379,2">
              <v:shape style="position:absolute;left:8561;top:2500;width:1379;height:2" coordorigin="8561,2500" coordsize="1379,0" path="m8561,2500l9940,2500e" filled="false" stroked="true" strokeweight="1.5pt" strokecolor="#000000">
                <v:path arrowok="t"/>
              </v:shape>
              <v:shape style="position:absolute;left:5027;top:71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8090;top:71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group>
            <w10:wrap type="none"/>
          </v:group>
        </w:pict>
      </w: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主营业务（分地区）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2"/>
          <w:szCs w:val="12"/>
        </w:rPr>
      </w:pPr>
    </w:p>
    <w:tbl>
      <w:tblPr>
        <w:tblW w:w="0" w:type="auto"/>
        <w:jc w:val="left"/>
        <w:tblInd w:w="926" w:type="dxa"/>
        <w:tblLayout w:type="fixed"/>
        <w:tblCellMar>
          <w:top w:w="0" w:type="dxa"/>
          <w:left w:w="0" w:type="dxa"/>
          <w:bottom w:w="0" w:type="dxa"/>
          <w:right w:w="0" w:type="dxa"/>
        </w:tblCellMar>
        <w:tblLook w:val="01E0"/>
      </w:tblPr>
      <w:tblGrid>
        <w:gridCol w:w="1855"/>
        <w:gridCol w:w="1597"/>
        <w:gridCol w:w="1575"/>
        <w:gridCol w:w="1472"/>
        <w:gridCol w:w="1302"/>
      </w:tblGrid>
      <w:tr>
        <w:trPr>
          <w:trHeight w:val="411" w:hRule="exact"/>
        </w:trPr>
        <w:tc>
          <w:tcPr>
            <w:tcW w:w="1855" w:type="dxa"/>
            <w:tcBorders>
              <w:top w:val="nil" w:sz="6" w:space="0" w:color="auto"/>
              <w:left w:val="nil" w:sz="6" w:space="0" w:color="auto"/>
              <w:bottom w:val="nil" w:sz="6" w:space="0" w:color="auto"/>
              <w:right w:val="nil" w:sz="6" w:space="0" w:color="auto"/>
            </w:tcBorders>
          </w:tcPr>
          <w:p>
            <w:pPr>
              <w:pStyle w:val="TableParagraph"/>
              <w:tabs>
                <w:tab w:pos="972" w:val="left" w:leader="none"/>
              </w:tabs>
              <w:spacing w:line="180" w:lineRule="exact"/>
              <w:ind w:left="432" w:right="0"/>
              <w:jc w:val="left"/>
              <w:rPr>
                <w:rFonts w:ascii="宋体" w:hAnsi="宋体" w:cs="宋体" w:eastAsia="宋体" w:hint="default"/>
                <w:sz w:val="18"/>
                <w:szCs w:val="18"/>
              </w:rPr>
            </w:pPr>
            <w:r>
              <w:rPr>
                <w:rFonts w:ascii="宋体" w:hAnsi="宋体" w:cs="宋体" w:eastAsia="宋体" w:hint="default"/>
                <w:sz w:val="18"/>
                <w:szCs w:val="18"/>
              </w:rPr>
              <w:t>地</w:t>
              <w:tab/>
              <w:t>区</w:t>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33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309"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31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325"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279" w:hRule="exact"/>
        </w:trPr>
        <w:tc>
          <w:tcPr>
            <w:tcW w:w="1855"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8"/>
                <w:szCs w:val="18"/>
              </w:rPr>
            </w:pPr>
            <w:r>
              <w:rPr>
                <w:rFonts w:ascii="宋体" w:hAnsi="宋体" w:cs="宋体" w:eastAsia="宋体" w:hint="default"/>
                <w:sz w:val="18"/>
                <w:szCs w:val="18"/>
              </w:rPr>
              <w:t>广州地区</w:t>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60" w:right="0"/>
              <w:jc w:val="left"/>
              <w:rPr>
                <w:rFonts w:ascii="Times New Roman" w:hAnsi="Times New Roman" w:cs="Times New Roman" w:eastAsia="Times New Roman" w:hint="default"/>
                <w:sz w:val="18"/>
                <w:szCs w:val="18"/>
              </w:rPr>
            </w:pPr>
            <w:r>
              <w:rPr>
                <w:rFonts w:ascii="Times New Roman"/>
                <w:sz w:val="18"/>
              </w:rPr>
              <w:t>146,756,406.25</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37"/>
              <w:jc w:val="right"/>
              <w:rPr>
                <w:rFonts w:ascii="Times New Roman" w:hAnsi="Times New Roman" w:cs="Times New Roman" w:eastAsia="Times New Roman" w:hint="default"/>
                <w:sz w:val="18"/>
                <w:szCs w:val="18"/>
              </w:rPr>
            </w:pPr>
            <w:r>
              <w:rPr>
                <w:rFonts w:ascii="Times New Roman"/>
                <w:spacing w:val="-1"/>
                <w:sz w:val="18"/>
              </w:rPr>
              <w:t>81,713,120.36</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5"/>
              <w:jc w:val="right"/>
              <w:rPr>
                <w:rFonts w:ascii="Times New Roman" w:hAnsi="Times New Roman" w:cs="Times New Roman" w:eastAsia="Times New Roman" w:hint="default"/>
                <w:sz w:val="18"/>
                <w:szCs w:val="18"/>
              </w:rPr>
            </w:pPr>
            <w:r>
              <w:rPr>
                <w:rFonts w:ascii="Times New Roman"/>
                <w:spacing w:val="-1"/>
                <w:sz w:val="18"/>
              </w:rPr>
              <w:t>88,081,328.23</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3"/>
              <w:jc w:val="right"/>
              <w:rPr>
                <w:rFonts w:ascii="Times New Roman" w:hAnsi="Times New Roman" w:cs="Times New Roman" w:eastAsia="Times New Roman" w:hint="default"/>
                <w:sz w:val="18"/>
                <w:szCs w:val="18"/>
              </w:rPr>
            </w:pPr>
            <w:r>
              <w:rPr>
                <w:rFonts w:ascii="Times New Roman"/>
                <w:spacing w:val="-1"/>
                <w:sz w:val="18"/>
              </w:rPr>
              <w:t>50,622,367.62</w:t>
            </w:r>
          </w:p>
        </w:tc>
      </w:tr>
      <w:tr>
        <w:trPr>
          <w:trHeight w:val="290" w:hRule="exact"/>
        </w:trPr>
        <w:tc>
          <w:tcPr>
            <w:tcW w:w="1855" w:type="dxa"/>
            <w:tcBorders>
              <w:top w:val="nil" w:sz="6" w:space="0" w:color="auto"/>
              <w:left w:val="nil" w:sz="6" w:space="0" w:color="auto"/>
              <w:bottom w:val="nil" w:sz="6" w:space="0" w:color="auto"/>
              <w:right w:val="nil" w:sz="6" w:space="0" w:color="auto"/>
            </w:tcBorders>
          </w:tcPr>
          <w:p>
            <w:pPr>
              <w:pStyle w:val="TableParagraph"/>
              <w:spacing w:line="237" w:lineRule="exact"/>
              <w:ind w:left="35" w:right="0"/>
              <w:jc w:val="left"/>
              <w:rPr>
                <w:rFonts w:ascii="宋体" w:hAnsi="宋体" w:cs="宋体" w:eastAsia="宋体" w:hint="default"/>
                <w:sz w:val="18"/>
                <w:szCs w:val="18"/>
              </w:rPr>
            </w:pPr>
            <w:r>
              <w:rPr>
                <w:rFonts w:ascii="宋体" w:hAnsi="宋体" w:cs="宋体" w:eastAsia="宋体" w:hint="default"/>
                <w:sz w:val="18"/>
                <w:szCs w:val="18"/>
              </w:rPr>
              <w:t>广东省</w:t>
            </w:r>
            <w:r>
              <w:rPr>
                <w:rFonts w:ascii="Times New Roman" w:hAnsi="Times New Roman" w:cs="Times New Roman" w:eastAsia="Times New Roman" w:hint="default"/>
                <w:sz w:val="18"/>
                <w:szCs w:val="18"/>
              </w:rPr>
              <w:t>(</w:t>
            </w:r>
            <w:r>
              <w:rPr>
                <w:rFonts w:ascii="宋体" w:hAnsi="宋体" w:cs="宋体" w:eastAsia="宋体" w:hint="default"/>
                <w:sz w:val="18"/>
                <w:szCs w:val="18"/>
              </w:rPr>
              <w:t>除广州</w:t>
            </w:r>
            <w:r>
              <w:rPr>
                <w:rFonts w:ascii="Times New Roman" w:hAnsi="Times New Roman" w:cs="Times New Roman" w:eastAsia="Times New Roman" w:hint="default"/>
                <w:sz w:val="18"/>
                <w:szCs w:val="18"/>
              </w:rPr>
              <w:t>)</w:t>
            </w:r>
            <w:r>
              <w:rPr>
                <w:rFonts w:ascii="宋体" w:hAnsi="宋体" w:cs="宋体" w:eastAsia="宋体" w:hint="default"/>
                <w:sz w:val="18"/>
                <w:szCs w:val="18"/>
              </w:rPr>
              <w:t>地区</w:t>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0" w:right="0"/>
              <w:jc w:val="left"/>
              <w:rPr>
                <w:rFonts w:ascii="Times New Roman" w:hAnsi="Times New Roman" w:cs="Times New Roman" w:eastAsia="Times New Roman" w:hint="default"/>
                <w:sz w:val="18"/>
                <w:szCs w:val="18"/>
              </w:rPr>
            </w:pPr>
            <w:r>
              <w:rPr>
                <w:rFonts w:ascii="Times New Roman"/>
                <w:sz w:val="18"/>
              </w:rPr>
              <w:t>220,969,041.30</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37"/>
              <w:jc w:val="right"/>
              <w:rPr>
                <w:rFonts w:ascii="Times New Roman" w:hAnsi="Times New Roman" w:cs="Times New Roman" w:eastAsia="Times New Roman" w:hint="default"/>
                <w:sz w:val="18"/>
                <w:szCs w:val="18"/>
              </w:rPr>
            </w:pPr>
            <w:r>
              <w:rPr>
                <w:rFonts w:ascii="Times New Roman"/>
                <w:spacing w:val="-1"/>
                <w:sz w:val="18"/>
              </w:rPr>
              <w:t>94,943,443.83</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Times New Roman" w:hAnsi="Times New Roman" w:cs="Times New Roman" w:eastAsia="Times New Roman" w:hint="default"/>
                <w:sz w:val="18"/>
                <w:szCs w:val="18"/>
              </w:rPr>
            </w:pPr>
            <w:r>
              <w:rPr>
                <w:rFonts w:ascii="Times New Roman"/>
                <w:spacing w:val="-1"/>
                <w:sz w:val="18"/>
              </w:rPr>
              <w:t>139,766,973.16</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Times New Roman" w:hAnsi="Times New Roman" w:cs="Times New Roman" w:eastAsia="Times New Roman" w:hint="default"/>
                <w:sz w:val="18"/>
                <w:szCs w:val="18"/>
              </w:rPr>
            </w:pPr>
            <w:r>
              <w:rPr>
                <w:rFonts w:ascii="Times New Roman"/>
                <w:spacing w:val="-1"/>
                <w:sz w:val="18"/>
              </w:rPr>
              <w:t>58,411,512.37</w:t>
            </w:r>
          </w:p>
        </w:tc>
      </w:tr>
      <w:tr>
        <w:trPr>
          <w:trHeight w:val="290" w:hRule="exact"/>
        </w:trPr>
        <w:tc>
          <w:tcPr>
            <w:tcW w:w="1855" w:type="dxa"/>
            <w:tcBorders>
              <w:top w:val="nil" w:sz="6" w:space="0" w:color="auto"/>
              <w:left w:val="nil" w:sz="6" w:space="0" w:color="auto"/>
              <w:bottom w:val="nil" w:sz="6" w:space="0" w:color="auto"/>
              <w:right w:val="nil" w:sz="6" w:space="0" w:color="auto"/>
            </w:tcBorders>
          </w:tcPr>
          <w:p>
            <w:pPr>
              <w:pStyle w:val="TableParagraph"/>
              <w:spacing w:line="222" w:lineRule="exact"/>
              <w:ind w:left="35" w:right="0"/>
              <w:jc w:val="left"/>
              <w:rPr>
                <w:rFonts w:ascii="宋体" w:hAnsi="宋体" w:cs="宋体" w:eastAsia="宋体" w:hint="default"/>
                <w:sz w:val="18"/>
                <w:szCs w:val="18"/>
              </w:rPr>
            </w:pPr>
            <w:r>
              <w:rPr>
                <w:rFonts w:ascii="宋体" w:hAnsi="宋体" w:cs="宋体" w:eastAsia="宋体" w:hint="default"/>
                <w:sz w:val="18"/>
                <w:szCs w:val="18"/>
              </w:rPr>
              <w:t>广东省外地区</w:t>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0" w:right="0"/>
              <w:jc w:val="left"/>
              <w:rPr>
                <w:rFonts w:ascii="Times New Roman" w:hAnsi="Times New Roman" w:cs="Times New Roman" w:eastAsia="Times New Roman" w:hint="default"/>
                <w:sz w:val="18"/>
                <w:szCs w:val="18"/>
              </w:rPr>
            </w:pPr>
            <w:r>
              <w:rPr>
                <w:rFonts w:ascii="Times New Roman"/>
                <w:sz w:val="18"/>
              </w:rPr>
              <w:t>258,285,205.36</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7"/>
              <w:jc w:val="right"/>
              <w:rPr>
                <w:rFonts w:ascii="Times New Roman" w:hAnsi="Times New Roman" w:cs="Times New Roman" w:eastAsia="Times New Roman" w:hint="default"/>
                <w:sz w:val="18"/>
                <w:szCs w:val="18"/>
              </w:rPr>
            </w:pPr>
            <w:r>
              <w:rPr>
                <w:rFonts w:ascii="Times New Roman"/>
                <w:spacing w:val="-1"/>
                <w:sz w:val="18"/>
              </w:rPr>
              <w:t>184,125,445.92</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5"/>
              <w:jc w:val="right"/>
              <w:rPr>
                <w:rFonts w:ascii="Times New Roman" w:hAnsi="Times New Roman" w:cs="Times New Roman" w:eastAsia="Times New Roman" w:hint="default"/>
                <w:sz w:val="18"/>
                <w:szCs w:val="18"/>
              </w:rPr>
            </w:pPr>
            <w:r>
              <w:rPr>
                <w:rFonts w:ascii="Times New Roman"/>
                <w:spacing w:val="-1"/>
                <w:sz w:val="18"/>
              </w:rPr>
              <w:t>172,695,007.86</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Times New Roman" w:hAnsi="Times New Roman" w:cs="Times New Roman" w:eastAsia="Times New Roman" w:hint="default"/>
                <w:sz w:val="18"/>
                <w:szCs w:val="18"/>
              </w:rPr>
            </w:pPr>
            <w:r>
              <w:rPr>
                <w:rFonts w:ascii="Times New Roman"/>
                <w:spacing w:val="-1"/>
                <w:sz w:val="18"/>
              </w:rPr>
              <w:t>120,351,094.61</w:t>
            </w:r>
          </w:p>
        </w:tc>
      </w:tr>
      <w:tr>
        <w:trPr>
          <w:trHeight w:val="313" w:hRule="exact"/>
        </w:trPr>
        <w:tc>
          <w:tcPr>
            <w:tcW w:w="1855" w:type="dxa"/>
            <w:tcBorders>
              <w:top w:val="nil" w:sz="6" w:space="0" w:color="auto"/>
              <w:left w:val="nil" w:sz="6" w:space="0" w:color="auto"/>
              <w:bottom w:val="nil" w:sz="6" w:space="0" w:color="auto"/>
              <w:right w:val="nil" w:sz="6" w:space="0" w:color="auto"/>
            </w:tcBorders>
          </w:tcPr>
          <w:p>
            <w:pPr>
              <w:pStyle w:val="TableParagraph"/>
              <w:tabs>
                <w:tab w:pos="926" w:val="left" w:leader="none"/>
              </w:tabs>
              <w:spacing w:line="222" w:lineRule="exact"/>
              <w:ind w:left="476"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60" w:right="0"/>
              <w:jc w:val="left"/>
              <w:rPr>
                <w:rFonts w:ascii="Times New Roman" w:hAnsi="Times New Roman" w:cs="Times New Roman" w:eastAsia="Times New Roman" w:hint="default"/>
                <w:sz w:val="18"/>
                <w:szCs w:val="18"/>
              </w:rPr>
            </w:pPr>
            <w:r>
              <w:rPr>
                <w:rFonts w:ascii="Times New Roman"/>
                <w:sz w:val="18"/>
              </w:rPr>
              <w:t>626,010,652.91</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37"/>
              <w:jc w:val="right"/>
              <w:rPr>
                <w:rFonts w:ascii="Times New Roman" w:hAnsi="Times New Roman" w:cs="Times New Roman" w:eastAsia="Times New Roman" w:hint="default"/>
                <w:sz w:val="18"/>
                <w:szCs w:val="18"/>
              </w:rPr>
            </w:pPr>
            <w:r>
              <w:rPr>
                <w:rFonts w:ascii="Times New Roman"/>
                <w:spacing w:val="-1"/>
                <w:sz w:val="18"/>
              </w:rPr>
              <w:t>360,782,010.11</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Times New Roman" w:hAnsi="Times New Roman" w:cs="Times New Roman" w:eastAsia="Times New Roman" w:hint="default"/>
                <w:sz w:val="18"/>
                <w:szCs w:val="18"/>
              </w:rPr>
            </w:pPr>
            <w:r>
              <w:rPr>
                <w:rFonts w:ascii="Times New Roman"/>
                <w:spacing w:val="-1"/>
                <w:sz w:val="18"/>
              </w:rPr>
              <w:t>400,543,309.25</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6"/>
              <w:jc w:val="right"/>
              <w:rPr>
                <w:rFonts w:ascii="Times New Roman" w:hAnsi="Times New Roman" w:cs="Times New Roman" w:eastAsia="Times New Roman" w:hint="default"/>
                <w:sz w:val="18"/>
                <w:szCs w:val="18"/>
              </w:rPr>
            </w:pPr>
            <w:r>
              <w:rPr>
                <w:rFonts w:ascii="Times New Roman"/>
                <w:spacing w:val="-1"/>
                <w:sz w:val="18"/>
              </w:rPr>
              <w:t>229,384,974.60</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tabs>
          <w:tab w:pos="1408" w:val="left" w:leader="none"/>
        </w:tabs>
        <w:spacing w:before="35"/>
        <w:ind w:left="870" w:right="0" w:firstLine="0"/>
        <w:jc w:val="left"/>
        <w:rPr>
          <w:rFonts w:ascii="宋体" w:hAnsi="宋体" w:cs="宋体" w:eastAsia="宋体" w:hint="default"/>
          <w:sz w:val="21"/>
          <w:szCs w:val="21"/>
        </w:rPr>
      </w:pPr>
      <w:r>
        <w:rPr/>
        <w:pict>
          <v:group style="position:absolute;margin-left:93.660004pt;margin-top:17.613668pt;width:383.05pt;height:102pt;mso-position-horizontal-relative:page;mso-position-vertical-relative:paragraph;z-index:-800536" coordorigin="1873,352" coordsize="7661,2040">
            <v:shape style="position:absolute;left:5365;top:352;width:1481;height:319" type="#_x0000_t75" stroked="false">
              <v:imagedata r:id="rId388" o:title=""/>
            </v:shape>
            <v:shape style="position:absolute;left:1873;top:633;width:7661;height:1759" type="#_x0000_t75" stroked="false">
              <v:imagedata r:id="rId389" o:title=""/>
            </v:shape>
            <w10:wrap type="none"/>
          </v:group>
        </w:pict>
      </w: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公司前五名客户的营业收入情况</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761" w:type="dxa"/>
        <w:tblLayout w:type="fixed"/>
        <w:tblCellMar>
          <w:top w:w="0" w:type="dxa"/>
          <w:left w:w="0" w:type="dxa"/>
          <w:bottom w:w="0" w:type="dxa"/>
          <w:right w:w="0" w:type="dxa"/>
        </w:tblCellMar>
        <w:tblLook w:val="01E0"/>
      </w:tblPr>
      <w:tblGrid>
        <w:gridCol w:w="3506"/>
        <w:gridCol w:w="1426"/>
        <w:gridCol w:w="2681"/>
      </w:tblGrid>
      <w:tr>
        <w:trPr>
          <w:trHeight w:val="280" w:hRule="exact"/>
        </w:trPr>
        <w:tc>
          <w:tcPr>
            <w:tcW w:w="3506" w:type="dxa"/>
            <w:tcBorders>
              <w:top w:val="single" w:sz="12" w:space="0" w:color="000000"/>
              <w:left w:val="nil" w:sz="6" w:space="0" w:color="auto"/>
              <w:bottom w:val="nil" w:sz="6" w:space="0" w:color="auto"/>
              <w:right w:val="nil" w:sz="6" w:space="0" w:color="auto"/>
            </w:tcBorders>
          </w:tcPr>
          <w:p>
            <w:pPr>
              <w:pStyle w:val="TableParagraph"/>
              <w:spacing w:line="205" w:lineRule="exact"/>
              <w:ind w:right="14"/>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1426" w:type="dxa"/>
            <w:tcBorders>
              <w:top w:val="single" w:sz="12" w:space="0" w:color="000000"/>
              <w:left w:val="nil" w:sz="6" w:space="0" w:color="auto"/>
              <w:bottom w:val="nil" w:sz="6" w:space="0" w:color="auto"/>
              <w:right w:val="nil" w:sz="6" w:space="0" w:color="auto"/>
            </w:tcBorders>
          </w:tcPr>
          <w:p>
            <w:pPr>
              <w:pStyle w:val="TableParagraph"/>
              <w:spacing w:line="205" w:lineRule="exact"/>
              <w:ind w:right="186"/>
              <w:jc w:val="right"/>
              <w:rPr>
                <w:rFonts w:ascii="宋体" w:hAnsi="宋体" w:cs="宋体" w:eastAsia="宋体" w:hint="default"/>
                <w:sz w:val="18"/>
                <w:szCs w:val="18"/>
              </w:rPr>
            </w:pPr>
            <w:r>
              <w:rPr>
                <w:rFonts w:ascii="宋体" w:hAnsi="宋体" w:cs="宋体" w:eastAsia="宋体" w:hint="default"/>
                <w:sz w:val="18"/>
                <w:szCs w:val="18"/>
              </w:rPr>
              <w:t>营业收入总额</w:t>
            </w:r>
          </w:p>
        </w:tc>
        <w:tc>
          <w:tcPr>
            <w:tcW w:w="2681" w:type="dxa"/>
            <w:tcBorders>
              <w:top w:val="single" w:sz="12" w:space="0" w:color="000000"/>
              <w:left w:val="nil" w:sz="6" w:space="0" w:color="auto"/>
              <w:bottom w:val="nil" w:sz="6" w:space="0" w:color="auto"/>
              <w:right w:val="nil" w:sz="6" w:space="0" w:color="auto"/>
            </w:tcBorders>
          </w:tcPr>
          <w:p>
            <w:pPr>
              <w:pStyle w:val="TableParagraph"/>
              <w:spacing w:line="219" w:lineRule="exact"/>
              <w:ind w:right="130"/>
              <w:jc w:val="right"/>
              <w:rPr>
                <w:rFonts w:ascii="Times New Roman" w:hAnsi="Times New Roman" w:cs="Times New Roman" w:eastAsia="Times New Roman" w:hint="default"/>
                <w:sz w:val="18"/>
                <w:szCs w:val="18"/>
              </w:rPr>
            </w:pPr>
            <w:r>
              <w:rPr>
                <w:rFonts w:ascii="宋体" w:hAnsi="宋体" w:cs="宋体" w:eastAsia="宋体" w:hint="default"/>
                <w:sz w:val="18"/>
                <w:szCs w:val="18"/>
              </w:rPr>
              <w:t>占公司全部营业收入的比例</w:t>
            </w:r>
            <w:r>
              <w:rPr>
                <w:rFonts w:ascii="Times New Roman" w:hAnsi="Times New Roman" w:cs="Times New Roman" w:eastAsia="Times New Roman" w:hint="default"/>
                <w:sz w:val="18"/>
                <w:szCs w:val="18"/>
              </w:rPr>
              <w:t>(%)</w:t>
            </w:r>
          </w:p>
        </w:tc>
      </w:tr>
      <w:tr>
        <w:trPr>
          <w:trHeight w:val="290" w:hRule="exact"/>
        </w:trPr>
        <w:tc>
          <w:tcPr>
            <w:tcW w:w="3506" w:type="dxa"/>
            <w:tcBorders>
              <w:top w:val="nil" w:sz="6" w:space="0" w:color="auto"/>
              <w:left w:val="nil" w:sz="6" w:space="0" w:color="auto"/>
              <w:bottom w:val="nil" w:sz="6" w:space="0" w:color="auto"/>
              <w:right w:val="nil" w:sz="6" w:space="0" w:color="auto"/>
            </w:tcBorders>
          </w:tcPr>
          <w:p>
            <w:pPr>
              <w:pStyle w:val="TableParagraph"/>
              <w:spacing w:line="230" w:lineRule="exact"/>
              <w:ind w:left="109" w:right="0"/>
              <w:jc w:val="left"/>
              <w:rPr>
                <w:rFonts w:ascii="宋体" w:hAnsi="宋体" w:cs="宋体" w:eastAsia="宋体" w:hint="default"/>
                <w:sz w:val="18"/>
                <w:szCs w:val="18"/>
              </w:rPr>
            </w:pPr>
            <w:r>
              <w:rPr>
                <w:rFonts w:ascii="宋体" w:hAnsi="宋体" w:cs="宋体" w:eastAsia="宋体" w:hint="default"/>
                <w:sz w:val="18"/>
                <w:szCs w:val="18"/>
              </w:rPr>
              <w:t>广东东莞邮政</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6"/>
              <w:jc w:val="right"/>
              <w:rPr>
                <w:rFonts w:ascii="Times New Roman" w:hAnsi="Times New Roman" w:cs="Times New Roman" w:eastAsia="Times New Roman" w:hint="default"/>
                <w:sz w:val="18"/>
                <w:szCs w:val="18"/>
              </w:rPr>
            </w:pPr>
            <w:r>
              <w:rPr>
                <w:rFonts w:ascii="Times New Roman"/>
                <w:spacing w:val="-1"/>
                <w:sz w:val="18"/>
              </w:rPr>
              <w:t>65,590,004.41</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4"/>
              <w:jc w:val="right"/>
              <w:rPr>
                <w:rFonts w:ascii="Times New Roman" w:hAnsi="Times New Roman" w:cs="Times New Roman" w:eastAsia="Times New Roman" w:hint="default"/>
                <w:sz w:val="18"/>
                <w:szCs w:val="18"/>
              </w:rPr>
            </w:pPr>
            <w:r>
              <w:rPr>
                <w:rFonts w:ascii="Times New Roman"/>
                <w:sz w:val="18"/>
              </w:rPr>
              <w:t>10.40</w:t>
            </w:r>
          </w:p>
        </w:tc>
      </w:tr>
      <w:tr>
        <w:trPr>
          <w:trHeight w:val="290" w:hRule="exact"/>
        </w:trPr>
        <w:tc>
          <w:tcPr>
            <w:tcW w:w="3506" w:type="dxa"/>
            <w:tcBorders>
              <w:top w:val="nil" w:sz="6" w:space="0" w:color="auto"/>
              <w:left w:val="nil" w:sz="6" w:space="0" w:color="auto"/>
              <w:bottom w:val="nil" w:sz="6" w:space="0" w:color="auto"/>
              <w:right w:val="nil" w:sz="6" w:space="0" w:color="auto"/>
            </w:tcBorders>
          </w:tcPr>
          <w:p>
            <w:pPr>
              <w:pStyle w:val="TableParagraph"/>
              <w:spacing w:line="231" w:lineRule="exact"/>
              <w:ind w:left="109" w:right="0"/>
              <w:jc w:val="left"/>
              <w:rPr>
                <w:rFonts w:ascii="宋体" w:hAnsi="宋体" w:cs="宋体" w:eastAsia="宋体" w:hint="default"/>
                <w:sz w:val="18"/>
                <w:szCs w:val="18"/>
              </w:rPr>
            </w:pPr>
            <w:r>
              <w:rPr>
                <w:rFonts w:ascii="宋体" w:hAnsi="宋体" w:cs="宋体" w:eastAsia="宋体" w:hint="default"/>
                <w:sz w:val="18"/>
                <w:szCs w:val="18"/>
              </w:rPr>
              <w:t>广州御银自动柜员机技术有限公司</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16"/>
              <w:jc w:val="right"/>
              <w:rPr>
                <w:rFonts w:ascii="Times New Roman" w:hAnsi="Times New Roman" w:cs="Times New Roman" w:eastAsia="Times New Roman" w:hint="default"/>
                <w:sz w:val="18"/>
                <w:szCs w:val="18"/>
              </w:rPr>
            </w:pPr>
            <w:r>
              <w:rPr>
                <w:rFonts w:ascii="Times New Roman"/>
                <w:spacing w:val="-1"/>
                <w:sz w:val="18"/>
              </w:rPr>
              <w:t>59,733,162.53</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4"/>
              <w:jc w:val="right"/>
              <w:rPr>
                <w:rFonts w:ascii="Times New Roman" w:hAnsi="Times New Roman" w:cs="Times New Roman" w:eastAsia="Times New Roman" w:hint="default"/>
                <w:sz w:val="18"/>
                <w:szCs w:val="18"/>
              </w:rPr>
            </w:pPr>
            <w:r>
              <w:rPr>
                <w:rFonts w:ascii="Times New Roman"/>
                <w:sz w:val="18"/>
              </w:rPr>
              <w:t>9.47</w:t>
            </w:r>
          </w:p>
        </w:tc>
      </w:tr>
      <w:tr>
        <w:trPr>
          <w:trHeight w:val="290" w:hRule="exact"/>
        </w:trPr>
        <w:tc>
          <w:tcPr>
            <w:tcW w:w="3506" w:type="dxa"/>
            <w:tcBorders>
              <w:top w:val="nil" w:sz="6" w:space="0" w:color="auto"/>
              <w:left w:val="nil" w:sz="6" w:space="0" w:color="auto"/>
              <w:bottom w:val="nil" w:sz="6" w:space="0" w:color="auto"/>
              <w:right w:val="nil" w:sz="6" w:space="0" w:color="auto"/>
            </w:tcBorders>
          </w:tcPr>
          <w:p>
            <w:pPr>
              <w:pStyle w:val="TableParagraph"/>
              <w:spacing w:line="231" w:lineRule="exact"/>
              <w:ind w:left="109" w:right="0"/>
              <w:jc w:val="left"/>
              <w:rPr>
                <w:rFonts w:ascii="宋体" w:hAnsi="宋体" w:cs="宋体" w:eastAsia="宋体" w:hint="default"/>
                <w:sz w:val="18"/>
                <w:szCs w:val="18"/>
              </w:rPr>
            </w:pPr>
            <w:r>
              <w:rPr>
                <w:rFonts w:ascii="宋体" w:hAnsi="宋体" w:cs="宋体" w:eastAsia="宋体" w:hint="default"/>
                <w:sz w:val="18"/>
                <w:szCs w:val="18"/>
              </w:rPr>
              <w:t>广东广州邮政</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16"/>
              <w:jc w:val="right"/>
              <w:rPr>
                <w:rFonts w:ascii="Times New Roman" w:hAnsi="Times New Roman" w:cs="Times New Roman" w:eastAsia="Times New Roman" w:hint="default"/>
                <w:sz w:val="18"/>
                <w:szCs w:val="18"/>
              </w:rPr>
            </w:pPr>
            <w:r>
              <w:rPr>
                <w:rFonts w:ascii="Times New Roman"/>
                <w:spacing w:val="-1"/>
                <w:sz w:val="18"/>
              </w:rPr>
              <w:t>52,742,544.63</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4"/>
              <w:jc w:val="right"/>
              <w:rPr>
                <w:rFonts w:ascii="Times New Roman" w:hAnsi="Times New Roman" w:cs="Times New Roman" w:eastAsia="Times New Roman" w:hint="default"/>
                <w:sz w:val="18"/>
                <w:szCs w:val="18"/>
              </w:rPr>
            </w:pPr>
            <w:r>
              <w:rPr>
                <w:rFonts w:ascii="Times New Roman"/>
                <w:sz w:val="18"/>
              </w:rPr>
              <w:t>8.36</w:t>
            </w:r>
          </w:p>
        </w:tc>
      </w:tr>
      <w:tr>
        <w:trPr>
          <w:trHeight w:val="290" w:hRule="exact"/>
        </w:trPr>
        <w:tc>
          <w:tcPr>
            <w:tcW w:w="3506" w:type="dxa"/>
            <w:tcBorders>
              <w:top w:val="nil" w:sz="6" w:space="0" w:color="auto"/>
              <w:left w:val="nil" w:sz="6" w:space="0" w:color="auto"/>
              <w:bottom w:val="nil" w:sz="6" w:space="0" w:color="auto"/>
              <w:right w:val="nil" w:sz="6" w:space="0" w:color="auto"/>
            </w:tcBorders>
          </w:tcPr>
          <w:p>
            <w:pPr>
              <w:pStyle w:val="TableParagraph"/>
              <w:spacing w:line="230" w:lineRule="exact"/>
              <w:ind w:left="109" w:right="0"/>
              <w:jc w:val="left"/>
              <w:rPr>
                <w:rFonts w:ascii="宋体" w:hAnsi="宋体" w:cs="宋体" w:eastAsia="宋体" w:hint="default"/>
                <w:sz w:val="18"/>
                <w:szCs w:val="18"/>
              </w:rPr>
            </w:pPr>
            <w:r>
              <w:rPr>
                <w:rFonts w:ascii="宋体" w:hAnsi="宋体" w:cs="宋体" w:eastAsia="宋体" w:hint="default"/>
                <w:sz w:val="18"/>
                <w:szCs w:val="18"/>
              </w:rPr>
              <w:t>中国邮政储蓄银行有限责任公司深圳分行</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16"/>
              <w:jc w:val="right"/>
              <w:rPr>
                <w:rFonts w:ascii="Times New Roman" w:hAnsi="Times New Roman" w:cs="Times New Roman" w:eastAsia="Times New Roman" w:hint="default"/>
                <w:sz w:val="18"/>
                <w:szCs w:val="18"/>
              </w:rPr>
            </w:pPr>
            <w:r>
              <w:rPr>
                <w:rFonts w:ascii="Times New Roman"/>
                <w:spacing w:val="-1"/>
                <w:sz w:val="18"/>
              </w:rPr>
              <w:t>50,790,858.62</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4"/>
              <w:jc w:val="right"/>
              <w:rPr>
                <w:rFonts w:ascii="Times New Roman" w:hAnsi="Times New Roman" w:cs="Times New Roman" w:eastAsia="Times New Roman" w:hint="default"/>
                <w:sz w:val="18"/>
                <w:szCs w:val="18"/>
              </w:rPr>
            </w:pPr>
            <w:r>
              <w:rPr>
                <w:rFonts w:ascii="Times New Roman"/>
                <w:sz w:val="18"/>
              </w:rPr>
              <w:t>8.05</w:t>
            </w:r>
          </w:p>
        </w:tc>
      </w:tr>
      <w:tr>
        <w:trPr>
          <w:trHeight w:val="290" w:hRule="exact"/>
        </w:trPr>
        <w:tc>
          <w:tcPr>
            <w:tcW w:w="3506" w:type="dxa"/>
            <w:tcBorders>
              <w:top w:val="nil" w:sz="6" w:space="0" w:color="auto"/>
              <w:left w:val="nil" w:sz="6" w:space="0" w:color="auto"/>
              <w:bottom w:val="nil" w:sz="6" w:space="0" w:color="auto"/>
              <w:right w:val="nil" w:sz="6" w:space="0" w:color="auto"/>
            </w:tcBorders>
          </w:tcPr>
          <w:p>
            <w:pPr>
              <w:pStyle w:val="TableParagraph"/>
              <w:spacing w:line="230" w:lineRule="exact"/>
              <w:ind w:left="109" w:right="0"/>
              <w:jc w:val="left"/>
              <w:rPr>
                <w:rFonts w:ascii="宋体" w:hAnsi="宋体" w:cs="宋体" w:eastAsia="宋体" w:hint="default"/>
                <w:sz w:val="18"/>
                <w:szCs w:val="18"/>
              </w:rPr>
            </w:pPr>
            <w:r>
              <w:rPr>
                <w:rFonts w:ascii="宋体" w:hAnsi="宋体" w:cs="宋体" w:eastAsia="宋体" w:hint="default"/>
                <w:sz w:val="18"/>
                <w:szCs w:val="18"/>
              </w:rPr>
              <w:t>新世纪国际租赁有限公司</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6"/>
              <w:jc w:val="right"/>
              <w:rPr>
                <w:rFonts w:ascii="Times New Roman" w:hAnsi="Times New Roman" w:cs="Times New Roman" w:eastAsia="Times New Roman" w:hint="default"/>
                <w:sz w:val="18"/>
                <w:szCs w:val="18"/>
              </w:rPr>
            </w:pPr>
            <w:r>
              <w:rPr>
                <w:rFonts w:ascii="Times New Roman"/>
                <w:spacing w:val="-1"/>
                <w:sz w:val="18"/>
              </w:rPr>
              <w:t>36,422,307.81</w:t>
            </w:r>
          </w:p>
        </w:tc>
        <w:tc>
          <w:tcPr>
            <w:tcW w:w="268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4"/>
              <w:jc w:val="right"/>
              <w:rPr>
                <w:rFonts w:ascii="Times New Roman" w:hAnsi="Times New Roman" w:cs="Times New Roman" w:eastAsia="Times New Roman" w:hint="default"/>
                <w:sz w:val="18"/>
                <w:szCs w:val="18"/>
              </w:rPr>
            </w:pPr>
            <w:r>
              <w:rPr>
                <w:rFonts w:ascii="Times New Roman"/>
                <w:sz w:val="18"/>
              </w:rPr>
              <w:t>5.77</w:t>
            </w:r>
          </w:p>
        </w:tc>
      </w:tr>
      <w:tr>
        <w:trPr>
          <w:trHeight w:val="320" w:hRule="exact"/>
        </w:trPr>
        <w:tc>
          <w:tcPr>
            <w:tcW w:w="3506" w:type="dxa"/>
            <w:tcBorders>
              <w:top w:val="nil" w:sz="6" w:space="0" w:color="auto"/>
              <w:left w:val="nil" w:sz="6" w:space="0" w:color="auto"/>
              <w:bottom w:val="single" w:sz="12" w:space="0" w:color="000000"/>
              <w:right w:val="nil" w:sz="6" w:space="0" w:color="auto"/>
            </w:tcBorders>
          </w:tcPr>
          <w:p>
            <w:pPr>
              <w:pStyle w:val="TableParagraph"/>
              <w:tabs>
                <w:tab w:pos="449" w:val="left" w:leader="none"/>
              </w:tabs>
              <w:spacing w:line="231" w:lineRule="exact"/>
              <w:ind w:right="16"/>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426"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118"/>
              <w:jc w:val="right"/>
              <w:rPr>
                <w:rFonts w:ascii="Times New Roman" w:hAnsi="Times New Roman" w:cs="Times New Roman" w:eastAsia="Times New Roman" w:hint="default"/>
                <w:sz w:val="18"/>
                <w:szCs w:val="18"/>
              </w:rPr>
            </w:pPr>
            <w:r>
              <w:rPr>
                <w:rFonts w:ascii="Times New Roman"/>
                <w:spacing w:val="-1"/>
                <w:sz w:val="18"/>
              </w:rPr>
              <w:t>265,278,878.00</w:t>
            </w:r>
          </w:p>
        </w:tc>
        <w:tc>
          <w:tcPr>
            <w:tcW w:w="2681"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104"/>
              <w:jc w:val="right"/>
              <w:rPr>
                <w:rFonts w:ascii="Times New Roman" w:hAnsi="Times New Roman" w:cs="Times New Roman" w:eastAsia="Times New Roman" w:hint="default"/>
                <w:sz w:val="18"/>
                <w:szCs w:val="18"/>
              </w:rPr>
            </w:pPr>
            <w:r>
              <w:rPr>
                <w:rFonts w:ascii="Times New Roman"/>
                <w:sz w:val="18"/>
              </w:rPr>
              <w:t>42.05</w:t>
            </w:r>
          </w:p>
        </w:tc>
      </w:tr>
    </w:tbl>
    <w:p>
      <w:pPr>
        <w:spacing w:after="0" w:line="240" w:lineRule="auto"/>
        <w:jc w:val="right"/>
        <w:rPr>
          <w:rFonts w:ascii="Times New Roman" w:hAnsi="Times New Roman" w:cs="Times New Roman" w:eastAsia="Times New Roman" w:hint="default"/>
          <w:sz w:val="18"/>
          <w:szCs w:val="18"/>
        </w:rPr>
        <w:sectPr>
          <w:headerReference w:type="default" r:id="rId375"/>
          <w:footerReference w:type="default" r:id="rId376"/>
          <w:pgSz w:w="11910" w:h="16840"/>
          <w:pgMar w:header="816" w:footer="1256" w:top="1100" w:bottom="1440" w:left="1140" w:right="1640"/>
          <w:pgNumType w:start="167"/>
        </w:sectPr>
      </w:pPr>
    </w:p>
    <w:p>
      <w:pPr>
        <w:spacing w:line="240" w:lineRule="auto" w:before="12"/>
        <w:rPr>
          <w:rFonts w:ascii="宋体" w:hAnsi="宋体" w:cs="宋体" w:eastAsia="宋体" w:hint="default"/>
          <w:b/>
          <w:bCs/>
          <w:sz w:val="28"/>
          <w:szCs w:val="28"/>
        </w:rPr>
      </w:pPr>
    </w:p>
    <w:tbl>
      <w:tblPr>
        <w:tblW w:w="0" w:type="auto"/>
        <w:jc w:val="left"/>
        <w:tblInd w:w="103" w:type="dxa"/>
        <w:tblLayout w:type="fixed"/>
        <w:tblCellMar>
          <w:top w:w="0" w:type="dxa"/>
          <w:left w:w="0" w:type="dxa"/>
          <w:bottom w:w="0" w:type="dxa"/>
          <w:right w:w="0" w:type="dxa"/>
        </w:tblCellMar>
        <w:tblLook w:val="01E0"/>
      </w:tblPr>
      <w:tblGrid>
        <w:gridCol w:w="659"/>
        <w:gridCol w:w="4601"/>
        <w:gridCol w:w="1750"/>
        <w:gridCol w:w="1403"/>
      </w:tblGrid>
      <w:tr>
        <w:trPr>
          <w:trHeight w:val="757"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4601"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4" w:right="0"/>
              <w:jc w:val="left"/>
              <w:rPr>
                <w:rFonts w:ascii="宋体" w:hAnsi="宋体" w:cs="宋体" w:eastAsia="宋体" w:hint="default"/>
                <w:sz w:val="21"/>
                <w:szCs w:val="21"/>
              </w:rPr>
            </w:pPr>
            <w:r>
              <w:rPr>
                <w:rFonts w:ascii="宋体" w:hAnsi="宋体" w:cs="宋体" w:eastAsia="宋体" w:hint="default"/>
                <w:b/>
                <w:bCs/>
                <w:sz w:val="21"/>
                <w:szCs w:val="21"/>
              </w:rPr>
              <w:t>投资收益</w:t>
            </w:r>
            <w:r>
              <w:rPr>
                <w:rFonts w:ascii="宋体" w:hAnsi="宋体" w:cs="宋体" w:eastAsia="宋体" w:hint="default"/>
                <w:sz w:val="21"/>
                <w:szCs w:val="21"/>
              </w:rPr>
            </w:r>
          </w:p>
          <w:p>
            <w:pPr>
              <w:pStyle w:val="TableParagraph"/>
              <w:tabs>
                <w:tab w:pos="646" w:val="left" w:leader="none"/>
              </w:tabs>
              <w:spacing w:line="240" w:lineRule="auto" w:before="125"/>
              <w:ind w:left="10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投资收益明细</w:t>
            </w:r>
            <w:r>
              <w:rPr>
                <w:rFonts w:ascii="宋体" w:hAnsi="宋体" w:cs="宋体" w:eastAsia="宋体" w:hint="default"/>
                <w:sz w:val="21"/>
                <w:szCs w:val="21"/>
              </w:rPr>
            </w:r>
          </w:p>
        </w:tc>
        <w:tc>
          <w:tcPr>
            <w:tcW w:w="3154" w:type="dxa"/>
            <w:gridSpan w:val="2"/>
            <w:tcBorders>
              <w:top w:val="nil" w:sz="6" w:space="0" w:color="auto"/>
              <w:left w:val="nil" w:sz="6" w:space="0" w:color="auto"/>
              <w:bottom w:val="single" w:sz="12" w:space="0" w:color="000000"/>
              <w:right w:val="nil" w:sz="6" w:space="0" w:color="auto"/>
            </w:tcBorders>
          </w:tcPr>
          <w:p>
            <w:pPr/>
          </w:p>
        </w:tc>
      </w:tr>
      <w:tr>
        <w:trPr>
          <w:trHeight w:val="275" w:hRule="exact"/>
        </w:trPr>
        <w:tc>
          <w:tcPr>
            <w:tcW w:w="659" w:type="dxa"/>
            <w:tcBorders>
              <w:top w:val="nil" w:sz="6" w:space="0" w:color="auto"/>
              <w:left w:val="nil" w:sz="6" w:space="0" w:color="auto"/>
              <w:bottom w:val="nil" w:sz="6" w:space="0" w:color="auto"/>
              <w:right w:val="nil" w:sz="6" w:space="0" w:color="auto"/>
            </w:tcBorders>
          </w:tcPr>
          <w:p>
            <w:pPr/>
          </w:p>
        </w:tc>
        <w:tc>
          <w:tcPr>
            <w:tcW w:w="4601" w:type="dxa"/>
            <w:tcBorders>
              <w:top w:val="single" w:sz="12" w:space="0" w:color="000000"/>
              <w:left w:val="nil" w:sz="6" w:space="0" w:color="auto"/>
              <w:bottom w:val="nil" w:sz="6" w:space="0" w:color="auto"/>
              <w:right w:val="nil" w:sz="6" w:space="0" w:color="auto"/>
            </w:tcBorders>
          </w:tcPr>
          <w:p>
            <w:pPr>
              <w:pStyle w:val="TableParagraph"/>
              <w:spacing w:line="205" w:lineRule="exact"/>
              <w:ind w:right="166"/>
              <w:jc w:val="center"/>
              <w:rPr>
                <w:rFonts w:ascii="宋体" w:hAnsi="宋体" w:cs="宋体" w:eastAsia="宋体" w:hint="default"/>
                <w:sz w:val="18"/>
                <w:szCs w:val="18"/>
              </w:rPr>
            </w:pPr>
            <w:r>
              <w:rPr>
                <w:rFonts w:ascii="宋体" w:hAnsi="宋体" w:cs="宋体" w:eastAsia="宋体" w:hint="default"/>
                <w:sz w:val="18"/>
                <w:szCs w:val="18"/>
              </w:rPr>
              <w:t>项目</w:t>
            </w:r>
          </w:p>
        </w:tc>
        <w:tc>
          <w:tcPr>
            <w:tcW w:w="1750" w:type="dxa"/>
            <w:tcBorders>
              <w:top w:val="single" w:sz="12" w:space="0" w:color="000000"/>
              <w:left w:val="nil" w:sz="6" w:space="0" w:color="auto"/>
              <w:bottom w:val="nil" w:sz="6" w:space="0" w:color="auto"/>
              <w:right w:val="nil" w:sz="6" w:space="0" w:color="auto"/>
            </w:tcBorders>
          </w:tcPr>
          <w:p>
            <w:pPr>
              <w:pStyle w:val="TableParagraph"/>
              <w:spacing w:line="205" w:lineRule="exact"/>
              <w:ind w:left="351"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403" w:type="dxa"/>
            <w:tcBorders>
              <w:top w:val="single" w:sz="12" w:space="0" w:color="000000"/>
              <w:left w:val="nil" w:sz="6" w:space="0" w:color="auto"/>
              <w:bottom w:val="nil" w:sz="6" w:space="0" w:color="auto"/>
              <w:right w:val="nil" w:sz="6" w:space="0" w:color="auto"/>
            </w:tcBorders>
          </w:tcPr>
          <w:p>
            <w:pPr>
              <w:pStyle w:val="TableParagraph"/>
              <w:spacing w:line="205" w:lineRule="exact"/>
              <w:ind w:left="263"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295" w:hRule="exact"/>
        </w:trPr>
        <w:tc>
          <w:tcPr>
            <w:tcW w:w="659" w:type="dxa"/>
            <w:tcBorders>
              <w:top w:val="nil" w:sz="6" w:space="0" w:color="auto"/>
              <w:left w:val="nil" w:sz="6" w:space="0" w:color="auto"/>
              <w:bottom w:val="nil" w:sz="6" w:space="0" w:color="auto"/>
              <w:right w:val="nil" w:sz="6" w:space="0" w:color="auto"/>
            </w:tcBorders>
          </w:tcPr>
          <w:p>
            <w:pPr/>
          </w:p>
        </w:tc>
        <w:tc>
          <w:tcPr>
            <w:tcW w:w="4601" w:type="dxa"/>
            <w:tcBorders>
              <w:top w:val="nil" w:sz="6" w:space="0" w:color="auto"/>
              <w:left w:val="nil" w:sz="6" w:space="0" w:color="auto"/>
              <w:bottom w:val="nil" w:sz="6" w:space="0" w:color="auto"/>
              <w:right w:val="nil" w:sz="6" w:space="0" w:color="auto"/>
            </w:tcBorders>
          </w:tcPr>
          <w:p>
            <w:pPr>
              <w:pStyle w:val="TableParagraph"/>
              <w:spacing w:line="235" w:lineRule="exact"/>
              <w:ind w:left="109"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262"/>
              <w:jc w:val="right"/>
              <w:rPr>
                <w:rFonts w:ascii="Times New Roman" w:hAnsi="Times New Roman" w:cs="Times New Roman" w:eastAsia="Times New Roman" w:hint="default"/>
                <w:sz w:val="18"/>
                <w:szCs w:val="18"/>
              </w:rPr>
            </w:pPr>
            <w:r>
              <w:rPr>
                <w:rFonts w:ascii="Times New Roman"/>
                <w:spacing w:val="-1"/>
                <w:sz w:val="18"/>
              </w:rPr>
              <w:t>7,308.00</w:t>
            </w:r>
          </w:p>
        </w:tc>
        <w:tc>
          <w:tcPr>
            <w:tcW w:w="1403"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4"/>
              <w:jc w:val="right"/>
              <w:rPr>
                <w:rFonts w:ascii="Times New Roman" w:hAnsi="Times New Roman" w:cs="Times New Roman" w:eastAsia="Times New Roman" w:hint="default"/>
                <w:sz w:val="18"/>
                <w:szCs w:val="18"/>
              </w:rPr>
            </w:pPr>
            <w:r>
              <w:rPr>
                <w:rFonts w:ascii="Times New Roman"/>
                <w:sz w:val="18"/>
              </w:rPr>
              <w:t>6,072.00</w:t>
            </w:r>
          </w:p>
        </w:tc>
      </w:tr>
      <w:tr>
        <w:trPr>
          <w:trHeight w:val="290" w:hRule="exact"/>
        </w:trPr>
        <w:tc>
          <w:tcPr>
            <w:tcW w:w="659" w:type="dxa"/>
            <w:tcBorders>
              <w:top w:val="nil" w:sz="6" w:space="0" w:color="auto"/>
              <w:left w:val="nil" w:sz="6" w:space="0" w:color="auto"/>
              <w:bottom w:val="nil" w:sz="6" w:space="0" w:color="auto"/>
              <w:right w:val="nil" w:sz="6" w:space="0" w:color="auto"/>
            </w:tcBorders>
          </w:tcPr>
          <w:p>
            <w:pPr/>
          </w:p>
        </w:tc>
        <w:tc>
          <w:tcPr>
            <w:tcW w:w="4601" w:type="dxa"/>
            <w:tcBorders>
              <w:top w:val="nil" w:sz="6" w:space="0" w:color="auto"/>
              <w:left w:val="nil" w:sz="6" w:space="0" w:color="auto"/>
              <w:bottom w:val="nil" w:sz="6" w:space="0" w:color="auto"/>
              <w:right w:val="nil" w:sz="6" w:space="0" w:color="auto"/>
            </w:tcBorders>
          </w:tcPr>
          <w:p>
            <w:pPr>
              <w:pStyle w:val="TableParagraph"/>
              <w:spacing w:line="230" w:lineRule="exact"/>
              <w:ind w:left="109"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62"/>
              <w:jc w:val="right"/>
              <w:rPr>
                <w:rFonts w:ascii="Times New Roman" w:hAnsi="Times New Roman" w:cs="Times New Roman" w:eastAsia="Times New Roman" w:hint="default"/>
                <w:sz w:val="18"/>
                <w:szCs w:val="18"/>
              </w:rPr>
            </w:pPr>
            <w:r>
              <w:rPr>
                <w:rFonts w:ascii="Times New Roman"/>
                <w:spacing w:val="-1"/>
                <w:sz w:val="18"/>
              </w:rPr>
              <w:t>-56,960.14</w:t>
            </w:r>
          </w:p>
        </w:tc>
        <w:tc>
          <w:tcPr>
            <w:tcW w:w="1403" w:type="dxa"/>
            <w:tcBorders>
              <w:top w:val="nil" w:sz="6" w:space="0" w:color="auto"/>
              <w:left w:val="nil" w:sz="6" w:space="0" w:color="auto"/>
              <w:bottom w:val="nil" w:sz="6" w:space="0" w:color="auto"/>
              <w:right w:val="nil" w:sz="6" w:space="0" w:color="auto"/>
            </w:tcBorders>
          </w:tcPr>
          <w:p>
            <w:pPr/>
          </w:p>
        </w:tc>
      </w:tr>
      <w:tr>
        <w:trPr>
          <w:trHeight w:val="576" w:hRule="exact"/>
        </w:trPr>
        <w:tc>
          <w:tcPr>
            <w:tcW w:w="659" w:type="dxa"/>
            <w:tcBorders>
              <w:top w:val="nil" w:sz="6" w:space="0" w:color="auto"/>
              <w:left w:val="nil" w:sz="6" w:space="0" w:color="auto"/>
              <w:bottom w:val="nil" w:sz="6" w:space="0" w:color="auto"/>
              <w:right w:val="nil" w:sz="6" w:space="0" w:color="auto"/>
            </w:tcBorders>
          </w:tcPr>
          <w:p>
            <w:pPr/>
          </w:p>
        </w:tc>
        <w:tc>
          <w:tcPr>
            <w:tcW w:w="4601" w:type="dxa"/>
            <w:tcBorders>
              <w:top w:val="nil" w:sz="6" w:space="0" w:color="auto"/>
              <w:left w:val="nil" w:sz="6" w:space="0" w:color="auto"/>
              <w:bottom w:val="nil" w:sz="6" w:space="0" w:color="auto"/>
              <w:right w:val="nil" w:sz="6" w:space="0" w:color="auto"/>
            </w:tcBorders>
          </w:tcPr>
          <w:p>
            <w:pPr>
              <w:pStyle w:val="TableParagraph"/>
              <w:spacing w:line="295" w:lineRule="auto"/>
              <w:ind w:left="109" w:right="1249"/>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 持有交易性金融资产期间取得的投资收益</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61"/>
              <w:jc w:val="right"/>
              <w:rPr>
                <w:rFonts w:ascii="Times New Roman" w:hAnsi="Times New Roman" w:cs="Times New Roman" w:eastAsia="Times New Roman" w:hint="default"/>
                <w:sz w:val="18"/>
                <w:szCs w:val="18"/>
              </w:rPr>
            </w:pPr>
            <w:r>
              <w:rPr>
                <w:rFonts w:ascii="Times New Roman"/>
                <w:spacing w:val="-1"/>
                <w:sz w:val="18"/>
              </w:rPr>
              <w:t>-3,069,553.90</w:t>
            </w:r>
          </w:p>
        </w:tc>
        <w:tc>
          <w:tcPr>
            <w:tcW w:w="1403" w:type="dxa"/>
            <w:tcBorders>
              <w:top w:val="nil" w:sz="6" w:space="0" w:color="auto"/>
              <w:left w:val="nil" w:sz="6" w:space="0" w:color="auto"/>
              <w:bottom w:val="nil" w:sz="6" w:space="0" w:color="auto"/>
              <w:right w:val="nil" w:sz="6" w:space="0" w:color="auto"/>
            </w:tcBorders>
          </w:tcPr>
          <w:p>
            <w:pPr/>
          </w:p>
        </w:tc>
      </w:tr>
      <w:tr>
        <w:trPr>
          <w:trHeight w:val="290" w:hRule="exact"/>
        </w:trPr>
        <w:tc>
          <w:tcPr>
            <w:tcW w:w="659" w:type="dxa"/>
            <w:tcBorders>
              <w:top w:val="nil" w:sz="6" w:space="0" w:color="auto"/>
              <w:left w:val="nil" w:sz="6" w:space="0" w:color="auto"/>
              <w:bottom w:val="nil" w:sz="6" w:space="0" w:color="auto"/>
              <w:right w:val="nil" w:sz="6" w:space="0" w:color="auto"/>
            </w:tcBorders>
          </w:tcPr>
          <w:p>
            <w:pPr/>
          </w:p>
        </w:tc>
        <w:tc>
          <w:tcPr>
            <w:tcW w:w="4601" w:type="dxa"/>
            <w:tcBorders>
              <w:top w:val="nil" w:sz="6" w:space="0" w:color="auto"/>
              <w:left w:val="nil" w:sz="6" w:space="0" w:color="auto"/>
              <w:bottom w:val="nil" w:sz="6" w:space="0" w:color="auto"/>
              <w:right w:val="nil" w:sz="6" w:space="0" w:color="auto"/>
            </w:tcBorders>
          </w:tcPr>
          <w:p>
            <w:pPr>
              <w:pStyle w:val="TableParagraph"/>
              <w:spacing w:line="235" w:lineRule="exact"/>
              <w:ind w:left="109" w:right="0"/>
              <w:jc w:val="left"/>
              <w:rPr>
                <w:rFonts w:ascii="宋体" w:hAnsi="宋体" w:cs="宋体" w:eastAsia="宋体" w:hint="default"/>
                <w:sz w:val="18"/>
                <w:szCs w:val="18"/>
              </w:rPr>
            </w:pPr>
            <w:r>
              <w:rPr>
                <w:rFonts w:ascii="宋体" w:hAnsi="宋体" w:cs="宋体" w:eastAsia="宋体" w:hint="default"/>
                <w:sz w:val="18"/>
                <w:szCs w:val="18"/>
              </w:rPr>
              <w:t>持有至到期投资取得的投资收益期间取得的投资收益</w:t>
            </w:r>
          </w:p>
        </w:tc>
        <w:tc>
          <w:tcPr>
            <w:tcW w:w="1750" w:type="dxa"/>
            <w:tcBorders>
              <w:top w:val="nil" w:sz="6" w:space="0" w:color="auto"/>
              <w:left w:val="nil" w:sz="6" w:space="0" w:color="auto"/>
              <w:bottom w:val="nil" w:sz="6" w:space="0" w:color="auto"/>
              <w:right w:val="nil" w:sz="6" w:space="0" w:color="auto"/>
            </w:tcBorders>
          </w:tcPr>
          <w:p>
            <w:pPr/>
          </w:p>
        </w:tc>
        <w:tc>
          <w:tcPr>
            <w:tcW w:w="1403" w:type="dxa"/>
            <w:tcBorders>
              <w:top w:val="nil" w:sz="6" w:space="0" w:color="auto"/>
              <w:left w:val="nil" w:sz="6" w:space="0" w:color="auto"/>
              <w:bottom w:val="nil" w:sz="6" w:space="0" w:color="auto"/>
              <w:right w:val="nil" w:sz="6" w:space="0" w:color="auto"/>
            </w:tcBorders>
          </w:tcPr>
          <w:p>
            <w:pPr/>
          </w:p>
        </w:tc>
      </w:tr>
      <w:tr>
        <w:trPr>
          <w:trHeight w:val="290" w:hRule="exact"/>
        </w:trPr>
        <w:tc>
          <w:tcPr>
            <w:tcW w:w="659" w:type="dxa"/>
            <w:tcBorders>
              <w:top w:val="nil" w:sz="6" w:space="0" w:color="auto"/>
              <w:left w:val="nil" w:sz="6" w:space="0" w:color="auto"/>
              <w:bottom w:val="nil" w:sz="6" w:space="0" w:color="auto"/>
              <w:right w:val="nil" w:sz="6" w:space="0" w:color="auto"/>
            </w:tcBorders>
          </w:tcPr>
          <w:p>
            <w:pPr/>
          </w:p>
        </w:tc>
        <w:tc>
          <w:tcPr>
            <w:tcW w:w="4601" w:type="dxa"/>
            <w:tcBorders>
              <w:top w:val="nil" w:sz="6" w:space="0" w:color="auto"/>
              <w:left w:val="nil" w:sz="6" w:space="0" w:color="auto"/>
              <w:bottom w:val="nil" w:sz="6" w:space="0" w:color="auto"/>
              <w:right w:val="nil" w:sz="6" w:space="0" w:color="auto"/>
            </w:tcBorders>
          </w:tcPr>
          <w:p>
            <w:pPr>
              <w:pStyle w:val="TableParagraph"/>
              <w:spacing w:line="235" w:lineRule="exact"/>
              <w:ind w:left="109" w:right="0"/>
              <w:jc w:val="left"/>
              <w:rPr>
                <w:rFonts w:ascii="宋体" w:hAnsi="宋体" w:cs="宋体" w:eastAsia="宋体" w:hint="default"/>
                <w:sz w:val="18"/>
                <w:szCs w:val="18"/>
              </w:rPr>
            </w:pPr>
            <w:r>
              <w:rPr>
                <w:rFonts w:ascii="宋体" w:hAnsi="宋体" w:cs="宋体" w:eastAsia="宋体" w:hint="default"/>
                <w:sz w:val="18"/>
                <w:szCs w:val="18"/>
              </w:rPr>
              <w:t>持有可供出售金融资产等期间取得的投资收益</w:t>
            </w:r>
          </w:p>
        </w:tc>
        <w:tc>
          <w:tcPr>
            <w:tcW w:w="1750" w:type="dxa"/>
            <w:tcBorders>
              <w:top w:val="nil" w:sz="6" w:space="0" w:color="auto"/>
              <w:left w:val="nil" w:sz="6" w:space="0" w:color="auto"/>
              <w:bottom w:val="nil" w:sz="6" w:space="0" w:color="auto"/>
              <w:right w:val="nil" w:sz="6" w:space="0" w:color="auto"/>
            </w:tcBorders>
          </w:tcPr>
          <w:p>
            <w:pPr/>
          </w:p>
        </w:tc>
        <w:tc>
          <w:tcPr>
            <w:tcW w:w="1403" w:type="dxa"/>
            <w:tcBorders>
              <w:top w:val="nil" w:sz="6" w:space="0" w:color="auto"/>
              <w:left w:val="nil" w:sz="6" w:space="0" w:color="auto"/>
              <w:bottom w:val="nil" w:sz="6" w:space="0" w:color="auto"/>
              <w:right w:val="nil" w:sz="6" w:space="0" w:color="auto"/>
            </w:tcBorders>
          </w:tcPr>
          <w:p>
            <w:pPr/>
          </w:p>
        </w:tc>
      </w:tr>
      <w:tr>
        <w:trPr>
          <w:trHeight w:val="290" w:hRule="exact"/>
        </w:trPr>
        <w:tc>
          <w:tcPr>
            <w:tcW w:w="659" w:type="dxa"/>
            <w:tcBorders>
              <w:top w:val="nil" w:sz="6" w:space="0" w:color="auto"/>
              <w:left w:val="nil" w:sz="6" w:space="0" w:color="auto"/>
              <w:bottom w:val="nil" w:sz="6" w:space="0" w:color="auto"/>
              <w:right w:val="nil" w:sz="6" w:space="0" w:color="auto"/>
            </w:tcBorders>
          </w:tcPr>
          <w:p>
            <w:pPr/>
          </w:p>
        </w:tc>
        <w:tc>
          <w:tcPr>
            <w:tcW w:w="4601" w:type="dxa"/>
            <w:tcBorders>
              <w:top w:val="nil" w:sz="6" w:space="0" w:color="auto"/>
              <w:left w:val="nil" w:sz="6" w:space="0" w:color="auto"/>
              <w:bottom w:val="nil" w:sz="6" w:space="0" w:color="auto"/>
              <w:right w:val="nil" w:sz="6" w:space="0" w:color="auto"/>
            </w:tcBorders>
          </w:tcPr>
          <w:p>
            <w:pPr>
              <w:pStyle w:val="TableParagraph"/>
              <w:spacing w:line="235" w:lineRule="exact"/>
              <w:ind w:left="109" w:right="0"/>
              <w:jc w:val="left"/>
              <w:rPr>
                <w:rFonts w:ascii="宋体" w:hAnsi="宋体" w:cs="宋体" w:eastAsia="宋体" w:hint="default"/>
                <w:sz w:val="18"/>
                <w:szCs w:val="18"/>
              </w:rPr>
            </w:pPr>
            <w:r>
              <w:rPr>
                <w:rFonts w:ascii="宋体" w:hAnsi="宋体" w:cs="宋体" w:eastAsia="宋体" w:hint="default"/>
                <w:sz w:val="18"/>
                <w:szCs w:val="18"/>
              </w:rPr>
              <w:t>处置交易性金融资产取得的投资收益</w:t>
            </w:r>
          </w:p>
        </w:tc>
        <w:tc>
          <w:tcPr>
            <w:tcW w:w="1750" w:type="dxa"/>
            <w:tcBorders>
              <w:top w:val="nil" w:sz="6" w:space="0" w:color="auto"/>
              <w:left w:val="nil" w:sz="6" w:space="0" w:color="auto"/>
              <w:bottom w:val="nil" w:sz="6" w:space="0" w:color="auto"/>
              <w:right w:val="nil" w:sz="6" w:space="0" w:color="auto"/>
            </w:tcBorders>
          </w:tcPr>
          <w:p>
            <w:pPr/>
          </w:p>
        </w:tc>
        <w:tc>
          <w:tcPr>
            <w:tcW w:w="1403" w:type="dxa"/>
            <w:tcBorders>
              <w:top w:val="nil" w:sz="6" w:space="0" w:color="auto"/>
              <w:left w:val="nil" w:sz="6" w:space="0" w:color="auto"/>
              <w:bottom w:val="nil" w:sz="6" w:space="0" w:color="auto"/>
              <w:right w:val="nil" w:sz="6" w:space="0" w:color="auto"/>
            </w:tcBorders>
          </w:tcPr>
          <w:p>
            <w:pPr/>
          </w:p>
        </w:tc>
      </w:tr>
      <w:tr>
        <w:trPr>
          <w:trHeight w:val="290" w:hRule="exact"/>
        </w:trPr>
        <w:tc>
          <w:tcPr>
            <w:tcW w:w="659" w:type="dxa"/>
            <w:tcBorders>
              <w:top w:val="nil" w:sz="6" w:space="0" w:color="auto"/>
              <w:left w:val="nil" w:sz="6" w:space="0" w:color="auto"/>
              <w:bottom w:val="nil" w:sz="6" w:space="0" w:color="auto"/>
              <w:right w:val="nil" w:sz="6" w:space="0" w:color="auto"/>
            </w:tcBorders>
          </w:tcPr>
          <w:p>
            <w:pPr/>
          </w:p>
        </w:tc>
        <w:tc>
          <w:tcPr>
            <w:tcW w:w="4601" w:type="dxa"/>
            <w:tcBorders>
              <w:top w:val="nil" w:sz="6" w:space="0" w:color="auto"/>
              <w:left w:val="nil" w:sz="6" w:space="0" w:color="auto"/>
              <w:bottom w:val="nil" w:sz="6" w:space="0" w:color="auto"/>
              <w:right w:val="nil" w:sz="6" w:space="0" w:color="auto"/>
            </w:tcBorders>
          </w:tcPr>
          <w:p>
            <w:pPr>
              <w:pStyle w:val="TableParagraph"/>
              <w:spacing w:line="235" w:lineRule="exact"/>
              <w:ind w:left="109" w:right="0"/>
              <w:jc w:val="left"/>
              <w:rPr>
                <w:rFonts w:ascii="宋体" w:hAnsi="宋体" w:cs="宋体" w:eastAsia="宋体" w:hint="default"/>
                <w:sz w:val="18"/>
                <w:szCs w:val="18"/>
              </w:rPr>
            </w:pPr>
            <w:r>
              <w:rPr>
                <w:rFonts w:ascii="宋体" w:hAnsi="宋体" w:cs="宋体" w:eastAsia="宋体" w:hint="default"/>
                <w:sz w:val="18"/>
                <w:szCs w:val="18"/>
              </w:rPr>
              <w:t>持有至到期投资取得的投资收益</w:t>
            </w:r>
          </w:p>
        </w:tc>
        <w:tc>
          <w:tcPr>
            <w:tcW w:w="1750" w:type="dxa"/>
            <w:tcBorders>
              <w:top w:val="nil" w:sz="6" w:space="0" w:color="auto"/>
              <w:left w:val="nil" w:sz="6" w:space="0" w:color="auto"/>
              <w:bottom w:val="nil" w:sz="6" w:space="0" w:color="auto"/>
              <w:right w:val="nil" w:sz="6" w:space="0" w:color="auto"/>
            </w:tcBorders>
          </w:tcPr>
          <w:p>
            <w:pPr/>
          </w:p>
        </w:tc>
        <w:tc>
          <w:tcPr>
            <w:tcW w:w="1403" w:type="dxa"/>
            <w:tcBorders>
              <w:top w:val="nil" w:sz="6" w:space="0" w:color="auto"/>
              <w:left w:val="nil" w:sz="6" w:space="0" w:color="auto"/>
              <w:bottom w:val="nil" w:sz="6" w:space="0" w:color="auto"/>
              <w:right w:val="nil" w:sz="6" w:space="0" w:color="auto"/>
            </w:tcBorders>
          </w:tcPr>
          <w:p>
            <w:pPr/>
          </w:p>
        </w:tc>
      </w:tr>
      <w:tr>
        <w:trPr>
          <w:trHeight w:val="290" w:hRule="exact"/>
        </w:trPr>
        <w:tc>
          <w:tcPr>
            <w:tcW w:w="659" w:type="dxa"/>
            <w:tcBorders>
              <w:top w:val="nil" w:sz="6" w:space="0" w:color="auto"/>
              <w:left w:val="nil" w:sz="6" w:space="0" w:color="auto"/>
              <w:bottom w:val="nil" w:sz="6" w:space="0" w:color="auto"/>
              <w:right w:val="nil" w:sz="6" w:space="0" w:color="auto"/>
            </w:tcBorders>
          </w:tcPr>
          <w:p>
            <w:pPr/>
          </w:p>
        </w:tc>
        <w:tc>
          <w:tcPr>
            <w:tcW w:w="4601" w:type="dxa"/>
            <w:tcBorders>
              <w:top w:val="nil" w:sz="6" w:space="0" w:color="auto"/>
              <w:left w:val="nil" w:sz="6" w:space="0" w:color="auto"/>
              <w:bottom w:val="nil" w:sz="6" w:space="0" w:color="auto"/>
              <w:right w:val="nil" w:sz="6" w:space="0" w:color="auto"/>
            </w:tcBorders>
          </w:tcPr>
          <w:p>
            <w:pPr>
              <w:pStyle w:val="TableParagraph"/>
              <w:spacing w:line="235" w:lineRule="exact"/>
              <w:ind w:left="109" w:right="0"/>
              <w:jc w:val="left"/>
              <w:rPr>
                <w:rFonts w:ascii="宋体" w:hAnsi="宋体" w:cs="宋体" w:eastAsia="宋体" w:hint="default"/>
                <w:sz w:val="18"/>
                <w:szCs w:val="18"/>
              </w:rPr>
            </w:pPr>
            <w:r>
              <w:rPr>
                <w:rFonts w:ascii="宋体" w:hAnsi="宋体" w:cs="宋体" w:eastAsia="宋体" w:hint="default"/>
                <w:sz w:val="18"/>
                <w:szCs w:val="18"/>
              </w:rPr>
              <w:t>可供出售金融资产等取得的投资收益</w:t>
            </w:r>
          </w:p>
        </w:tc>
        <w:tc>
          <w:tcPr>
            <w:tcW w:w="1750" w:type="dxa"/>
            <w:tcBorders>
              <w:top w:val="nil" w:sz="6" w:space="0" w:color="auto"/>
              <w:left w:val="nil" w:sz="6" w:space="0" w:color="auto"/>
              <w:bottom w:val="nil" w:sz="6" w:space="0" w:color="auto"/>
              <w:right w:val="nil" w:sz="6" w:space="0" w:color="auto"/>
            </w:tcBorders>
          </w:tcPr>
          <w:p>
            <w:pPr/>
          </w:p>
        </w:tc>
        <w:tc>
          <w:tcPr>
            <w:tcW w:w="1403" w:type="dxa"/>
            <w:tcBorders>
              <w:top w:val="nil" w:sz="6" w:space="0" w:color="auto"/>
              <w:left w:val="nil" w:sz="6" w:space="0" w:color="auto"/>
              <w:bottom w:val="nil" w:sz="6" w:space="0" w:color="auto"/>
              <w:right w:val="nil" w:sz="6" w:space="0" w:color="auto"/>
            </w:tcBorders>
          </w:tcPr>
          <w:p>
            <w:pPr/>
          </w:p>
        </w:tc>
      </w:tr>
      <w:tr>
        <w:trPr>
          <w:trHeight w:val="290" w:hRule="exact"/>
        </w:trPr>
        <w:tc>
          <w:tcPr>
            <w:tcW w:w="659" w:type="dxa"/>
            <w:tcBorders>
              <w:top w:val="nil" w:sz="6" w:space="0" w:color="auto"/>
              <w:left w:val="nil" w:sz="6" w:space="0" w:color="auto"/>
              <w:bottom w:val="nil" w:sz="6" w:space="0" w:color="auto"/>
              <w:right w:val="nil" w:sz="6" w:space="0" w:color="auto"/>
            </w:tcBorders>
          </w:tcPr>
          <w:p>
            <w:pPr/>
          </w:p>
        </w:tc>
        <w:tc>
          <w:tcPr>
            <w:tcW w:w="4601" w:type="dxa"/>
            <w:tcBorders>
              <w:top w:val="nil" w:sz="6" w:space="0" w:color="auto"/>
              <w:left w:val="nil" w:sz="6" w:space="0" w:color="auto"/>
              <w:bottom w:val="nil" w:sz="6" w:space="0" w:color="auto"/>
              <w:right w:val="nil" w:sz="6" w:space="0" w:color="auto"/>
            </w:tcBorders>
          </w:tcPr>
          <w:p>
            <w:pPr>
              <w:pStyle w:val="TableParagraph"/>
              <w:spacing w:line="235" w:lineRule="exact"/>
              <w:ind w:left="10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50" w:type="dxa"/>
            <w:tcBorders>
              <w:top w:val="nil" w:sz="6" w:space="0" w:color="auto"/>
              <w:left w:val="nil" w:sz="6" w:space="0" w:color="auto"/>
              <w:bottom w:val="nil" w:sz="6" w:space="0" w:color="auto"/>
              <w:right w:val="nil" w:sz="6" w:space="0" w:color="auto"/>
            </w:tcBorders>
          </w:tcPr>
          <w:p>
            <w:pPr/>
          </w:p>
        </w:tc>
        <w:tc>
          <w:tcPr>
            <w:tcW w:w="1403" w:type="dxa"/>
            <w:tcBorders>
              <w:top w:val="nil" w:sz="6" w:space="0" w:color="auto"/>
              <w:left w:val="nil" w:sz="6" w:space="0" w:color="auto"/>
              <w:bottom w:val="nil" w:sz="6" w:space="0" w:color="auto"/>
              <w:right w:val="nil" w:sz="6" w:space="0" w:color="auto"/>
            </w:tcBorders>
          </w:tcPr>
          <w:p>
            <w:pPr/>
          </w:p>
        </w:tc>
      </w:tr>
      <w:tr>
        <w:trPr>
          <w:trHeight w:val="326" w:hRule="exact"/>
        </w:trPr>
        <w:tc>
          <w:tcPr>
            <w:tcW w:w="659" w:type="dxa"/>
            <w:tcBorders>
              <w:top w:val="nil" w:sz="6" w:space="0" w:color="auto"/>
              <w:left w:val="nil" w:sz="6" w:space="0" w:color="auto"/>
              <w:bottom w:val="nil" w:sz="6" w:space="0" w:color="auto"/>
              <w:right w:val="nil" w:sz="6" w:space="0" w:color="auto"/>
            </w:tcBorders>
          </w:tcPr>
          <w:p>
            <w:pPr/>
          </w:p>
        </w:tc>
        <w:tc>
          <w:tcPr>
            <w:tcW w:w="4601" w:type="dxa"/>
            <w:tcBorders>
              <w:top w:val="nil" w:sz="6" w:space="0" w:color="auto"/>
              <w:left w:val="nil" w:sz="6" w:space="0" w:color="auto"/>
              <w:bottom w:val="single" w:sz="12" w:space="0" w:color="000000"/>
              <w:right w:val="nil" w:sz="6" w:space="0" w:color="auto"/>
            </w:tcBorders>
          </w:tcPr>
          <w:p>
            <w:pPr>
              <w:pStyle w:val="TableParagraph"/>
              <w:tabs>
                <w:tab w:pos="539" w:val="left" w:leader="none"/>
              </w:tabs>
              <w:spacing w:line="235" w:lineRule="exact"/>
              <w:ind w:right="166"/>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750"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261"/>
              <w:jc w:val="right"/>
              <w:rPr>
                <w:rFonts w:ascii="Times New Roman" w:hAnsi="Times New Roman" w:cs="Times New Roman" w:eastAsia="Times New Roman" w:hint="default"/>
                <w:sz w:val="18"/>
                <w:szCs w:val="18"/>
              </w:rPr>
            </w:pPr>
            <w:r>
              <w:rPr>
                <w:rFonts w:ascii="Times New Roman"/>
                <w:spacing w:val="-1"/>
                <w:sz w:val="18"/>
              </w:rPr>
              <w:t>-3,119,206.04</w:t>
            </w:r>
          </w:p>
        </w:tc>
        <w:tc>
          <w:tcPr>
            <w:tcW w:w="1403"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04"/>
              <w:jc w:val="right"/>
              <w:rPr>
                <w:rFonts w:ascii="Times New Roman" w:hAnsi="Times New Roman" w:cs="Times New Roman" w:eastAsia="Times New Roman" w:hint="default"/>
                <w:sz w:val="18"/>
                <w:szCs w:val="18"/>
              </w:rPr>
            </w:pPr>
            <w:r>
              <w:rPr>
                <w:rFonts w:ascii="Times New Roman"/>
                <w:sz w:val="18"/>
              </w:rPr>
              <w:t>6,072.00</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1"/>
          <w:szCs w:val="21"/>
        </w:rPr>
      </w:pPr>
    </w:p>
    <w:p>
      <w:pPr>
        <w:tabs>
          <w:tab w:pos="1408" w:val="left" w:leader="none"/>
        </w:tabs>
        <w:spacing w:before="35"/>
        <w:ind w:left="869" w:right="0" w:firstLine="0"/>
        <w:jc w:val="left"/>
        <w:rPr>
          <w:rFonts w:ascii="宋体" w:hAnsi="宋体" w:cs="宋体" w:eastAsia="宋体" w:hint="default"/>
          <w:sz w:val="21"/>
          <w:szCs w:val="21"/>
        </w:rPr>
      </w:pPr>
      <w:r>
        <w:rPr/>
        <w:pict>
          <v:group style="position:absolute;margin-left:93.660004pt;margin-top:-203.905884pt;width:390.15pt;height:174.55pt;mso-position-horizontal-relative:page;mso-position-vertical-relative:paragraph;z-index:-800248" coordorigin="1873,-4078" coordsize="7803,3491">
            <v:shape style="position:absolute;left:6308;top:-4078;width:1812;height:318" type="#_x0000_t75" stroked="false">
              <v:imagedata r:id="rId390" o:title=""/>
            </v:shape>
            <v:shape style="position:absolute;left:1873;top:-3799;width:7802;height:3211" type="#_x0000_t75" stroked="false">
              <v:imagedata r:id="rId391" o:title=""/>
            </v:shape>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按成本法核算的长期股权投资收益</w:t>
      </w:r>
      <w:r>
        <w:rPr>
          <w:rFonts w:ascii="宋体" w:hAnsi="宋体" w:cs="宋体" w:eastAsia="宋体" w:hint="default"/>
          <w:sz w:val="21"/>
          <w:szCs w:val="21"/>
        </w:rPr>
      </w:r>
    </w:p>
    <w:p>
      <w:pPr>
        <w:spacing w:line="960" w:lineRule="exact"/>
        <w:ind w:left="732"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392pt;height:48pt;mso-position-horizontal-relative:char;mso-position-vertical-relative:line" coordorigin="0,0" coordsize="7840,960">
            <v:group style="position:absolute;left:29;top:15;width:7791;height:2" coordorigin="29,15" coordsize="7791,2">
              <v:shape style="position:absolute;left:29;top:15;width:7791;height:2" coordorigin="29,15" coordsize="7791,0" path="m29,15l7820,15e" filled="false" stroked="true" strokeweight="1.5pt" strokecolor="#000000">
                <v:path arrowok="t"/>
              </v:shape>
              <v:shape style="position:absolute;left:2231;top:11;width:3198;height:318" type="#_x0000_t75" stroked="false">
                <v:imagedata r:id="rId392" o:title=""/>
              </v:shape>
            </v:group>
            <v:group style="position:absolute;left:15;top:945;width:2236;height:2" coordorigin="15,945" coordsize="2236,2">
              <v:shape style="position:absolute;left:15;top:945;width:2236;height:2" coordorigin="15,945" coordsize="2236,0" path="m15,945l2251,945e" filled="false" stroked="true" strokeweight="1.5pt" strokecolor="#000000">
                <v:path arrowok="t"/>
              </v:shape>
            </v:group>
            <v:group style="position:absolute;left:2251;top:945;width:1575;height:2" coordorigin="2251,945" coordsize="1575,2">
              <v:shape style="position:absolute;left:2251;top:945;width:1575;height:2" coordorigin="2251,945" coordsize="1575,0" path="m2251,945l3825,945e" filled="false" stroked="true" strokeweight="1.5pt" strokecolor="#000000">
                <v:path arrowok="t"/>
              </v:shape>
            </v:group>
            <v:group style="position:absolute;left:3825;top:945;width:1576;height:2" coordorigin="3825,945" coordsize="1576,2">
              <v:shape style="position:absolute;left:3825;top:945;width:1576;height:2" coordorigin="3825,945" coordsize="1576,0" path="m3825,945l5401,945e" filled="false" stroked="true" strokeweight="1.5pt" strokecolor="#000000">
                <v:path arrowok="t"/>
              </v:shape>
              <v:shape style="position:absolute;left:1;top:290;width:7839;height:640" type="#_x0000_t75" stroked="false">
                <v:imagedata r:id="rId393" o:title=""/>
              </v:shape>
            </v:group>
            <v:group style="position:absolute;left:5401;top:945;width:2420;height:2" coordorigin="5401,945" coordsize="2420,2">
              <v:shape style="position:absolute;left:5401;top:945;width:2420;height:2" coordorigin="5401,945" coordsize="2420,0" path="m5401,945l7820,945e" filled="false" stroked="true" strokeweight="1.5pt" strokecolor="#000000">
                <v:path arrowok="t"/>
              </v:shape>
              <v:shape style="position:absolute;left:139;top:55;width:1980;height:800" type="#_x0000_t202" filled="false" stroked="false">
                <v:textbox inset="0,0,0,0">
                  <w:txbxContent>
                    <w:p>
                      <w:pPr>
                        <w:spacing w:line="180" w:lineRule="exact" w:before="0"/>
                        <w:ind w:left="607"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p>
                      <w:pPr>
                        <w:spacing w:before="74"/>
                        <w:ind w:left="0" w:right="0" w:firstLine="0"/>
                        <w:jc w:val="left"/>
                        <w:rPr>
                          <w:rFonts w:ascii="宋体" w:hAnsi="宋体" w:cs="宋体" w:eastAsia="宋体" w:hint="default"/>
                          <w:sz w:val="18"/>
                          <w:szCs w:val="18"/>
                        </w:rPr>
                      </w:pPr>
                      <w:r>
                        <w:rPr>
                          <w:rFonts w:ascii="宋体" w:hAnsi="宋体" w:cs="宋体" w:eastAsia="宋体" w:hint="default"/>
                          <w:sz w:val="18"/>
                          <w:szCs w:val="18"/>
                        </w:rPr>
                        <w:t>广州市农村信用合作联社</w:t>
                      </w:r>
                    </w:p>
                    <w:p>
                      <w:pPr>
                        <w:spacing w:before="74"/>
                        <w:ind w:left="644"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1323;top:67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2683;top:55;width:1041;height:81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5"/>
                        <w:ind w:left="409" w:right="0" w:firstLine="0"/>
                        <w:jc w:val="left"/>
                        <w:rPr>
                          <w:rFonts w:ascii="Times New Roman" w:hAnsi="Times New Roman" w:cs="Times New Roman" w:eastAsia="Times New Roman" w:hint="default"/>
                          <w:sz w:val="18"/>
                          <w:szCs w:val="18"/>
                        </w:rPr>
                      </w:pPr>
                      <w:r>
                        <w:rPr>
                          <w:rFonts w:ascii="Times New Roman"/>
                          <w:sz w:val="18"/>
                        </w:rPr>
                        <w:t>7,308.00</w:t>
                      </w:r>
                    </w:p>
                    <w:p>
                      <w:pPr>
                        <w:spacing w:line="203" w:lineRule="exact" w:before="104"/>
                        <w:ind w:left="409" w:right="0" w:firstLine="0"/>
                        <w:jc w:val="left"/>
                        <w:rPr>
                          <w:rFonts w:ascii="Times New Roman" w:hAnsi="Times New Roman" w:cs="Times New Roman" w:eastAsia="Times New Roman" w:hint="default"/>
                          <w:sz w:val="18"/>
                          <w:szCs w:val="18"/>
                        </w:rPr>
                      </w:pPr>
                      <w:r>
                        <w:rPr>
                          <w:rFonts w:ascii="Times New Roman"/>
                          <w:sz w:val="18"/>
                        </w:rPr>
                        <w:t>7,308.00</w:t>
                      </w:r>
                    </w:p>
                  </w:txbxContent>
                </v:textbox>
                <w10:wrap type="none"/>
              </v:shape>
              <v:shape style="position:absolute;left:4257;top:55;width:3436;height:810" type="#_x0000_t202" filled="false" stroked="false">
                <v:textbox inset="0,0,0,0">
                  <w:txbxContent>
                    <w:p>
                      <w:pPr>
                        <w:tabs>
                          <w:tab w:pos="127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tab/>
                        <w:t>本期比上期增减变动的原因</w:t>
                      </w:r>
                    </w:p>
                    <w:p>
                      <w:pPr>
                        <w:spacing w:before="115"/>
                        <w:ind w:left="409" w:right="0" w:firstLine="0"/>
                        <w:jc w:val="left"/>
                        <w:rPr>
                          <w:rFonts w:ascii="Times New Roman" w:hAnsi="Times New Roman" w:cs="Times New Roman" w:eastAsia="Times New Roman" w:hint="default"/>
                          <w:sz w:val="18"/>
                          <w:szCs w:val="18"/>
                        </w:rPr>
                      </w:pPr>
                      <w:r>
                        <w:rPr>
                          <w:rFonts w:ascii="Times New Roman"/>
                          <w:sz w:val="18"/>
                        </w:rPr>
                        <w:t>6,072.00</w:t>
                      </w:r>
                    </w:p>
                    <w:p>
                      <w:pPr>
                        <w:spacing w:line="203" w:lineRule="exact" w:before="104"/>
                        <w:ind w:left="409" w:right="0" w:firstLine="0"/>
                        <w:jc w:val="left"/>
                        <w:rPr>
                          <w:rFonts w:ascii="Times New Roman" w:hAnsi="Times New Roman" w:cs="Times New Roman" w:eastAsia="Times New Roman" w:hint="default"/>
                          <w:sz w:val="18"/>
                          <w:szCs w:val="18"/>
                        </w:rPr>
                      </w:pPr>
                      <w:r>
                        <w:rPr>
                          <w:rFonts w:ascii="Times New Roman"/>
                          <w:sz w:val="18"/>
                        </w:rPr>
                        <w:t>6,072.00</w:t>
                      </w:r>
                    </w:p>
                  </w:txbxContent>
                </v:textbox>
                <w10:wrap type="none"/>
              </v:shape>
            </v:group>
          </v:group>
        </w:pict>
      </w:r>
      <w:r>
        <w:rPr>
          <w:rFonts w:ascii="宋体" w:hAnsi="宋体" w:cs="宋体" w:eastAsia="宋体" w:hint="default"/>
          <w:position w:val="-18"/>
          <w:sz w:val="20"/>
          <w:szCs w:val="2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tabs>
          <w:tab w:pos="1408" w:val="left" w:leader="none"/>
        </w:tabs>
        <w:spacing w:before="35"/>
        <w:ind w:left="869"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按权益法核算的长期股权投资收益</w:t>
      </w:r>
      <w:r>
        <w:rPr>
          <w:rFonts w:ascii="宋体" w:hAnsi="宋体" w:cs="宋体" w:eastAsia="宋体" w:hint="default"/>
          <w:sz w:val="21"/>
          <w:szCs w:val="21"/>
        </w:rPr>
      </w:r>
    </w:p>
    <w:p>
      <w:pPr>
        <w:spacing w:line="961" w:lineRule="exact"/>
        <w:ind w:left="732"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390.45pt;height:48.1pt;mso-position-horizontal-relative:char;mso-position-vertical-relative:line" coordorigin="0,0" coordsize="7809,962">
            <v:group style="position:absolute;left:29;top:15;width:7755;height:2" coordorigin="29,15" coordsize="7755,2">
              <v:shape style="position:absolute;left:29;top:15;width:7755;height:2" coordorigin="29,15" coordsize="7755,0" path="m29,15l7784,15e" filled="false" stroked="true" strokeweight="1.5pt" strokecolor="#000000">
                <v:path arrowok="t"/>
              </v:shape>
              <v:shape style="position:absolute;left:2873;top:11;width:2525;height:319" type="#_x0000_t75" stroked="false">
                <v:imagedata r:id="rId394" o:title=""/>
              </v:shape>
            </v:group>
            <v:group style="position:absolute;left:15;top:946;width:2878;height:2" coordorigin="15,946" coordsize="2878,2">
              <v:shape style="position:absolute;left:15;top:946;width:2878;height:2" coordorigin="15,946" coordsize="2878,0" path="m15,946l2893,946e" filled="false" stroked="true" strokeweight="1.5pt" strokecolor="#000000">
                <v:path arrowok="t"/>
              </v:shape>
            </v:group>
            <v:group style="position:absolute;left:2893;top:946;width:1200;height:2" coordorigin="2893,946" coordsize="1200,2">
              <v:shape style="position:absolute;left:2893;top:946;width:1200;height:2" coordorigin="2893,946" coordsize="1200,0" path="m2893,946l4093,946e" filled="false" stroked="true" strokeweight="1.5pt" strokecolor="#000000">
                <v:path arrowok="t"/>
              </v:shape>
            </v:group>
            <v:group style="position:absolute;left:4093;top:946;width:1277;height:2" coordorigin="4093,946" coordsize="1277,2">
              <v:shape style="position:absolute;left:4093;top:946;width:1277;height:2" coordorigin="4093,946" coordsize="1277,0" path="m4093,946l5369,946e" filled="false" stroked="true" strokeweight="1.5pt" strokecolor="#000000">
                <v:path arrowok="t"/>
              </v:shape>
              <v:shape style="position:absolute;left:1;top:291;width:7808;height:640" type="#_x0000_t75" stroked="false">
                <v:imagedata r:id="rId395" o:title=""/>
              </v:shape>
            </v:group>
            <v:group style="position:absolute;left:5369;top:946;width:2415;height:2" coordorigin="5369,946" coordsize="2415,2">
              <v:shape style="position:absolute;left:5369;top:946;width:2415;height:2" coordorigin="5369,946" coordsize="2415,0" path="m5369,946l7784,946e" filled="false" stroked="true" strokeweight="1.5pt" strokecolor="#000000">
                <v:path arrowok="t"/>
              </v:shape>
              <v:shape style="position:absolute;left:139;top:55;width:2160;height:801" type="#_x0000_t202" filled="false" stroked="false">
                <v:textbox inset="0,0,0,0">
                  <w:txbxContent>
                    <w:p>
                      <w:pPr>
                        <w:spacing w:line="180" w:lineRule="exact" w:before="0"/>
                        <w:ind w:left="928"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p>
                      <w:pPr>
                        <w:spacing w:line="310" w:lineRule="atLeast" w:before="1"/>
                        <w:ind w:left="964" w:right="0" w:hanging="965"/>
                        <w:jc w:val="left"/>
                        <w:rPr>
                          <w:rFonts w:ascii="宋体" w:hAnsi="宋体" w:cs="宋体" w:eastAsia="宋体" w:hint="default"/>
                          <w:sz w:val="18"/>
                          <w:szCs w:val="18"/>
                        </w:rPr>
                      </w:pPr>
                      <w:r>
                        <w:rPr>
                          <w:rFonts w:ascii="宋体" w:hAnsi="宋体" w:cs="宋体" w:eastAsia="宋体" w:hint="default"/>
                          <w:sz w:val="18"/>
                          <w:szCs w:val="18"/>
                        </w:rPr>
                        <w:t>北京青年御银科技有限公司 合</w:t>
                      </w:r>
                    </w:p>
                  </w:txbxContent>
                </v:textbox>
                <w10:wrap type="none"/>
              </v:shape>
              <v:shape style="position:absolute;left:1643;top:67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3137;top:55;width:830;height:81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6"/>
                        <w:ind w:left="48" w:right="0" w:firstLine="0"/>
                        <w:jc w:val="left"/>
                        <w:rPr>
                          <w:rFonts w:ascii="Times New Roman" w:hAnsi="Times New Roman" w:cs="Times New Roman" w:eastAsia="Times New Roman" w:hint="default"/>
                          <w:sz w:val="18"/>
                          <w:szCs w:val="18"/>
                        </w:rPr>
                      </w:pPr>
                      <w:r>
                        <w:rPr>
                          <w:rFonts w:ascii="Times New Roman"/>
                          <w:sz w:val="18"/>
                        </w:rPr>
                        <w:t>-56,960.14</w:t>
                      </w:r>
                    </w:p>
                    <w:p>
                      <w:pPr>
                        <w:spacing w:line="203" w:lineRule="exact" w:before="102"/>
                        <w:ind w:left="48" w:right="0" w:firstLine="0"/>
                        <w:jc w:val="left"/>
                        <w:rPr>
                          <w:rFonts w:ascii="Times New Roman" w:hAnsi="Times New Roman" w:cs="Times New Roman" w:eastAsia="Times New Roman" w:hint="default"/>
                          <w:sz w:val="18"/>
                          <w:szCs w:val="18"/>
                        </w:rPr>
                      </w:pPr>
                      <w:r>
                        <w:rPr>
                          <w:rFonts w:ascii="Times New Roman"/>
                          <w:sz w:val="18"/>
                        </w:rPr>
                        <w:t>-56,960.14</w:t>
                      </w:r>
                    </w:p>
                  </w:txbxContent>
                </v:textbox>
                <w10:wrap type="none"/>
              </v:shape>
              <v:shape style="position:absolute;left:4376;top:5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5499;top:55;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本期比上期增减变动的原因</w:t>
                      </w:r>
                    </w:p>
                  </w:txbxContent>
                </v:textbox>
                <w10:wrap type="none"/>
              </v:shape>
            </v:group>
          </v:group>
        </w:pict>
      </w:r>
      <w:r>
        <w:rPr>
          <w:rFonts w:ascii="宋体" w:hAnsi="宋体" w:cs="宋体" w:eastAsia="宋体" w:hint="default"/>
          <w:position w:val="-18"/>
          <w:sz w:val="20"/>
          <w:szCs w:val="20"/>
        </w:rPr>
      </w:r>
    </w:p>
    <w:p>
      <w:pPr>
        <w:spacing w:line="240" w:lineRule="auto" w:before="8"/>
        <w:rPr>
          <w:rFonts w:ascii="宋体" w:hAnsi="宋体" w:cs="宋体" w:eastAsia="宋体" w:hint="default"/>
          <w:b/>
          <w:bCs/>
          <w:sz w:val="5"/>
          <w:szCs w:val="5"/>
        </w:rPr>
      </w:pPr>
    </w:p>
    <w:p>
      <w:pPr>
        <w:tabs>
          <w:tab w:pos="1409" w:val="left" w:leader="none"/>
        </w:tabs>
        <w:spacing w:before="35"/>
        <w:ind w:left="870" w:right="0" w:firstLine="0"/>
        <w:jc w:val="left"/>
        <w:rPr>
          <w:rFonts w:ascii="宋体" w:hAnsi="宋体" w:cs="宋体" w:eastAsia="宋体" w:hint="default"/>
          <w:sz w:val="21"/>
          <w:szCs w:val="21"/>
        </w:rPr>
      </w:pPr>
      <w:r>
        <w:rPr/>
        <w:pict>
          <v:group style="position:absolute;margin-left:93.660004pt;margin-top:57.633968pt;width:390.8pt;height:232.05pt;mso-position-horizontal-relative:page;mso-position-vertical-relative:paragraph;z-index:-800224" coordorigin="1873,1153" coordsize="7816,4641">
            <v:shape style="position:absolute;left:6230;top:1153;width:1750;height:318" type="#_x0000_t75" stroked="false">
              <v:imagedata r:id="rId396" o:title=""/>
            </v:shape>
            <v:shape style="position:absolute;left:1873;top:1432;width:7816;height:4361" type="#_x0000_t75" stroked="false">
              <v:imagedata r:id="rId397" o:title=""/>
            </v:shape>
            <w10:wrap type="none"/>
          </v:group>
        </w:pict>
      </w: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投资收益汇回不存在重大限制。</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tbl>
      <w:tblPr>
        <w:tblW w:w="0" w:type="auto"/>
        <w:jc w:val="left"/>
        <w:tblInd w:w="103" w:type="dxa"/>
        <w:tblLayout w:type="fixed"/>
        <w:tblCellMar>
          <w:top w:w="0" w:type="dxa"/>
          <w:left w:w="0" w:type="dxa"/>
          <w:bottom w:w="0" w:type="dxa"/>
          <w:right w:w="0" w:type="dxa"/>
        </w:tblCellMar>
        <w:tblLook w:val="01E0"/>
      </w:tblPr>
      <w:tblGrid>
        <w:gridCol w:w="659"/>
        <w:gridCol w:w="4506"/>
        <w:gridCol w:w="1740"/>
        <w:gridCol w:w="1508"/>
      </w:tblGrid>
      <w:tr>
        <w:trPr>
          <w:trHeight w:val="358"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4506"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4" w:right="0"/>
              <w:jc w:val="left"/>
              <w:rPr>
                <w:rFonts w:ascii="宋体" w:hAnsi="宋体" w:cs="宋体" w:eastAsia="宋体" w:hint="default"/>
                <w:sz w:val="21"/>
                <w:szCs w:val="21"/>
              </w:rPr>
            </w:pPr>
            <w:r>
              <w:rPr>
                <w:rFonts w:ascii="宋体" w:hAnsi="宋体" w:cs="宋体" w:eastAsia="宋体" w:hint="default"/>
                <w:b/>
                <w:bCs/>
                <w:sz w:val="21"/>
                <w:szCs w:val="21"/>
              </w:rPr>
              <w:t>现金流量表补充资料</w:t>
            </w:r>
            <w:r>
              <w:rPr>
                <w:rFonts w:ascii="宋体" w:hAnsi="宋体" w:cs="宋体" w:eastAsia="宋体" w:hint="default"/>
                <w:sz w:val="21"/>
                <w:szCs w:val="21"/>
              </w:rPr>
            </w:r>
          </w:p>
        </w:tc>
        <w:tc>
          <w:tcPr>
            <w:tcW w:w="3248" w:type="dxa"/>
            <w:gridSpan w:val="2"/>
            <w:tcBorders>
              <w:top w:val="nil" w:sz="6" w:space="0" w:color="auto"/>
              <w:left w:val="nil" w:sz="6" w:space="0" w:color="auto"/>
              <w:bottom w:val="single" w:sz="12" w:space="0" w:color="000000"/>
              <w:right w:val="nil" w:sz="6" w:space="0" w:color="auto"/>
            </w:tcBorders>
          </w:tcPr>
          <w:p>
            <w:pPr/>
          </w:p>
        </w:tc>
      </w:tr>
      <w:tr>
        <w:trPr>
          <w:trHeight w:val="275" w:hRule="exact"/>
        </w:trPr>
        <w:tc>
          <w:tcPr>
            <w:tcW w:w="659" w:type="dxa"/>
            <w:tcBorders>
              <w:top w:val="nil" w:sz="6" w:space="0" w:color="auto"/>
              <w:left w:val="nil" w:sz="6" w:space="0" w:color="auto"/>
              <w:bottom w:val="nil" w:sz="6" w:space="0" w:color="auto"/>
              <w:right w:val="nil" w:sz="6" w:space="0" w:color="auto"/>
            </w:tcBorders>
          </w:tcPr>
          <w:p>
            <w:pPr/>
          </w:p>
        </w:tc>
        <w:tc>
          <w:tcPr>
            <w:tcW w:w="4506" w:type="dxa"/>
            <w:tcBorders>
              <w:top w:val="single" w:sz="12" w:space="0" w:color="000000"/>
              <w:left w:val="nil" w:sz="6" w:space="0" w:color="auto"/>
              <w:bottom w:val="nil" w:sz="6" w:space="0" w:color="auto"/>
              <w:right w:val="nil" w:sz="6" w:space="0" w:color="auto"/>
            </w:tcBorders>
          </w:tcPr>
          <w:p>
            <w:pPr>
              <w:pStyle w:val="TableParagraph"/>
              <w:tabs>
                <w:tab w:pos="539" w:val="left" w:leader="none"/>
              </w:tabs>
              <w:spacing w:line="205" w:lineRule="exact"/>
              <w:ind w:right="15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740" w:type="dxa"/>
            <w:tcBorders>
              <w:top w:val="single" w:sz="12" w:space="0" w:color="000000"/>
              <w:left w:val="nil" w:sz="6" w:space="0" w:color="auto"/>
              <w:bottom w:val="nil" w:sz="6" w:space="0" w:color="auto"/>
              <w:right w:val="nil" w:sz="6" w:space="0" w:color="auto"/>
            </w:tcBorders>
          </w:tcPr>
          <w:p>
            <w:pPr>
              <w:pStyle w:val="TableParagraph"/>
              <w:spacing w:line="205" w:lineRule="exact"/>
              <w:ind w:left="337"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08" w:type="dxa"/>
            <w:tcBorders>
              <w:top w:val="single" w:sz="12" w:space="0" w:color="000000"/>
              <w:left w:val="nil" w:sz="6" w:space="0" w:color="auto"/>
              <w:bottom w:val="nil" w:sz="6" w:space="0" w:color="auto"/>
              <w:right w:val="nil" w:sz="6" w:space="0" w:color="auto"/>
            </w:tcBorders>
          </w:tcPr>
          <w:p>
            <w:pPr>
              <w:pStyle w:val="TableParagraph"/>
              <w:spacing w:line="205" w:lineRule="exact"/>
              <w:ind w:left="298"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295" w:hRule="exact"/>
        </w:trPr>
        <w:tc>
          <w:tcPr>
            <w:tcW w:w="659" w:type="dxa"/>
            <w:tcBorders>
              <w:top w:val="nil" w:sz="6" w:space="0" w:color="auto"/>
              <w:left w:val="nil" w:sz="6" w:space="0" w:color="auto"/>
              <w:bottom w:val="nil" w:sz="6" w:space="0" w:color="auto"/>
              <w:right w:val="nil" w:sz="6" w:space="0" w:color="auto"/>
            </w:tcBorders>
          </w:tcPr>
          <w:p>
            <w:pPr/>
          </w:p>
        </w:tc>
        <w:tc>
          <w:tcPr>
            <w:tcW w:w="4506" w:type="dxa"/>
            <w:tcBorders>
              <w:top w:val="nil" w:sz="6" w:space="0" w:color="auto"/>
              <w:left w:val="nil" w:sz="6" w:space="0" w:color="auto"/>
              <w:bottom w:val="nil" w:sz="6" w:space="0" w:color="auto"/>
              <w:right w:val="nil" w:sz="6" w:space="0" w:color="auto"/>
            </w:tcBorders>
          </w:tcPr>
          <w:p>
            <w:pPr>
              <w:pStyle w:val="TableParagraph"/>
              <w:spacing w:line="248" w:lineRule="exact"/>
              <w:ind w:left="10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1740"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
        </w:tc>
      </w:tr>
      <w:tr>
        <w:trPr>
          <w:trHeight w:val="290" w:hRule="exact"/>
        </w:trPr>
        <w:tc>
          <w:tcPr>
            <w:tcW w:w="659" w:type="dxa"/>
            <w:tcBorders>
              <w:top w:val="nil" w:sz="6" w:space="0" w:color="auto"/>
              <w:left w:val="nil" w:sz="6" w:space="0" w:color="auto"/>
              <w:bottom w:val="nil" w:sz="6" w:space="0" w:color="auto"/>
              <w:right w:val="nil" w:sz="6" w:space="0" w:color="auto"/>
            </w:tcBorders>
          </w:tcPr>
          <w:p>
            <w:pPr/>
          </w:p>
        </w:tc>
        <w:tc>
          <w:tcPr>
            <w:tcW w:w="4506" w:type="dxa"/>
            <w:tcBorders>
              <w:top w:val="nil" w:sz="6" w:space="0" w:color="auto"/>
              <w:left w:val="nil" w:sz="6" w:space="0" w:color="auto"/>
              <w:bottom w:val="nil" w:sz="6" w:space="0" w:color="auto"/>
              <w:right w:val="nil" w:sz="6" w:space="0" w:color="auto"/>
            </w:tcBorders>
          </w:tcPr>
          <w:p>
            <w:pPr>
              <w:pStyle w:val="TableParagraph"/>
              <w:spacing w:line="230" w:lineRule="exact"/>
              <w:ind w:left="109"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96"/>
              <w:jc w:val="right"/>
              <w:rPr>
                <w:rFonts w:ascii="Times New Roman" w:hAnsi="Times New Roman" w:cs="Times New Roman" w:eastAsia="Times New Roman" w:hint="default"/>
                <w:sz w:val="18"/>
                <w:szCs w:val="18"/>
              </w:rPr>
            </w:pPr>
            <w:r>
              <w:rPr>
                <w:rFonts w:ascii="Times New Roman"/>
                <w:spacing w:val="-1"/>
                <w:sz w:val="18"/>
              </w:rPr>
              <w:t>66,042,550.75</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3"/>
              <w:jc w:val="right"/>
              <w:rPr>
                <w:rFonts w:ascii="Times New Roman" w:hAnsi="Times New Roman" w:cs="Times New Roman" w:eastAsia="Times New Roman" w:hint="default"/>
                <w:sz w:val="18"/>
                <w:szCs w:val="18"/>
              </w:rPr>
            </w:pPr>
            <w:r>
              <w:rPr>
                <w:rFonts w:ascii="Times New Roman"/>
                <w:spacing w:val="-1"/>
                <w:sz w:val="18"/>
              </w:rPr>
              <w:t>34,700,267.64</w:t>
            </w:r>
          </w:p>
        </w:tc>
      </w:tr>
      <w:tr>
        <w:trPr>
          <w:trHeight w:val="290" w:hRule="exact"/>
        </w:trPr>
        <w:tc>
          <w:tcPr>
            <w:tcW w:w="659" w:type="dxa"/>
            <w:tcBorders>
              <w:top w:val="nil" w:sz="6" w:space="0" w:color="auto"/>
              <w:left w:val="nil" w:sz="6" w:space="0" w:color="auto"/>
              <w:bottom w:val="nil" w:sz="6" w:space="0" w:color="auto"/>
              <w:right w:val="nil" w:sz="6" w:space="0" w:color="auto"/>
            </w:tcBorders>
          </w:tcPr>
          <w:p>
            <w:pPr/>
          </w:p>
        </w:tc>
        <w:tc>
          <w:tcPr>
            <w:tcW w:w="4506" w:type="dxa"/>
            <w:tcBorders>
              <w:top w:val="nil" w:sz="6" w:space="0" w:color="auto"/>
              <w:left w:val="nil" w:sz="6" w:space="0" w:color="auto"/>
              <w:bottom w:val="nil" w:sz="6" w:space="0" w:color="auto"/>
              <w:right w:val="nil" w:sz="6" w:space="0" w:color="auto"/>
            </w:tcBorders>
          </w:tcPr>
          <w:p>
            <w:pPr>
              <w:pStyle w:val="TableParagraph"/>
              <w:spacing w:line="231" w:lineRule="exact"/>
              <w:ind w:left="109"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96"/>
              <w:jc w:val="right"/>
              <w:rPr>
                <w:rFonts w:ascii="Times New Roman" w:hAnsi="Times New Roman" w:cs="Times New Roman" w:eastAsia="Times New Roman" w:hint="default"/>
                <w:sz w:val="18"/>
                <w:szCs w:val="18"/>
              </w:rPr>
            </w:pPr>
            <w:r>
              <w:rPr>
                <w:rFonts w:ascii="Times New Roman"/>
                <w:spacing w:val="-1"/>
                <w:sz w:val="18"/>
              </w:rPr>
              <w:t>18,919,671.94</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2,414,737.92</w:t>
            </w:r>
          </w:p>
        </w:tc>
      </w:tr>
      <w:tr>
        <w:trPr>
          <w:trHeight w:val="290" w:hRule="exact"/>
        </w:trPr>
        <w:tc>
          <w:tcPr>
            <w:tcW w:w="659" w:type="dxa"/>
            <w:tcBorders>
              <w:top w:val="nil" w:sz="6" w:space="0" w:color="auto"/>
              <w:left w:val="nil" w:sz="6" w:space="0" w:color="auto"/>
              <w:bottom w:val="nil" w:sz="6" w:space="0" w:color="auto"/>
              <w:right w:val="nil" w:sz="6" w:space="0" w:color="auto"/>
            </w:tcBorders>
          </w:tcPr>
          <w:p>
            <w:pPr/>
          </w:p>
        </w:tc>
        <w:tc>
          <w:tcPr>
            <w:tcW w:w="4506" w:type="dxa"/>
            <w:tcBorders>
              <w:top w:val="nil" w:sz="6" w:space="0" w:color="auto"/>
              <w:left w:val="nil" w:sz="6" w:space="0" w:color="auto"/>
              <w:bottom w:val="nil" w:sz="6" w:space="0" w:color="auto"/>
              <w:right w:val="nil" w:sz="6" w:space="0" w:color="auto"/>
            </w:tcBorders>
          </w:tcPr>
          <w:p>
            <w:pPr>
              <w:pStyle w:val="TableParagraph"/>
              <w:spacing w:line="231" w:lineRule="exact"/>
              <w:ind w:left="109"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96"/>
              <w:jc w:val="right"/>
              <w:rPr>
                <w:rFonts w:ascii="Times New Roman" w:hAnsi="Times New Roman" w:cs="Times New Roman" w:eastAsia="Times New Roman" w:hint="default"/>
                <w:sz w:val="18"/>
                <w:szCs w:val="18"/>
              </w:rPr>
            </w:pPr>
            <w:r>
              <w:rPr>
                <w:rFonts w:ascii="Times New Roman"/>
                <w:spacing w:val="-1"/>
                <w:sz w:val="18"/>
              </w:rPr>
              <w:t>62,842,676.67</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57,139,123.67</w:t>
            </w:r>
          </w:p>
        </w:tc>
      </w:tr>
      <w:tr>
        <w:trPr>
          <w:trHeight w:val="290" w:hRule="exact"/>
        </w:trPr>
        <w:tc>
          <w:tcPr>
            <w:tcW w:w="659" w:type="dxa"/>
            <w:tcBorders>
              <w:top w:val="nil" w:sz="6" w:space="0" w:color="auto"/>
              <w:left w:val="nil" w:sz="6" w:space="0" w:color="auto"/>
              <w:bottom w:val="nil" w:sz="6" w:space="0" w:color="auto"/>
              <w:right w:val="nil" w:sz="6" w:space="0" w:color="auto"/>
            </w:tcBorders>
          </w:tcPr>
          <w:p>
            <w:pPr/>
          </w:p>
        </w:tc>
        <w:tc>
          <w:tcPr>
            <w:tcW w:w="4506" w:type="dxa"/>
            <w:tcBorders>
              <w:top w:val="nil" w:sz="6" w:space="0" w:color="auto"/>
              <w:left w:val="nil" w:sz="6" w:space="0" w:color="auto"/>
              <w:bottom w:val="nil" w:sz="6" w:space="0" w:color="auto"/>
              <w:right w:val="nil" w:sz="6" w:space="0" w:color="auto"/>
            </w:tcBorders>
          </w:tcPr>
          <w:p>
            <w:pPr>
              <w:pStyle w:val="TableParagraph"/>
              <w:spacing w:line="231" w:lineRule="exact"/>
              <w:ind w:left="109"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96"/>
              <w:jc w:val="right"/>
              <w:rPr>
                <w:rFonts w:ascii="Times New Roman" w:hAnsi="Times New Roman" w:cs="Times New Roman" w:eastAsia="Times New Roman" w:hint="default"/>
                <w:sz w:val="18"/>
                <w:szCs w:val="18"/>
              </w:rPr>
            </w:pPr>
            <w:r>
              <w:rPr>
                <w:rFonts w:ascii="Times New Roman"/>
                <w:sz w:val="18"/>
              </w:rPr>
              <w:t>449,476.28</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z w:val="18"/>
              </w:rPr>
              <w:t>54,270.44</w:t>
            </w:r>
          </w:p>
        </w:tc>
      </w:tr>
      <w:tr>
        <w:trPr>
          <w:trHeight w:val="240" w:hRule="exact"/>
        </w:trPr>
        <w:tc>
          <w:tcPr>
            <w:tcW w:w="659" w:type="dxa"/>
            <w:tcBorders>
              <w:top w:val="nil" w:sz="6" w:space="0" w:color="auto"/>
              <w:left w:val="nil" w:sz="6" w:space="0" w:color="auto"/>
              <w:bottom w:val="nil" w:sz="6" w:space="0" w:color="auto"/>
              <w:right w:val="nil" w:sz="6" w:space="0" w:color="auto"/>
            </w:tcBorders>
          </w:tcPr>
          <w:p>
            <w:pPr/>
          </w:p>
        </w:tc>
        <w:tc>
          <w:tcPr>
            <w:tcW w:w="4506" w:type="dxa"/>
            <w:tcBorders>
              <w:top w:val="nil" w:sz="6" w:space="0" w:color="auto"/>
              <w:left w:val="nil" w:sz="6" w:space="0" w:color="auto"/>
              <w:bottom w:val="nil" w:sz="6" w:space="0" w:color="auto"/>
              <w:right w:val="nil" w:sz="6" w:space="0" w:color="auto"/>
            </w:tcBorders>
          </w:tcPr>
          <w:p>
            <w:pPr>
              <w:pStyle w:val="TableParagraph"/>
              <w:spacing w:line="230" w:lineRule="exact"/>
              <w:ind w:left="109"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96"/>
              <w:jc w:val="right"/>
              <w:rPr>
                <w:rFonts w:ascii="Times New Roman" w:hAnsi="Times New Roman" w:cs="Times New Roman" w:eastAsia="Times New Roman" w:hint="default"/>
                <w:sz w:val="18"/>
                <w:szCs w:val="18"/>
              </w:rPr>
            </w:pPr>
            <w:r>
              <w:rPr>
                <w:rFonts w:ascii="Times New Roman"/>
                <w:spacing w:val="-1"/>
                <w:sz w:val="18"/>
              </w:rPr>
              <w:t>977,116.44</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3"/>
              <w:jc w:val="right"/>
              <w:rPr>
                <w:rFonts w:ascii="Times New Roman" w:hAnsi="Times New Roman" w:cs="Times New Roman" w:eastAsia="Times New Roman" w:hint="default"/>
                <w:sz w:val="18"/>
                <w:szCs w:val="18"/>
              </w:rPr>
            </w:pPr>
            <w:r>
              <w:rPr>
                <w:rFonts w:ascii="Times New Roman"/>
                <w:spacing w:val="-1"/>
                <w:sz w:val="18"/>
              </w:rPr>
              <w:t>1,270,259.85</w:t>
            </w:r>
          </w:p>
        </w:tc>
      </w:tr>
      <w:tr>
        <w:trPr>
          <w:trHeight w:val="405" w:hRule="exact"/>
        </w:trPr>
        <w:tc>
          <w:tcPr>
            <w:tcW w:w="8413" w:type="dxa"/>
            <w:gridSpan w:val="4"/>
            <w:tcBorders>
              <w:top w:val="nil" w:sz="6" w:space="0" w:color="auto"/>
              <w:left w:val="nil" w:sz="6" w:space="0" w:color="auto"/>
              <w:bottom w:val="nil" w:sz="6" w:space="0" w:color="auto"/>
              <w:right w:val="nil" w:sz="6" w:space="0" w:color="auto"/>
            </w:tcBorders>
          </w:tcPr>
          <w:p>
            <w:pPr>
              <w:pStyle w:val="TableParagraph"/>
              <w:spacing w:line="208" w:lineRule="exact" w:before="45"/>
              <w:ind w:left="768"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w:t>
            </w:r>
          </w:p>
          <w:p>
            <w:pPr>
              <w:pStyle w:val="TableParagraph"/>
              <w:tabs>
                <w:tab w:pos="1955" w:val="left" w:leader="none"/>
              </w:tabs>
              <w:spacing w:line="180" w:lineRule="exact"/>
              <w:ind w:right="103"/>
              <w:jc w:val="right"/>
              <w:rPr>
                <w:rFonts w:ascii="Times New Roman" w:hAnsi="Times New Roman" w:cs="Times New Roman" w:eastAsia="Times New Roman" w:hint="default"/>
                <w:sz w:val="18"/>
                <w:szCs w:val="18"/>
              </w:rPr>
            </w:pPr>
            <w:r>
              <w:rPr>
                <w:rFonts w:ascii="Times New Roman"/>
                <w:spacing w:val="-1"/>
                <w:sz w:val="18"/>
              </w:rPr>
              <w:t>2,297,013.86</w:t>
              <w:tab/>
            </w:r>
            <w:r>
              <w:rPr>
                <w:rFonts w:ascii="Times New Roman"/>
                <w:sz w:val="18"/>
              </w:rPr>
              <w:t>-2,174.88</w:t>
            </w:r>
          </w:p>
        </w:tc>
      </w:tr>
      <w:tr>
        <w:trPr>
          <w:trHeight w:val="215" w:hRule="exact"/>
        </w:trPr>
        <w:tc>
          <w:tcPr>
            <w:tcW w:w="5165" w:type="dxa"/>
            <w:gridSpan w:val="2"/>
            <w:tcBorders>
              <w:top w:val="nil" w:sz="6" w:space="0" w:color="auto"/>
              <w:left w:val="nil" w:sz="6" w:space="0" w:color="auto"/>
              <w:bottom w:val="nil" w:sz="6" w:space="0" w:color="auto"/>
              <w:right w:val="nil" w:sz="6" w:space="0" w:color="auto"/>
            </w:tcBorders>
          </w:tcPr>
          <w:p>
            <w:pPr>
              <w:pStyle w:val="TableParagraph"/>
              <w:spacing w:line="170" w:lineRule="exact"/>
              <w:ind w:left="768" w:right="0"/>
              <w:jc w:val="left"/>
              <w:rPr>
                <w:rFonts w:ascii="宋体" w:hAnsi="宋体" w:cs="宋体" w:eastAsia="宋体" w:hint="default"/>
                <w:sz w:val="18"/>
                <w:szCs w:val="18"/>
              </w:rPr>
            </w:pPr>
            <w:r>
              <w:rPr>
                <w:rFonts w:ascii="宋体" w:hAnsi="宋体" w:cs="宋体" w:eastAsia="宋体" w:hint="default"/>
                <w:sz w:val="18"/>
                <w:szCs w:val="18"/>
              </w:rPr>
              <w:t>（收益以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40"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
        </w:tc>
      </w:tr>
      <w:tr>
        <w:trPr>
          <w:trHeight w:val="290" w:hRule="exact"/>
        </w:trPr>
        <w:tc>
          <w:tcPr>
            <w:tcW w:w="5165" w:type="dxa"/>
            <w:gridSpan w:val="2"/>
            <w:tcBorders>
              <w:top w:val="nil" w:sz="6" w:space="0" w:color="auto"/>
              <w:left w:val="nil" w:sz="6" w:space="0" w:color="auto"/>
              <w:bottom w:val="nil" w:sz="6" w:space="0" w:color="auto"/>
              <w:right w:val="nil" w:sz="6" w:space="0" w:color="auto"/>
            </w:tcBorders>
          </w:tcPr>
          <w:p>
            <w:pPr>
              <w:pStyle w:val="TableParagraph"/>
              <w:spacing w:line="243" w:lineRule="exact"/>
              <w:ind w:left="768"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40"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
        </w:tc>
      </w:tr>
      <w:tr>
        <w:trPr>
          <w:trHeight w:val="290" w:hRule="exact"/>
        </w:trPr>
        <w:tc>
          <w:tcPr>
            <w:tcW w:w="5165" w:type="dxa"/>
            <w:gridSpan w:val="2"/>
            <w:tcBorders>
              <w:top w:val="nil" w:sz="6" w:space="0" w:color="auto"/>
              <w:left w:val="nil" w:sz="6" w:space="0" w:color="auto"/>
              <w:bottom w:val="nil" w:sz="6" w:space="0" w:color="auto"/>
              <w:right w:val="nil" w:sz="6" w:space="0" w:color="auto"/>
            </w:tcBorders>
          </w:tcPr>
          <w:p>
            <w:pPr>
              <w:pStyle w:val="TableParagraph"/>
              <w:spacing w:line="244" w:lineRule="exact"/>
              <w:ind w:left="768"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40"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
        </w:tc>
      </w:tr>
      <w:tr>
        <w:trPr>
          <w:trHeight w:val="290" w:hRule="exact"/>
        </w:trPr>
        <w:tc>
          <w:tcPr>
            <w:tcW w:w="5165" w:type="dxa"/>
            <w:gridSpan w:val="2"/>
            <w:tcBorders>
              <w:top w:val="nil" w:sz="6" w:space="0" w:color="auto"/>
              <w:left w:val="nil" w:sz="6" w:space="0" w:color="auto"/>
              <w:bottom w:val="nil" w:sz="6" w:space="0" w:color="auto"/>
              <w:right w:val="nil" w:sz="6" w:space="0" w:color="auto"/>
            </w:tcBorders>
          </w:tcPr>
          <w:p>
            <w:pPr>
              <w:pStyle w:val="TableParagraph"/>
              <w:spacing w:line="244" w:lineRule="exact"/>
              <w:ind w:left="768"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96"/>
              <w:jc w:val="right"/>
              <w:rPr>
                <w:rFonts w:ascii="Times New Roman" w:hAnsi="Times New Roman" w:cs="Times New Roman" w:eastAsia="Times New Roman" w:hint="default"/>
                <w:sz w:val="18"/>
                <w:szCs w:val="18"/>
              </w:rPr>
            </w:pPr>
            <w:r>
              <w:rPr>
                <w:rFonts w:ascii="Times New Roman"/>
                <w:spacing w:val="-1"/>
                <w:sz w:val="18"/>
              </w:rPr>
              <w:t>6,836,261.09</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3"/>
              <w:jc w:val="right"/>
              <w:rPr>
                <w:rFonts w:ascii="Times New Roman" w:hAnsi="Times New Roman" w:cs="Times New Roman" w:eastAsia="Times New Roman" w:hint="default"/>
                <w:sz w:val="18"/>
                <w:szCs w:val="18"/>
              </w:rPr>
            </w:pPr>
            <w:r>
              <w:rPr>
                <w:rFonts w:ascii="Times New Roman"/>
                <w:spacing w:val="-1"/>
                <w:sz w:val="18"/>
              </w:rPr>
              <w:t>2,165,256.03</w:t>
            </w:r>
          </w:p>
        </w:tc>
      </w:tr>
      <w:tr>
        <w:trPr>
          <w:trHeight w:val="290" w:hRule="exact"/>
        </w:trPr>
        <w:tc>
          <w:tcPr>
            <w:tcW w:w="5165" w:type="dxa"/>
            <w:gridSpan w:val="2"/>
            <w:tcBorders>
              <w:top w:val="nil" w:sz="6" w:space="0" w:color="auto"/>
              <w:left w:val="nil" w:sz="6" w:space="0" w:color="auto"/>
              <w:bottom w:val="nil" w:sz="6" w:space="0" w:color="auto"/>
              <w:right w:val="nil" w:sz="6" w:space="0" w:color="auto"/>
            </w:tcBorders>
          </w:tcPr>
          <w:p>
            <w:pPr>
              <w:pStyle w:val="TableParagraph"/>
              <w:spacing w:line="244" w:lineRule="exact"/>
              <w:ind w:left="768"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97"/>
              <w:jc w:val="right"/>
              <w:rPr>
                <w:rFonts w:ascii="Times New Roman" w:hAnsi="Times New Roman" w:cs="Times New Roman" w:eastAsia="Times New Roman" w:hint="default"/>
                <w:sz w:val="18"/>
                <w:szCs w:val="18"/>
              </w:rPr>
            </w:pPr>
            <w:r>
              <w:rPr>
                <w:rFonts w:ascii="Times New Roman"/>
                <w:spacing w:val="-1"/>
                <w:sz w:val="18"/>
              </w:rPr>
              <w:t>3,119,206.04</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3"/>
              <w:jc w:val="right"/>
              <w:rPr>
                <w:rFonts w:ascii="Times New Roman" w:hAnsi="Times New Roman" w:cs="Times New Roman" w:eastAsia="Times New Roman" w:hint="default"/>
                <w:sz w:val="18"/>
                <w:szCs w:val="18"/>
              </w:rPr>
            </w:pPr>
            <w:r>
              <w:rPr>
                <w:rFonts w:ascii="Times New Roman"/>
                <w:w w:val="95"/>
                <w:sz w:val="18"/>
              </w:rPr>
              <w:t>-6,072.00</w:t>
            </w:r>
            <w:r>
              <w:rPr>
                <w:rFonts w:ascii="Times New Roman"/>
                <w:sz w:val="18"/>
              </w:rPr>
            </w:r>
          </w:p>
        </w:tc>
      </w:tr>
      <w:tr>
        <w:trPr>
          <w:trHeight w:val="290" w:hRule="exact"/>
        </w:trPr>
        <w:tc>
          <w:tcPr>
            <w:tcW w:w="5165" w:type="dxa"/>
            <w:gridSpan w:val="2"/>
            <w:tcBorders>
              <w:top w:val="nil" w:sz="6" w:space="0" w:color="auto"/>
              <w:left w:val="nil" w:sz="6" w:space="0" w:color="auto"/>
              <w:bottom w:val="nil" w:sz="6" w:space="0" w:color="auto"/>
              <w:right w:val="nil" w:sz="6" w:space="0" w:color="auto"/>
            </w:tcBorders>
          </w:tcPr>
          <w:p>
            <w:pPr>
              <w:pStyle w:val="TableParagraph"/>
              <w:spacing w:line="243" w:lineRule="exact"/>
              <w:ind w:left="768"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98"/>
              <w:jc w:val="right"/>
              <w:rPr>
                <w:rFonts w:ascii="Times New Roman" w:hAnsi="Times New Roman" w:cs="Times New Roman" w:eastAsia="Times New Roman" w:hint="default"/>
                <w:sz w:val="18"/>
                <w:szCs w:val="18"/>
              </w:rPr>
            </w:pPr>
            <w:r>
              <w:rPr>
                <w:rFonts w:ascii="Times New Roman"/>
                <w:spacing w:val="-1"/>
                <w:sz w:val="18"/>
              </w:rPr>
              <w:t>-5,550,107.37</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w w:val="95"/>
                <w:sz w:val="18"/>
              </w:rPr>
              <w:t>-930,245.94</w:t>
            </w:r>
            <w:r>
              <w:rPr>
                <w:rFonts w:ascii="Times New Roman"/>
                <w:sz w:val="18"/>
              </w:rPr>
            </w:r>
          </w:p>
        </w:tc>
      </w:tr>
      <w:tr>
        <w:trPr>
          <w:trHeight w:val="298" w:hRule="exact"/>
        </w:trPr>
        <w:tc>
          <w:tcPr>
            <w:tcW w:w="5165" w:type="dxa"/>
            <w:gridSpan w:val="2"/>
            <w:tcBorders>
              <w:top w:val="nil" w:sz="6" w:space="0" w:color="auto"/>
              <w:left w:val="nil" w:sz="6" w:space="0" w:color="auto"/>
              <w:bottom w:val="nil" w:sz="6" w:space="0" w:color="auto"/>
              <w:right w:val="nil" w:sz="6" w:space="0" w:color="auto"/>
            </w:tcBorders>
          </w:tcPr>
          <w:p>
            <w:pPr>
              <w:pStyle w:val="TableParagraph"/>
              <w:spacing w:line="244" w:lineRule="exact"/>
              <w:ind w:left="768"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96"/>
              <w:jc w:val="right"/>
              <w:rPr>
                <w:rFonts w:ascii="Times New Roman" w:hAnsi="Times New Roman" w:cs="Times New Roman" w:eastAsia="Times New Roman" w:hint="default"/>
                <w:sz w:val="18"/>
                <w:szCs w:val="18"/>
              </w:rPr>
            </w:pPr>
            <w:r>
              <w:rPr>
                <w:rFonts w:ascii="Times New Roman"/>
                <w:spacing w:val="-1"/>
                <w:sz w:val="18"/>
              </w:rPr>
              <w:t>8,201,585.80</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3"/>
              <w:jc w:val="right"/>
              <w:rPr>
                <w:rFonts w:ascii="Times New Roman" w:hAnsi="Times New Roman" w:cs="Times New Roman" w:eastAsia="Times New Roman" w:hint="default"/>
                <w:sz w:val="18"/>
                <w:szCs w:val="18"/>
              </w:rPr>
            </w:pPr>
            <w:r>
              <w:rPr>
                <w:rFonts w:ascii="Times New Roman"/>
                <w:spacing w:val="-1"/>
                <w:sz w:val="18"/>
              </w:rPr>
              <w:t>1,168,046.22</w:t>
            </w:r>
          </w:p>
        </w:tc>
      </w:tr>
      <w:tr>
        <w:trPr>
          <w:trHeight w:val="312" w:hRule="exact"/>
        </w:trPr>
        <w:tc>
          <w:tcPr>
            <w:tcW w:w="5165" w:type="dxa"/>
            <w:gridSpan w:val="2"/>
            <w:tcBorders>
              <w:top w:val="nil" w:sz="6" w:space="0" w:color="auto"/>
              <w:left w:val="nil" w:sz="6" w:space="0" w:color="auto"/>
              <w:bottom w:val="nil" w:sz="6" w:space="0" w:color="auto"/>
              <w:right w:val="nil" w:sz="6" w:space="0" w:color="auto"/>
            </w:tcBorders>
          </w:tcPr>
          <w:p>
            <w:pPr>
              <w:pStyle w:val="TableParagraph"/>
              <w:spacing w:line="236" w:lineRule="exact"/>
              <w:ind w:left="768"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40"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261" w:right="0"/>
              <w:jc w:val="left"/>
              <w:rPr>
                <w:rFonts w:ascii="Times New Roman" w:hAnsi="Times New Roman" w:cs="Times New Roman" w:eastAsia="Times New Roman" w:hint="default"/>
                <w:sz w:val="18"/>
                <w:szCs w:val="18"/>
              </w:rPr>
            </w:pPr>
            <w:r>
              <w:rPr>
                <w:rFonts w:ascii="Times New Roman"/>
                <w:sz w:val="18"/>
              </w:rPr>
              <w:t>-114,251,677.73</w:t>
            </w:r>
          </w:p>
        </w:tc>
        <w:tc>
          <w:tcPr>
            <w:tcW w:w="1508"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103"/>
              <w:jc w:val="right"/>
              <w:rPr>
                <w:rFonts w:ascii="Times New Roman" w:hAnsi="Times New Roman" w:cs="Times New Roman" w:eastAsia="Times New Roman" w:hint="default"/>
                <w:sz w:val="18"/>
                <w:szCs w:val="18"/>
              </w:rPr>
            </w:pPr>
            <w:r>
              <w:rPr>
                <w:rFonts w:ascii="Times New Roman"/>
                <w:spacing w:val="-1"/>
                <w:sz w:val="18"/>
              </w:rPr>
              <w:t>-28,627,090.28</w:t>
            </w:r>
          </w:p>
        </w:tc>
      </w:tr>
    </w:tbl>
    <w:p>
      <w:pPr>
        <w:spacing w:after="0" w:line="240" w:lineRule="auto"/>
        <w:jc w:val="right"/>
        <w:rPr>
          <w:rFonts w:ascii="Times New Roman" w:hAnsi="Times New Roman" w:cs="Times New Roman" w:eastAsia="Times New Roman" w:hint="default"/>
          <w:sz w:val="18"/>
          <w:szCs w:val="18"/>
        </w:rPr>
        <w:sectPr>
          <w:pgSz w:w="11910" w:h="16840"/>
          <w:pgMar w:header="816" w:footer="1256" w:top="1100" w:bottom="1440" w:left="1140" w:right="1640"/>
        </w:sectPr>
      </w:pPr>
    </w:p>
    <w:p>
      <w:pPr>
        <w:spacing w:line="240" w:lineRule="auto" w:before="8"/>
        <w:rPr>
          <w:rFonts w:ascii="宋体" w:hAnsi="宋体" w:cs="宋体" w:eastAsia="宋体" w:hint="default"/>
          <w:b/>
          <w:bCs/>
          <w:sz w:val="25"/>
          <w:szCs w:val="25"/>
        </w:rPr>
      </w:pPr>
    </w:p>
    <w:tbl>
      <w:tblPr>
        <w:tblW w:w="0" w:type="auto"/>
        <w:jc w:val="left"/>
        <w:tblInd w:w="761" w:type="dxa"/>
        <w:tblLayout w:type="fixed"/>
        <w:tblCellMar>
          <w:top w:w="0" w:type="dxa"/>
          <w:left w:w="0" w:type="dxa"/>
          <w:bottom w:w="0" w:type="dxa"/>
          <w:right w:w="0" w:type="dxa"/>
        </w:tblCellMar>
        <w:tblLook w:val="01E0"/>
      </w:tblPr>
      <w:tblGrid>
        <w:gridCol w:w="4228"/>
        <w:gridCol w:w="1980"/>
        <w:gridCol w:w="1546"/>
      </w:tblGrid>
      <w:tr>
        <w:trPr>
          <w:trHeight w:val="571" w:hRule="exact"/>
        </w:trPr>
        <w:tc>
          <w:tcPr>
            <w:tcW w:w="4228" w:type="dxa"/>
            <w:tcBorders>
              <w:top w:val="single" w:sz="12" w:space="0" w:color="000000"/>
              <w:left w:val="nil" w:sz="6" w:space="0" w:color="auto"/>
              <w:bottom w:val="nil" w:sz="6" w:space="0" w:color="auto"/>
              <w:right w:val="nil" w:sz="6" w:space="0" w:color="auto"/>
            </w:tcBorders>
          </w:tcPr>
          <w:p>
            <w:pPr>
              <w:pStyle w:val="TableParagraph"/>
              <w:tabs>
                <w:tab w:pos="2356" w:val="left" w:leader="none"/>
              </w:tabs>
              <w:spacing w:line="205" w:lineRule="exact"/>
              <w:ind w:left="1816" w:right="0"/>
              <w:jc w:val="left"/>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55"/>
              <w:ind w:left="109"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80" w:type="dxa"/>
            <w:tcBorders>
              <w:top w:val="single" w:sz="12" w:space="0" w:color="000000"/>
              <w:left w:val="nil" w:sz="6" w:space="0" w:color="auto"/>
              <w:bottom w:val="nil" w:sz="6" w:space="0" w:color="auto"/>
              <w:right w:val="nil" w:sz="6" w:space="0" w:color="auto"/>
            </w:tcBorders>
          </w:tcPr>
          <w:p>
            <w:pPr>
              <w:pStyle w:val="TableParagraph"/>
              <w:spacing w:line="205" w:lineRule="exact"/>
              <w:ind w:left="614"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96"/>
              <w:ind w:left="539" w:right="0"/>
              <w:jc w:val="left"/>
              <w:rPr>
                <w:rFonts w:ascii="Times New Roman" w:hAnsi="Times New Roman" w:cs="Times New Roman" w:eastAsia="Times New Roman" w:hint="default"/>
                <w:sz w:val="18"/>
                <w:szCs w:val="18"/>
              </w:rPr>
            </w:pPr>
            <w:r>
              <w:rPr>
                <w:rFonts w:ascii="Times New Roman"/>
                <w:sz w:val="18"/>
              </w:rPr>
              <w:t>-117,327,476.04</w:t>
            </w:r>
          </w:p>
        </w:tc>
        <w:tc>
          <w:tcPr>
            <w:tcW w:w="1546" w:type="dxa"/>
            <w:tcBorders>
              <w:top w:val="single" w:sz="12" w:space="0" w:color="000000"/>
              <w:left w:val="nil" w:sz="6" w:space="0" w:color="auto"/>
              <w:bottom w:val="nil" w:sz="6" w:space="0" w:color="auto"/>
              <w:right w:val="nil" w:sz="6" w:space="0" w:color="auto"/>
            </w:tcBorders>
          </w:tcPr>
          <w:p>
            <w:pPr>
              <w:pStyle w:val="TableParagraph"/>
              <w:spacing w:line="205" w:lineRule="exact"/>
              <w:ind w:left="336"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96"/>
              <w:ind w:left="345" w:right="0"/>
              <w:jc w:val="left"/>
              <w:rPr>
                <w:rFonts w:ascii="Times New Roman" w:hAnsi="Times New Roman" w:cs="Times New Roman" w:eastAsia="Times New Roman" w:hint="default"/>
                <w:sz w:val="18"/>
                <w:szCs w:val="18"/>
              </w:rPr>
            </w:pPr>
            <w:r>
              <w:rPr>
                <w:rFonts w:ascii="Times New Roman"/>
                <w:sz w:val="18"/>
              </w:rPr>
              <w:t>-41,472,381.56</w:t>
            </w:r>
          </w:p>
        </w:tc>
      </w:tr>
      <w:tr>
        <w:trPr>
          <w:trHeight w:val="575" w:hRule="exact"/>
        </w:trPr>
        <w:tc>
          <w:tcPr>
            <w:tcW w:w="4228" w:type="dxa"/>
            <w:tcBorders>
              <w:top w:val="nil" w:sz="6" w:space="0" w:color="auto"/>
              <w:left w:val="nil" w:sz="6" w:space="0" w:color="auto"/>
              <w:bottom w:val="nil" w:sz="6" w:space="0" w:color="auto"/>
              <w:right w:val="nil" w:sz="6" w:space="0" w:color="auto"/>
            </w:tcBorders>
          </w:tcPr>
          <w:p>
            <w:pPr>
              <w:pStyle w:val="TableParagraph"/>
              <w:tabs>
                <w:tab w:pos="649" w:val="left" w:leader="none"/>
              </w:tabs>
              <w:spacing w:line="278" w:lineRule="auto"/>
              <w:ind w:left="109" w:right="537"/>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 其</w:t>
              <w:tab/>
              <w:t>他</w:t>
            </w:r>
          </w:p>
        </w:tc>
        <w:tc>
          <w:tcPr>
            <w:tcW w:w="198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58"/>
              <w:jc w:val="right"/>
              <w:rPr>
                <w:rFonts w:ascii="Times New Roman" w:hAnsi="Times New Roman" w:cs="Times New Roman" w:eastAsia="Times New Roman" w:hint="default"/>
                <w:sz w:val="18"/>
                <w:szCs w:val="18"/>
              </w:rPr>
            </w:pPr>
            <w:r>
              <w:rPr>
                <w:rFonts w:ascii="Times New Roman"/>
                <w:spacing w:val="-1"/>
                <w:sz w:val="18"/>
              </w:rPr>
              <w:t>154,344,175.31</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3"/>
              <w:jc w:val="right"/>
              <w:rPr>
                <w:rFonts w:ascii="Times New Roman" w:hAnsi="Times New Roman" w:cs="Times New Roman" w:eastAsia="Times New Roman" w:hint="default"/>
                <w:sz w:val="18"/>
                <w:szCs w:val="18"/>
              </w:rPr>
            </w:pPr>
            <w:r>
              <w:rPr>
                <w:rFonts w:ascii="Times New Roman"/>
                <w:spacing w:val="-1"/>
                <w:sz w:val="18"/>
              </w:rPr>
              <w:t>-17,216,237.29</w:t>
            </w:r>
          </w:p>
        </w:tc>
      </w:tr>
      <w:tr>
        <w:trPr>
          <w:trHeight w:val="871" w:hRule="exact"/>
        </w:trPr>
        <w:tc>
          <w:tcPr>
            <w:tcW w:w="4228" w:type="dxa"/>
            <w:tcBorders>
              <w:top w:val="nil" w:sz="6" w:space="0" w:color="auto"/>
              <w:left w:val="nil" w:sz="6" w:space="0" w:color="auto"/>
              <w:bottom w:val="nil" w:sz="6" w:space="0" w:color="auto"/>
              <w:right w:val="nil" w:sz="6" w:space="0" w:color="auto"/>
            </w:tcBorders>
          </w:tcPr>
          <w:p>
            <w:pPr>
              <w:pStyle w:val="TableParagraph"/>
              <w:spacing w:line="288" w:lineRule="auto"/>
              <w:ind w:left="109" w:right="787"/>
              <w:jc w:val="left"/>
              <w:rPr>
                <w:rFonts w:ascii="宋体" w:hAnsi="宋体" w:cs="宋体" w:eastAsia="宋体" w:hint="default"/>
                <w:sz w:val="18"/>
                <w:szCs w:val="18"/>
              </w:rPr>
            </w:pPr>
            <w:r>
              <w:rPr>
                <w:rFonts w:ascii="宋体" w:hAnsi="宋体" w:cs="宋体" w:eastAsia="宋体" w:hint="default"/>
                <w:sz w:val="18"/>
                <w:szCs w:val="18"/>
              </w:rPr>
              <w:t>经营活动产生的现金流量净额 </w:t>
            </w: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 债务转为资本</w:t>
            </w:r>
          </w:p>
        </w:tc>
        <w:tc>
          <w:tcPr>
            <w:tcW w:w="198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9"/>
              <w:jc w:val="right"/>
              <w:rPr>
                <w:rFonts w:ascii="Times New Roman" w:hAnsi="Times New Roman" w:cs="Times New Roman" w:eastAsia="Times New Roman" w:hint="default"/>
                <w:sz w:val="18"/>
                <w:szCs w:val="18"/>
              </w:rPr>
            </w:pPr>
            <w:r>
              <w:rPr>
                <w:rFonts w:ascii="Times New Roman"/>
                <w:spacing w:val="-1"/>
                <w:sz w:val="18"/>
              </w:rPr>
              <w:t>86,900,473.04</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3"/>
              <w:jc w:val="right"/>
              <w:rPr>
                <w:rFonts w:ascii="Times New Roman" w:hAnsi="Times New Roman" w:cs="Times New Roman" w:eastAsia="Times New Roman" w:hint="default"/>
                <w:sz w:val="18"/>
                <w:szCs w:val="18"/>
              </w:rPr>
            </w:pPr>
            <w:r>
              <w:rPr>
                <w:rFonts w:ascii="Times New Roman"/>
                <w:spacing w:val="-1"/>
                <w:sz w:val="18"/>
              </w:rPr>
              <w:t>10,657,759.82</w:t>
            </w:r>
          </w:p>
        </w:tc>
      </w:tr>
      <w:tr>
        <w:trPr>
          <w:trHeight w:val="290" w:hRule="exact"/>
        </w:trPr>
        <w:tc>
          <w:tcPr>
            <w:tcW w:w="4228" w:type="dxa"/>
            <w:tcBorders>
              <w:top w:val="nil" w:sz="6" w:space="0" w:color="auto"/>
              <w:left w:val="nil" w:sz="6" w:space="0" w:color="auto"/>
              <w:bottom w:val="nil" w:sz="6" w:space="0" w:color="auto"/>
              <w:right w:val="nil" w:sz="6" w:space="0" w:color="auto"/>
            </w:tcBorders>
          </w:tcPr>
          <w:p>
            <w:pPr>
              <w:pStyle w:val="TableParagraph"/>
              <w:spacing w:line="235" w:lineRule="exact"/>
              <w:ind w:left="109"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980"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nil" w:sz="6" w:space="0" w:color="auto"/>
            </w:tcBorders>
          </w:tcPr>
          <w:p>
            <w:pPr/>
          </w:p>
        </w:tc>
      </w:tr>
      <w:tr>
        <w:trPr>
          <w:trHeight w:val="290" w:hRule="exact"/>
        </w:trPr>
        <w:tc>
          <w:tcPr>
            <w:tcW w:w="4228" w:type="dxa"/>
            <w:tcBorders>
              <w:top w:val="nil" w:sz="6" w:space="0" w:color="auto"/>
              <w:left w:val="nil" w:sz="6" w:space="0" w:color="auto"/>
              <w:bottom w:val="nil" w:sz="6" w:space="0" w:color="auto"/>
              <w:right w:val="nil" w:sz="6" w:space="0" w:color="auto"/>
            </w:tcBorders>
          </w:tcPr>
          <w:p>
            <w:pPr>
              <w:pStyle w:val="TableParagraph"/>
              <w:spacing w:line="235" w:lineRule="exact"/>
              <w:ind w:left="109"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980"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nil" w:sz="6" w:space="0" w:color="auto"/>
            </w:tcBorders>
          </w:tcPr>
          <w:p>
            <w:pPr/>
          </w:p>
        </w:tc>
      </w:tr>
      <w:tr>
        <w:trPr>
          <w:trHeight w:val="585" w:hRule="exact"/>
        </w:trPr>
        <w:tc>
          <w:tcPr>
            <w:tcW w:w="4228" w:type="dxa"/>
            <w:tcBorders>
              <w:top w:val="nil" w:sz="6" w:space="0" w:color="auto"/>
              <w:left w:val="nil" w:sz="6" w:space="0" w:color="auto"/>
              <w:bottom w:val="nil" w:sz="6" w:space="0" w:color="auto"/>
              <w:right w:val="nil" w:sz="6" w:space="0" w:color="auto"/>
            </w:tcBorders>
          </w:tcPr>
          <w:p>
            <w:pPr>
              <w:pStyle w:val="TableParagraph"/>
              <w:spacing w:line="280" w:lineRule="auto"/>
              <w:ind w:left="109" w:right="150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 现金的期末余额</w:t>
            </w:r>
          </w:p>
        </w:tc>
        <w:tc>
          <w:tcPr>
            <w:tcW w:w="198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260"/>
              <w:jc w:val="right"/>
              <w:rPr>
                <w:rFonts w:ascii="Times New Roman" w:hAnsi="Times New Roman" w:cs="Times New Roman" w:eastAsia="Times New Roman" w:hint="default"/>
                <w:sz w:val="18"/>
                <w:szCs w:val="18"/>
              </w:rPr>
            </w:pPr>
            <w:r>
              <w:rPr>
                <w:rFonts w:ascii="Times New Roman"/>
                <w:spacing w:val="-1"/>
                <w:sz w:val="18"/>
              </w:rPr>
              <w:t>133,075,480.88</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200,083,534.25</w:t>
            </w:r>
          </w:p>
        </w:tc>
      </w:tr>
      <w:tr>
        <w:trPr>
          <w:trHeight w:val="576" w:hRule="exact"/>
        </w:trPr>
        <w:tc>
          <w:tcPr>
            <w:tcW w:w="4228" w:type="dxa"/>
            <w:tcBorders>
              <w:top w:val="nil" w:sz="6" w:space="0" w:color="auto"/>
              <w:left w:val="nil" w:sz="6" w:space="0" w:color="auto"/>
              <w:bottom w:val="nil" w:sz="6" w:space="0" w:color="auto"/>
              <w:right w:val="nil" w:sz="6" w:space="0" w:color="auto"/>
            </w:tcBorders>
          </w:tcPr>
          <w:p>
            <w:pPr>
              <w:pStyle w:val="TableParagraph"/>
              <w:spacing w:line="295" w:lineRule="auto"/>
              <w:ind w:left="109" w:right="1957"/>
              <w:jc w:val="left"/>
              <w:rPr>
                <w:rFonts w:ascii="宋体" w:hAnsi="宋体" w:cs="宋体" w:eastAsia="宋体" w:hint="default"/>
                <w:sz w:val="18"/>
                <w:szCs w:val="18"/>
              </w:rPr>
            </w:pPr>
            <w:r>
              <w:rPr>
                <w:rFonts w:ascii="宋体" w:hAnsi="宋体" w:cs="宋体" w:eastAsia="宋体" w:hint="default"/>
                <w:sz w:val="18"/>
                <w:szCs w:val="18"/>
              </w:rPr>
              <w:t>减：现金的期初余额 加：现金等价物的期末余额</w:t>
            </w:r>
          </w:p>
        </w:tc>
        <w:tc>
          <w:tcPr>
            <w:tcW w:w="198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60"/>
              <w:jc w:val="right"/>
              <w:rPr>
                <w:rFonts w:ascii="Times New Roman" w:hAnsi="Times New Roman" w:cs="Times New Roman" w:eastAsia="Times New Roman" w:hint="default"/>
                <w:sz w:val="18"/>
                <w:szCs w:val="18"/>
              </w:rPr>
            </w:pPr>
            <w:r>
              <w:rPr>
                <w:rFonts w:ascii="Times New Roman"/>
                <w:spacing w:val="-1"/>
                <w:sz w:val="18"/>
              </w:rPr>
              <w:t>200,083,534.25</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4"/>
              <w:jc w:val="right"/>
              <w:rPr>
                <w:rFonts w:ascii="Times New Roman" w:hAnsi="Times New Roman" w:cs="Times New Roman" w:eastAsia="Times New Roman" w:hint="default"/>
                <w:sz w:val="18"/>
                <w:szCs w:val="18"/>
              </w:rPr>
            </w:pPr>
            <w:r>
              <w:rPr>
                <w:rFonts w:ascii="Times New Roman"/>
                <w:spacing w:val="-1"/>
                <w:sz w:val="18"/>
              </w:rPr>
              <w:t>354,794,835.31</w:t>
            </w:r>
          </w:p>
        </w:tc>
      </w:tr>
      <w:tr>
        <w:trPr>
          <w:trHeight w:val="290" w:hRule="exact"/>
        </w:trPr>
        <w:tc>
          <w:tcPr>
            <w:tcW w:w="4228" w:type="dxa"/>
            <w:tcBorders>
              <w:top w:val="nil" w:sz="6" w:space="0" w:color="auto"/>
              <w:left w:val="nil" w:sz="6" w:space="0" w:color="auto"/>
              <w:bottom w:val="nil" w:sz="6" w:space="0" w:color="auto"/>
              <w:right w:val="nil" w:sz="6" w:space="0" w:color="auto"/>
            </w:tcBorders>
          </w:tcPr>
          <w:p>
            <w:pPr>
              <w:pStyle w:val="TableParagraph"/>
              <w:spacing w:line="235" w:lineRule="exact"/>
              <w:ind w:left="109"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980" w:type="dxa"/>
            <w:tcBorders>
              <w:top w:val="nil" w:sz="6" w:space="0" w:color="auto"/>
              <w:left w:val="nil" w:sz="6" w:space="0" w:color="auto"/>
              <w:bottom w:val="nil" w:sz="6" w:space="0" w:color="auto"/>
              <w:right w:val="nil" w:sz="6" w:space="0" w:color="auto"/>
            </w:tcBorders>
          </w:tcPr>
          <w:p>
            <w:pPr/>
          </w:p>
        </w:tc>
        <w:tc>
          <w:tcPr>
            <w:tcW w:w="1546" w:type="dxa"/>
            <w:tcBorders>
              <w:top w:val="nil" w:sz="6" w:space="0" w:color="auto"/>
              <w:left w:val="nil" w:sz="6" w:space="0" w:color="auto"/>
              <w:bottom w:val="nil" w:sz="6" w:space="0" w:color="auto"/>
              <w:right w:val="nil" w:sz="6" w:space="0" w:color="auto"/>
            </w:tcBorders>
          </w:tcPr>
          <w:p>
            <w:pPr/>
          </w:p>
        </w:tc>
      </w:tr>
      <w:tr>
        <w:trPr>
          <w:trHeight w:val="324" w:hRule="exact"/>
        </w:trPr>
        <w:tc>
          <w:tcPr>
            <w:tcW w:w="4228" w:type="dxa"/>
            <w:tcBorders>
              <w:top w:val="nil" w:sz="6" w:space="0" w:color="auto"/>
              <w:left w:val="nil" w:sz="6" w:space="0" w:color="auto"/>
              <w:bottom w:val="single" w:sz="12" w:space="0" w:color="000000"/>
              <w:right w:val="nil" w:sz="6" w:space="0" w:color="auto"/>
            </w:tcBorders>
          </w:tcPr>
          <w:p>
            <w:pPr>
              <w:pStyle w:val="TableParagraph"/>
              <w:spacing w:line="235" w:lineRule="exact"/>
              <w:ind w:left="109"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980"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260"/>
              <w:jc w:val="right"/>
              <w:rPr>
                <w:rFonts w:ascii="Times New Roman" w:hAnsi="Times New Roman" w:cs="Times New Roman" w:eastAsia="Times New Roman" w:hint="default"/>
                <w:sz w:val="18"/>
                <w:szCs w:val="18"/>
              </w:rPr>
            </w:pPr>
            <w:r>
              <w:rPr>
                <w:rFonts w:ascii="Times New Roman"/>
                <w:spacing w:val="-1"/>
                <w:sz w:val="18"/>
              </w:rPr>
              <w:t>-67,008,053.37</w:t>
            </w:r>
          </w:p>
        </w:tc>
        <w:tc>
          <w:tcPr>
            <w:tcW w:w="1546"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04"/>
              <w:jc w:val="right"/>
              <w:rPr>
                <w:rFonts w:ascii="Times New Roman" w:hAnsi="Times New Roman" w:cs="Times New Roman" w:eastAsia="Times New Roman" w:hint="default"/>
                <w:sz w:val="18"/>
                <w:szCs w:val="18"/>
              </w:rPr>
            </w:pPr>
            <w:r>
              <w:rPr>
                <w:rFonts w:ascii="Times New Roman"/>
                <w:spacing w:val="-1"/>
                <w:sz w:val="18"/>
              </w:rPr>
              <w:t>-154,711,301.06</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tabs>
          <w:tab w:pos="873" w:val="left" w:leader="none"/>
        </w:tabs>
        <w:spacing w:before="35"/>
        <w:ind w:left="137" w:right="0" w:firstLine="0"/>
        <w:jc w:val="left"/>
        <w:rPr>
          <w:rFonts w:ascii="宋体" w:hAnsi="宋体" w:cs="宋体" w:eastAsia="宋体" w:hint="default"/>
          <w:sz w:val="21"/>
          <w:szCs w:val="21"/>
        </w:rPr>
      </w:pPr>
      <w:r>
        <w:rPr/>
        <w:pict>
          <v:group style="position:absolute;margin-left:93.660004pt;margin-top:-247.465744pt;width:390.3pt;height:218.05pt;mso-position-horizontal-relative:page;mso-position-vertical-relative:paragraph;z-index:-800176" coordorigin="1873,-4949" coordsize="7806,4361">
            <v:shape style="position:absolute;left:6230;top:-4949;width:1750;height:318" type="#_x0000_t75" stroked="false">
              <v:imagedata r:id="rId399" o:title=""/>
            </v:shape>
            <v:shape style="position:absolute;left:1873;top:-4670;width:7806;height:4081" type="#_x0000_t75" stroked="false">
              <v:imagedata r:id="rId400" o:title=""/>
            </v:shape>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七</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报告期无反向购买下以公允价值入账的资产、负债情况。</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spacing w:before="0"/>
        <w:ind w:left="137" w:right="0" w:firstLine="0"/>
        <w:jc w:val="left"/>
        <w:rPr>
          <w:rFonts w:ascii="宋体" w:hAnsi="宋体" w:cs="宋体" w:eastAsia="宋体" w:hint="default"/>
          <w:sz w:val="21"/>
          <w:szCs w:val="21"/>
        </w:rPr>
      </w:pPr>
      <w:r>
        <w:rPr>
          <w:rFonts w:ascii="宋体" w:hAnsi="宋体" w:cs="宋体" w:eastAsia="宋体" w:hint="default"/>
          <w:b/>
          <w:bCs/>
          <w:sz w:val="21"/>
          <w:szCs w:val="21"/>
        </w:rPr>
        <w:t>十四、</w:t>
      </w:r>
      <w:r>
        <w:rPr>
          <w:rFonts w:ascii="宋体" w:hAnsi="宋体" w:cs="宋体" w:eastAsia="宋体" w:hint="default"/>
          <w:b/>
          <w:bCs/>
          <w:spacing w:val="-10"/>
          <w:sz w:val="21"/>
          <w:szCs w:val="21"/>
        </w:rPr>
        <w:t> </w:t>
      </w:r>
      <w:r>
        <w:rPr>
          <w:rFonts w:ascii="宋体" w:hAnsi="宋体" w:cs="宋体" w:eastAsia="宋体" w:hint="default"/>
          <w:b/>
          <w:bCs/>
          <w:sz w:val="21"/>
          <w:szCs w:val="21"/>
        </w:rPr>
        <w:t>补充资料</w:t>
      </w:r>
      <w:r>
        <w:rPr>
          <w:rFonts w:ascii="宋体" w:hAnsi="宋体" w:cs="宋体" w:eastAsia="宋体" w:hint="default"/>
          <w:sz w:val="21"/>
          <w:szCs w:val="21"/>
        </w:rPr>
      </w:r>
    </w:p>
    <w:p>
      <w:pPr>
        <w:spacing w:before="125"/>
        <w:ind w:left="869" w:right="0" w:firstLine="0"/>
        <w:jc w:val="left"/>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w:t>
      </w:r>
    </w:p>
    <w:p>
      <w:pPr>
        <w:tabs>
          <w:tab w:pos="866" w:val="left" w:leader="none"/>
        </w:tabs>
        <w:spacing w:before="125"/>
        <w:ind w:left="152"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当期非经常性损益明细表</w:t>
      </w:r>
      <w:r>
        <w:rPr>
          <w:rFonts w:ascii="宋体" w:hAnsi="宋体" w:cs="宋体" w:eastAsia="宋体" w:hint="default"/>
          <w:sz w:val="21"/>
          <w:szCs w:val="21"/>
        </w:rPr>
      </w:r>
    </w:p>
    <w:p>
      <w:pPr>
        <w:tabs>
          <w:tab w:pos="5755" w:val="left" w:leader="none"/>
          <w:tab w:pos="7636" w:val="left" w:leader="none"/>
        </w:tabs>
        <w:spacing w:before="16"/>
        <w:ind w:left="2758" w:right="0" w:firstLine="0"/>
        <w:jc w:val="left"/>
        <w:rPr>
          <w:rFonts w:ascii="宋体" w:hAnsi="宋体" w:cs="宋体" w:eastAsia="宋体" w:hint="default"/>
          <w:sz w:val="18"/>
          <w:szCs w:val="18"/>
        </w:rPr>
      </w:pPr>
      <w:r>
        <w:rPr/>
        <w:pict>
          <v:group style="position:absolute;margin-left:64.620003pt;margin-top:.812029pt;width:419.95pt;height:364.8pt;mso-position-horizontal-relative:page;mso-position-vertical-relative:paragraph;z-index:-800200" coordorigin="1292,16" coordsize="8399,7296">
            <v:shape style="position:absolute;left:1292;top:7058;width:1439;height:254" type="#_x0000_t75" stroked="false">
              <v:imagedata r:id="rId222" o:title=""/>
            </v:shape>
            <v:group style="position:absolute;left:1888;top:7038;width:4362;height:2" coordorigin="1888,7038" coordsize="4362,2">
              <v:shape style="position:absolute;left:1888;top:7038;width:4362;height:2" coordorigin="1888,7038" coordsize="4362,0" path="m1888,7038l6250,7038e" filled="false" stroked="true" strokeweight="1.5pt" strokecolor="#000000">
                <v:path arrowok="t"/>
              </v:shape>
            </v:group>
            <v:group style="position:absolute;left:1902;top:31;width:7755;height:2" coordorigin="1902,31" coordsize="7755,2">
              <v:shape style="position:absolute;left:1902;top:31;width:7755;height:2" coordorigin="1902,31" coordsize="7755,0" path="m1902,31l9656,31e" filled="false" stroked="true" strokeweight="1.5pt" strokecolor="#000000">
                <v:path arrowok="t"/>
              </v:shape>
              <v:shape style="position:absolute;left:6230;top:27;width:2050;height:318" type="#_x0000_t75" stroked="false">
                <v:imagedata r:id="rId401" o:title=""/>
              </v:shape>
              <v:shape style="position:absolute;left:1873;top:307;width:7818;height:6745" type="#_x0000_t75" stroked="false">
                <v:imagedata r:id="rId402" o:title=""/>
              </v:shape>
            </v:group>
            <v:group style="position:absolute;left:6250;top:7038;width:2002;height:2" coordorigin="6250,7038" coordsize="2002,2">
              <v:shape style="position:absolute;left:6250;top:7038;width:2002;height:2" coordorigin="6250,7038" coordsize="2002,0" path="m6250,7038l8251,7038e" filled="false" stroked="true" strokeweight="1.5pt" strokecolor="#000000">
                <v:path arrowok="t"/>
              </v:shape>
              <v:shape style="position:absolute;left:8222;top:5873;width:67;height:1178" type="#_x0000_t75" stroked="false">
                <v:imagedata r:id="rId403" o:title=""/>
              </v:shape>
            </v:group>
            <v:group style="position:absolute;left:8251;top:7038;width:1406;height:2" coordorigin="8251,7038" coordsize="1406,2">
              <v:shape style="position:absolute;left:8251;top:7038;width:1406;height:2" coordorigin="8251,7038" coordsize="1406,0" path="m8251,7038l9656,7038e" filled="false" stroked="true" strokeweight="1.5pt" strokecolor="#000000">
                <v:path arrowok="t"/>
              </v:shape>
            </v:group>
            <w10:wrap type="none"/>
          </v:group>
        </w:pict>
      </w:r>
      <w:r>
        <w:rPr>
          <w:rFonts w:ascii="宋体" w:hAnsi="宋体" w:cs="宋体" w:eastAsia="宋体" w:hint="default"/>
          <w:sz w:val="18"/>
          <w:szCs w:val="18"/>
        </w:rPr>
        <w:t>项目</w:t>
        <w:tab/>
        <w:t>本期金额</w:t>
        <w:tab/>
        <w:t>说明</w:t>
      </w:r>
    </w:p>
    <w:p>
      <w:pPr>
        <w:tabs>
          <w:tab w:pos="6003" w:val="left" w:leader="none"/>
        </w:tabs>
        <w:spacing w:before="53"/>
        <w:ind w:left="871"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非流动资产处置损益</w:t>
        <w:tab/>
      </w:r>
      <w:r>
        <w:rPr>
          <w:rFonts w:ascii="Times New Roman" w:hAnsi="Times New Roman" w:cs="Times New Roman" w:eastAsia="Times New Roman" w:hint="default"/>
          <w:sz w:val="18"/>
          <w:szCs w:val="18"/>
        </w:rPr>
        <w:t>-2,297,013.86</w:t>
      </w:r>
    </w:p>
    <w:p>
      <w:pPr>
        <w:spacing w:before="41"/>
        <w:ind w:left="871" w:right="0" w:firstLine="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p>
      <w:pPr>
        <w:spacing w:line="205" w:lineRule="exact" w:before="112"/>
        <w:ind w:left="871" w:right="0" w:firstLine="0"/>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w:t>
      </w:r>
    </w:p>
    <w:p>
      <w:pPr>
        <w:spacing w:after="0" w:line="205" w:lineRule="exact"/>
        <w:jc w:val="left"/>
        <w:rPr>
          <w:rFonts w:ascii="宋体" w:hAnsi="宋体" w:cs="宋体" w:eastAsia="宋体" w:hint="default"/>
          <w:sz w:val="18"/>
          <w:szCs w:val="18"/>
        </w:rPr>
        <w:sectPr>
          <w:footerReference w:type="default" r:id="rId398"/>
          <w:pgSz w:w="11910" w:h="16840"/>
          <w:pgMar w:footer="982" w:header="816" w:top="1100" w:bottom="1180" w:left="1140" w:right="1640"/>
          <w:pgNumType w:start="169"/>
        </w:sectPr>
      </w:pPr>
    </w:p>
    <w:p>
      <w:pPr>
        <w:spacing w:before="75"/>
        <w:ind w:left="871" w:right="-15" w:firstLine="0"/>
        <w:jc w:val="left"/>
        <w:rPr>
          <w:rFonts w:ascii="宋体" w:hAnsi="宋体" w:cs="宋体" w:eastAsia="宋体" w:hint="default"/>
          <w:sz w:val="18"/>
          <w:szCs w:val="18"/>
        </w:rPr>
      </w:pPr>
      <w:r>
        <w:rPr>
          <w:rFonts w:ascii="宋体" w:hAnsi="宋体" w:cs="宋体" w:eastAsia="宋体" w:hint="default"/>
          <w:sz w:val="18"/>
          <w:szCs w:val="18"/>
        </w:rPr>
        <w:t>照国家统一标准定额或定量享受的政府补助除外）</w:t>
      </w:r>
    </w:p>
    <w:p>
      <w:pPr>
        <w:spacing w:line="288" w:lineRule="auto" w:before="112"/>
        <w:ind w:left="871" w:right="-15" w:firstLine="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 企业取得子公司、联营企业及合营企业的投资成本小 </w:t>
      </w:r>
      <w:r>
        <w:rPr>
          <w:rFonts w:ascii="宋体" w:hAnsi="宋体" w:cs="宋体" w:eastAsia="宋体" w:hint="default"/>
          <w:spacing w:val="8"/>
          <w:sz w:val="18"/>
          <w:szCs w:val="18"/>
        </w:rPr>
        <w:t>于取得投资时应享有被投资单位可辨认净资产公允</w:t>
      </w:r>
      <w:r>
        <w:rPr>
          <w:rFonts w:ascii="宋体" w:hAnsi="宋体" w:cs="宋体" w:eastAsia="宋体" w:hint="default"/>
          <w:spacing w:val="8"/>
          <w:sz w:val="18"/>
          <w:szCs w:val="18"/>
        </w:rPr>
        <w:t> </w:t>
      </w:r>
      <w:r>
        <w:rPr>
          <w:rFonts w:ascii="宋体" w:hAnsi="宋体" w:cs="宋体" w:eastAsia="宋体" w:hint="default"/>
          <w:sz w:val="18"/>
          <w:szCs w:val="18"/>
        </w:rPr>
        <w:t>价值产生的收益</w:t>
      </w:r>
    </w:p>
    <w:p>
      <w:pPr>
        <w:spacing w:line="292" w:lineRule="auto" w:before="19"/>
        <w:ind w:left="871" w:right="-15" w:firstLine="0"/>
        <w:jc w:val="left"/>
        <w:rPr>
          <w:rFonts w:ascii="宋体" w:hAnsi="宋体" w:cs="宋体" w:eastAsia="宋体" w:hint="default"/>
          <w:sz w:val="18"/>
          <w:szCs w:val="18"/>
        </w:rPr>
      </w:pPr>
      <w:r>
        <w:rPr>
          <w:rFonts w:ascii="宋体" w:hAnsi="宋体" w:cs="宋体" w:eastAsia="宋体" w:hint="default"/>
          <w:sz w:val="18"/>
          <w:szCs w:val="18"/>
        </w:rPr>
        <w:t>非货币性资产交换损益 委托他人投资或管理资产的损益 </w:t>
      </w:r>
      <w:r>
        <w:rPr>
          <w:rFonts w:ascii="宋体" w:hAnsi="宋体" w:cs="宋体" w:eastAsia="宋体" w:hint="default"/>
          <w:spacing w:val="-1"/>
          <w:sz w:val="18"/>
          <w:szCs w:val="18"/>
        </w:rPr>
        <w:t>因不可抗力因素，如遭受自然灾害而计提的各项资产</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减值准备</w:t>
      </w:r>
    </w:p>
    <w:p>
      <w:pPr>
        <w:spacing w:line="290" w:lineRule="auto" w:before="15"/>
        <w:ind w:left="871" w:right="-15" w:firstLine="0"/>
        <w:jc w:val="left"/>
        <w:rPr>
          <w:rFonts w:ascii="宋体" w:hAnsi="宋体" w:cs="宋体" w:eastAsia="宋体" w:hint="default"/>
          <w:sz w:val="18"/>
          <w:szCs w:val="18"/>
        </w:rPr>
      </w:pPr>
      <w:r>
        <w:rPr>
          <w:rFonts w:ascii="宋体" w:hAnsi="宋体" w:cs="宋体" w:eastAsia="宋体" w:hint="default"/>
          <w:sz w:val="18"/>
          <w:szCs w:val="18"/>
        </w:rPr>
        <w:t>债务重组损益 企业重组费用，如安置职工的支出、整合费用等 </w:t>
      </w:r>
      <w:r>
        <w:rPr>
          <w:rFonts w:ascii="宋体" w:hAnsi="宋体" w:cs="宋体" w:eastAsia="宋体" w:hint="default"/>
          <w:spacing w:val="8"/>
          <w:sz w:val="18"/>
          <w:szCs w:val="18"/>
        </w:rPr>
        <w:t>交易价格显失公允的交易产生的超过公允价值部分</w:t>
      </w:r>
      <w:r>
        <w:rPr>
          <w:rFonts w:ascii="宋体" w:hAnsi="宋体" w:cs="宋体" w:eastAsia="宋体" w:hint="default"/>
          <w:spacing w:val="8"/>
          <w:sz w:val="18"/>
          <w:szCs w:val="18"/>
        </w:rPr>
        <w:t> </w:t>
      </w:r>
      <w:r>
        <w:rPr>
          <w:rFonts w:ascii="宋体" w:hAnsi="宋体" w:cs="宋体" w:eastAsia="宋体" w:hint="default"/>
          <w:sz w:val="18"/>
          <w:szCs w:val="18"/>
        </w:rPr>
        <w:t>的损益</w:t>
      </w:r>
      <w:r>
        <w:rPr>
          <w:rFonts w:ascii="宋体" w:hAnsi="宋体" w:cs="宋体" w:eastAsia="宋体" w:hint="default"/>
          <w:sz w:val="18"/>
          <w:szCs w:val="18"/>
        </w:rPr>
        <w:t> </w:t>
      </w:r>
      <w:r>
        <w:rPr>
          <w:rFonts w:ascii="宋体" w:hAnsi="宋体" w:cs="宋体" w:eastAsia="宋体" w:hint="default"/>
          <w:spacing w:val="8"/>
          <w:sz w:val="18"/>
          <w:szCs w:val="18"/>
        </w:rPr>
        <w:t>同一控制下企业合并产生的子公司期初至合并日的</w:t>
      </w:r>
      <w:r>
        <w:rPr>
          <w:rFonts w:ascii="宋体" w:hAnsi="宋体" w:cs="宋体" w:eastAsia="宋体" w:hint="default"/>
          <w:spacing w:val="8"/>
          <w:sz w:val="18"/>
          <w:szCs w:val="18"/>
        </w:rPr>
        <w:t> </w:t>
      </w:r>
      <w:r>
        <w:rPr>
          <w:rFonts w:ascii="宋体" w:hAnsi="宋体" w:cs="宋体" w:eastAsia="宋体" w:hint="default"/>
          <w:sz w:val="18"/>
          <w:szCs w:val="18"/>
        </w:rPr>
        <w:t>当期净损益</w:t>
      </w:r>
      <w:r>
        <w:rPr>
          <w:rFonts w:ascii="宋体" w:hAnsi="宋体" w:cs="宋体" w:eastAsia="宋体" w:hint="default"/>
          <w:sz w:val="18"/>
          <w:szCs w:val="18"/>
        </w:rPr>
        <w:t> 与公司正常经营业务无关的或有事项产生的损益 除同公司正常经营业务相关的有效套期保值业务外， 持有交易性金融资产、交易性金融负债产生的公允价 值变动损益，以及处置交易性金融资产、交易性金融 负债和可供出售金融资产取得的投资收益</w:t>
      </w:r>
    </w:p>
    <w:p>
      <w:pPr>
        <w:spacing w:line="184" w:lineRule="exact" w:before="0"/>
        <w:ind w:left="871" w:right="0" w:firstLine="0"/>
        <w:jc w:val="left"/>
        <w:rPr>
          <w:rFonts w:ascii="Times New Roman" w:hAnsi="Times New Roman" w:cs="Times New Roman" w:eastAsia="Times New Roman" w:hint="default"/>
          <w:sz w:val="18"/>
          <w:szCs w:val="18"/>
        </w:rPr>
      </w:pPr>
      <w:r>
        <w:rPr/>
        <w:br w:type="column"/>
      </w:r>
      <w:r>
        <w:rPr>
          <w:rFonts w:ascii="Times New Roman"/>
          <w:sz w:val="18"/>
        </w:rPr>
        <w:t>2,484,000.00</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21"/>
          <w:szCs w:val="21"/>
        </w:rPr>
      </w:pPr>
    </w:p>
    <w:p>
      <w:pPr>
        <w:spacing w:before="0"/>
        <w:ind w:left="871" w:right="0" w:firstLine="0"/>
        <w:jc w:val="left"/>
        <w:rPr>
          <w:rFonts w:ascii="Times New Roman" w:hAnsi="Times New Roman" w:cs="Times New Roman" w:eastAsia="Times New Roman" w:hint="default"/>
          <w:sz w:val="18"/>
          <w:szCs w:val="18"/>
        </w:rPr>
      </w:pPr>
      <w:r>
        <w:rPr>
          <w:rFonts w:ascii="Times New Roman"/>
          <w:sz w:val="18"/>
        </w:rPr>
        <w:t>4,057,376.71</w:t>
      </w:r>
    </w:p>
    <w:p>
      <w:pPr>
        <w:spacing w:after="0"/>
        <w:jc w:val="left"/>
        <w:rPr>
          <w:rFonts w:ascii="Times New Roman" w:hAnsi="Times New Roman" w:cs="Times New Roman" w:eastAsia="Times New Roman" w:hint="default"/>
          <w:sz w:val="18"/>
          <w:szCs w:val="18"/>
        </w:rPr>
        <w:sectPr>
          <w:type w:val="continuous"/>
          <w:pgSz w:w="11910" w:h="16840"/>
          <w:pgMar w:top="1100" w:bottom="1240" w:left="1140" w:right="1640"/>
          <w:cols w:num="2" w:equalWidth="0">
            <w:col w:w="5017" w:space="176"/>
            <w:col w:w="3937"/>
          </w:cols>
        </w:sectPr>
      </w:pPr>
    </w:p>
    <w:p>
      <w:pPr>
        <w:spacing w:line="240" w:lineRule="auto" w:before="2"/>
        <w:rPr>
          <w:rFonts w:ascii="Times New Roman" w:hAnsi="Times New Roman" w:cs="Times New Roman" w:eastAsia="Times New Roman" w:hint="default"/>
          <w:sz w:val="29"/>
          <w:szCs w:val="29"/>
        </w:rPr>
      </w:pPr>
    </w:p>
    <w:tbl>
      <w:tblPr>
        <w:tblW w:w="0" w:type="auto"/>
        <w:jc w:val="left"/>
        <w:tblInd w:w="761" w:type="dxa"/>
        <w:tblLayout w:type="fixed"/>
        <w:tblCellMar>
          <w:top w:w="0" w:type="dxa"/>
          <w:left w:w="0" w:type="dxa"/>
          <w:bottom w:w="0" w:type="dxa"/>
          <w:right w:w="0" w:type="dxa"/>
        </w:tblCellMar>
        <w:tblLook w:val="01E0"/>
      </w:tblPr>
      <w:tblGrid>
        <w:gridCol w:w="4751"/>
        <w:gridCol w:w="3004"/>
      </w:tblGrid>
      <w:tr>
        <w:trPr>
          <w:trHeight w:val="851" w:hRule="exact"/>
        </w:trPr>
        <w:tc>
          <w:tcPr>
            <w:tcW w:w="4751" w:type="dxa"/>
            <w:tcBorders>
              <w:top w:val="single" w:sz="12" w:space="0" w:color="000000"/>
              <w:left w:val="nil" w:sz="6" w:space="0" w:color="auto"/>
              <w:bottom w:val="nil" w:sz="6" w:space="0" w:color="auto"/>
              <w:right w:val="nil" w:sz="6" w:space="0" w:color="auto"/>
            </w:tcBorders>
          </w:tcPr>
          <w:p>
            <w:pPr>
              <w:pStyle w:val="TableParagraph"/>
              <w:spacing w:line="205" w:lineRule="exact"/>
              <w:ind w:left="109"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p>
            <w:pPr>
              <w:pStyle w:val="TableParagraph"/>
              <w:spacing w:line="295" w:lineRule="auto" w:before="55"/>
              <w:ind w:left="109" w:right="494"/>
              <w:jc w:val="left"/>
              <w:rPr>
                <w:rFonts w:ascii="宋体" w:hAnsi="宋体" w:cs="宋体" w:eastAsia="宋体" w:hint="default"/>
                <w:sz w:val="18"/>
                <w:szCs w:val="18"/>
              </w:rPr>
            </w:pPr>
            <w:r>
              <w:rPr>
                <w:rFonts w:ascii="宋体" w:hAnsi="宋体" w:cs="宋体" w:eastAsia="宋体" w:hint="default"/>
                <w:sz w:val="18"/>
                <w:szCs w:val="18"/>
              </w:rPr>
              <w:t>对外委托贷款取得的损益 </w:t>
            </w:r>
            <w:r>
              <w:rPr>
                <w:rFonts w:ascii="宋体" w:hAnsi="宋体" w:cs="宋体" w:eastAsia="宋体" w:hint="default"/>
                <w:spacing w:val="8"/>
                <w:sz w:val="18"/>
                <w:szCs w:val="18"/>
              </w:rPr>
              <w:t>采用公允价值模式进行后续计量的投资性房地产公</w:t>
            </w:r>
            <w:r>
              <w:rPr>
                <w:rFonts w:ascii="宋体" w:hAnsi="宋体" w:cs="宋体" w:eastAsia="宋体" w:hint="default"/>
                <w:sz w:val="18"/>
                <w:szCs w:val="18"/>
              </w:rPr>
            </w:r>
          </w:p>
        </w:tc>
        <w:tc>
          <w:tcPr>
            <w:tcW w:w="3004" w:type="dxa"/>
            <w:vMerge w:val="restart"/>
            <w:tcBorders>
              <w:top w:val="single" w:sz="12" w:space="0" w:color="000000"/>
              <w:left w:val="nil" w:sz="6" w:space="0" w:color="auto"/>
              <w:right w:val="nil" w:sz="6" w:space="0" w:color="auto"/>
            </w:tcBorders>
          </w:tcPr>
          <w:p>
            <w:pPr/>
          </w:p>
        </w:tc>
      </w:tr>
      <w:tr>
        <w:trPr>
          <w:trHeight w:val="285" w:hRule="exact"/>
        </w:trPr>
        <w:tc>
          <w:tcPr>
            <w:tcW w:w="4751" w:type="dxa"/>
            <w:tcBorders>
              <w:top w:val="nil" w:sz="6" w:space="0" w:color="auto"/>
              <w:left w:val="nil" w:sz="6" w:space="0" w:color="auto"/>
              <w:bottom w:val="nil" w:sz="6" w:space="0" w:color="auto"/>
              <w:right w:val="nil" w:sz="6" w:space="0" w:color="auto"/>
            </w:tcBorders>
          </w:tcPr>
          <w:p>
            <w:pPr>
              <w:pStyle w:val="TableParagraph"/>
              <w:spacing w:line="230" w:lineRule="exact"/>
              <w:ind w:left="109" w:right="0"/>
              <w:jc w:val="left"/>
              <w:rPr>
                <w:rFonts w:ascii="宋体" w:hAnsi="宋体" w:cs="宋体" w:eastAsia="宋体" w:hint="default"/>
                <w:sz w:val="18"/>
                <w:szCs w:val="18"/>
              </w:rPr>
            </w:pPr>
            <w:r>
              <w:rPr>
                <w:rFonts w:ascii="宋体" w:hAnsi="宋体" w:cs="宋体" w:eastAsia="宋体" w:hint="default"/>
                <w:sz w:val="18"/>
                <w:szCs w:val="18"/>
              </w:rPr>
              <w:t>允价值变动产生的损益</w:t>
            </w:r>
          </w:p>
        </w:tc>
        <w:tc>
          <w:tcPr>
            <w:tcW w:w="3004" w:type="dxa"/>
            <w:vMerge/>
            <w:tcBorders>
              <w:left w:val="nil" w:sz="6" w:space="0" w:color="auto"/>
              <w:right w:val="nil" w:sz="6" w:space="0" w:color="auto"/>
            </w:tcBorders>
          </w:tcPr>
          <w:p>
            <w:pPr/>
          </w:p>
        </w:tc>
      </w:tr>
      <w:tr>
        <w:trPr>
          <w:trHeight w:val="285" w:hRule="exact"/>
        </w:trPr>
        <w:tc>
          <w:tcPr>
            <w:tcW w:w="4751" w:type="dxa"/>
            <w:tcBorders>
              <w:top w:val="nil" w:sz="6" w:space="0" w:color="auto"/>
              <w:left w:val="nil" w:sz="6" w:space="0" w:color="auto"/>
              <w:bottom w:val="nil" w:sz="6" w:space="0" w:color="auto"/>
              <w:right w:val="nil" w:sz="6" w:space="0" w:color="auto"/>
            </w:tcBorders>
          </w:tcPr>
          <w:p>
            <w:pPr>
              <w:pStyle w:val="TableParagraph"/>
              <w:spacing w:line="235" w:lineRule="exact"/>
              <w:ind w:left="109" w:right="0"/>
              <w:jc w:val="left"/>
              <w:rPr>
                <w:rFonts w:ascii="宋体" w:hAnsi="宋体" w:cs="宋体" w:eastAsia="宋体" w:hint="default"/>
                <w:sz w:val="18"/>
                <w:szCs w:val="18"/>
              </w:rPr>
            </w:pPr>
            <w:r>
              <w:rPr>
                <w:rFonts w:ascii="宋体" w:hAnsi="宋体" w:cs="宋体" w:eastAsia="宋体" w:hint="default"/>
                <w:sz w:val="18"/>
                <w:szCs w:val="18"/>
              </w:rPr>
              <w:t>根据税收、会计等法律、法规的要求对当期损益进行</w:t>
            </w:r>
          </w:p>
        </w:tc>
        <w:tc>
          <w:tcPr>
            <w:tcW w:w="3004" w:type="dxa"/>
            <w:vMerge/>
            <w:tcBorders>
              <w:left w:val="nil" w:sz="6" w:space="0" w:color="auto"/>
              <w:right w:val="nil" w:sz="6" w:space="0" w:color="auto"/>
            </w:tcBorders>
          </w:tcPr>
          <w:p>
            <w:pPr/>
          </w:p>
        </w:tc>
      </w:tr>
      <w:tr>
        <w:trPr>
          <w:trHeight w:val="285" w:hRule="exact"/>
        </w:trPr>
        <w:tc>
          <w:tcPr>
            <w:tcW w:w="4751" w:type="dxa"/>
            <w:tcBorders>
              <w:top w:val="nil" w:sz="6" w:space="0" w:color="auto"/>
              <w:left w:val="nil" w:sz="6" w:space="0" w:color="auto"/>
              <w:bottom w:val="nil" w:sz="6" w:space="0" w:color="auto"/>
              <w:right w:val="nil" w:sz="6" w:space="0" w:color="auto"/>
            </w:tcBorders>
          </w:tcPr>
          <w:p>
            <w:pPr>
              <w:pStyle w:val="TableParagraph"/>
              <w:spacing w:line="230" w:lineRule="exact"/>
              <w:ind w:left="109" w:right="0"/>
              <w:jc w:val="left"/>
              <w:rPr>
                <w:rFonts w:ascii="宋体" w:hAnsi="宋体" w:cs="宋体" w:eastAsia="宋体" w:hint="default"/>
                <w:sz w:val="18"/>
                <w:szCs w:val="18"/>
              </w:rPr>
            </w:pPr>
            <w:r>
              <w:rPr>
                <w:rFonts w:ascii="宋体" w:hAnsi="宋体" w:cs="宋体" w:eastAsia="宋体" w:hint="default"/>
                <w:sz w:val="18"/>
                <w:szCs w:val="18"/>
              </w:rPr>
              <w:t>一次性调整对当期损益的影响</w:t>
            </w:r>
          </w:p>
        </w:tc>
        <w:tc>
          <w:tcPr>
            <w:tcW w:w="3004" w:type="dxa"/>
            <w:vMerge/>
            <w:tcBorders>
              <w:left w:val="nil" w:sz="6" w:space="0" w:color="auto"/>
              <w:right w:val="nil" w:sz="6" w:space="0" w:color="auto"/>
            </w:tcBorders>
          </w:tcPr>
          <w:p>
            <w:pPr/>
          </w:p>
        </w:tc>
      </w:tr>
      <w:tr>
        <w:trPr>
          <w:trHeight w:val="290" w:hRule="exact"/>
        </w:trPr>
        <w:tc>
          <w:tcPr>
            <w:tcW w:w="4751" w:type="dxa"/>
            <w:tcBorders>
              <w:top w:val="nil" w:sz="6" w:space="0" w:color="auto"/>
              <w:left w:val="nil" w:sz="6" w:space="0" w:color="auto"/>
              <w:bottom w:val="nil" w:sz="6" w:space="0" w:color="auto"/>
              <w:right w:val="nil" w:sz="6" w:space="0" w:color="auto"/>
            </w:tcBorders>
          </w:tcPr>
          <w:p>
            <w:pPr>
              <w:pStyle w:val="TableParagraph"/>
              <w:spacing w:line="235" w:lineRule="exact"/>
              <w:ind w:left="109"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3004" w:type="dxa"/>
            <w:vMerge/>
            <w:tcBorders>
              <w:left w:val="nil" w:sz="6" w:space="0" w:color="auto"/>
              <w:bottom w:val="nil" w:sz="6" w:space="0" w:color="auto"/>
              <w:right w:val="nil" w:sz="6" w:space="0" w:color="auto"/>
            </w:tcBorders>
          </w:tcPr>
          <w:p>
            <w:pPr/>
          </w:p>
        </w:tc>
      </w:tr>
      <w:tr>
        <w:trPr>
          <w:trHeight w:val="295" w:hRule="exact"/>
        </w:trPr>
        <w:tc>
          <w:tcPr>
            <w:tcW w:w="4751" w:type="dxa"/>
            <w:tcBorders>
              <w:top w:val="nil" w:sz="6" w:space="0" w:color="auto"/>
              <w:left w:val="nil" w:sz="6" w:space="0" w:color="auto"/>
              <w:bottom w:val="nil" w:sz="6" w:space="0" w:color="auto"/>
              <w:right w:val="nil" w:sz="6" w:space="0" w:color="auto"/>
            </w:tcBorders>
          </w:tcPr>
          <w:p>
            <w:pPr>
              <w:pStyle w:val="TableParagraph"/>
              <w:spacing w:line="235" w:lineRule="exact"/>
              <w:ind w:left="109"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496" w:right="0"/>
              <w:jc w:val="left"/>
              <w:rPr>
                <w:rFonts w:ascii="Times New Roman" w:hAnsi="Times New Roman" w:cs="Times New Roman" w:eastAsia="Times New Roman" w:hint="default"/>
                <w:sz w:val="18"/>
                <w:szCs w:val="18"/>
              </w:rPr>
            </w:pPr>
            <w:r>
              <w:rPr>
                <w:rFonts w:ascii="Times New Roman"/>
                <w:sz w:val="18"/>
              </w:rPr>
              <w:t>-2,578,116.82</w:t>
            </w:r>
          </w:p>
        </w:tc>
      </w:tr>
      <w:tr>
        <w:trPr>
          <w:trHeight w:val="285" w:hRule="exact"/>
        </w:trPr>
        <w:tc>
          <w:tcPr>
            <w:tcW w:w="4751" w:type="dxa"/>
            <w:tcBorders>
              <w:top w:val="nil" w:sz="6" w:space="0" w:color="auto"/>
              <w:left w:val="nil" w:sz="6" w:space="0" w:color="auto"/>
              <w:bottom w:val="nil" w:sz="6" w:space="0" w:color="auto"/>
              <w:right w:val="nil" w:sz="6" w:space="0" w:color="auto"/>
            </w:tcBorders>
          </w:tcPr>
          <w:p>
            <w:pPr>
              <w:pStyle w:val="TableParagraph"/>
              <w:spacing w:line="231" w:lineRule="exact"/>
              <w:ind w:left="109"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3004" w:type="dxa"/>
            <w:tcBorders>
              <w:top w:val="nil" w:sz="6" w:space="0" w:color="auto"/>
              <w:left w:val="nil" w:sz="6" w:space="0" w:color="auto"/>
              <w:bottom w:val="nil" w:sz="6" w:space="0" w:color="auto"/>
              <w:right w:val="nil" w:sz="6" w:space="0" w:color="auto"/>
            </w:tcBorders>
          </w:tcPr>
          <w:p>
            <w:pPr/>
          </w:p>
        </w:tc>
      </w:tr>
      <w:tr>
        <w:trPr>
          <w:trHeight w:val="580" w:hRule="exact"/>
        </w:trPr>
        <w:tc>
          <w:tcPr>
            <w:tcW w:w="4751" w:type="dxa"/>
            <w:tcBorders>
              <w:top w:val="nil" w:sz="6" w:space="0" w:color="auto"/>
              <w:left w:val="nil" w:sz="6" w:space="0" w:color="auto"/>
              <w:bottom w:val="nil" w:sz="6" w:space="0" w:color="auto"/>
              <w:right w:val="nil" w:sz="6" w:space="0" w:color="auto"/>
            </w:tcBorders>
          </w:tcPr>
          <w:p>
            <w:pPr>
              <w:pStyle w:val="TableParagraph"/>
              <w:spacing w:line="295" w:lineRule="auto"/>
              <w:ind w:left="109" w:right="2299"/>
              <w:jc w:val="left"/>
              <w:rPr>
                <w:rFonts w:ascii="宋体" w:hAnsi="宋体" w:cs="宋体" w:eastAsia="宋体" w:hint="default"/>
                <w:sz w:val="18"/>
                <w:szCs w:val="18"/>
              </w:rPr>
            </w:pPr>
            <w:r>
              <w:rPr>
                <w:rFonts w:ascii="宋体" w:hAnsi="宋体" w:cs="宋体" w:eastAsia="宋体" w:hint="default"/>
                <w:sz w:val="18"/>
                <w:szCs w:val="18"/>
              </w:rPr>
              <w:t>所得税影响额 少数股东权益影响额（税后）</w:t>
            </w:r>
          </w:p>
        </w:tc>
        <w:tc>
          <w:tcPr>
            <w:tcW w:w="300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625" w:right="0"/>
              <w:jc w:val="left"/>
              <w:rPr>
                <w:rFonts w:ascii="Times New Roman" w:hAnsi="Times New Roman" w:cs="Times New Roman" w:eastAsia="Times New Roman" w:hint="default"/>
                <w:sz w:val="18"/>
                <w:szCs w:val="18"/>
              </w:rPr>
            </w:pPr>
            <w:r>
              <w:rPr>
                <w:rFonts w:ascii="Times New Roman"/>
                <w:sz w:val="18"/>
              </w:rPr>
              <w:t>-298,128.49</w:t>
            </w:r>
          </w:p>
        </w:tc>
      </w:tr>
      <w:tr>
        <w:trPr>
          <w:trHeight w:val="324" w:hRule="exact"/>
        </w:trPr>
        <w:tc>
          <w:tcPr>
            <w:tcW w:w="4751" w:type="dxa"/>
            <w:tcBorders>
              <w:top w:val="nil" w:sz="6" w:space="0" w:color="auto"/>
              <w:left w:val="nil" w:sz="6" w:space="0" w:color="auto"/>
              <w:bottom w:val="single" w:sz="12" w:space="0" w:color="000000"/>
              <w:right w:val="nil" w:sz="6" w:space="0" w:color="auto"/>
            </w:tcBorders>
          </w:tcPr>
          <w:p>
            <w:pPr>
              <w:pStyle w:val="TableParagraph"/>
              <w:tabs>
                <w:tab w:pos="719" w:val="left" w:leader="none"/>
              </w:tabs>
              <w:spacing w:line="235" w:lineRule="exact"/>
              <w:ind w:right="395"/>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3004" w:type="dxa"/>
            <w:tcBorders>
              <w:top w:val="nil" w:sz="6" w:space="0" w:color="auto"/>
              <w:left w:val="nil" w:sz="6" w:space="0" w:color="auto"/>
              <w:bottom w:val="single" w:sz="12" w:space="0" w:color="000000"/>
              <w:right w:val="nil" w:sz="6" w:space="0" w:color="auto"/>
            </w:tcBorders>
          </w:tcPr>
          <w:p>
            <w:pPr>
              <w:pStyle w:val="TableParagraph"/>
              <w:spacing w:line="240" w:lineRule="auto" w:before="56"/>
              <w:ind w:left="556" w:right="0"/>
              <w:jc w:val="left"/>
              <w:rPr>
                <w:rFonts w:ascii="Times New Roman" w:hAnsi="Times New Roman" w:cs="Times New Roman" w:eastAsia="Times New Roman" w:hint="default"/>
                <w:sz w:val="18"/>
                <w:szCs w:val="18"/>
              </w:rPr>
            </w:pPr>
            <w:r>
              <w:rPr>
                <w:rFonts w:ascii="Times New Roman"/>
                <w:sz w:val="18"/>
              </w:rPr>
              <w:t>1,368,117.54</w:t>
            </w:r>
          </w:p>
        </w:tc>
      </w:tr>
    </w:tbl>
    <w:p>
      <w:pPr>
        <w:spacing w:line="240" w:lineRule="auto" w:before="0"/>
        <w:rPr>
          <w:rFonts w:ascii="Times New Roman" w:hAnsi="Times New Roman" w:cs="Times New Roman" w:eastAsia="Times New Roman" w:hint="default"/>
          <w:sz w:val="23"/>
          <w:szCs w:val="23"/>
        </w:rPr>
      </w:pPr>
    </w:p>
    <w:p>
      <w:pPr>
        <w:tabs>
          <w:tab w:pos="866" w:val="left" w:leader="none"/>
        </w:tabs>
        <w:spacing w:before="35"/>
        <w:ind w:left="137" w:right="0" w:firstLine="0"/>
        <w:jc w:val="left"/>
        <w:rPr>
          <w:rFonts w:ascii="宋体" w:hAnsi="宋体" w:cs="宋体" w:eastAsia="宋体" w:hint="default"/>
          <w:sz w:val="21"/>
          <w:szCs w:val="21"/>
        </w:rPr>
      </w:pPr>
      <w:r>
        <w:rPr/>
        <w:pict>
          <v:group style="position:absolute;margin-left:93.660004pt;margin-top:-189.026474pt;width:390.9pt;height:173.55pt;mso-position-horizontal-relative:page;mso-position-vertical-relative:paragraph;z-index:-799888" coordorigin="1873,-3781" coordsize="7818,3471">
            <v:shape style="position:absolute;left:6230;top:-3781;width:2050;height:318" type="#_x0000_t75" stroked="false">
              <v:imagedata r:id="rId404" o:title=""/>
            </v:shape>
            <v:shape style="position:absolute;left:1873;top:-3501;width:7818;height:3191" type="#_x0000_t75" stroked="false">
              <v:imagedata r:id="rId405" o:title=""/>
            </v:shape>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净资产收益率及每股收益</w:t>
      </w:r>
      <w:r>
        <w:rPr>
          <w:rFonts w:ascii="宋体" w:hAnsi="宋体" w:cs="宋体" w:eastAsia="宋体" w:hint="default"/>
          <w:sz w:val="21"/>
          <w:szCs w:val="21"/>
        </w:rPr>
      </w:r>
    </w:p>
    <w:p>
      <w:pPr>
        <w:spacing w:line="1690" w:lineRule="exact"/>
        <w:ind w:left="732"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391.45pt;height:84.55pt;mso-position-horizontal-relative:char;mso-position-vertical-relative:line" coordorigin="0,0" coordsize="7829,1691">
            <v:group style="position:absolute;left:29;top:15;width:7773;height:2" coordorigin="29,15" coordsize="7773,2">
              <v:shape style="position:absolute;left:29;top:15;width:7773;height:2" coordorigin="29,15" coordsize="7773,0" path="m29,15l7802,15e" filled="false" stroked="true" strokeweight="1.5pt" strokecolor="#000000">
                <v:path arrowok="t"/>
              </v:shape>
              <v:shape style="position:absolute;left:2794;top:7;width:1616;height:427" type="#_x0000_t75" stroked="false">
                <v:imagedata r:id="rId406" o:title=""/>
              </v:shape>
              <v:shape style="position:absolute;left:2794;top:387;width:5035;height:437" type="#_x0000_t75" stroked="false">
                <v:imagedata r:id="rId407" o:title=""/>
              </v:shape>
            </v:group>
            <v:group style="position:absolute;left:15;top:1676;width:2802;height:2" coordorigin="15,1676" coordsize="2802,2">
              <v:shape style="position:absolute;left:15;top:1676;width:2802;height:2" coordorigin="15,1676" coordsize="2802,0" path="m15,1676l2817,1676e" filled="false" stroked="true" strokeweight="1.5pt" strokecolor="#000000">
                <v:path arrowok="t"/>
              </v:shape>
              <v:shape style="position:absolute;left:1;top:781;width:7824;height:908" type="#_x0000_t75" stroked="false">
                <v:imagedata r:id="rId408" o:title=""/>
              </v:shape>
            </v:group>
            <v:group style="position:absolute;left:2817;top:1676;width:1560;height:2" coordorigin="2817,1676" coordsize="1560,2">
              <v:shape style="position:absolute;left:2817;top:1676;width:1560;height:2" coordorigin="2817,1676" coordsize="1560,0" path="m2817,1676l4377,1676e" filled="false" stroked="true" strokeweight="1.5pt" strokecolor="#000000">
                <v:path arrowok="t"/>
              </v:shape>
              <v:shape style="position:absolute;left:4348;top:1072;width:67;height:618" type="#_x0000_t75" stroked="false">
                <v:imagedata r:id="rId409" o:title=""/>
              </v:shape>
            </v:group>
            <v:group style="position:absolute;left:4377;top:1676;width:1710;height:2" coordorigin="4377,1676" coordsize="1710,2">
              <v:shape style="position:absolute;left:4377;top:1676;width:1710;height:2" coordorigin="4377,1676" coordsize="1710,0" path="m4377,1676l6087,1676e" filled="false" stroked="true" strokeweight="1.5pt" strokecolor="#000000">
                <v:path arrowok="t"/>
              </v:shape>
              <v:shape style="position:absolute;left:6058;top:1072;width:67;height:618" type="#_x0000_t75" stroked="false">
                <v:imagedata r:id="rId410" o:title=""/>
              </v:shape>
            </v:group>
            <v:group style="position:absolute;left:6087;top:1676;width:1715;height:2" coordorigin="6087,1676" coordsize="1715,2">
              <v:shape style="position:absolute;left:6087;top:1676;width:1715;height:2" coordorigin="6087,1676" coordsize="1715,0" path="m6087,1676l7802,1676e" filled="false" stroked="true" strokeweight="1.5pt" strokecolor="#000000">
                <v:path arrowok="t"/>
              </v:shape>
              <v:shape style="position:absolute;left:2972;top:207;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加权平均净资产</w:t>
                      </w:r>
                    </w:p>
                  </w:txbxContent>
                </v:textbox>
                <w10:wrap type="none"/>
              </v:shape>
              <v:shape style="position:absolute;left:5732;top:20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每股收益</w:t>
                      </w:r>
                    </w:p>
                  </w:txbxContent>
                </v:textbox>
                <w10:wrap type="none"/>
              </v:shape>
              <v:shape style="position:absolute;left:976;top:39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报告期利润</w:t>
                      </w:r>
                    </w:p>
                  </w:txbxContent>
                </v:textbox>
                <w10:wrap type="none"/>
              </v:shape>
              <v:shape style="position:absolute;left:139;top:835;width:2577;height:7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p>
                      <w:pPr>
                        <w:spacing w:line="280" w:lineRule="atLeast" w:before="1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扣除非经常性损益后归属于公司</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普通股股东的净利润</w:t>
                      </w:r>
                    </w:p>
                  </w:txbxContent>
                </v:textbox>
                <w10:wrap type="none"/>
              </v:shape>
              <v:shape style="position:absolute;left:3076;top:587;width:1199;height:438"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收益率（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spacing w:line="203" w:lineRule="exact" w:before="40"/>
                        <w:ind w:left="793" w:right="0" w:firstLine="0"/>
                        <w:jc w:val="left"/>
                        <w:rPr>
                          <w:rFonts w:ascii="Times New Roman" w:hAnsi="Times New Roman" w:cs="Times New Roman" w:eastAsia="Times New Roman" w:hint="default"/>
                          <w:sz w:val="18"/>
                          <w:szCs w:val="18"/>
                        </w:rPr>
                      </w:pPr>
                      <w:r>
                        <w:rPr>
                          <w:rFonts w:ascii="Times New Roman"/>
                          <w:sz w:val="18"/>
                        </w:rPr>
                        <w:t>14.07</w:t>
                      </w:r>
                    </w:p>
                  </w:txbxContent>
                </v:textbox>
                <w10:wrap type="none"/>
              </v:shape>
              <v:shape style="position:absolute;left:4696;top:592;width:1289;height:43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基本每股收益</w:t>
                      </w:r>
                    </w:p>
                    <w:p>
                      <w:pPr>
                        <w:spacing w:line="203" w:lineRule="exact" w:before="49"/>
                        <w:ind w:left="793" w:right="0" w:firstLine="0"/>
                        <w:jc w:val="left"/>
                        <w:rPr>
                          <w:rFonts w:ascii="Times New Roman" w:hAnsi="Times New Roman" w:cs="Times New Roman" w:eastAsia="Times New Roman" w:hint="default"/>
                          <w:sz w:val="18"/>
                          <w:szCs w:val="18"/>
                        </w:rPr>
                      </w:pPr>
                      <w:r>
                        <w:rPr>
                          <w:rFonts w:ascii="Times New Roman"/>
                          <w:sz w:val="18"/>
                        </w:rPr>
                        <w:t>0.5191</w:t>
                      </w:r>
                    </w:p>
                  </w:txbxContent>
                </v:textbox>
                <w10:wrap type="none"/>
              </v:shape>
              <v:shape style="position:absolute;left:6406;top:592;width:1289;height:43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稀释每股收益</w:t>
                      </w:r>
                    </w:p>
                    <w:p>
                      <w:pPr>
                        <w:spacing w:line="203" w:lineRule="exact" w:before="49"/>
                        <w:ind w:left="792" w:right="0" w:firstLine="0"/>
                        <w:jc w:val="left"/>
                        <w:rPr>
                          <w:rFonts w:ascii="Times New Roman" w:hAnsi="Times New Roman" w:cs="Times New Roman" w:eastAsia="Times New Roman" w:hint="default"/>
                          <w:sz w:val="18"/>
                          <w:szCs w:val="18"/>
                        </w:rPr>
                      </w:pPr>
                      <w:r>
                        <w:rPr>
                          <w:rFonts w:ascii="Times New Roman"/>
                          <w:sz w:val="18"/>
                        </w:rPr>
                        <w:t>0.5191</w:t>
                      </w:r>
                    </w:p>
                  </w:txbxContent>
                </v:textbox>
                <w10:wrap type="none"/>
              </v:shape>
              <v:shape style="position:absolute;left:3869;top:1275;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13.96</w:t>
                      </w:r>
                    </w:p>
                  </w:txbxContent>
                </v:textbox>
                <w10:wrap type="none"/>
              </v:shape>
              <v:shape style="position:absolute;left:5489;top:1275;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0.5152</w:t>
                      </w:r>
                    </w:p>
                  </w:txbxContent>
                </v:textbox>
                <w10:wrap type="none"/>
              </v:shape>
              <v:shape style="position:absolute;left:7199;top:1275;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0.5152</w:t>
                      </w:r>
                    </w:p>
                  </w:txbxContent>
                </v:textbox>
                <w10:wrap type="none"/>
              </v:shape>
            </v:group>
          </v:group>
        </w:pict>
      </w:r>
      <w:r>
        <w:rPr>
          <w:rFonts w:ascii="宋体" w:hAnsi="宋体" w:cs="宋体" w:eastAsia="宋体" w:hint="default"/>
          <w:position w:val="-33"/>
          <w:sz w:val="20"/>
          <w:szCs w:val="2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5"/>
          <w:szCs w:val="15"/>
        </w:rPr>
      </w:pPr>
    </w:p>
    <w:p>
      <w:pPr>
        <w:tabs>
          <w:tab w:pos="866" w:val="left" w:leader="none"/>
        </w:tabs>
        <w:spacing w:before="0"/>
        <w:ind w:left="138"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公司主要会计报表项目的异常情况及原因的说明</w:t>
      </w:r>
      <w:r>
        <w:rPr>
          <w:rFonts w:ascii="宋体" w:hAnsi="宋体" w:cs="宋体" w:eastAsia="宋体" w:hint="default"/>
          <w:sz w:val="21"/>
          <w:szCs w:val="21"/>
        </w:rPr>
      </w:r>
    </w:p>
    <w:p>
      <w:pPr>
        <w:tabs>
          <w:tab w:pos="1408" w:val="left" w:leader="none"/>
        </w:tabs>
        <w:spacing w:before="89"/>
        <w:ind w:left="870" w:right="0" w:firstLine="0"/>
        <w:jc w:val="left"/>
        <w:rPr>
          <w:rFonts w:ascii="宋体" w:hAnsi="宋体" w:cs="宋体" w:eastAsia="宋体" w:hint="default"/>
          <w:sz w:val="21"/>
          <w:szCs w:val="21"/>
        </w:rPr>
      </w:pPr>
      <w:r>
        <w:rPr/>
        <w:pict>
          <v:group style="position:absolute;margin-left:63.150002pt;margin-top:19.834406pt;width:435.1pt;height:331.5pt;mso-position-horizontal-relative:page;mso-position-vertical-relative:paragraph;z-index:-799600" coordorigin="1263,397" coordsize="8702,6630">
            <v:group style="position:absolute;left:1292;top:412;width:8648;height:2" coordorigin="1292,412" coordsize="8648,2">
              <v:shape style="position:absolute;left:1292;top:412;width:8648;height:2" coordorigin="1292,412" coordsize="8648,0" path="m1292,412l9940,412e" filled="false" stroked="true" strokeweight="1.5pt" strokecolor="#000000">
                <v:path arrowok="t"/>
              </v:shape>
              <v:shape style="position:absolute;left:3353;top:407;width:4490;height:798" type="#_x0000_t75" stroked="false">
                <v:imagedata r:id="rId411" o:title=""/>
              </v:shape>
            </v:group>
            <v:group style="position:absolute;left:1278;top:7012;width:2094;height:2" coordorigin="1278,7012" coordsize="2094,2">
              <v:shape style="position:absolute;left:1278;top:7012;width:2094;height:2" coordorigin="1278,7012" coordsize="2094,0" path="m1278,7012l3372,7012e" filled="false" stroked="true" strokeweight="1.5pt" strokecolor="#000000">
                <v:path arrowok="t"/>
              </v:shape>
            </v:group>
            <v:group style="position:absolute;left:3372;top:7012;width:1600;height:2" coordorigin="3372,7012" coordsize="1600,2">
              <v:shape style="position:absolute;left:3372;top:7012;width:1600;height:2" coordorigin="3372,7012" coordsize="1600,0" path="m3372,7012l4972,7012e" filled="false" stroked="true" strokeweight="1.5pt" strokecolor="#000000">
                <v:path arrowok="t"/>
              </v:shape>
            </v:group>
            <v:group style="position:absolute;left:4972;top:7012;width:1586;height:2" coordorigin="4972,7012" coordsize="1586,2">
              <v:shape style="position:absolute;left:4972;top:7012;width:1586;height:2" coordorigin="4972,7012" coordsize="1586,0" path="m4972,7012l6557,7012e" filled="false" stroked="true" strokeweight="1.5pt" strokecolor="#000000">
                <v:path arrowok="t"/>
              </v:shape>
            </v:group>
            <v:group style="position:absolute;left:6557;top:7012;width:1258;height:2" coordorigin="6557,7012" coordsize="1258,2">
              <v:shape style="position:absolute;left:6557;top:7012;width:1258;height:2" coordorigin="6557,7012" coordsize="1258,0" path="m6557,7012l7814,7012e" filled="false" stroked="true" strokeweight="1.5pt" strokecolor="#000000">
                <v:path arrowok="t"/>
              </v:shape>
              <v:shape style="position:absolute;left:1273;top:1167;width:8692;height:5830" type="#_x0000_t75" stroked="false">
                <v:imagedata r:id="rId412" o:title=""/>
              </v:shape>
            </v:group>
            <v:group style="position:absolute;left:7814;top:7012;width:2126;height:2" coordorigin="7814,7012" coordsize="2126,2">
              <v:shape style="position:absolute;left:7814;top:7012;width:2126;height:2" coordorigin="7814,7012" coordsize="2126,0" path="m7814,7012l9940,7012e" filled="false" stroked="true" strokeweight="1.5pt" strokecolor="#000000">
                <v:path arrowok="t"/>
              </v:shape>
              <v:shape style="position:absolute;left:3816;top:59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5408;top:59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974;top:78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报表项目</w:t>
                      </w:r>
                    </w:p>
                  </w:txbxContent>
                </v:textbox>
                <w10:wrap type="none"/>
              </v:shape>
              <v:shape style="position:absolute;left:6830;top:78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变动比率</w:t>
                      </w:r>
                    </w:p>
                  </w:txbxContent>
                </v:textbox>
                <w10:wrap type="none"/>
              </v:shape>
              <v:shape style="position:absolute;left:8520;top:78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变动原因</w:t>
                      </w:r>
                    </w:p>
                  </w:txbxContent>
                </v:textbox>
                <w10:wrap type="none"/>
              </v:shape>
              <v:shape style="position:absolute;left:1400;top:1368;width:1875;height:17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应收票据</w:t>
                      </w:r>
                    </w:p>
                    <w:p>
                      <w:pPr>
                        <w:spacing w:line="398" w:lineRule="auto" w:before="154"/>
                        <w:ind w:left="0" w:right="972" w:firstLine="0"/>
                        <w:jc w:val="left"/>
                        <w:rPr>
                          <w:rFonts w:ascii="宋体" w:hAnsi="宋体" w:cs="宋体" w:eastAsia="宋体" w:hint="default"/>
                          <w:sz w:val="18"/>
                          <w:szCs w:val="18"/>
                        </w:rPr>
                      </w:pPr>
                      <w:r>
                        <w:rPr>
                          <w:rFonts w:ascii="宋体" w:hAnsi="宋体" w:cs="宋体" w:eastAsia="宋体" w:hint="default"/>
                          <w:sz w:val="18"/>
                          <w:szCs w:val="18"/>
                        </w:rPr>
                        <w:t>应收账款 其他应收款 存货</w:t>
                      </w:r>
                    </w:p>
                    <w:p>
                      <w:pPr>
                        <w:spacing w:before="35"/>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一年内到期的非流动资</w:t>
                      </w:r>
                      <w:r>
                        <w:rPr>
                          <w:rFonts w:ascii="宋体" w:hAnsi="宋体" w:cs="宋体" w:eastAsia="宋体" w:hint="default"/>
                          <w:sz w:val="18"/>
                          <w:szCs w:val="18"/>
                        </w:rPr>
                      </w:r>
                    </w:p>
                  </w:txbxContent>
                </v:textbox>
                <w10:wrap type="none"/>
              </v:shape>
              <v:shape style="position:absolute;left:7928;top:2882;width:191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1"/>
                          <w:sz w:val="18"/>
                          <w:szCs w:val="18"/>
                        </w:rPr>
                        <w:t>一年内到期长期应收款</w:t>
                      </w:r>
                      <w:r>
                        <w:rPr>
                          <w:rFonts w:ascii="宋体" w:hAnsi="宋体" w:cs="宋体" w:eastAsia="宋体" w:hint="default"/>
                          <w:sz w:val="18"/>
                          <w:szCs w:val="18"/>
                        </w:rPr>
                      </w:r>
                    </w:p>
                  </w:txbxContent>
                </v:textbox>
                <w10:wrap type="none"/>
              </v:shape>
              <v:shape style="position:absolute;left:3834;top:303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76,064,857.02</w:t>
                      </w:r>
                    </w:p>
                  </w:txbxContent>
                </v:textbox>
                <w10:wrap type="none"/>
              </v:shape>
              <v:shape style="position:absolute;left:5419;top:303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52,683,352.91</w:t>
                      </w:r>
                    </w:p>
                  </w:txbxContent>
                </v:textbox>
                <w10:wrap type="none"/>
              </v:shape>
              <v:shape style="position:absolute;left:7156;top:3031;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44.38%</w:t>
                      </w:r>
                    </w:p>
                  </w:txbxContent>
                </v:textbox>
                <w10:wrap type="none"/>
              </v:shape>
              <v:shape style="position:absolute;left:1400;top:3308;width:1440;height:366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w:t>
                      </w:r>
                    </w:p>
                    <w:p>
                      <w:pPr>
                        <w:spacing w:line="398" w:lineRule="auto" w:before="154"/>
                        <w:ind w:left="0" w:right="0" w:firstLine="0"/>
                        <w:jc w:val="left"/>
                        <w:rPr>
                          <w:rFonts w:ascii="宋体" w:hAnsi="宋体" w:cs="宋体" w:eastAsia="宋体" w:hint="default"/>
                          <w:sz w:val="18"/>
                          <w:szCs w:val="18"/>
                        </w:rPr>
                      </w:pPr>
                      <w:r>
                        <w:rPr>
                          <w:rFonts w:ascii="宋体" w:hAnsi="宋体" w:cs="宋体" w:eastAsia="宋体" w:hint="default"/>
                          <w:sz w:val="18"/>
                          <w:szCs w:val="18"/>
                        </w:rPr>
                        <w:t>可供出售金融资产 长期应收款</w:t>
                      </w:r>
                    </w:p>
                    <w:p>
                      <w:pPr>
                        <w:spacing w:before="125"/>
                        <w:ind w:left="0" w:right="0" w:firstLine="0"/>
                        <w:jc w:val="left"/>
                        <w:rPr>
                          <w:rFonts w:ascii="宋体" w:hAnsi="宋体" w:cs="宋体" w:eastAsia="宋体" w:hint="default"/>
                          <w:sz w:val="18"/>
                          <w:szCs w:val="18"/>
                        </w:rPr>
                      </w:pPr>
                      <w:r>
                        <w:rPr>
                          <w:rFonts w:ascii="宋体" w:hAnsi="宋体" w:cs="宋体" w:eastAsia="宋体" w:hint="default"/>
                          <w:sz w:val="18"/>
                          <w:szCs w:val="18"/>
                        </w:rPr>
                        <w:t>长期股权投资</w:t>
                      </w:r>
                    </w:p>
                    <w:p>
                      <w:pPr>
                        <w:spacing w:line="240" w:lineRule="auto" w:before="9"/>
                        <w:rPr>
                          <w:rFonts w:ascii="宋体" w:hAnsi="宋体" w:cs="宋体" w:eastAsia="宋体" w:hint="default"/>
                          <w:b/>
                          <w:bCs/>
                          <w:sz w:val="18"/>
                          <w:szCs w:val="18"/>
                        </w:rPr>
                      </w:pPr>
                    </w:p>
                    <w:p>
                      <w:pPr>
                        <w:spacing w:line="398" w:lineRule="auto" w:before="0"/>
                        <w:ind w:left="0" w:right="178" w:firstLine="0"/>
                        <w:jc w:val="left"/>
                        <w:rPr>
                          <w:rFonts w:ascii="宋体" w:hAnsi="宋体" w:cs="宋体" w:eastAsia="宋体" w:hint="default"/>
                          <w:sz w:val="18"/>
                          <w:szCs w:val="18"/>
                        </w:rPr>
                      </w:pPr>
                      <w:r>
                        <w:rPr>
                          <w:rFonts w:ascii="宋体" w:hAnsi="宋体" w:cs="宋体" w:eastAsia="宋体" w:hint="default"/>
                          <w:sz w:val="18"/>
                          <w:szCs w:val="18"/>
                        </w:rPr>
                        <w:t>无形资产 开发支出</w:t>
                      </w:r>
                    </w:p>
                    <w:p>
                      <w:pPr>
                        <w:spacing w:before="125"/>
                        <w:ind w:left="0" w:right="0" w:firstLine="0"/>
                        <w:jc w:val="left"/>
                        <w:rPr>
                          <w:rFonts w:ascii="宋体" w:hAnsi="宋体" w:cs="宋体" w:eastAsia="宋体" w:hint="default"/>
                          <w:sz w:val="18"/>
                          <w:szCs w:val="18"/>
                        </w:rPr>
                      </w:pPr>
                      <w:r>
                        <w:rPr>
                          <w:rFonts w:ascii="宋体" w:hAnsi="宋体" w:cs="宋体" w:eastAsia="宋体" w:hint="default"/>
                          <w:sz w:val="18"/>
                          <w:szCs w:val="18"/>
                        </w:rPr>
                        <w:t>递延所得税资产</w:t>
                      </w:r>
                    </w:p>
                    <w:p>
                      <w:pPr>
                        <w:spacing w:line="390" w:lineRule="atLeast" w:before="91"/>
                        <w:ind w:left="0" w:right="718" w:firstLine="0"/>
                        <w:jc w:val="left"/>
                        <w:rPr>
                          <w:rFonts w:ascii="宋体" w:hAnsi="宋体" w:cs="宋体" w:eastAsia="宋体" w:hint="default"/>
                          <w:sz w:val="18"/>
                          <w:szCs w:val="18"/>
                        </w:rPr>
                      </w:pPr>
                      <w:r>
                        <w:rPr>
                          <w:rFonts w:ascii="宋体" w:hAnsi="宋体" w:cs="宋体" w:eastAsia="宋体" w:hint="default"/>
                          <w:sz w:val="18"/>
                          <w:szCs w:val="18"/>
                        </w:rPr>
                        <w:t>短期借款 应付账款</w:t>
                      </w:r>
                    </w:p>
                  </w:txbxContent>
                </v:textbox>
                <w10:wrap type="non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金额异常或比较期间变动异常的报表项目</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5"/>
          <w:szCs w:val="25"/>
        </w:rPr>
      </w:pPr>
    </w:p>
    <w:tbl>
      <w:tblPr>
        <w:tblW w:w="0" w:type="auto"/>
        <w:jc w:val="left"/>
        <w:tblInd w:w="2370" w:type="dxa"/>
        <w:tblLayout w:type="fixed"/>
        <w:tblCellMar>
          <w:top w:w="0" w:type="dxa"/>
          <w:left w:w="0" w:type="dxa"/>
          <w:bottom w:w="0" w:type="dxa"/>
          <w:right w:w="0" w:type="dxa"/>
        </w:tblCellMar>
        <w:tblLook w:val="01E0"/>
      </w:tblPr>
      <w:tblGrid>
        <w:gridCol w:w="1493"/>
        <w:gridCol w:w="1756"/>
        <w:gridCol w:w="1060"/>
        <w:gridCol w:w="1943"/>
      </w:tblGrid>
      <w:tr>
        <w:trPr>
          <w:trHeight w:val="583"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（或本期金额）</w:t>
            </w:r>
          </w:p>
          <w:p>
            <w:pPr>
              <w:pStyle w:val="TableParagraph"/>
              <w:spacing w:line="240" w:lineRule="auto" w:before="99"/>
              <w:ind w:left="323" w:right="0"/>
              <w:jc w:val="left"/>
              <w:rPr>
                <w:rFonts w:ascii="Times New Roman" w:hAnsi="Times New Roman" w:cs="Times New Roman" w:eastAsia="Times New Roman" w:hint="default"/>
                <w:sz w:val="18"/>
                <w:szCs w:val="18"/>
              </w:rPr>
            </w:pPr>
            <w:r>
              <w:rPr>
                <w:rFonts w:ascii="Times New Roman"/>
                <w:sz w:val="18"/>
              </w:rPr>
              <w:t>40,404,000.00</w:t>
            </w:r>
          </w:p>
        </w:tc>
        <w:tc>
          <w:tcPr>
            <w:tcW w:w="1756" w:type="dxa"/>
            <w:tcBorders>
              <w:top w:val="nil" w:sz="6" w:space="0" w:color="auto"/>
              <w:left w:val="nil" w:sz="6" w:space="0" w:color="auto"/>
              <w:bottom w:val="nil" w:sz="6" w:space="0" w:color="auto"/>
              <w:right w:val="nil" w:sz="6" w:space="0" w:color="auto"/>
            </w:tcBorders>
          </w:tcPr>
          <w:p>
            <w:pPr>
              <w:pStyle w:val="TableParagraph"/>
              <w:spacing w:line="180" w:lineRule="exact"/>
              <w:ind w:left="134" w:right="0"/>
              <w:jc w:val="left"/>
              <w:rPr>
                <w:rFonts w:ascii="宋体" w:hAnsi="宋体" w:cs="宋体" w:eastAsia="宋体" w:hint="default"/>
                <w:sz w:val="18"/>
                <w:szCs w:val="18"/>
              </w:rPr>
            </w:pPr>
            <w:r>
              <w:rPr>
                <w:rFonts w:ascii="宋体" w:hAnsi="宋体" w:cs="宋体" w:eastAsia="宋体" w:hint="default"/>
                <w:sz w:val="18"/>
                <w:szCs w:val="18"/>
              </w:rPr>
              <w:t>（或上期金额）</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客户采用票据支付</w:t>
            </w:r>
          </w:p>
        </w:tc>
      </w:tr>
      <w:tr>
        <w:trPr>
          <w:trHeight w:val="39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32"/>
              <w:jc w:val="right"/>
              <w:rPr>
                <w:rFonts w:ascii="Times New Roman" w:hAnsi="Times New Roman" w:cs="Times New Roman" w:eastAsia="Times New Roman" w:hint="default"/>
                <w:sz w:val="18"/>
                <w:szCs w:val="18"/>
              </w:rPr>
            </w:pPr>
            <w:r>
              <w:rPr>
                <w:rFonts w:ascii="Times New Roman"/>
                <w:spacing w:val="-1"/>
                <w:sz w:val="18"/>
              </w:rPr>
              <w:t>142,321,492.81</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04"/>
              <w:jc w:val="right"/>
              <w:rPr>
                <w:rFonts w:ascii="Times New Roman" w:hAnsi="Times New Roman" w:cs="Times New Roman" w:eastAsia="Times New Roman" w:hint="default"/>
                <w:sz w:val="18"/>
                <w:szCs w:val="18"/>
              </w:rPr>
            </w:pPr>
            <w:r>
              <w:rPr>
                <w:rFonts w:ascii="Times New Roman"/>
                <w:spacing w:val="-1"/>
                <w:sz w:val="18"/>
              </w:rPr>
              <w:t>83,218,645.95</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z w:val="18"/>
              </w:rPr>
              <w:t>71.02%</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18"/>
                <w:szCs w:val="18"/>
              </w:rPr>
            </w:pPr>
            <w:r>
              <w:rPr>
                <w:rFonts w:ascii="宋体" w:hAnsi="宋体" w:cs="宋体" w:eastAsia="宋体" w:hint="default"/>
                <w:sz w:val="18"/>
                <w:szCs w:val="18"/>
              </w:rPr>
              <w:t>营业收入大幅增长</w:t>
            </w:r>
          </w:p>
        </w:tc>
      </w:tr>
      <w:tr>
        <w:trPr>
          <w:trHeight w:val="39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32"/>
              <w:jc w:val="right"/>
              <w:rPr>
                <w:rFonts w:ascii="Times New Roman" w:hAnsi="Times New Roman" w:cs="Times New Roman" w:eastAsia="Times New Roman" w:hint="default"/>
                <w:sz w:val="18"/>
                <w:szCs w:val="18"/>
              </w:rPr>
            </w:pPr>
            <w:r>
              <w:rPr>
                <w:rFonts w:ascii="Times New Roman"/>
                <w:spacing w:val="-1"/>
                <w:sz w:val="18"/>
              </w:rPr>
              <w:t>24,973,952.76</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03"/>
              <w:jc w:val="right"/>
              <w:rPr>
                <w:rFonts w:ascii="Times New Roman" w:hAnsi="Times New Roman" w:cs="Times New Roman" w:eastAsia="Times New Roman" w:hint="default"/>
                <w:sz w:val="18"/>
                <w:szCs w:val="18"/>
              </w:rPr>
            </w:pPr>
            <w:r>
              <w:rPr>
                <w:rFonts w:ascii="Times New Roman"/>
                <w:spacing w:val="-1"/>
                <w:sz w:val="18"/>
              </w:rPr>
              <w:t>51,277,306.16</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z w:val="18"/>
              </w:rPr>
              <w:t>-51.30%</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18"/>
                <w:szCs w:val="18"/>
              </w:rPr>
            </w:pPr>
            <w:r>
              <w:rPr>
                <w:rFonts w:ascii="宋体" w:hAnsi="宋体" w:cs="宋体" w:eastAsia="宋体" w:hint="default"/>
                <w:sz w:val="18"/>
                <w:szCs w:val="18"/>
              </w:rPr>
              <w:t>收回投资保证金</w:t>
            </w:r>
          </w:p>
        </w:tc>
      </w:tr>
      <w:tr>
        <w:trPr>
          <w:trHeight w:val="289"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32"/>
              <w:jc w:val="right"/>
              <w:rPr>
                <w:rFonts w:ascii="Times New Roman" w:hAnsi="Times New Roman" w:cs="Times New Roman" w:eastAsia="Times New Roman" w:hint="default"/>
                <w:sz w:val="18"/>
                <w:szCs w:val="18"/>
              </w:rPr>
            </w:pPr>
            <w:r>
              <w:rPr>
                <w:rFonts w:ascii="Times New Roman"/>
                <w:spacing w:val="-1"/>
                <w:sz w:val="18"/>
              </w:rPr>
              <w:t>240,321,261.00</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05"/>
              <w:jc w:val="right"/>
              <w:rPr>
                <w:rFonts w:ascii="Times New Roman" w:hAnsi="Times New Roman" w:cs="Times New Roman" w:eastAsia="Times New Roman" w:hint="default"/>
                <w:sz w:val="18"/>
                <w:szCs w:val="18"/>
              </w:rPr>
            </w:pPr>
            <w:r>
              <w:rPr>
                <w:rFonts w:ascii="Times New Roman"/>
                <w:spacing w:val="-1"/>
                <w:sz w:val="18"/>
              </w:rPr>
              <w:t>129,702,307.11</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z w:val="18"/>
              </w:rPr>
              <w:t>85.29%</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18"/>
                <w:szCs w:val="18"/>
              </w:rPr>
            </w:pPr>
            <w:r>
              <w:rPr>
                <w:rFonts w:ascii="宋体" w:hAnsi="宋体" w:cs="宋体" w:eastAsia="宋体" w:hint="default"/>
                <w:sz w:val="18"/>
                <w:szCs w:val="18"/>
              </w:rPr>
              <w:t>加大原材料的生产储备</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tbl>
      <w:tblPr>
        <w:tblW w:w="0" w:type="auto"/>
        <w:jc w:val="left"/>
        <w:tblInd w:w="2568" w:type="dxa"/>
        <w:tblLayout w:type="fixed"/>
        <w:tblCellMar>
          <w:top w:w="0" w:type="dxa"/>
          <w:left w:w="0" w:type="dxa"/>
          <w:bottom w:w="0" w:type="dxa"/>
          <w:right w:w="0" w:type="dxa"/>
        </w:tblCellMar>
        <w:tblLook w:val="01E0"/>
      </w:tblPr>
      <w:tblGrid>
        <w:gridCol w:w="1390"/>
        <w:gridCol w:w="1548"/>
        <w:gridCol w:w="1173"/>
        <w:gridCol w:w="2026"/>
      </w:tblGrid>
      <w:tr>
        <w:trPr>
          <w:trHeight w:val="730" w:hRule="exact"/>
        </w:trPr>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27"/>
              <w:jc w:val="right"/>
              <w:rPr>
                <w:rFonts w:ascii="Times New Roman" w:hAnsi="Times New Roman" w:cs="Times New Roman" w:eastAsia="Times New Roman" w:hint="default"/>
                <w:sz w:val="18"/>
                <w:szCs w:val="18"/>
              </w:rPr>
            </w:pPr>
            <w:r>
              <w:rPr>
                <w:rFonts w:ascii="Times New Roman"/>
                <w:spacing w:val="-1"/>
                <w:sz w:val="18"/>
              </w:rPr>
              <w:t>134,577,416.07</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91"/>
              <w:jc w:val="right"/>
              <w:rPr>
                <w:rFonts w:ascii="Times New Roman" w:hAnsi="Times New Roman" w:cs="Times New Roman" w:eastAsia="Times New Roman" w:hint="default"/>
                <w:sz w:val="18"/>
                <w:szCs w:val="18"/>
              </w:rPr>
            </w:pPr>
            <w:r>
              <w:rPr>
                <w:rFonts w:ascii="Times New Roman"/>
                <w:spacing w:val="-1"/>
                <w:sz w:val="18"/>
              </w:rPr>
              <w:t>281,200,000.00</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-52.14%</w:t>
            </w:r>
          </w:p>
        </w:tc>
        <w:tc>
          <w:tcPr>
            <w:tcW w:w="2026" w:type="dxa"/>
            <w:tcBorders>
              <w:top w:val="nil" w:sz="6" w:space="0" w:color="auto"/>
              <w:left w:val="nil" w:sz="6" w:space="0" w:color="auto"/>
              <w:bottom w:val="nil" w:sz="6" w:space="0" w:color="auto"/>
              <w:right w:val="nil" w:sz="6" w:space="0" w:color="auto"/>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sz w:val="18"/>
                <w:szCs w:val="18"/>
              </w:rPr>
              <w:t>增加</w:t>
            </w: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星河生物股价下降</w:t>
            </w:r>
          </w:p>
        </w:tc>
      </w:tr>
      <w:tr>
        <w:trPr>
          <w:trHeight w:val="505" w:hRule="exact"/>
        </w:trPr>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27"/>
              <w:jc w:val="right"/>
              <w:rPr>
                <w:rFonts w:ascii="Times New Roman" w:hAnsi="Times New Roman" w:cs="Times New Roman" w:eastAsia="Times New Roman" w:hint="default"/>
                <w:sz w:val="18"/>
                <w:szCs w:val="18"/>
              </w:rPr>
            </w:pPr>
            <w:r>
              <w:rPr>
                <w:rFonts w:ascii="Times New Roman"/>
                <w:spacing w:val="-1"/>
                <w:sz w:val="18"/>
              </w:rPr>
              <w:t>168,940,661.41</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91"/>
              <w:jc w:val="right"/>
              <w:rPr>
                <w:rFonts w:ascii="Times New Roman" w:hAnsi="Times New Roman" w:cs="Times New Roman" w:eastAsia="Times New Roman" w:hint="default"/>
                <w:sz w:val="18"/>
                <w:szCs w:val="18"/>
              </w:rPr>
            </w:pPr>
            <w:r>
              <w:rPr>
                <w:rFonts w:ascii="Times New Roman"/>
                <w:spacing w:val="-1"/>
                <w:sz w:val="18"/>
              </w:rPr>
              <w:t>97,108,595.78</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z w:val="18"/>
              </w:rPr>
              <w:t>73.97%</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18"/>
                <w:szCs w:val="18"/>
              </w:rPr>
            </w:pPr>
            <w:r>
              <w:rPr>
                <w:rFonts w:ascii="宋体" w:hAnsi="宋体" w:cs="宋体" w:eastAsia="宋体" w:hint="default"/>
                <w:sz w:val="18"/>
                <w:szCs w:val="18"/>
              </w:rPr>
              <w:t>融资租赁收入大幅增长</w:t>
            </w:r>
          </w:p>
        </w:tc>
      </w:tr>
      <w:tr>
        <w:trPr>
          <w:trHeight w:val="476" w:hRule="exact"/>
        </w:trPr>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27"/>
              <w:jc w:val="right"/>
              <w:rPr>
                <w:rFonts w:ascii="Times New Roman" w:hAnsi="Times New Roman" w:cs="Times New Roman" w:eastAsia="Times New Roman" w:hint="default"/>
                <w:sz w:val="18"/>
                <w:szCs w:val="18"/>
              </w:rPr>
            </w:pPr>
            <w:r>
              <w:rPr>
                <w:rFonts w:ascii="Times New Roman"/>
                <w:spacing w:val="-1"/>
                <w:sz w:val="18"/>
              </w:rPr>
              <w:t>46,803,039.86</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91"/>
              <w:jc w:val="right"/>
              <w:rPr>
                <w:rFonts w:ascii="Times New Roman" w:hAnsi="Times New Roman" w:cs="Times New Roman" w:eastAsia="Times New Roman" w:hint="default"/>
                <w:sz w:val="18"/>
                <w:szCs w:val="18"/>
              </w:rPr>
            </w:pPr>
            <w:r>
              <w:rPr>
                <w:rFonts w:ascii="Times New Roman"/>
                <w:spacing w:val="-1"/>
                <w:sz w:val="18"/>
              </w:rPr>
              <w:t>21,860,000.00</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7"/>
              <w:jc w:val="right"/>
              <w:rPr>
                <w:rFonts w:ascii="Times New Roman" w:hAnsi="Times New Roman" w:cs="Times New Roman" w:eastAsia="Times New Roman" w:hint="default"/>
                <w:sz w:val="18"/>
                <w:szCs w:val="18"/>
              </w:rPr>
            </w:pPr>
            <w:r>
              <w:rPr>
                <w:rFonts w:ascii="Times New Roman"/>
                <w:spacing w:val="-2"/>
                <w:sz w:val="18"/>
              </w:rPr>
              <w:t>114.10%</w:t>
            </w:r>
          </w:p>
        </w:tc>
        <w:tc>
          <w:tcPr>
            <w:tcW w:w="2026" w:type="dxa"/>
            <w:tcBorders>
              <w:top w:val="nil" w:sz="6" w:space="0" w:color="auto"/>
              <w:left w:val="nil" w:sz="6" w:space="0" w:color="auto"/>
              <w:bottom w:val="nil" w:sz="6" w:space="0" w:color="auto"/>
              <w:right w:val="nil" w:sz="6" w:space="0" w:color="auto"/>
            </w:tcBorders>
          </w:tcPr>
          <w:p>
            <w:pPr>
              <w:pStyle w:val="TableParagraph"/>
              <w:spacing w:line="115" w:lineRule="exact"/>
              <w:ind w:left="108" w:right="0"/>
              <w:jc w:val="left"/>
              <w:rPr>
                <w:rFonts w:ascii="宋体" w:hAnsi="宋体" w:cs="宋体" w:eastAsia="宋体" w:hint="default"/>
                <w:sz w:val="18"/>
                <w:szCs w:val="18"/>
              </w:rPr>
            </w:pPr>
            <w:r>
              <w:rPr>
                <w:rFonts w:ascii="宋体" w:hAnsi="宋体" w:cs="宋体" w:eastAsia="宋体" w:hint="default"/>
                <w:spacing w:val="11"/>
                <w:sz w:val="18"/>
                <w:szCs w:val="18"/>
              </w:rPr>
              <w:t>投资广州花都稠州村镇</w:t>
            </w:r>
            <w:r>
              <w:rPr>
                <w:rFonts w:ascii="宋体" w:hAnsi="宋体" w:cs="宋体" w:eastAsia="宋体" w:hint="default"/>
                <w:sz w:val="18"/>
                <w:szCs w:val="18"/>
              </w:rPr>
            </w:r>
          </w:p>
          <w:p>
            <w:pPr>
              <w:pStyle w:val="TableParagraph"/>
              <w:spacing w:line="240" w:lineRule="auto" w:before="45"/>
              <w:ind w:left="108" w:right="0"/>
              <w:jc w:val="left"/>
              <w:rPr>
                <w:rFonts w:ascii="宋体" w:hAnsi="宋体" w:cs="宋体" w:eastAsia="宋体" w:hint="default"/>
                <w:sz w:val="18"/>
                <w:szCs w:val="18"/>
              </w:rPr>
            </w:pPr>
            <w:r>
              <w:rPr>
                <w:rFonts w:ascii="宋体" w:hAnsi="宋体" w:cs="宋体" w:eastAsia="宋体" w:hint="default"/>
                <w:sz w:val="18"/>
                <w:szCs w:val="18"/>
              </w:rPr>
              <w:t>银行</w:t>
            </w:r>
          </w:p>
        </w:tc>
      </w:tr>
      <w:tr>
        <w:trPr>
          <w:trHeight w:val="369" w:hRule="exact"/>
        </w:trPr>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27"/>
              <w:jc w:val="right"/>
              <w:rPr>
                <w:rFonts w:ascii="Times New Roman" w:hAnsi="Times New Roman" w:cs="Times New Roman" w:eastAsia="Times New Roman" w:hint="default"/>
                <w:sz w:val="18"/>
                <w:szCs w:val="18"/>
              </w:rPr>
            </w:pPr>
            <w:r>
              <w:rPr>
                <w:rFonts w:ascii="Times New Roman"/>
                <w:spacing w:val="-1"/>
                <w:sz w:val="18"/>
              </w:rPr>
              <w:t>47,711,408.56</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91"/>
              <w:jc w:val="right"/>
              <w:rPr>
                <w:rFonts w:ascii="Times New Roman" w:hAnsi="Times New Roman" w:cs="Times New Roman" w:eastAsia="Times New Roman" w:hint="default"/>
                <w:sz w:val="18"/>
                <w:szCs w:val="18"/>
              </w:rPr>
            </w:pPr>
            <w:r>
              <w:rPr>
                <w:rFonts w:ascii="Times New Roman"/>
                <w:sz w:val="18"/>
              </w:rPr>
              <w:t>265,524.73</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6"/>
              <w:jc w:val="right"/>
              <w:rPr>
                <w:rFonts w:ascii="Times New Roman" w:hAnsi="Times New Roman" w:cs="Times New Roman" w:eastAsia="Times New Roman" w:hint="default"/>
                <w:sz w:val="18"/>
                <w:szCs w:val="18"/>
              </w:rPr>
            </w:pPr>
            <w:r>
              <w:rPr>
                <w:rFonts w:ascii="Times New Roman"/>
                <w:sz w:val="18"/>
              </w:rPr>
              <w:t>17,868.73%</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sz w:val="18"/>
                <w:szCs w:val="18"/>
              </w:rPr>
              <w:t>购买办公楼土地</w:t>
            </w:r>
          </w:p>
        </w:tc>
      </w:tr>
      <w:tr>
        <w:trPr>
          <w:trHeight w:val="289" w:hRule="exact"/>
        </w:trPr>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27"/>
              <w:jc w:val="right"/>
              <w:rPr>
                <w:rFonts w:ascii="Times New Roman" w:hAnsi="Times New Roman" w:cs="Times New Roman" w:eastAsia="Times New Roman" w:hint="default"/>
                <w:sz w:val="18"/>
                <w:szCs w:val="18"/>
              </w:rPr>
            </w:pPr>
            <w:r>
              <w:rPr>
                <w:rFonts w:ascii="Times New Roman"/>
                <w:spacing w:val="-1"/>
                <w:sz w:val="18"/>
              </w:rPr>
              <w:t>7,728,500.00</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91"/>
              <w:jc w:val="right"/>
              <w:rPr>
                <w:rFonts w:ascii="Times New Roman" w:hAnsi="Times New Roman" w:cs="Times New Roman" w:eastAsia="Times New Roman" w:hint="default"/>
                <w:sz w:val="18"/>
                <w:szCs w:val="18"/>
              </w:rPr>
            </w:pPr>
            <w:r>
              <w:rPr>
                <w:rFonts w:ascii="Times New Roman"/>
                <w:spacing w:val="-1"/>
                <w:sz w:val="18"/>
              </w:rPr>
              <w:t>4,265,781.37</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z w:val="18"/>
              </w:rPr>
              <w:t>81.17%</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18"/>
                <w:szCs w:val="18"/>
              </w:rPr>
            </w:pPr>
            <w:r>
              <w:rPr>
                <w:rFonts w:ascii="宋体" w:hAnsi="宋体" w:cs="宋体" w:eastAsia="宋体" w:hint="default"/>
                <w:sz w:val="18"/>
                <w:szCs w:val="18"/>
              </w:rPr>
              <w:t>研发投入增加</w:t>
            </w:r>
          </w:p>
        </w:tc>
      </w:tr>
      <w:tr>
        <w:trPr>
          <w:trHeight w:val="381" w:hRule="exact"/>
        </w:trPr>
        <w:tc>
          <w:tcPr>
            <w:tcW w:w="6137"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95"/>
              <w:ind w:right="0"/>
              <w:jc w:val="right"/>
              <w:rPr>
                <w:rFonts w:ascii="宋体" w:hAnsi="宋体" w:cs="宋体" w:eastAsia="宋体" w:hint="default"/>
                <w:sz w:val="18"/>
                <w:szCs w:val="18"/>
              </w:rPr>
            </w:pPr>
            <w:r>
              <w:rPr>
                <w:rFonts w:ascii="宋体" w:hAnsi="宋体" w:cs="宋体" w:eastAsia="宋体" w:hint="default"/>
                <w:spacing w:val="11"/>
                <w:sz w:val="18"/>
                <w:szCs w:val="18"/>
              </w:rPr>
              <w:t>应收款项及计提维护费</w:t>
            </w:r>
            <w:r>
              <w:rPr>
                <w:rFonts w:ascii="宋体" w:hAnsi="宋体" w:cs="宋体" w:eastAsia="宋体" w:hint="default"/>
                <w:sz w:val="18"/>
                <w:szCs w:val="18"/>
              </w:rPr>
            </w:r>
          </w:p>
        </w:tc>
      </w:tr>
      <w:tr>
        <w:trPr>
          <w:trHeight w:val="310" w:hRule="exact"/>
        </w:trPr>
        <w:tc>
          <w:tcPr>
            <w:tcW w:w="1390" w:type="dxa"/>
            <w:tcBorders>
              <w:top w:val="nil" w:sz="6" w:space="0" w:color="auto"/>
              <w:left w:val="nil" w:sz="6" w:space="0" w:color="auto"/>
              <w:bottom w:val="nil" w:sz="6" w:space="0" w:color="auto"/>
              <w:right w:val="nil" w:sz="6" w:space="0" w:color="auto"/>
            </w:tcBorders>
          </w:tcPr>
          <w:p>
            <w:pPr>
              <w:pStyle w:val="TableParagraph"/>
              <w:spacing w:line="102" w:lineRule="exact"/>
              <w:ind w:right="227"/>
              <w:jc w:val="right"/>
              <w:rPr>
                <w:rFonts w:ascii="Times New Roman" w:hAnsi="Times New Roman" w:cs="Times New Roman" w:eastAsia="Times New Roman" w:hint="default"/>
                <w:sz w:val="18"/>
                <w:szCs w:val="18"/>
              </w:rPr>
            </w:pPr>
            <w:r>
              <w:rPr>
                <w:rFonts w:ascii="Times New Roman"/>
                <w:spacing w:val="-1"/>
                <w:sz w:val="18"/>
              </w:rPr>
              <w:t>10,251,754.61</w:t>
            </w:r>
          </w:p>
        </w:tc>
        <w:tc>
          <w:tcPr>
            <w:tcW w:w="1548" w:type="dxa"/>
            <w:tcBorders>
              <w:top w:val="nil" w:sz="6" w:space="0" w:color="auto"/>
              <w:left w:val="nil" w:sz="6" w:space="0" w:color="auto"/>
              <w:bottom w:val="nil" w:sz="6" w:space="0" w:color="auto"/>
              <w:right w:val="nil" w:sz="6" w:space="0" w:color="auto"/>
            </w:tcBorders>
          </w:tcPr>
          <w:p>
            <w:pPr>
              <w:pStyle w:val="TableParagraph"/>
              <w:spacing w:line="102" w:lineRule="exact"/>
              <w:ind w:right="191"/>
              <w:jc w:val="right"/>
              <w:rPr>
                <w:rFonts w:ascii="Times New Roman" w:hAnsi="Times New Roman" w:cs="Times New Roman" w:eastAsia="Times New Roman" w:hint="default"/>
                <w:sz w:val="18"/>
                <w:szCs w:val="18"/>
              </w:rPr>
            </w:pPr>
            <w:r>
              <w:rPr>
                <w:rFonts w:ascii="Times New Roman"/>
                <w:spacing w:val="-1"/>
                <w:sz w:val="18"/>
              </w:rPr>
              <w:t>6,693,302.03</w:t>
            </w:r>
          </w:p>
        </w:tc>
        <w:tc>
          <w:tcPr>
            <w:tcW w:w="1173" w:type="dxa"/>
            <w:tcBorders>
              <w:top w:val="nil" w:sz="6" w:space="0" w:color="auto"/>
              <w:left w:val="nil" w:sz="6" w:space="0" w:color="auto"/>
              <w:bottom w:val="nil" w:sz="6" w:space="0" w:color="auto"/>
              <w:right w:val="nil" w:sz="6" w:space="0" w:color="auto"/>
            </w:tcBorders>
          </w:tcPr>
          <w:p>
            <w:pPr>
              <w:pStyle w:val="TableParagraph"/>
              <w:spacing w:line="102" w:lineRule="exact"/>
              <w:ind w:right="106"/>
              <w:jc w:val="right"/>
              <w:rPr>
                <w:rFonts w:ascii="Times New Roman" w:hAnsi="Times New Roman" w:cs="Times New Roman" w:eastAsia="Times New Roman" w:hint="default"/>
                <w:sz w:val="18"/>
                <w:szCs w:val="18"/>
              </w:rPr>
            </w:pPr>
            <w:r>
              <w:rPr>
                <w:rFonts w:ascii="Times New Roman"/>
                <w:sz w:val="18"/>
              </w:rPr>
              <w:t>53.16%</w:t>
            </w:r>
          </w:p>
        </w:tc>
        <w:tc>
          <w:tcPr>
            <w:tcW w:w="2026" w:type="dxa"/>
            <w:tcBorders>
              <w:top w:val="nil" w:sz="6" w:space="0" w:color="auto"/>
              <w:left w:val="nil" w:sz="6" w:space="0" w:color="auto"/>
              <w:bottom w:val="nil" w:sz="6" w:space="0" w:color="auto"/>
              <w:right w:val="nil" w:sz="6" w:space="0" w:color="auto"/>
            </w:tcBorders>
          </w:tcPr>
          <w:p>
            <w:pPr>
              <w:pStyle w:val="TableParagraph"/>
              <w:spacing w:line="230" w:lineRule="exact"/>
              <w:ind w:left="108" w:right="0"/>
              <w:jc w:val="left"/>
              <w:rPr>
                <w:rFonts w:ascii="宋体" w:hAnsi="宋体" w:cs="宋体" w:eastAsia="宋体" w:hint="default"/>
                <w:sz w:val="18"/>
                <w:szCs w:val="18"/>
              </w:rPr>
            </w:pPr>
            <w:r>
              <w:rPr>
                <w:rFonts w:ascii="宋体" w:hAnsi="宋体" w:cs="宋体" w:eastAsia="宋体" w:hint="default"/>
                <w:sz w:val="18"/>
                <w:szCs w:val="18"/>
              </w:rPr>
              <w:t>增加</w:t>
            </w:r>
          </w:p>
        </w:tc>
      </w:tr>
      <w:tr>
        <w:trPr>
          <w:trHeight w:val="369" w:hRule="exact"/>
        </w:trPr>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27"/>
              <w:jc w:val="right"/>
              <w:rPr>
                <w:rFonts w:ascii="Times New Roman" w:hAnsi="Times New Roman" w:cs="Times New Roman" w:eastAsia="Times New Roman" w:hint="default"/>
                <w:sz w:val="18"/>
                <w:szCs w:val="18"/>
              </w:rPr>
            </w:pPr>
            <w:r>
              <w:rPr>
                <w:rFonts w:ascii="Times New Roman"/>
                <w:spacing w:val="-1"/>
                <w:sz w:val="18"/>
              </w:rPr>
              <w:t>121,789,540.00</w:t>
            </w:r>
          </w:p>
        </w:tc>
        <w:tc>
          <w:tcPr>
            <w:tcW w:w="1548" w:type="dxa"/>
            <w:tcBorders>
              <w:top w:val="nil" w:sz="6" w:space="0" w:color="auto"/>
              <w:left w:val="nil" w:sz="6" w:space="0" w:color="auto"/>
              <w:bottom w:val="nil" w:sz="6" w:space="0" w:color="auto"/>
              <w:right w:val="nil" w:sz="6" w:space="0" w:color="auto"/>
            </w:tcBorders>
          </w:tcPr>
          <w:p>
            <w:pP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6"/>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sz w:val="18"/>
                <w:szCs w:val="18"/>
              </w:rPr>
              <w:t>银行借款增加</w:t>
            </w:r>
          </w:p>
        </w:tc>
      </w:tr>
      <w:tr>
        <w:trPr>
          <w:trHeight w:val="289" w:hRule="exact"/>
        </w:trPr>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27"/>
              <w:jc w:val="right"/>
              <w:rPr>
                <w:rFonts w:ascii="Times New Roman" w:hAnsi="Times New Roman" w:cs="Times New Roman" w:eastAsia="Times New Roman" w:hint="default"/>
                <w:sz w:val="18"/>
                <w:szCs w:val="18"/>
              </w:rPr>
            </w:pPr>
            <w:r>
              <w:rPr>
                <w:rFonts w:ascii="Times New Roman"/>
                <w:spacing w:val="-1"/>
                <w:sz w:val="18"/>
              </w:rPr>
              <w:t>90,699,141.17</w:t>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91"/>
              <w:jc w:val="right"/>
              <w:rPr>
                <w:rFonts w:ascii="Times New Roman" w:hAnsi="Times New Roman" w:cs="Times New Roman" w:eastAsia="Times New Roman" w:hint="default"/>
                <w:sz w:val="18"/>
                <w:szCs w:val="18"/>
              </w:rPr>
            </w:pPr>
            <w:r>
              <w:rPr>
                <w:rFonts w:ascii="Times New Roman"/>
                <w:spacing w:val="-1"/>
                <w:sz w:val="18"/>
              </w:rPr>
              <w:t>32,588,239.25</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w w:val="95"/>
                <w:sz w:val="18"/>
              </w:rPr>
              <w:t>178.32%</w:t>
            </w:r>
            <w:r>
              <w:rPr>
                <w:rFonts w:ascii="Times New Roman"/>
                <w:sz w:val="18"/>
              </w:rPr>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18"/>
                <w:szCs w:val="18"/>
              </w:rPr>
            </w:pPr>
            <w:r>
              <w:rPr>
                <w:rFonts w:ascii="宋体" w:hAnsi="宋体" w:cs="宋体" w:eastAsia="宋体" w:hint="default"/>
                <w:sz w:val="18"/>
                <w:szCs w:val="18"/>
              </w:rPr>
              <w:t>加大原材料的采购</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7"/>
          <w:szCs w:val="17"/>
        </w:rPr>
      </w:pPr>
    </w:p>
    <w:p>
      <w:pPr>
        <w:spacing w:line="251" w:lineRule="exact"/>
        <w:ind w:left="152" w:right="0" w:firstLine="0"/>
        <w:rPr>
          <w:rFonts w:ascii="宋体" w:hAnsi="宋体" w:cs="宋体" w:eastAsia="宋体" w:hint="default"/>
          <w:sz w:val="20"/>
          <w:szCs w:val="20"/>
        </w:rPr>
      </w:pPr>
      <w:r>
        <w:rPr>
          <w:rFonts w:ascii="宋体" w:hAnsi="宋体" w:cs="宋体" w:eastAsia="宋体" w:hint="default"/>
          <w:position w:val="-4"/>
          <w:sz w:val="20"/>
          <w:szCs w:val="20"/>
        </w:rPr>
        <w:drawing>
          <wp:inline distT="0" distB="0" distL="0" distR="0">
            <wp:extent cx="901786" cy="159448"/>
            <wp:effectExtent l="0" t="0" r="0" b="0"/>
            <wp:docPr id="15" name="image1.jpeg" descr=""/>
            <wp:cNvGraphicFramePr>
              <a:graphicFrameLocks noChangeAspect="1"/>
            </wp:cNvGraphicFramePr>
            <a:graphic>
              <a:graphicData uri="http://schemas.openxmlformats.org/drawingml/2006/picture">
                <pic:pic>
                  <pic:nvPicPr>
                    <pic:cNvPr id="16" name="image1.jpeg"/>
                    <pic:cNvPicPr/>
                  </pic:nvPicPr>
                  <pic:blipFill>
                    <a:blip r:embed="rId222" cstate="print"/>
                    <a:stretch>
                      <a:fillRect/>
                    </a:stretch>
                  </pic:blipFill>
                  <pic:spPr>
                    <a:xfrm>
                      <a:off x="0" y="0"/>
                      <a:ext cx="901786" cy="159448"/>
                    </a:xfrm>
                    <a:prstGeom prst="rect">
                      <a:avLst/>
                    </a:prstGeom>
                  </pic:spPr>
                </pic:pic>
              </a:graphicData>
            </a:graphic>
          </wp:inline>
        </w:drawing>
      </w:r>
      <w:r>
        <w:rPr>
          <w:rFonts w:ascii="宋体" w:hAnsi="宋体" w:cs="宋体" w:eastAsia="宋体" w:hint="default"/>
          <w:position w:val="-4"/>
          <w:sz w:val="20"/>
          <w:szCs w:val="20"/>
        </w:rPr>
      </w:r>
    </w:p>
    <w:p>
      <w:pPr>
        <w:spacing w:after="0" w:line="251" w:lineRule="exact"/>
        <w:rPr>
          <w:rFonts w:ascii="宋体" w:hAnsi="宋体" w:cs="宋体" w:eastAsia="宋体" w:hint="default"/>
          <w:sz w:val="20"/>
          <w:szCs w:val="20"/>
        </w:rPr>
        <w:sectPr>
          <w:pgSz w:w="11910" w:h="16840"/>
          <w:pgMar w:header="816" w:footer="982" w:top="1100" w:bottom="1180" w:left="1140" w:right="1640"/>
        </w:sectPr>
      </w:pPr>
    </w:p>
    <w:p>
      <w:pPr>
        <w:spacing w:line="240" w:lineRule="auto" w:before="8"/>
        <w:rPr>
          <w:rFonts w:ascii="宋体" w:hAnsi="宋体" w:cs="宋体" w:eastAsia="宋体" w:hint="default"/>
          <w:b/>
          <w:bCs/>
          <w:sz w:val="25"/>
          <w:szCs w:val="25"/>
        </w:rPr>
      </w:pPr>
    </w:p>
    <w:tbl>
      <w:tblPr>
        <w:tblW w:w="0" w:type="auto"/>
        <w:jc w:val="left"/>
        <w:tblInd w:w="2568" w:type="dxa"/>
        <w:tblLayout w:type="fixed"/>
        <w:tblCellMar>
          <w:top w:w="0" w:type="dxa"/>
          <w:left w:w="0" w:type="dxa"/>
          <w:bottom w:w="0" w:type="dxa"/>
          <w:right w:w="0" w:type="dxa"/>
        </w:tblCellMar>
        <w:tblLook w:val="01E0"/>
      </w:tblPr>
      <w:tblGrid>
        <w:gridCol w:w="1390"/>
        <w:gridCol w:w="1676"/>
        <w:gridCol w:w="1045"/>
        <w:gridCol w:w="1943"/>
      </w:tblGrid>
      <w:tr>
        <w:trPr>
          <w:trHeight w:val="380" w:hRule="exact"/>
        </w:trPr>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27"/>
              <w:jc w:val="right"/>
              <w:rPr>
                <w:rFonts w:ascii="Times New Roman" w:hAnsi="Times New Roman" w:cs="Times New Roman" w:eastAsia="Times New Roman" w:hint="default"/>
                <w:sz w:val="18"/>
                <w:szCs w:val="18"/>
              </w:rPr>
            </w:pPr>
            <w:r>
              <w:rPr>
                <w:rFonts w:ascii="Times New Roman"/>
                <w:spacing w:val="-2"/>
                <w:sz w:val="18"/>
              </w:rPr>
              <w:t>36,112,112.62</w:t>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19"/>
              <w:jc w:val="right"/>
              <w:rPr>
                <w:rFonts w:ascii="Times New Roman" w:hAnsi="Times New Roman" w:cs="Times New Roman" w:eastAsia="Times New Roman" w:hint="default"/>
                <w:sz w:val="18"/>
                <w:szCs w:val="18"/>
              </w:rPr>
            </w:pPr>
            <w:r>
              <w:rPr>
                <w:rFonts w:ascii="Times New Roman"/>
                <w:spacing w:val="-1"/>
                <w:sz w:val="18"/>
              </w:rPr>
              <w:t>26,150,772.39</w:t>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sz w:val="18"/>
              </w:rPr>
              <w:t>38.09%</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8" w:right="0"/>
              <w:jc w:val="left"/>
              <w:rPr>
                <w:rFonts w:ascii="宋体" w:hAnsi="宋体" w:cs="宋体" w:eastAsia="宋体" w:hint="default"/>
                <w:sz w:val="18"/>
                <w:szCs w:val="18"/>
              </w:rPr>
            </w:pPr>
            <w:r>
              <w:rPr>
                <w:rFonts w:ascii="宋体" w:hAnsi="宋体" w:cs="宋体" w:eastAsia="宋体" w:hint="default"/>
                <w:sz w:val="18"/>
                <w:szCs w:val="18"/>
              </w:rPr>
              <w:t>融资租赁收入大幅增长</w:t>
            </w:r>
          </w:p>
        </w:tc>
      </w:tr>
      <w:tr>
        <w:trPr>
          <w:trHeight w:val="390" w:hRule="exact"/>
        </w:trPr>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27"/>
              <w:jc w:val="right"/>
              <w:rPr>
                <w:rFonts w:ascii="Times New Roman" w:hAnsi="Times New Roman" w:cs="Times New Roman" w:eastAsia="Times New Roman" w:hint="default"/>
                <w:sz w:val="18"/>
                <w:szCs w:val="18"/>
              </w:rPr>
            </w:pPr>
            <w:r>
              <w:rPr>
                <w:rFonts w:ascii="Times New Roman"/>
                <w:spacing w:val="-1"/>
                <w:sz w:val="18"/>
              </w:rPr>
              <w:t>14,621,793.13</w:t>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18"/>
              <w:jc w:val="right"/>
              <w:rPr>
                <w:rFonts w:ascii="Times New Roman" w:hAnsi="Times New Roman" w:cs="Times New Roman" w:eastAsia="Times New Roman" w:hint="default"/>
                <w:sz w:val="18"/>
                <w:szCs w:val="18"/>
              </w:rPr>
            </w:pPr>
            <w:r>
              <w:rPr>
                <w:rFonts w:ascii="Times New Roman"/>
                <w:spacing w:val="-1"/>
                <w:sz w:val="18"/>
              </w:rPr>
              <w:t>77,622,389.17</w:t>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z w:val="18"/>
              </w:rPr>
              <w:t>-81.16%</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18"/>
                <w:szCs w:val="18"/>
              </w:rPr>
            </w:pPr>
            <w:r>
              <w:rPr>
                <w:rFonts w:ascii="宋体" w:hAnsi="宋体" w:cs="宋体" w:eastAsia="宋体" w:hint="default"/>
                <w:sz w:val="18"/>
                <w:szCs w:val="18"/>
              </w:rPr>
              <w:t>支付投资经纪费</w:t>
            </w:r>
          </w:p>
        </w:tc>
      </w:tr>
      <w:tr>
        <w:trPr>
          <w:trHeight w:val="289" w:hRule="exact"/>
        </w:trPr>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27"/>
              <w:jc w:val="right"/>
              <w:rPr>
                <w:rFonts w:ascii="Times New Roman" w:hAnsi="Times New Roman" w:cs="Times New Roman" w:eastAsia="Times New Roman" w:hint="default"/>
                <w:sz w:val="18"/>
                <w:szCs w:val="18"/>
              </w:rPr>
            </w:pPr>
            <w:r>
              <w:rPr>
                <w:rFonts w:ascii="Times New Roman"/>
                <w:spacing w:val="-1"/>
                <w:sz w:val="18"/>
              </w:rPr>
              <w:t>344,430,450.00</w:t>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19"/>
              <w:jc w:val="right"/>
              <w:rPr>
                <w:rFonts w:ascii="Times New Roman" w:hAnsi="Times New Roman" w:cs="Times New Roman" w:eastAsia="Times New Roman" w:hint="default"/>
                <w:sz w:val="18"/>
                <w:szCs w:val="18"/>
              </w:rPr>
            </w:pPr>
            <w:r>
              <w:rPr>
                <w:rFonts w:ascii="Times New Roman"/>
                <w:spacing w:val="-1"/>
                <w:sz w:val="18"/>
              </w:rPr>
              <w:t>264,946,500.00</w:t>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z w:val="18"/>
              </w:rPr>
              <w:t>30.00%</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18"/>
                <w:szCs w:val="18"/>
              </w:rPr>
            </w:pPr>
            <w:r>
              <w:rPr>
                <w:rFonts w:ascii="宋体" w:hAnsi="宋体" w:cs="宋体" w:eastAsia="宋体" w:hint="default"/>
                <w:sz w:val="18"/>
                <w:szCs w:val="18"/>
              </w:rPr>
              <w:t>资本公积金转增股本</w:t>
            </w:r>
          </w:p>
        </w:tc>
      </w:tr>
      <w:tr>
        <w:trPr>
          <w:trHeight w:val="667" w:hRule="exact"/>
        </w:trPr>
        <w:tc>
          <w:tcPr>
            <w:tcW w:w="6054"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8"/>
                <w:szCs w:val="18"/>
              </w:rPr>
            </w:pPr>
          </w:p>
          <w:p>
            <w:pPr>
              <w:pStyle w:val="TableParagraph"/>
              <w:tabs>
                <w:tab w:pos="1699" w:val="left" w:leader="none"/>
              </w:tabs>
              <w:spacing w:line="213" w:lineRule="exact"/>
              <w:ind w:left="106" w:right="0"/>
              <w:jc w:val="left"/>
              <w:rPr>
                <w:rFonts w:ascii="宋体" w:hAnsi="宋体" w:cs="宋体" w:eastAsia="宋体" w:hint="default"/>
                <w:sz w:val="18"/>
                <w:szCs w:val="18"/>
              </w:rPr>
            </w:pPr>
            <w:r>
              <w:rPr>
                <w:rFonts w:ascii="宋体" w:hAnsi="宋体" w:cs="宋体" w:eastAsia="宋体" w:hint="default"/>
                <w:sz w:val="18"/>
                <w:szCs w:val="18"/>
              </w:rPr>
              <w:t>期末余额</w:t>
              <w:tab/>
              <w:t>年初余额</w:t>
            </w:r>
          </w:p>
          <w:p>
            <w:pPr>
              <w:pStyle w:val="TableParagraph"/>
              <w:tabs>
                <w:tab w:pos="4810" w:val="left" w:leader="none"/>
              </w:tabs>
              <w:spacing w:line="213" w:lineRule="exact"/>
              <w:ind w:left="3121" w:right="0"/>
              <w:jc w:val="left"/>
              <w:rPr>
                <w:rFonts w:ascii="宋体" w:hAnsi="宋体" w:cs="宋体" w:eastAsia="宋体" w:hint="default"/>
                <w:sz w:val="18"/>
                <w:szCs w:val="18"/>
              </w:rPr>
            </w:pPr>
            <w:r>
              <w:rPr>
                <w:rFonts w:ascii="宋体" w:hAnsi="宋体" w:cs="宋体" w:eastAsia="宋体" w:hint="default"/>
                <w:sz w:val="18"/>
                <w:szCs w:val="18"/>
              </w:rPr>
              <w:t>变动比率</w:t>
              <w:tab/>
              <w:t>变动原因</w:t>
            </w:r>
          </w:p>
        </w:tc>
      </w:tr>
    </w:tbl>
    <w:tbl>
      <w:tblPr>
        <w:tblW w:w="0" w:type="auto"/>
        <w:jc w:val="left"/>
        <w:tblInd w:w="2370" w:type="dxa"/>
        <w:tblLayout w:type="fixed"/>
        <w:tblCellMar>
          <w:top w:w="0" w:type="dxa"/>
          <w:left w:w="0" w:type="dxa"/>
          <w:bottom w:w="0" w:type="dxa"/>
          <w:right w:w="0" w:type="dxa"/>
        </w:tblCellMar>
        <w:tblLook w:val="01E0"/>
      </w:tblPr>
      <w:tblGrid>
        <w:gridCol w:w="1493"/>
        <w:gridCol w:w="1644"/>
        <w:gridCol w:w="1100"/>
      </w:tblGrid>
      <w:tr>
        <w:trPr>
          <w:trHeight w:val="633"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（或本期金额）</w:t>
            </w:r>
          </w:p>
          <w:p>
            <w:pPr>
              <w:pStyle w:val="TableParagraph"/>
              <w:spacing w:line="240" w:lineRule="auto" w:before="99"/>
              <w:ind w:left="233" w:right="0"/>
              <w:jc w:val="left"/>
              <w:rPr>
                <w:rFonts w:ascii="Times New Roman" w:hAnsi="Times New Roman" w:cs="Times New Roman" w:eastAsia="Times New Roman" w:hint="default"/>
                <w:sz w:val="18"/>
                <w:szCs w:val="18"/>
              </w:rPr>
            </w:pPr>
            <w:r>
              <w:rPr>
                <w:rFonts w:ascii="Times New Roman"/>
                <w:sz w:val="18"/>
              </w:rPr>
              <w:t>434,707,969.26</w:t>
            </w:r>
          </w:p>
        </w:tc>
        <w:tc>
          <w:tcPr>
            <w:tcW w:w="1644" w:type="dxa"/>
            <w:tcBorders>
              <w:top w:val="nil" w:sz="6" w:space="0" w:color="auto"/>
              <w:left w:val="nil" w:sz="6" w:space="0" w:color="auto"/>
              <w:bottom w:val="nil" w:sz="6" w:space="0" w:color="auto"/>
              <w:right w:val="nil" w:sz="6" w:space="0" w:color="auto"/>
            </w:tcBorders>
          </w:tcPr>
          <w:p>
            <w:pPr>
              <w:pStyle w:val="TableParagraph"/>
              <w:spacing w:line="180" w:lineRule="exact"/>
              <w:ind w:left="134" w:right="0"/>
              <w:jc w:val="left"/>
              <w:rPr>
                <w:rFonts w:ascii="宋体" w:hAnsi="宋体" w:cs="宋体" w:eastAsia="宋体" w:hint="default"/>
                <w:sz w:val="18"/>
                <w:szCs w:val="18"/>
              </w:rPr>
            </w:pPr>
            <w:r>
              <w:rPr>
                <w:rFonts w:ascii="宋体" w:hAnsi="宋体" w:cs="宋体" w:eastAsia="宋体" w:hint="default"/>
                <w:sz w:val="18"/>
                <w:szCs w:val="18"/>
              </w:rPr>
              <w:t>（或上期金额）</w:t>
            </w:r>
          </w:p>
          <w:p>
            <w:pPr>
              <w:pStyle w:val="TableParagraph"/>
              <w:spacing w:line="240" w:lineRule="auto" w:before="99"/>
              <w:ind w:left="324" w:right="0"/>
              <w:jc w:val="left"/>
              <w:rPr>
                <w:rFonts w:ascii="Times New Roman" w:hAnsi="Times New Roman" w:cs="Times New Roman" w:eastAsia="Times New Roman" w:hint="default"/>
                <w:sz w:val="18"/>
                <w:szCs w:val="18"/>
              </w:rPr>
            </w:pPr>
            <w:r>
              <w:rPr>
                <w:rFonts w:ascii="Times New Roman"/>
                <w:sz w:val="18"/>
              </w:rPr>
              <w:t>262,502,641.33</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65.60%</w:t>
            </w:r>
          </w:p>
        </w:tc>
      </w:tr>
      <w:tr>
        <w:trPr>
          <w:trHeight w:val="48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32"/>
              <w:jc w:val="right"/>
              <w:rPr>
                <w:rFonts w:ascii="Times New Roman" w:hAnsi="Times New Roman" w:cs="Times New Roman" w:eastAsia="Times New Roman" w:hint="default"/>
                <w:sz w:val="18"/>
                <w:szCs w:val="18"/>
              </w:rPr>
            </w:pPr>
            <w:r>
              <w:rPr>
                <w:rFonts w:ascii="Times New Roman"/>
                <w:spacing w:val="-1"/>
                <w:sz w:val="18"/>
              </w:rPr>
              <w:t>741,457,812.06</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1"/>
              <w:jc w:val="right"/>
              <w:rPr>
                <w:rFonts w:ascii="Times New Roman" w:hAnsi="Times New Roman" w:cs="Times New Roman" w:eastAsia="Times New Roman" w:hint="default"/>
                <w:sz w:val="18"/>
                <w:szCs w:val="18"/>
              </w:rPr>
            </w:pPr>
            <w:r>
              <w:rPr>
                <w:rFonts w:ascii="Times New Roman"/>
                <w:spacing w:val="-1"/>
                <w:sz w:val="18"/>
              </w:rPr>
              <w:t>468,199,458.05</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z w:val="18"/>
              </w:rPr>
              <w:t>58.36%</w:t>
            </w:r>
          </w:p>
        </w:tc>
      </w:tr>
      <w:tr>
        <w:trPr>
          <w:trHeight w:val="48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32"/>
              <w:jc w:val="right"/>
              <w:rPr>
                <w:rFonts w:ascii="Times New Roman" w:hAnsi="Times New Roman" w:cs="Times New Roman" w:eastAsia="Times New Roman" w:hint="default"/>
                <w:sz w:val="18"/>
                <w:szCs w:val="18"/>
              </w:rPr>
            </w:pPr>
            <w:r>
              <w:rPr>
                <w:rFonts w:ascii="Times New Roman"/>
                <w:spacing w:val="-1"/>
                <w:sz w:val="18"/>
              </w:rPr>
              <w:t>353,299,726.98</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1"/>
              <w:jc w:val="right"/>
              <w:rPr>
                <w:rFonts w:ascii="Times New Roman" w:hAnsi="Times New Roman" w:cs="Times New Roman" w:eastAsia="Times New Roman" w:hint="default"/>
                <w:sz w:val="18"/>
                <w:szCs w:val="18"/>
              </w:rPr>
            </w:pPr>
            <w:r>
              <w:rPr>
                <w:rFonts w:ascii="Times New Roman"/>
                <w:spacing w:val="-1"/>
                <w:sz w:val="18"/>
              </w:rPr>
              <w:t>214,914,606.88</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z w:val="18"/>
              </w:rPr>
              <w:t>64.39%</w:t>
            </w:r>
          </w:p>
        </w:tc>
      </w:tr>
      <w:tr>
        <w:trPr>
          <w:trHeight w:val="48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32"/>
              <w:jc w:val="right"/>
              <w:rPr>
                <w:rFonts w:ascii="Times New Roman" w:hAnsi="Times New Roman" w:cs="Times New Roman" w:eastAsia="Times New Roman" w:hint="default"/>
                <w:sz w:val="18"/>
                <w:szCs w:val="18"/>
              </w:rPr>
            </w:pPr>
            <w:r>
              <w:rPr>
                <w:rFonts w:ascii="Times New Roman"/>
                <w:spacing w:val="-1"/>
                <w:sz w:val="18"/>
              </w:rPr>
              <w:t>25,086,782.68</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1"/>
              <w:jc w:val="right"/>
              <w:rPr>
                <w:rFonts w:ascii="Times New Roman" w:hAnsi="Times New Roman" w:cs="Times New Roman" w:eastAsia="Times New Roman" w:hint="default"/>
                <w:sz w:val="18"/>
                <w:szCs w:val="18"/>
              </w:rPr>
            </w:pPr>
            <w:r>
              <w:rPr>
                <w:rFonts w:ascii="Times New Roman"/>
                <w:spacing w:val="-1"/>
                <w:sz w:val="18"/>
              </w:rPr>
              <w:t>15,156,379.02</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z w:val="18"/>
              </w:rPr>
              <w:t>65.52%</w:t>
            </w:r>
          </w:p>
        </w:tc>
      </w:tr>
      <w:tr>
        <w:trPr>
          <w:trHeight w:val="48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32"/>
              <w:jc w:val="right"/>
              <w:rPr>
                <w:rFonts w:ascii="Times New Roman" w:hAnsi="Times New Roman" w:cs="Times New Roman" w:eastAsia="Times New Roman" w:hint="default"/>
                <w:sz w:val="18"/>
                <w:szCs w:val="18"/>
              </w:rPr>
            </w:pPr>
            <w:r>
              <w:rPr>
                <w:rFonts w:ascii="Times New Roman"/>
                <w:spacing w:val="-1"/>
                <w:sz w:val="18"/>
              </w:rPr>
              <w:t>7,164,382.12</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0"/>
              <w:jc w:val="right"/>
              <w:rPr>
                <w:rFonts w:ascii="Times New Roman" w:hAnsi="Times New Roman" w:cs="Times New Roman" w:eastAsia="Times New Roman" w:hint="default"/>
                <w:sz w:val="18"/>
                <w:szCs w:val="18"/>
              </w:rPr>
            </w:pPr>
            <w:r>
              <w:rPr>
                <w:rFonts w:ascii="Times New Roman"/>
                <w:w w:val="95"/>
                <w:sz w:val="18"/>
              </w:rPr>
              <w:t>-732,643.77</w:t>
            </w:r>
            <w:r>
              <w:rPr>
                <w:rFonts w:ascii="Times New Roman"/>
                <w:sz w:val="18"/>
              </w:rPr>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z w:val="18"/>
              </w:rPr>
              <w:t>1,077.88%</w:t>
            </w:r>
          </w:p>
        </w:tc>
      </w:tr>
      <w:tr>
        <w:trPr>
          <w:trHeight w:val="48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32"/>
              <w:jc w:val="right"/>
              <w:rPr>
                <w:rFonts w:ascii="Times New Roman" w:hAnsi="Times New Roman" w:cs="Times New Roman" w:eastAsia="Times New Roman" w:hint="default"/>
                <w:sz w:val="18"/>
                <w:szCs w:val="18"/>
              </w:rPr>
            </w:pPr>
            <w:r>
              <w:rPr>
                <w:rFonts w:ascii="Times New Roman"/>
                <w:spacing w:val="-1"/>
                <w:sz w:val="18"/>
              </w:rPr>
              <w:t>4,007,724.57</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1"/>
              <w:jc w:val="right"/>
              <w:rPr>
                <w:rFonts w:ascii="Times New Roman" w:hAnsi="Times New Roman" w:cs="Times New Roman" w:eastAsia="Times New Roman" w:hint="default"/>
                <w:sz w:val="18"/>
                <w:szCs w:val="18"/>
              </w:rPr>
            </w:pPr>
            <w:r>
              <w:rPr>
                <w:rFonts w:ascii="Times New Roman"/>
                <w:sz w:val="18"/>
              </w:rPr>
              <w:t>6,072.00</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z w:val="18"/>
              </w:rPr>
              <w:t>65,903.37%</w:t>
            </w:r>
          </w:p>
        </w:tc>
      </w:tr>
      <w:tr>
        <w:trPr>
          <w:trHeight w:val="435"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32"/>
              <w:jc w:val="right"/>
              <w:rPr>
                <w:rFonts w:ascii="Times New Roman" w:hAnsi="Times New Roman" w:cs="Times New Roman" w:eastAsia="Times New Roman" w:hint="default"/>
                <w:sz w:val="18"/>
                <w:szCs w:val="18"/>
              </w:rPr>
            </w:pPr>
            <w:r>
              <w:rPr>
                <w:rFonts w:ascii="Times New Roman"/>
                <w:spacing w:val="-1"/>
                <w:sz w:val="18"/>
              </w:rPr>
              <w:t>23,317,124.35</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1"/>
              <w:jc w:val="right"/>
              <w:rPr>
                <w:rFonts w:ascii="Times New Roman" w:hAnsi="Times New Roman" w:cs="Times New Roman" w:eastAsia="Times New Roman" w:hint="default"/>
                <w:sz w:val="18"/>
                <w:szCs w:val="18"/>
              </w:rPr>
            </w:pPr>
            <w:r>
              <w:rPr>
                <w:rFonts w:ascii="Times New Roman"/>
                <w:spacing w:val="-1"/>
                <w:sz w:val="18"/>
              </w:rPr>
              <w:t>17,134,014.01</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sz w:val="18"/>
              </w:rPr>
              <w:t>36.09%</w:t>
            </w:r>
          </w:p>
        </w:tc>
      </w:tr>
      <w:tr>
        <w:trPr>
          <w:trHeight w:val="39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32"/>
              <w:jc w:val="right"/>
              <w:rPr>
                <w:rFonts w:ascii="Times New Roman" w:hAnsi="Times New Roman" w:cs="Times New Roman" w:eastAsia="Times New Roman" w:hint="default"/>
                <w:sz w:val="18"/>
                <w:szCs w:val="18"/>
              </w:rPr>
            </w:pPr>
            <w:r>
              <w:rPr>
                <w:rFonts w:ascii="Times New Roman"/>
                <w:spacing w:val="-1"/>
                <w:sz w:val="18"/>
              </w:rPr>
              <w:t>4,986,821.00</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1"/>
              <w:jc w:val="right"/>
              <w:rPr>
                <w:rFonts w:ascii="Times New Roman" w:hAnsi="Times New Roman" w:cs="Times New Roman" w:eastAsia="Times New Roman" w:hint="default"/>
                <w:sz w:val="18"/>
                <w:szCs w:val="18"/>
              </w:rPr>
            </w:pPr>
            <w:r>
              <w:rPr>
                <w:rFonts w:ascii="Times New Roman"/>
                <w:spacing w:val="-1"/>
                <w:sz w:val="18"/>
              </w:rPr>
              <w:t>3,429,732.82</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45.40%</w:t>
            </w:r>
          </w:p>
        </w:tc>
      </w:tr>
      <w:tr>
        <w:trPr>
          <w:trHeight w:val="435"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32"/>
              <w:jc w:val="right"/>
              <w:rPr>
                <w:rFonts w:ascii="Times New Roman" w:hAnsi="Times New Roman" w:cs="Times New Roman" w:eastAsia="Times New Roman" w:hint="default"/>
                <w:sz w:val="18"/>
                <w:szCs w:val="18"/>
              </w:rPr>
            </w:pPr>
            <w:r>
              <w:rPr>
                <w:rFonts w:ascii="Times New Roman"/>
                <w:spacing w:val="-1"/>
                <w:sz w:val="18"/>
              </w:rPr>
              <w:t>20,800,927.30</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1"/>
              <w:jc w:val="right"/>
              <w:rPr>
                <w:rFonts w:ascii="Times New Roman" w:hAnsi="Times New Roman" w:cs="Times New Roman" w:eastAsia="Times New Roman" w:hint="default"/>
                <w:sz w:val="18"/>
                <w:szCs w:val="18"/>
              </w:rPr>
            </w:pPr>
            <w:r>
              <w:rPr>
                <w:rFonts w:ascii="Times New Roman"/>
                <w:spacing w:val="-1"/>
                <w:sz w:val="18"/>
              </w:rPr>
              <w:t>13,797,651.52</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8"/>
                <w:szCs w:val="18"/>
              </w:rPr>
            </w:pPr>
            <w:r>
              <w:rPr>
                <w:rFonts w:ascii="Times New Roman"/>
                <w:sz w:val="18"/>
              </w:rPr>
              <w:t>50.76%</w:t>
            </w:r>
          </w:p>
        </w:tc>
      </w:tr>
      <w:tr>
        <w:trPr>
          <w:trHeight w:val="33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32"/>
              <w:jc w:val="right"/>
              <w:rPr>
                <w:rFonts w:ascii="Times New Roman" w:hAnsi="Times New Roman" w:cs="Times New Roman" w:eastAsia="Times New Roman" w:hint="default"/>
                <w:sz w:val="18"/>
                <w:szCs w:val="18"/>
              </w:rPr>
            </w:pPr>
            <w:r>
              <w:rPr>
                <w:rFonts w:ascii="Times New Roman"/>
                <w:spacing w:val="-1"/>
                <w:sz w:val="18"/>
              </w:rPr>
              <w:t>-107,713,721.68</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1"/>
              <w:jc w:val="right"/>
              <w:rPr>
                <w:rFonts w:ascii="Times New Roman" w:hAnsi="Times New Roman" w:cs="Times New Roman" w:eastAsia="Times New Roman" w:hint="default"/>
                <w:sz w:val="18"/>
                <w:szCs w:val="18"/>
              </w:rPr>
            </w:pPr>
            <w:r>
              <w:rPr>
                <w:rFonts w:ascii="Times New Roman"/>
                <w:spacing w:val="-1"/>
                <w:sz w:val="18"/>
              </w:rPr>
              <w:t>168,244,750.00</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Times New Roman" w:hAnsi="Times New Roman" w:cs="Times New Roman" w:eastAsia="Times New Roman" w:hint="default"/>
                <w:sz w:val="18"/>
                <w:szCs w:val="18"/>
              </w:rPr>
            </w:pPr>
            <w:r>
              <w:rPr>
                <w:rFonts w:ascii="Times New Roman"/>
                <w:w w:val="95"/>
                <w:sz w:val="18"/>
              </w:rPr>
              <w:t>-164.02%</w:t>
            </w:r>
            <w:r>
              <w:rPr>
                <w:rFonts w:ascii="Times New Roman"/>
                <w:sz w:val="18"/>
              </w:rPr>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76"/>
        <w:ind w:left="137" w:right="0" w:firstLine="0"/>
        <w:jc w:val="left"/>
        <w:rPr>
          <w:rFonts w:ascii="宋体" w:hAnsi="宋体" w:cs="宋体" w:eastAsia="宋体" w:hint="default"/>
          <w:sz w:val="21"/>
          <w:szCs w:val="21"/>
        </w:rPr>
      </w:pPr>
      <w:r>
        <w:rPr/>
        <w:pict>
          <v:group style="position:absolute;margin-left:63.150002pt;margin-top:-344.396484pt;width:435.1pt;height:330.55pt;mso-position-horizontal-relative:page;mso-position-vertical-relative:paragraph;z-index:-799408" coordorigin="1263,-6888" coordsize="8702,6611">
            <v:group style="position:absolute;left:1292;top:-6873;width:8648;height:2" coordorigin="1292,-6873" coordsize="8648,2">
              <v:shape style="position:absolute;left:1292;top:-6873;width:8648;height:2" coordorigin="1292,-6873" coordsize="8648,0" path="m1292,-6873l9940,-6873e" filled="false" stroked="true" strokeweight="1.5pt" strokecolor="#000000">
                <v:path arrowok="t"/>
              </v:shape>
              <v:shape style="position:absolute;left:3349;top:-6881;width:4499;height:427" type="#_x0000_t75" stroked="false">
                <v:imagedata r:id="rId414" o:title=""/>
              </v:shape>
            </v:group>
            <v:group style="position:absolute;left:1278;top:-292;width:2094;height:2" coordorigin="1278,-292" coordsize="2094,2">
              <v:shape style="position:absolute;left:1278;top:-292;width:2094;height:2" coordorigin="1278,-292" coordsize="2094,0" path="m1278,-292l3372,-292e" filled="false" stroked="true" strokeweight="1.5pt" strokecolor="#000000">
                <v:path arrowok="t"/>
              </v:shape>
              <v:shape style="position:absolute;left:1273;top:-6497;width:8692;height:6218" type="#_x0000_t75" stroked="false">
                <v:imagedata r:id="rId415" o:title=""/>
              </v:shape>
            </v:group>
            <v:group style="position:absolute;left:3372;top:-292;width:1600;height:2" coordorigin="3372,-292" coordsize="1600,2">
              <v:shape style="position:absolute;left:3372;top:-292;width:1600;height:2" coordorigin="3372,-292" coordsize="1600,0" path="m3372,-292l4972,-292e" filled="false" stroked="true" strokeweight="1.5pt" strokecolor="#000000">
                <v:path arrowok="t"/>
              </v:shape>
              <v:shape style="position:absolute;left:4943;top:-896;width:67;height:618" type="#_x0000_t75" stroked="false">
                <v:imagedata r:id="rId410" o:title=""/>
              </v:shape>
            </v:group>
            <v:group style="position:absolute;left:4972;top:-292;width:1586;height:2" coordorigin="4972,-292" coordsize="1586,2">
              <v:shape style="position:absolute;left:4972;top:-292;width:1586;height:2" coordorigin="4972,-292" coordsize="1586,0" path="m4972,-292l6557,-292e" filled="false" stroked="true" strokeweight="1.5pt" strokecolor="#000000">
                <v:path arrowok="t"/>
              </v:shape>
              <v:shape style="position:absolute;left:6528;top:-896;width:67;height:618" type="#_x0000_t75" stroked="false">
                <v:imagedata r:id="rId409" o:title=""/>
              </v:shape>
            </v:group>
            <v:group style="position:absolute;left:6557;top:-292;width:1258;height:2" coordorigin="6557,-292" coordsize="1258,2">
              <v:shape style="position:absolute;left:6557;top:-292;width:1258;height:2" coordorigin="6557,-292" coordsize="1258,0" path="m6557,-292l7814,-292e" filled="false" stroked="true" strokeweight="1.5pt" strokecolor="#000000">
                <v:path arrowok="t"/>
              </v:shape>
              <v:shape style="position:absolute;left:7786;top:-896;width:67;height:618" type="#_x0000_t75" stroked="false">
                <v:imagedata r:id="rId409" o:title=""/>
              </v:shape>
            </v:group>
            <v:group style="position:absolute;left:7814;top:-292;width:2126;height:2" coordorigin="7814,-292" coordsize="2126,2">
              <v:shape style="position:absolute;left:7814;top:-292;width:2126;height:2" coordorigin="7814,-292" coordsize="2126,0" path="m7814,-292l9940,-292e" filled="false" stroked="true" strokeweight="1.5pt" strokecolor="#000000">
                <v:path arrowok="t"/>
              </v:shape>
              <v:shape style="position:absolute;left:1400;top:-6686;width:1294;height:1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应交税费</w:t>
                      </w:r>
                    </w:p>
                    <w:p>
                      <w:pPr>
                        <w:spacing w:line="398" w:lineRule="auto" w:before="154"/>
                        <w:ind w:left="0" w:right="391" w:firstLine="0"/>
                        <w:jc w:val="left"/>
                        <w:rPr>
                          <w:rFonts w:ascii="宋体" w:hAnsi="宋体" w:cs="宋体" w:eastAsia="宋体" w:hint="default"/>
                          <w:sz w:val="18"/>
                          <w:szCs w:val="18"/>
                        </w:rPr>
                      </w:pPr>
                      <w:r>
                        <w:rPr>
                          <w:rFonts w:ascii="宋体" w:hAnsi="宋体" w:cs="宋体" w:eastAsia="宋体" w:hint="default"/>
                          <w:sz w:val="18"/>
                          <w:szCs w:val="18"/>
                        </w:rPr>
                        <w:t>其他应付款 股本</w:t>
                      </w:r>
                    </w:p>
                    <w:p>
                      <w:pPr>
                        <w:spacing w:line="240" w:lineRule="auto" w:before="3"/>
                        <w:rPr>
                          <w:rFonts w:ascii="宋体" w:hAnsi="宋体" w:cs="宋体" w:eastAsia="宋体" w:hint="default"/>
                          <w:b/>
                          <w:bCs/>
                          <w:sz w:val="17"/>
                          <w:szCs w:val="17"/>
                        </w:rPr>
                      </w:pPr>
                    </w:p>
                    <w:p>
                      <w:pPr>
                        <w:spacing w:before="0"/>
                        <w:ind w:left="573" w:right="0" w:firstLine="0"/>
                        <w:jc w:val="left"/>
                        <w:rPr>
                          <w:rFonts w:ascii="宋体" w:hAnsi="宋体" w:cs="宋体" w:eastAsia="宋体" w:hint="default"/>
                          <w:sz w:val="18"/>
                          <w:szCs w:val="18"/>
                        </w:rPr>
                      </w:pPr>
                      <w:r>
                        <w:rPr>
                          <w:rFonts w:ascii="宋体" w:hAnsi="宋体" w:cs="宋体" w:eastAsia="宋体" w:hint="default"/>
                          <w:sz w:val="18"/>
                          <w:szCs w:val="18"/>
                        </w:rPr>
                        <w:t>报表项目</w:t>
                      </w:r>
                    </w:p>
                  </w:txbxContent>
                </v:textbox>
                <w10:wrap type="none"/>
              </v:shape>
              <v:shape style="position:absolute;left:1400;top:-4746;width:1260;height:306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未分配利润</w:t>
                      </w:r>
                    </w:p>
                    <w:p>
                      <w:pPr>
                        <w:spacing w:line="480" w:lineRule="atLeas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 营业成本 营业税金及附加 财务费用 投资收益 营业外收入</w:t>
                      </w:r>
                    </w:p>
                  </w:txbxContent>
                </v:textbox>
                <w10:wrap type="none"/>
              </v:shape>
              <v:shape style="position:absolute;left:7928;top:-4843;width:1918;height:306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净利润增加</w:t>
                      </w:r>
                    </w:p>
                    <w:p>
                      <w:pPr>
                        <w:spacing w:line="285" w:lineRule="auto" w:before="105"/>
                        <w:ind w:left="0" w:right="0" w:firstLine="0"/>
                        <w:jc w:val="left"/>
                        <w:rPr>
                          <w:rFonts w:ascii="宋体" w:hAnsi="宋体" w:cs="宋体" w:eastAsia="宋体" w:hint="default"/>
                          <w:sz w:val="18"/>
                          <w:szCs w:val="18"/>
                        </w:rPr>
                      </w:pPr>
                      <w:r>
                        <w:rPr>
                          <w:rFonts w:ascii="宋体" w:hAnsi="宋体" w:cs="宋体" w:eastAsia="宋体" w:hint="default"/>
                          <w:spacing w:val="11"/>
                          <w:sz w:val="18"/>
                          <w:szCs w:val="18"/>
                        </w:rPr>
                        <w:t>销售和运营服务收入增</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长</w:t>
                      </w:r>
                    </w:p>
                    <w:p>
                      <w:pPr>
                        <w:spacing w:before="70"/>
                        <w:ind w:left="0" w:right="0" w:firstLine="0"/>
                        <w:jc w:val="left"/>
                        <w:rPr>
                          <w:rFonts w:ascii="宋体" w:hAnsi="宋体" w:cs="宋体" w:eastAsia="宋体" w:hint="default"/>
                          <w:sz w:val="18"/>
                          <w:szCs w:val="18"/>
                        </w:rPr>
                      </w:pPr>
                      <w:r>
                        <w:rPr>
                          <w:rFonts w:ascii="宋体" w:hAnsi="宋体" w:cs="宋体" w:eastAsia="宋体" w:hint="default"/>
                          <w:sz w:val="18"/>
                          <w:szCs w:val="18"/>
                        </w:rPr>
                        <w:t>随收入增长相应增加</w:t>
                      </w:r>
                    </w:p>
                    <w:p>
                      <w:pPr>
                        <w:spacing w:line="285" w:lineRule="auto" w:before="105"/>
                        <w:ind w:left="0" w:right="0" w:firstLine="0"/>
                        <w:jc w:val="left"/>
                        <w:rPr>
                          <w:rFonts w:ascii="宋体" w:hAnsi="宋体" w:cs="宋体" w:eastAsia="宋体" w:hint="default"/>
                          <w:sz w:val="18"/>
                          <w:szCs w:val="18"/>
                        </w:rPr>
                      </w:pPr>
                      <w:r>
                        <w:rPr>
                          <w:rFonts w:ascii="宋体" w:hAnsi="宋体" w:cs="宋体" w:eastAsia="宋体" w:hint="default"/>
                          <w:spacing w:val="11"/>
                          <w:sz w:val="18"/>
                          <w:szCs w:val="18"/>
                        </w:rPr>
                        <w:t>营业收入增长相应税金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计提增加</w:t>
                      </w:r>
                    </w:p>
                    <w:p>
                      <w:pPr>
                        <w:spacing w:before="71"/>
                        <w:ind w:left="0" w:right="0" w:firstLine="0"/>
                        <w:jc w:val="left"/>
                        <w:rPr>
                          <w:rFonts w:ascii="宋体" w:hAnsi="宋体" w:cs="宋体" w:eastAsia="宋体" w:hint="default"/>
                          <w:sz w:val="18"/>
                          <w:szCs w:val="18"/>
                        </w:rPr>
                      </w:pPr>
                      <w:r>
                        <w:rPr>
                          <w:rFonts w:ascii="宋体" w:hAnsi="宋体" w:cs="宋体" w:eastAsia="宋体" w:hint="default"/>
                          <w:sz w:val="18"/>
                          <w:szCs w:val="18"/>
                        </w:rPr>
                        <w:t>利息支出增加</w:t>
                      </w:r>
                    </w:p>
                    <w:p>
                      <w:pPr>
                        <w:spacing w:line="285" w:lineRule="auto" w:before="104"/>
                        <w:ind w:left="0" w:right="0" w:firstLine="0"/>
                        <w:jc w:val="left"/>
                        <w:rPr>
                          <w:rFonts w:ascii="宋体" w:hAnsi="宋体" w:cs="宋体" w:eastAsia="宋体" w:hint="default"/>
                          <w:sz w:val="18"/>
                          <w:szCs w:val="18"/>
                        </w:rPr>
                      </w:pPr>
                      <w:r>
                        <w:rPr>
                          <w:rFonts w:ascii="宋体" w:hAnsi="宋体" w:cs="宋体" w:eastAsia="宋体" w:hint="default"/>
                          <w:spacing w:val="11"/>
                          <w:sz w:val="18"/>
                          <w:szCs w:val="18"/>
                        </w:rPr>
                        <w:t>分红及销售可供出售金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融资产</w:t>
                      </w:r>
                    </w:p>
                    <w:p>
                      <w:pPr>
                        <w:spacing w:before="70"/>
                        <w:ind w:left="0" w:right="0" w:firstLine="0"/>
                        <w:jc w:val="left"/>
                        <w:rPr>
                          <w:rFonts w:ascii="宋体" w:hAnsi="宋体" w:cs="宋体" w:eastAsia="宋体" w:hint="default"/>
                          <w:sz w:val="18"/>
                          <w:szCs w:val="18"/>
                        </w:rPr>
                      </w:pPr>
                      <w:r>
                        <w:rPr>
                          <w:rFonts w:ascii="宋体" w:hAnsi="宋体" w:cs="宋体" w:eastAsia="宋体" w:hint="default"/>
                          <w:sz w:val="18"/>
                          <w:szCs w:val="18"/>
                        </w:rPr>
                        <w:t>增值税退税收入增加</w:t>
                      </w:r>
                    </w:p>
                  </w:txbxContent>
                </v:textbox>
                <w10:wrap type="none"/>
              </v:shape>
              <v:shape style="position:absolute;left:1400;top:-147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营业外支出</w:t>
                      </w:r>
                    </w:p>
                  </w:txbxContent>
                </v:textbox>
                <w10:wrap type="none"/>
              </v:shape>
              <v:shape style="position:absolute;left:7928;top:-157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固定资产清理</w:t>
                      </w:r>
                    </w:p>
                  </w:txbxContent>
                </v:textbox>
                <w10:wrap type="none"/>
              </v:shape>
              <v:shape style="position:absolute;left:1400;top:-1086;width:1080;height:66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所得税费用</w:t>
                      </w:r>
                    </w:p>
                    <w:p>
                      <w:pPr>
                        <w:spacing w:line="240" w:lineRule="auto" w:before="9"/>
                        <w:rPr>
                          <w:rFonts w:ascii="宋体" w:hAnsi="宋体" w:cs="宋体" w:eastAsia="宋体" w:hint="default"/>
                          <w:b/>
                          <w:bCs/>
                          <w:sz w:val="18"/>
                          <w:szCs w:val="18"/>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其他综合收益</w:t>
                      </w:r>
                    </w:p>
                  </w:txbxContent>
                </v:textbox>
                <w10:wrap type="none"/>
              </v:shape>
              <v:shape style="position:absolute;left:7928;top:-1182;width:1918;height:80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利润总额增长</w:t>
                      </w:r>
                    </w:p>
                    <w:p>
                      <w:pPr>
                        <w:spacing w:line="280" w:lineRule="atLeast" w:before="59"/>
                        <w:ind w:left="0" w:right="0" w:firstLine="0"/>
                        <w:jc w:val="left"/>
                        <w:rPr>
                          <w:rFonts w:ascii="宋体" w:hAnsi="宋体" w:cs="宋体" w:eastAsia="宋体" w:hint="default"/>
                          <w:sz w:val="18"/>
                          <w:szCs w:val="18"/>
                        </w:rPr>
                      </w:pPr>
                      <w:r>
                        <w:rPr>
                          <w:rFonts w:ascii="宋体" w:hAnsi="宋体" w:cs="宋体" w:eastAsia="宋体" w:hint="default"/>
                          <w:spacing w:val="11"/>
                          <w:sz w:val="18"/>
                          <w:szCs w:val="18"/>
                        </w:rPr>
                        <w:t>可供出售金融资产的公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允价值变动</w:t>
                      </w:r>
                    </w:p>
                  </w:txbxContent>
                </v:textbox>
                <w10:wrap type="none"/>
              </v:shape>
            </v:group>
            <w10:wrap type="none"/>
          </v:group>
        </w:pict>
      </w:r>
      <w:r>
        <w:rPr>
          <w:rFonts w:ascii="宋体" w:hAnsi="宋体" w:cs="宋体" w:eastAsia="宋体" w:hint="default"/>
          <w:b/>
          <w:bCs/>
          <w:sz w:val="21"/>
          <w:szCs w:val="21"/>
        </w:rPr>
        <w:t>十五、</w:t>
      </w:r>
      <w:r>
        <w:rPr>
          <w:rFonts w:ascii="宋体" w:hAnsi="宋体" w:cs="宋体" w:eastAsia="宋体" w:hint="default"/>
          <w:b/>
          <w:bCs/>
          <w:spacing w:val="-11"/>
          <w:sz w:val="21"/>
          <w:szCs w:val="21"/>
        </w:rPr>
        <w:t> </w:t>
      </w:r>
      <w:r>
        <w:rPr>
          <w:rFonts w:ascii="宋体" w:hAnsi="宋体" w:cs="宋体" w:eastAsia="宋体" w:hint="default"/>
          <w:b/>
          <w:bCs/>
          <w:sz w:val="21"/>
          <w:szCs w:val="21"/>
        </w:rPr>
        <w:t>财务报表的批准报出</w:t>
      </w:r>
      <w:r>
        <w:rPr>
          <w:rFonts w:ascii="宋体" w:hAnsi="宋体" w:cs="宋体" w:eastAsia="宋体" w:hint="default"/>
          <w:sz w:val="21"/>
          <w:szCs w:val="21"/>
        </w:rPr>
      </w:r>
    </w:p>
    <w:p>
      <w:pPr>
        <w:spacing w:before="105"/>
        <w:ind w:left="869" w:right="0" w:firstLine="0"/>
        <w:jc w:val="left"/>
        <w:rPr>
          <w:rFonts w:ascii="宋体" w:hAnsi="宋体" w:cs="宋体" w:eastAsia="宋体" w:hint="default"/>
          <w:sz w:val="21"/>
          <w:szCs w:val="21"/>
        </w:rPr>
      </w:pPr>
      <w:r>
        <w:rPr>
          <w:rFonts w:ascii="宋体" w:hAnsi="宋体" w:cs="宋体" w:eastAsia="宋体" w:hint="default"/>
          <w:sz w:val="21"/>
          <w:szCs w:val="21"/>
        </w:rPr>
        <w:t>本财务报表业经公司全体董事于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日批准报出。</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20"/>
          <w:szCs w:val="20"/>
        </w:rPr>
      </w:pPr>
    </w:p>
    <w:p>
      <w:pPr>
        <w:spacing w:before="0"/>
        <w:ind w:left="0" w:right="153" w:firstLine="0"/>
        <w:jc w:val="right"/>
        <w:rPr>
          <w:rFonts w:ascii="宋体" w:hAnsi="宋体" w:cs="宋体" w:eastAsia="宋体" w:hint="default"/>
          <w:sz w:val="21"/>
          <w:szCs w:val="21"/>
        </w:rPr>
      </w:pPr>
      <w:r>
        <w:rPr>
          <w:rFonts w:ascii="宋体" w:hAnsi="宋体" w:cs="宋体" w:eastAsia="宋体" w:hint="default"/>
          <w:b/>
          <w:bCs/>
          <w:w w:val="95"/>
          <w:sz w:val="21"/>
          <w:szCs w:val="21"/>
        </w:rPr>
        <w:t>广州御银科技股份有限公司</w:t>
      </w:r>
      <w:r>
        <w:rPr>
          <w:rFonts w:ascii="宋体" w:hAnsi="宋体" w:cs="宋体" w:eastAsia="宋体" w:hint="default"/>
          <w:sz w:val="21"/>
          <w:szCs w:val="21"/>
        </w:rPr>
      </w:r>
    </w:p>
    <w:p>
      <w:pPr>
        <w:spacing w:line="664" w:lineRule="auto" w:before="104"/>
        <w:ind w:left="6460" w:right="153" w:firstLine="1243"/>
        <w:jc w:val="right"/>
        <w:rPr>
          <w:rFonts w:ascii="宋体" w:hAnsi="宋体" w:cs="宋体" w:eastAsia="宋体" w:hint="default"/>
          <w:sz w:val="21"/>
          <w:szCs w:val="21"/>
        </w:rPr>
      </w:pPr>
      <w:r>
        <w:rPr>
          <w:rFonts w:ascii="宋体" w:hAnsi="宋体" w:cs="宋体" w:eastAsia="宋体" w:hint="default"/>
          <w:b/>
          <w:bCs/>
          <w:w w:val="95"/>
          <w:sz w:val="21"/>
          <w:szCs w:val="21"/>
        </w:rPr>
        <w:t>（加盖公章）</w:t>
      </w:r>
      <w:r>
        <w:rPr>
          <w:rFonts w:ascii="宋体" w:hAnsi="宋体" w:cs="宋体" w:eastAsia="宋体" w:hint="default"/>
          <w:b/>
          <w:bCs/>
          <w:w w:val="99"/>
          <w:sz w:val="21"/>
          <w:szCs w:val="21"/>
        </w:rPr>
        <w:t> </w:t>
      </w:r>
      <w:r>
        <w:rPr>
          <w:rFonts w:ascii="宋体" w:hAnsi="宋体" w:cs="宋体" w:eastAsia="宋体" w:hint="default"/>
          <w:b/>
          <w:bCs/>
          <w:spacing w:val="36"/>
          <w:w w:val="95"/>
          <w:sz w:val="21"/>
          <w:szCs w:val="21"/>
        </w:rPr>
        <w:t>二〇一二年二月十六日</w:t>
      </w:r>
      <w:r>
        <w:rPr>
          <w:rFonts w:ascii="宋体" w:hAnsi="宋体" w:cs="宋体" w:eastAsia="宋体" w:hint="default"/>
          <w:b/>
          <w:bCs/>
          <w:spacing w:val="-65"/>
          <w:sz w:val="21"/>
          <w:szCs w:val="21"/>
        </w:rPr>
        <w:t> </w:t>
      </w:r>
      <w:r>
        <w:rPr>
          <w:rFonts w:ascii="宋体" w:hAnsi="宋体" w:cs="宋体" w:eastAsia="宋体" w:hint="default"/>
          <w:sz w:val="21"/>
          <w:szCs w:val="21"/>
        </w:rPr>
      </w:r>
    </w:p>
    <w:p>
      <w:pPr>
        <w:spacing w:after="0" w:line="664" w:lineRule="auto"/>
        <w:jc w:val="right"/>
        <w:rPr>
          <w:rFonts w:ascii="宋体" w:hAnsi="宋体" w:cs="宋体" w:eastAsia="宋体" w:hint="default"/>
          <w:sz w:val="21"/>
          <w:szCs w:val="21"/>
        </w:rPr>
        <w:sectPr>
          <w:footerReference w:type="default" r:id="rId413"/>
          <w:pgSz w:w="11910" w:h="16840"/>
          <w:pgMar w:footer="1256" w:header="816" w:top="1100" w:bottom="1440" w:left="1140" w:right="1640"/>
          <w:pgNumType w:start="171"/>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8"/>
          <w:szCs w:val="28"/>
        </w:rPr>
      </w:pPr>
    </w:p>
    <w:p>
      <w:pPr>
        <w:pStyle w:val="Heading1"/>
        <w:tabs>
          <w:tab w:pos="1606" w:val="left" w:leader="none"/>
        </w:tabs>
        <w:spacing w:line="240" w:lineRule="auto"/>
        <w:ind w:right="1"/>
        <w:jc w:val="center"/>
        <w:rPr>
          <w:b w:val="0"/>
          <w:bCs w:val="0"/>
        </w:rPr>
      </w:pPr>
      <w:bookmarkStart w:name="_TOC_250000" w:id="9"/>
      <w:r>
        <w:rPr>
          <w:w w:val="95"/>
        </w:rPr>
        <w:t>第十二节</w:t>
        <w:tab/>
      </w:r>
      <w:r>
        <w:rPr/>
        <w:t>备查文件目录</w:t>
      </w:r>
      <w:bookmarkEnd w:id="9"/>
      <w:r>
        <w:rPr>
          <w:b w:val="0"/>
          <w:bCs w:val="0"/>
        </w:rPr>
      </w:r>
    </w:p>
    <w:p>
      <w:pPr>
        <w:spacing w:line="240" w:lineRule="auto" w:before="6"/>
        <w:rPr>
          <w:rFonts w:ascii="宋体" w:hAnsi="宋体" w:cs="宋体" w:eastAsia="宋体" w:hint="default"/>
          <w:b/>
          <w:bCs/>
          <w:sz w:val="43"/>
          <w:szCs w:val="43"/>
        </w:rPr>
      </w:pPr>
    </w:p>
    <w:p>
      <w:pPr>
        <w:pStyle w:val="BodyText"/>
        <w:spacing w:line="357" w:lineRule="auto" w:before="0"/>
        <w:ind w:left="152" w:right="142" w:firstLine="480"/>
        <w:jc w:val="left"/>
      </w:pPr>
      <w:r>
        <w:rPr>
          <w:spacing w:val="-2"/>
        </w:rPr>
        <w:t>（一）载有法定代表人、主管会计负责人、会计机构负责人签名并盖章的会计报</w:t>
      </w:r>
      <w:r>
        <w:rPr/>
        <w:t> 表。</w:t>
      </w:r>
    </w:p>
    <w:p>
      <w:pPr>
        <w:pStyle w:val="BodyText"/>
        <w:spacing w:line="240" w:lineRule="auto" w:before="35"/>
        <w:ind w:left="632" w:right="0"/>
        <w:jc w:val="left"/>
      </w:pPr>
      <w:r>
        <w:rPr/>
        <w:t>（二）载有会计师事务所盖章、注册会计师签名并盖章的审计报告原件。</w:t>
      </w:r>
    </w:p>
    <w:p>
      <w:pPr>
        <w:pStyle w:val="BodyText"/>
        <w:spacing w:line="357" w:lineRule="auto" w:before="152"/>
        <w:ind w:left="152" w:right="142" w:firstLine="480"/>
        <w:jc w:val="left"/>
      </w:pPr>
      <w:r>
        <w:rPr>
          <w:spacing w:val="-2"/>
        </w:rPr>
        <w:t>（三）报告期内在中国证监会指定报纸上公开披露过的所有公司文件的正本及公</w:t>
      </w:r>
      <w:r>
        <w:rPr/>
        <w:t> 告的原稿。</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33"/>
          <w:szCs w:val="33"/>
        </w:rPr>
      </w:pPr>
    </w:p>
    <w:p>
      <w:pPr>
        <w:pStyle w:val="BodyText"/>
        <w:spacing w:line="357" w:lineRule="auto" w:before="0"/>
        <w:ind w:left="5192" w:right="1632" w:hanging="600"/>
        <w:jc w:val="left"/>
      </w:pPr>
      <w:r>
        <w:rPr/>
        <w:t>广州御银科技股份有限公司 董事长：杨文江</w:t>
      </w:r>
    </w:p>
    <w:p>
      <w:pPr>
        <w:pStyle w:val="BodyText"/>
        <w:spacing w:line="240" w:lineRule="auto" w:before="35"/>
        <w:ind w:left="4712" w:right="0"/>
        <w:jc w:val="left"/>
      </w:pPr>
      <w:r>
        <w:rPr/>
        <w:t>二○一二年二月十六日</w:t>
      </w:r>
    </w:p>
    <w:sectPr>
      <w:pgSz w:w="11910" w:h="16840"/>
      <w:pgMar w:header="816" w:footer="1256" w:top="1100" w:bottom="1440" w:left="1140" w:right="1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swiss"/>
    <w:pitch w:val="variable"/>
  </w:font>
  <w:font w:name="宋体">
    <w:altName w:val="宋体"/>
    <w:charset w:val="86"/>
    <w:family w:val="auto"/>
    <w:pitch w:val="variable"/>
  </w:font>
  <w:font w:name="Calibri">
    <w:altName w:val="Calibri"/>
    <w:charset w:val="0"/>
    <w:family w:val="swiss"/>
    <w:pitch w:val="variable"/>
  </w:font>
  <w:font w:name="黑体">
    <w:altName w:val="黑体"/>
    <w:charset w:val="86"/>
    <w:family w:val="modern"/>
    <w:pitch w:val="fixed"/>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pt;margin-top:779.580017pt;width:71.94pt;height:12.72pt;mso-position-horizontal-relative:page;mso-position-vertical-relative:page;z-index:-827488" type="#_x0000_t75" stroked="false">
          <v:imagedata r:id="rId1" o:title=""/>
        </v:shape>
      </w:pict>
    </w:r>
    <w:r>
      <w:rPr/>
      <w:pict>
        <v:shape style="position:absolute;margin-left:513.460022pt;margin-top:779.557617pt;width:13pt;height:11pt;mso-position-horizontal-relative:page;mso-position-vertical-relative:page;z-index:-8274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4.620003pt;margin-top:769.200012pt;width:71.94pt;height:12.72pt;mso-position-horizontal-relative:page;mso-position-vertical-relative:page;z-index:-826792" type="#_x0000_t75" stroked="false">
          <v:imagedata r:id="rId1" o:title=""/>
        </v:shape>
      </w:pict>
    </w:r>
    <w:r>
      <w:rPr/>
      <w:pict>
        <v:shape style="position:absolute;margin-left:489.940308pt;margin-top:781.897339pt;width:17.5pt;height:11pt;mso-position-horizontal-relative:page;mso-position-vertical-relative:page;z-index:-8267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0.819702pt;margin-top:781.897339pt;width:15.5pt;height:11pt;mso-position-horizontal-relative:page;mso-position-vertical-relative:page;z-index:-82674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143</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pt;margin-top:769.200012pt;width:71.94pt;height:12.72pt;mso-position-horizontal-relative:page;mso-position-vertical-relative:page;z-index:-826720" type="#_x0000_t75" stroked="false">
          <v:imagedata r:id="rId1" o:title=""/>
        </v:shape>
      </w:pict>
    </w:r>
    <w:r>
      <w:rPr/>
      <w:pict>
        <v:shape style="position:absolute;margin-left:489.819702pt;margin-top:781.897339pt;width:17.5pt;height:11pt;mso-position-horizontal-relative:page;mso-position-vertical-relative:page;z-index:-8266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144</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051003pt;margin-top:522.599976pt;width:71.945999pt;height:12.72pt;mso-position-horizontal-relative:page;mso-position-vertical-relative:page;z-index:-826624" type="#_x0000_t75" stroked="false">
          <v:imagedata r:id="rId1" o:title=""/>
        </v:shape>
      </w:pict>
    </w:r>
    <w:r>
      <w:rPr/>
      <w:pict>
        <v:shape style="position:absolute;margin-left:754.410217pt;margin-top:535.297546pt;width:17.5pt;height:11pt;mso-position-horizontal-relative:page;mso-position-vertical-relative:page;z-index:-8266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153</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pt;margin-top:769.200012pt;width:71.94pt;height:12.72pt;mso-position-horizontal-relative:page;mso-position-vertical-relative:page;z-index:-826528" type="#_x0000_t75" stroked="false">
          <v:imagedata r:id="rId1" o:title=""/>
        </v:shape>
      </w:pict>
    </w:r>
    <w:r>
      <w:rPr/>
      <w:pict>
        <v:shape style="position:absolute;margin-left:466.419708pt;margin-top:781.897339pt;width:17.5pt;height:11pt;mso-position-horizontal-relative:page;mso-position-vertical-relative:page;z-index:-8265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155</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051003pt;margin-top:522.599976pt;width:71.945999pt;height:12.72pt;mso-position-horizontal-relative:page;mso-position-vertical-relative:page;z-index:-826432" type="#_x0000_t75" stroked="false">
          <v:imagedata r:id="rId1" o:title=""/>
        </v:shape>
      </w:pict>
    </w:r>
    <w:r>
      <w:rPr/>
      <w:pict>
        <v:shape style="position:absolute;margin-left:754.410217pt;margin-top:535.297546pt;width:17.5pt;height:11pt;mso-position-horizontal-relative:page;mso-position-vertical-relative:page;z-index:-8264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165</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4.620003pt;margin-top:769.200012pt;width:71.94pt;height:12.72pt;mso-position-horizontal-relative:page;mso-position-vertical-relative:page;z-index:-826336" type="#_x0000_t75" stroked="false">
          <v:imagedata r:id="rId1" o:title=""/>
        </v:shape>
      </w:pict>
    </w:r>
    <w:r>
      <w:rPr/>
      <w:pict>
        <v:shape style="position:absolute;margin-left:489.940308pt;margin-top:781.897339pt;width:17.5pt;height:11pt;mso-position-horizontal-relative:page;mso-position-vertical-relative:page;z-index:-8263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167</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9.940308pt;margin-top:781.897339pt;width:17.5pt;height:11pt;mso-position-horizontal-relative:page;mso-position-vertical-relative:page;z-index:-8262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169</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4.620003pt;margin-top:769.200012pt;width:71.94pt;height:12.72pt;mso-position-horizontal-relative:page;mso-position-vertical-relative:page;z-index:-826264" type="#_x0000_t75" stroked="false">
          <v:imagedata r:id="rId1" o:title=""/>
        </v:shape>
      </w:pict>
    </w:r>
    <w:r>
      <w:rPr/>
      <w:pict>
        <v:shape style="position:absolute;margin-left:489.940308pt;margin-top:781.897339pt;width:17.5pt;height:11pt;mso-position-horizontal-relative:page;mso-position-vertical-relative:page;z-index:-8262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171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051003pt;margin-top:532.979980pt;width:71.945999pt;height:12.72pt;mso-position-horizontal-relative:page;mso-position-vertical-relative:page;z-index:-827416" type="#_x0000_t75" stroked="false">
          <v:imagedata r:id="rId1" o:title=""/>
        </v:shape>
      </w:pict>
    </w:r>
    <w:r>
      <w:rPr/>
      <w:pict>
        <v:shape style="position:absolute;margin-left:768.510498pt;margin-top:532.957947pt;width:13pt;height:11pt;mso-position-horizontal-relative:page;mso-position-vertical-relative:page;z-index:-8273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58</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700001pt;margin-top:782.820007pt;width:71.94pt;height:12.72pt;mso-position-horizontal-relative:page;mso-position-vertical-relative:page;z-index:-827320" type="#_x0000_t75" stroked="false">
          <v:imagedata r:id="rId1" o:title=""/>
        </v:shape>
      </w:pict>
    </w:r>
    <w:r>
      <w:rPr/>
      <w:pict>
        <v:shape style="position:absolute;margin-left:513.520325pt;margin-top:795.457947pt;width:13pt;height:11pt;mso-position-horizontal-relative:page;mso-position-vertical-relative:page;z-index:-8272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61</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750999pt;margin-top:522.599976pt;width:71.945999pt;height:12.72pt;mso-position-horizontal-relative:page;mso-position-vertical-relative:page;z-index:-827224" type="#_x0000_t75" stroked="false">
          <v:imagedata r:id="rId1" o:title=""/>
        </v:shape>
      </w:pict>
    </w:r>
    <w:r>
      <w:rPr/>
      <w:pict>
        <v:shape style="position:absolute;margin-left:774.210205pt;margin-top:535.297546pt;width:13pt;height:11pt;mso-position-horizontal-relative:page;mso-position-vertical-relative:page;z-index:-8272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89</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pt;margin-top:769.200012pt;width:71.94pt;height:12.72pt;mso-position-horizontal-relative:page;mso-position-vertical-relative:page;z-index:-827128" type="#_x0000_t75" stroked="false">
          <v:imagedata r:id="rId1" o:title=""/>
        </v:shape>
      </w:pict>
    </w:r>
    <w:r>
      <w:rPr/>
      <w:pict>
        <v:shape style="position:absolute;margin-left:494.319702pt;margin-top:781.897339pt;width:13pt;height:11pt;mso-position-horizontal-relative:page;mso-position-vertical-relative:page;z-index:-8271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93</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pt;margin-top:769.200012pt;width:71.94pt;height:12.72pt;mso-position-horizontal-relative:page;mso-position-vertical-relative:page;z-index:-827080" type="#_x0000_t75" stroked="false">
          <v:imagedata r:id="rId1" o:title=""/>
        </v:shape>
      </w:pict>
    </w:r>
    <w:r>
      <w:rPr/>
      <w:pict>
        <v:shape style="position:absolute;margin-left:490.819702pt;margin-top:781.897339pt;width:15.5pt;height:11pt;mso-position-horizontal-relative:page;mso-position-vertical-relative:page;z-index:-82705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pt;margin-top:769.200012pt;width:71.94pt;height:12.72pt;mso-position-horizontal-relative:page;mso-position-vertical-relative:page;z-index:-827032" type="#_x0000_t75" stroked="false">
          <v:imagedata r:id="rId1" o:title=""/>
        </v:shape>
      </w:pict>
    </w:r>
    <w:r>
      <w:rPr/>
      <w:pict>
        <v:shape style="position:absolute;margin-left:489.819702pt;margin-top:781.897339pt;width:17.5pt;height:11pt;mso-position-horizontal-relative:page;mso-position-vertical-relative:page;z-index:-8270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051003pt;margin-top:522.599976pt;width:71.945999pt;height:12.72pt;mso-position-horizontal-relative:page;mso-position-vertical-relative:page;z-index:-826936" type="#_x0000_t75" stroked="false">
          <v:imagedata r:id="rId1" o:title=""/>
        </v:shape>
      </w:pict>
    </w:r>
    <w:r>
      <w:rPr/>
      <w:pict>
        <v:shape style="position:absolute;margin-left:754.410217pt;margin-top:535.297546pt;width:17.5pt;height:11pt;mso-position-horizontal-relative:page;mso-position-vertical-relative:page;z-index:-8269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pt;margin-top:769.200012pt;width:71.94pt;height:12.72pt;mso-position-horizontal-relative:page;mso-position-vertical-relative:page;z-index:-826840" type="#_x0000_t75" stroked="false">
          <v:imagedata r:id="rId1" o:title=""/>
        </v:shape>
      </w:pict>
    </w:r>
    <w:r>
      <w:rPr/>
      <w:pict>
        <v:shape style="position:absolute;margin-left:489.819702pt;margin-top:781.897339pt;width:17.5pt;height:11pt;mso-position-horizontal-relative:page;mso-position-vertical-relative:page;z-index:-8268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55.619984pt;width:419.6pt;height:.1pt;mso-position-horizontal-relative:page;mso-position-vertical-relative:page;z-index:-827536" coordorigin="1770,1112" coordsize="8392,2">
          <v:shape style="position:absolute;left:1770;top:1112;width:8392;height:2" coordorigin="1770,1112" coordsize="8392,0" path="m1770,1112l10162,1112e" filled="false" stroked="true" strokeweight=".72003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39.440002pt;margin-top:42.865326pt;width:168.1pt;height:11.5pt;mso-position-horizontal-relative:page;mso-position-vertical-relative:page;z-index:-8275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广州御银科技股份有限公司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55.619984pt;width:395pt;height:.1pt;mso-position-horizontal-relative:page;mso-position-vertical-relative:page;z-index:-826576" coordorigin="1770,1112" coordsize="7900,2">
          <v:shape style="position:absolute;left:1770;top:1112;width:7900;height:2" coordorigin="1770,1112" coordsize="7900,0" path="m1770,1112l9670,1112e" filled="false" stroked="true" strokeweight=".72003pt" strokecolor="#000000">
            <v:path arrowok="t"/>
          </v:shape>
          <w10:wrap type="none"/>
        </v:group>
      </w:pict>
    </w:r>
    <w:r>
      <w:rPr/>
      <w:pict>
        <v:shape style="position:absolute;margin-left:314.779999pt;margin-top:42.865326pt;width:168.1pt;height:11.5pt;mso-position-horizontal-relative:page;mso-position-vertical-relative:page;z-index:-82655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广州御银科技股份有限公司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55.619999pt;width:700.95pt;height:.1pt;mso-position-horizontal-relative:page;mso-position-vertical-relative:page;z-index:-826480" coordorigin="1410,1112" coordsize="14019,2">
          <v:shape style="position:absolute;left:1410;top:1112;width:14019;height:2" coordorigin="1410,1112" coordsize="14019,0" path="m1410,1112l15428,1112e" filled="false" stroked="true" strokeweight=".72pt" strokecolor="#000000">
            <v:path arrowok="t"/>
          </v:shape>
          <w10:wrap type="none"/>
        </v:group>
      </w:pict>
    </w:r>
    <w:r>
      <w:rPr/>
      <w:pict>
        <v:shape style="position:absolute;margin-left:602.770508pt;margin-top:42.865623pt;width:168.1pt;height:11.5pt;mso-position-horizontal-relative:page;mso-position-vertical-relative:page;z-index:-8264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广州御银科技股份有限公司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年度报告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759987pt;margin-top:40.799999pt;width:444.55pt;height:15.2pt;mso-position-horizontal-relative:page;mso-position-vertical-relative:page;z-index:-826384" coordorigin="1255,816" coordsize="8891,304">
          <v:group style="position:absolute;left:1262;top:1112;width:8877;height:2" coordorigin="1262,1112" coordsize="8877,2">
            <v:shape style="position:absolute;left:1262;top:1112;width:8877;height:2" coordorigin="1262,1112" coordsize="8877,0" path="m1262,1112l10139,1112e" filled="false" stroked="true" strokeweight=".72003pt" strokecolor="#000000">
              <v:path arrowok="t"/>
            </v:shape>
            <v:shape style="position:absolute;left:1292;top:816;width:777;height:277" type="#_x0000_t75" stroked="false">
              <v:imagedata r:id="rId1" o:title=""/>
            </v:shape>
          </v:group>
          <w10:wrap type="none"/>
        </v:group>
      </w:pict>
    </w:r>
    <w:r>
      <w:rPr/>
      <w:pict>
        <v:shape style="position:absolute;margin-left:324.619995pt;margin-top:42.865326pt;width:168.15pt;height:11.5pt;mso-position-horizontal-relative:page;mso-position-vertical-relative:page;z-index:-82636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广州御银科技股份有限公司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4.430481pt;margin-top:42.865623pt;width:168.1pt;height:11.5pt;mso-position-horizontal-relative:page;mso-position-vertical-relative:page;z-index:-8274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广州御银科技股份有限公司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49.080013pt;width:452.9pt;height:.1pt;mso-position-horizontal-relative:page;mso-position-vertical-relative:page;z-index:-827368" coordorigin="1104,982" coordsize="9058,2">
          <v:shape style="position:absolute;left:1104;top:982;width:9058;height:2" coordorigin="1104,982" coordsize="9058,0" path="m1104,982l10162,982e" filled="false" stroked="true" strokeweight=".71997pt" strokecolor="#000000">
            <v:path arrowok="t"/>
          </v:shape>
          <w10:wrap type="none"/>
        </v:group>
      </w:pict>
    </w:r>
    <w:r>
      <w:rPr/>
      <w:pict>
        <v:shape style="position:absolute;margin-left:339.440002pt;margin-top:36.325325pt;width:168.1pt;height:11.5pt;mso-position-horizontal-relative:page;mso-position-vertical-relative:page;z-index:-8273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广州御银科技股份有限公司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191002pt;margin-top:55.619999pt;width:713.6pt;height:.1pt;mso-position-horizontal-relative:page;mso-position-vertical-relative:page;z-index:-827272" coordorigin="1104,1112" coordsize="14272,2">
          <v:shape style="position:absolute;left:1104;top:1112;width:14272;height:2" coordorigin="1104,1112" coordsize="14272,0" path="m1104,1112l15375,1112e" filled="false" stroked="true" strokeweight=".72pt" strokecolor="#000000">
            <v:path arrowok="t"/>
          </v:shape>
          <w10:wrap type="none"/>
        </v:group>
      </w:pict>
    </w:r>
    <w:r>
      <w:rPr/>
      <w:pict>
        <v:shape style="position:absolute;margin-left:600.130493pt;margin-top:42.865623pt;width:168.1pt;height:11.5pt;mso-position-horizontal-relative:page;mso-position-vertical-relative:page;z-index:-8272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广州御银科技股份有限公司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55.859982pt;width:418.35pt;height:.1pt;mso-position-horizontal-relative:page;mso-position-vertical-relative:page;z-index:-827176" coordorigin="1770,1117" coordsize="8367,2">
          <v:shape style="position:absolute;left:1770;top:1117;width:8367;height:2" coordorigin="1770,1117" coordsize="8367,0" path="m1770,1117l10136,1117e" filled="false" stroked="true" strokeweight=".48004pt" strokecolor="#000000">
            <v:path arrowok="t"/>
          </v:shape>
          <w10:wrap type="none"/>
        </v:group>
      </w:pict>
    </w:r>
    <w:r>
      <w:rPr/>
      <w:pict>
        <v:shape style="position:absolute;margin-left:337.880005pt;margin-top:43.225327pt;width:168.45pt;height:11pt;mso-position-horizontal-relative:page;mso-position-vertical-relative:page;z-index:-82715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广州御银科技股份有限公司</w:t>
                </w:r>
                <w:r>
                  <w:rPr>
                    <w:rFonts w:ascii="宋体" w:hAnsi="宋体" w:cs="宋体" w:eastAsia="宋体" w:hint="default"/>
                    <w:spacing w:val="-46"/>
                    <w:sz w:val="18"/>
                    <w:szCs w:val="18"/>
                  </w:rPr>
                  <w:t> </w:t>
                </w: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55.860001pt;width:700.95pt;height:.1pt;mso-position-horizontal-relative:page;mso-position-vertical-relative:page;z-index:-826984" coordorigin="1410,1117" coordsize="14019,2">
          <v:shape style="position:absolute;left:1410;top:1117;width:14019;height:2" coordorigin="1410,1117" coordsize="14019,0" path="m1410,1117l15428,1117e" filled="false" stroked="true" strokeweight=".48pt" strokecolor="#000000">
            <v:path arrowok="t"/>
          </v:shape>
          <w10:wrap type="none"/>
        </v:group>
      </w:pict>
    </w:r>
    <w:r>
      <w:rPr/>
      <w:pict>
        <v:shape style="position:absolute;margin-left:602.47052pt;margin-top:43.225624pt;width:168.45pt;height:11pt;mso-position-horizontal-relative:page;mso-position-vertical-relative:page;z-index:-82696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广州御银科技股份有限公司</w:t>
                </w:r>
                <w:r>
                  <w:rPr>
                    <w:rFonts w:ascii="宋体" w:hAnsi="宋体" w:cs="宋体" w:eastAsia="宋体" w:hint="default"/>
                    <w:spacing w:val="-46"/>
                    <w:sz w:val="18"/>
                    <w:szCs w:val="18"/>
                  </w:rPr>
                  <w:t> </w:t>
                </w: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88.5pt;margin-top:55.619984pt;width:418.35pt;height:.1pt;mso-position-horizontal-relative:page;mso-position-vertical-relative:page;z-index:-826888" coordorigin="1770,1112" coordsize="8367,2">
          <v:shape style="position:absolute;left:1770;top:1112;width:8367;height:2" coordorigin="1770,1112" coordsize="8367,0" path="m1770,1112l10136,1112e" filled="false" stroked="true" strokeweight=".72003pt" strokecolor="#000000">
            <v:path arrowok="t"/>
          </v:shape>
          <w10:wrap type="none"/>
        </v:group>
      </w:pict>
    </w:r>
    <w:r>
      <w:rPr/>
      <w:pict>
        <v:shape style="position:absolute;margin-left:338.299988pt;margin-top:42.865326pt;width:168.1pt;height:11.5pt;mso-position-horizontal-relative:page;mso-position-vertical-relative:page;z-index:-8268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广州御银科技股份有限公司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55.619999pt;width:700.95pt;height:.1pt;mso-position-horizontal-relative:page;mso-position-vertical-relative:page;z-index:-826672" coordorigin="1410,1112" coordsize="14019,2">
          <v:shape style="position:absolute;left:1410;top:1112;width:14019;height:2" coordorigin="1410,1112" coordsize="14019,0" path="m1410,1112l15428,1112e" filled="false" stroked="true" strokeweight=".72pt" strokecolor="#000000">
            <v:path arrowok="t"/>
          </v:shape>
          <w10:wrap type="none"/>
        </v:group>
      </w:pict>
    </w:r>
    <w:r>
      <w:rPr/>
      <w:pict>
        <v:shape style="position:absolute;margin-left:602.770508pt;margin-top:42.865623pt;width:168.1pt;height:11.5pt;mso-position-horizontal-relative:page;mso-position-vertical-relative:page;z-index:-8266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广州御银科技股份有限公司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291"/>
      <w:ind w:left="500"/>
    </w:pPr>
    <w:rPr>
      <w:rFonts w:ascii="宋体" w:hAnsi="宋体" w:eastAsia="宋体"/>
      <w:sz w:val="24"/>
      <w:szCs w:val="24"/>
    </w:rPr>
  </w:style>
  <w:style w:styleId="BodyText" w:type="paragraph">
    <w:name w:val="Body Text"/>
    <w:basedOn w:val="Normal"/>
    <w:uiPriority w:val="1"/>
    <w:qFormat/>
    <w:pPr>
      <w:spacing w:before="135"/>
      <w:ind w:left="140"/>
    </w:pPr>
    <w:rPr>
      <w:rFonts w:ascii="宋体" w:hAnsi="宋体" w:eastAsia="宋体"/>
      <w:sz w:val="24"/>
      <w:szCs w:val="24"/>
    </w:rPr>
  </w:style>
  <w:style w:styleId="Heading1" w:type="paragraph">
    <w:name w:val="Heading 1"/>
    <w:basedOn w:val="Normal"/>
    <w:uiPriority w:val="1"/>
    <w:qFormat/>
    <w:pPr>
      <w:spacing w:before="1"/>
      <w:outlineLvl w:val="1"/>
    </w:pPr>
    <w:rPr>
      <w:rFonts w:ascii="宋体" w:hAnsi="宋体" w:eastAsia="宋体"/>
      <w:b/>
      <w:bCs/>
      <w:sz w:val="32"/>
      <w:szCs w:val="32"/>
    </w:rPr>
  </w:style>
  <w:style w:styleId="Heading2" w:type="paragraph">
    <w:name w:val="Heading 2"/>
    <w:basedOn w:val="Normal"/>
    <w:uiPriority w:val="1"/>
    <w:qFormat/>
    <w:pPr>
      <w:ind w:left="40"/>
      <w:outlineLvl w:val="2"/>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hyperlink" Target="mailto:tanhua@kingteller.com.cn" TargetMode="External"/><Relationship Id="rId9" Type="http://schemas.openxmlformats.org/officeDocument/2006/relationships/hyperlink" Target="mailto:zqb@kingteller.com.cn" TargetMode="External"/><Relationship Id="rId10" Type="http://schemas.openxmlformats.org/officeDocument/2006/relationships/hyperlink" Target="http://www.kingteller.com.cn/" TargetMode="External"/><Relationship Id="rId11" Type="http://schemas.openxmlformats.org/officeDocument/2006/relationships/hyperlink" Target="http://www.cninfo.com.cn/"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hyperlink" Target="http://www.cninfo.com.cn/)%E4%B8%BA%E5%85%AC%E5%8F%B8%E4%BF%A1%E6%81%AF%E6%8A%AB%E9%9C%B2%E7%9A%84%E6%8A%A5%E7%BA%B8%E5%92%8C%E7%BD%91%E7%AB%99" TargetMode="External"/><Relationship Id="rId16" Type="http://schemas.openxmlformats.org/officeDocument/2006/relationships/hyperlink" Target="http://www.cninfo.com.cn/)%E4%B8%8A" TargetMode="External"/><Relationship Id="rId17" Type="http://schemas.openxmlformats.org/officeDocument/2006/relationships/hyperlink" Target="http://www.cninfo.com.cn/)" TargetMode="External"/><Relationship Id="rId18" Type="http://schemas.openxmlformats.org/officeDocument/2006/relationships/header" Target="header2.xml"/><Relationship Id="rId19" Type="http://schemas.openxmlformats.org/officeDocument/2006/relationships/footer" Target="footer2.xml"/><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hyperlink" Target="http://irm.p5w.net/" TargetMode="External"/><Relationship Id="rId23" Type="http://schemas.openxmlformats.org/officeDocument/2006/relationships/header" Target="header4.xml"/><Relationship Id="rId24" Type="http://schemas.openxmlformats.org/officeDocument/2006/relationships/footer" Target="footer4.xml"/><Relationship Id="rId25" Type="http://schemas.openxmlformats.org/officeDocument/2006/relationships/header" Target="header5.xml"/><Relationship Id="rId26" Type="http://schemas.openxmlformats.org/officeDocument/2006/relationships/footer" Target="footer5.xml"/><Relationship Id="rId27" Type="http://schemas.openxmlformats.org/officeDocument/2006/relationships/footer" Target="footer6.xml"/><Relationship Id="rId28" Type="http://schemas.openxmlformats.org/officeDocument/2006/relationships/footer" Target="footer7.xml"/><Relationship Id="rId29" Type="http://schemas.openxmlformats.org/officeDocument/2006/relationships/image" Target="media/image7.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header" Target="header6.xml"/><Relationship Id="rId42" Type="http://schemas.openxmlformats.org/officeDocument/2006/relationships/footer" Target="footer8.xml"/><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60" Type="http://schemas.openxmlformats.org/officeDocument/2006/relationships/header" Target="header7.xml"/><Relationship Id="rId61" Type="http://schemas.openxmlformats.org/officeDocument/2006/relationships/footer" Target="footer9.xml"/><Relationship Id="rId62" Type="http://schemas.openxmlformats.org/officeDocument/2006/relationships/image" Target="media/image36.png"/><Relationship Id="rId63" Type="http://schemas.openxmlformats.org/officeDocument/2006/relationships/image" Target="media/image37.png"/><Relationship Id="rId64" Type="http://schemas.openxmlformats.org/officeDocument/2006/relationships/image" Target="media/image38.png"/><Relationship Id="rId65" Type="http://schemas.openxmlformats.org/officeDocument/2006/relationships/image" Target="media/image39.png"/><Relationship Id="rId66" Type="http://schemas.openxmlformats.org/officeDocument/2006/relationships/image" Target="media/image40.png"/><Relationship Id="rId67" Type="http://schemas.openxmlformats.org/officeDocument/2006/relationships/image" Target="media/image41.png"/><Relationship Id="rId68" Type="http://schemas.openxmlformats.org/officeDocument/2006/relationships/image" Target="media/image42.png"/><Relationship Id="rId69" Type="http://schemas.openxmlformats.org/officeDocument/2006/relationships/image" Target="media/image43.png"/><Relationship Id="rId70" Type="http://schemas.openxmlformats.org/officeDocument/2006/relationships/image" Target="media/image44.png"/><Relationship Id="rId71" Type="http://schemas.openxmlformats.org/officeDocument/2006/relationships/image" Target="media/image45.png"/><Relationship Id="rId72" Type="http://schemas.openxmlformats.org/officeDocument/2006/relationships/image" Target="media/image46.png"/><Relationship Id="rId73" Type="http://schemas.openxmlformats.org/officeDocument/2006/relationships/image" Target="media/image47.png"/><Relationship Id="rId74" Type="http://schemas.openxmlformats.org/officeDocument/2006/relationships/image" Target="media/image48.png"/><Relationship Id="rId75" Type="http://schemas.openxmlformats.org/officeDocument/2006/relationships/image" Target="media/image49.png"/><Relationship Id="rId76" Type="http://schemas.openxmlformats.org/officeDocument/2006/relationships/image" Target="media/image50.png"/><Relationship Id="rId77" Type="http://schemas.openxmlformats.org/officeDocument/2006/relationships/image" Target="media/image51.png"/><Relationship Id="rId78" Type="http://schemas.openxmlformats.org/officeDocument/2006/relationships/image" Target="media/image52.png"/><Relationship Id="rId79" Type="http://schemas.openxmlformats.org/officeDocument/2006/relationships/image" Target="media/image53.png"/><Relationship Id="rId80" Type="http://schemas.openxmlformats.org/officeDocument/2006/relationships/image" Target="media/image54.png"/><Relationship Id="rId81" Type="http://schemas.openxmlformats.org/officeDocument/2006/relationships/image" Target="media/image55.png"/><Relationship Id="rId82" Type="http://schemas.openxmlformats.org/officeDocument/2006/relationships/image" Target="media/image56.png"/><Relationship Id="rId83" Type="http://schemas.openxmlformats.org/officeDocument/2006/relationships/image" Target="media/image57.png"/><Relationship Id="rId84" Type="http://schemas.openxmlformats.org/officeDocument/2006/relationships/image" Target="media/image58.png"/><Relationship Id="rId85" Type="http://schemas.openxmlformats.org/officeDocument/2006/relationships/image" Target="media/image59.png"/><Relationship Id="rId86" Type="http://schemas.openxmlformats.org/officeDocument/2006/relationships/image" Target="media/image60.png"/><Relationship Id="rId87" Type="http://schemas.openxmlformats.org/officeDocument/2006/relationships/image" Target="media/image61.png"/><Relationship Id="rId88" Type="http://schemas.openxmlformats.org/officeDocument/2006/relationships/image" Target="media/image62.png"/><Relationship Id="rId89" Type="http://schemas.openxmlformats.org/officeDocument/2006/relationships/image" Target="media/image63.png"/><Relationship Id="rId90" Type="http://schemas.openxmlformats.org/officeDocument/2006/relationships/image" Target="media/image64.png"/><Relationship Id="rId91" Type="http://schemas.openxmlformats.org/officeDocument/2006/relationships/image" Target="media/image65.png"/><Relationship Id="rId92" Type="http://schemas.openxmlformats.org/officeDocument/2006/relationships/image" Target="media/image66.png"/><Relationship Id="rId93" Type="http://schemas.openxmlformats.org/officeDocument/2006/relationships/image" Target="media/image67.png"/><Relationship Id="rId94" Type="http://schemas.openxmlformats.org/officeDocument/2006/relationships/image" Target="media/image68.png"/><Relationship Id="rId95" Type="http://schemas.openxmlformats.org/officeDocument/2006/relationships/image" Target="media/image69.png"/><Relationship Id="rId96" Type="http://schemas.openxmlformats.org/officeDocument/2006/relationships/image" Target="media/image70.png"/><Relationship Id="rId97" Type="http://schemas.openxmlformats.org/officeDocument/2006/relationships/image" Target="media/image71.png"/><Relationship Id="rId98" Type="http://schemas.openxmlformats.org/officeDocument/2006/relationships/image" Target="media/image72.png"/><Relationship Id="rId99" Type="http://schemas.openxmlformats.org/officeDocument/2006/relationships/image" Target="media/image73.png"/><Relationship Id="rId100" Type="http://schemas.openxmlformats.org/officeDocument/2006/relationships/image" Target="media/image74.png"/><Relationship Id="rId101" Type="http://schemas.openxmlformats.org/officeDocument/2006/relationships/image" Target="media/image75.png"/><Relationship Id="rId102" Type="http://schemas.openxmlformats.org/officeDocument/2006/relationships/image" Target="media/image76.png"/><Relationship Id="rId103" Type="http://schemas.openxmlformats.org/officeDocument/2006/relationships/image" Target="media/image77.png"/><Relationship Id="rId104" Type="http://schemas.openxmlformats.org/officeDocument/2006/relationships/image" Target="media/image78.png"/><Relationship Id="rId105" Type="http://schemas.openxmlformats.org/officeDocument/2006/relationships/image" Target="media/image79.png"/><Relationship Id="rId106" Type="http://schemas.openxmlformats.org/officeDocument/2006/relationships/image" Target="media/image80.png"/><Relationship Id="rId107" Type="http://schemas.openxmlformats.org/officeDocument/2006/relationships/image" Target="media/image81.png"/><Relationship Id="rId108" Type="http://schemas.openxmlformats.org/officeDocument/2006/relationships/image" Target="media/image82.png"/><Relationship Id="rId109" Type="http://schemas.openxmlformats.org/officeDocument/2006/relationships/image" Target="media/image83.png"/><Relationship Id="rId110" Type="http://schemas.openxmlformats.org/officeDocument/2006/relationships/image" Target="media/image84.png"/><Relationship Id="rId111" Type="http://schemas.openxmlformats.org/officeDocument/2006/relationships/image" Target="media/image85.png"/><Relationship Id="rId112" Type="http://schemas.openxmlformats.org/officeDocument/2006/relationships/image" Target="media/image86.png"/><Relationship Id="rId113" Type="http://schemas.openxmlformats.org/officeDocument/2006/relationships/image" Target="media/image87.png"/><Relationship Id="rId114" Type="http://schemas.openxmlformats.org/officeDocument/2006/relationships/image" Target="media/image88.png"/><Relationship Id="rId115" Type="http://schemas.openxmlformats.org/officeDocument/2006/relationships/image" Target="media/image89.png"/><Relationship Id="rId116" Type="http://schemas.openxmlformats.org/officeDocument/2006/relationships/image" Target="media/image90.png"/><Relationship Id="rId117" Type="http://schemas.openxmlformats.org/officeDocument/2006/relationships/image" Target="media/image91.png"/><Relationship Id="rId118" Type="http://schemas.openxmlformats.org/officeDocument/2006/relationships/image" Target="media/image92.png"/><Relationship Id="rId119" Type="http://schemas.openxmlformats.org/officeDocument/2006/relationships/image" Target="media/image93.png"/><Relationship Id="rId120" Type="http://schemas.openxmlformats.org/officeDocument/2006/relationships/image" Target="media/image94.png"/><Relationship Id="rId121" Type="http://schemas.openxmlformats.org/officeDocument/2006/relationships/image" Target="media/image95.png"/><Relationship Id="rId122" Type="http://schemas.openxmlformats.org/officeDocument/2006/relationships/image" Target="media/image96.png"/><Relationship Id="rId123" Type="http://schemas.openxmlformats.org/officeDocument/2006/relationships/image" Target="media/image97.png"/><Relationship Id="rId124" Type="http://schemas.openxmlformats.org/officeDocument/2006/relationships/image" Target="media/image98.png"/><Relationship Id="rId125" Type="http://schemas.openxmlformats.org/officeDocument/2006/relationships/image" Target="media/image99.png"/><Relationship Id="rId126" Type="http://schemas.openxmlformats.org/officeDocument/2006/relationships/image" Target="media/image100.png"/><Relationship Id="rId127" Type="http://schemas.openxmlformats.org/officeDocument/2006/relationships/image" Target="media/image101.png"/><Relationship Id="rId128" Type="http://schemas.openxmlformats.org/officeDocument/2006/relationships/image" Target="media/image102.png"/><Relationship Id="rId129" Type="http://schemas.openxmlformats.org/officeDocument/2006/relationships/image" Target="media/image103.png"/><Relationship Id="rId130" Type="http://schemas.openxmlformats.org/officeDocument/2006/relationships/image" Target="media/image104.png"/><Relationship Id="rId131" Type="http://schemas.openxmlformats.org/officeDocument/2006/relationships/image" Target="media/image105.png"/><Relationship Id="rId132" Type="http://schemas.openxmlformats.org/officeDocument/2006/relationships/image" Target="media/image106.png"/><Relationship Id="rId133" Type="http://schemas.openxmlformats.org/officeDocument/2006/relationships/image" Target="media/image107.png"/><Relationship Id="rId134" Type="http://schemas.openxmlformats.org/officeDocument/2006/relationships/image" Target="media/image108.png"/><Relationship Id="rId135" Type="http://schemas.openxmlformats.org/officeDocument/2006/relationships/image" Target="media/image109.png"/><Relationship Id="rId136" Type="http://schemas.openxmlformats.org/officeDocument/2006/relationships/image" Target="media/image110.png"/><Relationship Id="rId137" Type="http://schemas.openxmlformats.org/officeDocument/2006/relationships/image" Target="media/image111.png"/><Relationship Id="rId138" Type="http://schemas.openxmlformats.org/officeDocument/2006/relationships/image" Target="media/image112.png"/><Relationship Id="rId139" Type="http://schemas.openxmlformats.org/officeDocument/2006/relationships/image" Target="media/image113.png"/><Relationship Id="rId140" Type="http://schemas.openxmlformats.org/officeDocument/2006/relationships/image" Target="media/image114.png"/><Relationship Id="rId141" Type="http://schemas.openxmlformats.org/officeDocument/2006/relationships/image" Target="media/image115.png"/><Relationship Id="rId142" Type="http://schemas.openxmlformats.org/officeDocument/2006/relationships/image" Target="media/image116.png"/><Relationship Id="rId143" Type="http://schemas.openxmlformats.org/officeDocument/2006/relationships/image" Target="media/image117.png"/><Relationship Id="rId144" Type="http://schemas.openxmlformats.org/officeDocument/2006/relationships/image" Target="media/image118.png"/><Relationship Id="rId145" Type="http://schemas.openxmlformats.org/officeDocument/2006/relationships/image" Target="media/image119.png"/><Relationship Id="rId146" Type="http://schemas.openxmlformats.org/officeDocument/2006/relationships/image" Target="media/image120.png"/><Relationship Id="rId147" Type="http://schemas.openxmlformats.org/officeDocument/2006/relationships/image" Target="media/image121.png"/><Relationship Id="rId148" Type="http://schemas.openxmlformats.org/officeDocument/2006/relationships/header" Target="header8.xml"/><Relationship Id="rId149" Type="http://schemas.openxmlformats.org/officeDocument/2006/relationships/footer" Target="footer10.xml"/><Relationship Id="rId150" Type="http://schemas.openxmlformats.org/officeDocument/2006/relationships/image" Target="media/image122.png"/><Relationship Id="rId151" Type="http://schemas.openxmlformats.org/officeDocument/2006/relationships/image" Target="media/image123.png"/><Relationship Id="rId152" Type="http://schemas.openxmlformats.org/officeDocument/2006/relationships/image" Target="media/image6.jpeg"/><Relationship Id="rId153" Type="http://schemas.openxmlformats.org/officeDocument/2006/relationships/footer" Target="footer11.xml"/><Relationship Id="rId154" Type="http://schemas.openxmlformats.org/officeDocument/2006/relationships/image" Target="media/image124.png"/><Relationship Id="rId155" Type="http://schemas.openxmlformats.org/officeDocument/2006/relationships/image" Target="media/image125.png"/><Relationship Id="rId156" Type="http://schemas.openxmlformats.org/officeDocument/2006/relationships/image" Target="media/image126.png"/><Relationship Id="rId157" Type="http://schemas.openxmlformats.org/officeDocument/2006/relationships/image" Target="media/image127.png"/><Relationship Id="rId158" Type="http://schemas.openxmlformats.org/officeDocument/2006/relationships/image" Target="media/image128.png"/><Relationship Id="rId159" Type="http://schemas.openxmlformats.org/officeDocument/2006/relationships/image" Target="media/image129.png"/><Relationship Id="rId160" Type="http://schemas.openxmlformats.org/officeDocument/2006/relationships/image" Target="media/image130.png"/><Relationship Id="rId161" Type="http://schemas.openxmlformats.org/officeDocument/2006/relationships/image" Target="media/image131.png"/><Relationship Id="rId162" Type="http://schemas.openxmlformats.org/officeDocument/2006/relationships/image" Target="media/image132.png"/><Relationship Id="rId163" Type="http://schemas.openxmlformats.org/officeDocument/2006/relationships/image" Target="media/image133.png"/><Relationship Id="rId164" Type="http://schemas.openxmlformats.org/officeDocument/2006/relationships/image" Target="media/image134.png"/><Relationship Id="rId165" Type="http://schemas.openxmlformats.org/officeDocument/2006/relationships/image" Target="media/image135.png"/><Relationship Id="rId166" Type="http://schemas.openxmlformats.org/officeDocument/2006/relationships/image" Target="media/image136.png"/><Relationship Id="rId167" Type="http://schemas.openxmlformats.org/officeDocument/2006/relationships/image" Target="media/image137.png"/><Relationship Id="rId168" Type="http://schemas.openxmlformats.org/officeDocument/2006/relationships/image" Target="media/image138.png"/><Relationship Id="rId169" Type="http://schemas.openxmlformats.org/officeDocument/2006/relationships/image" Target="media/image139.png"/><Relationship Id="rId170" Type="http://schemas.openxmlformats.org/officeDocument/2006/relationships/image" Target="media/image140.png"/><Relationship Id="rId171" Type="http://schemas.openxmlformats.org/officeDocument/2006/relationships/image" Target="media/image141.png"/><Relationship Id="rId172" Type="http://schemas.openxmlformats.org/officeDocument/2006/relationships/image" Target="media/image142.png"/><Relationship Id="rId173" Type="http://schemas.openxmlformats.org/officeDocument/2006/relationships/image" Target="media/image143.png"/><Relationship Id="rId174" Type="http://schemas.openxmlformats.org/officeDocument/2006/relationships/image" Target="media/image144.png"/><Relationship Id="rId175" Type="http://schemas.openxmlformats.org/officeDocument/2006/relationships/image" Target="media/image145.png"/><Relationship Id="rId176" Type="http://schemas.openxmlformats.org/officeDocument/2006/relationships/image" Target="media/image146.png"/><Relationship Id="rId177" Type="http://schemas.openxmlformats.org/officeDocument/2006/relationships/image" Target="media/image147.png"/><Relationship Id="rId178" Type="http://schemas.openxmlformats.org/officeDocument/2006/relationships/image" Target="media/image148.png"/><Relationship Id="rId179" Type="http://schemas.openxmlformats.org/officeDocument/2006/relationships/image" Target="media/image149.png"/><Relationship Id="rId180" Type="http://schemas.openxmlformats.org/officeDocument/2006/relationships/image" Target="media/image150.png"/><Relationship Id="rId181" Type="http://schemas.openxmlformats.org/officeDocument/2006/relationships/image" Target="media/image151.png"/><Relationship Id="rId182" Type="http://schemas.openxmlformats.org/officeDocument/2006/relationships/image" Target="media/image152.png"/><Relationship Id="rId183" Type="http://schemas.openxmlformats.org/officeDocument/2006/relationships/image" Target="media/image153.png"/><Relationship Id="rId184" Type="http://schemas.openxmlformats.org/officeDocument/2006/relationships/image" Target="media/image154.png"/><Relationship Id="rId185" Type="http://schemas.openxmlformats.org/officeDocument/2006/relationships/image" Target="media/image155.png"/><Relationship Id="rId186" Type="http://schemas.openxmlformats.org/officeDocument/2006/relationships/image" Target="media/image156.png"/><Relationship Id="rId187" Type="http://schemas.openxmlformats.org/officeDocument/2006/relationships/image" Target="media/image157.png"/><Relationship Id="rId188" Type="http://schemas.openxmlformats.org/officeDocument/2006/relationships/image" Target="media/image158.png"/><Relationship Id="rId189" Type="http://schemas.openxmlformats.org/officeDocument/2006/relationships/image" Target="media/image159.png"/><Relationship Id="rId190" Type="http://schemas.openxmlformats.org/officeDocument/2006/relationships/image" Target="media/image160.png"/><Relationship Id="rId191" Type="http://schemas.openxmlformats.org/officeDocument/2006/relationships/image" Target="media/image161.png"/><Relationship Id="rId192" Type="http://schemas.openxmlformats.org/officeDocument/2006/relationships/image" Target="media/image162.png"/><Relationship Id="rId193" Type="http://schemas.openxmlformats.org/officeDocument/2006/relationships/image" Target="media/image163.png"/><Relationship Id="rId194" Type="http://schemas.openxmlformats.org/officeDocument/2006/relationships/image" Target="media/image164.png"/><Relationship Id="rId195" Type="http://schemas.openxmlformats.org/officeDocument/2006/relationships/image" Target="media/image165.png"/><Relationship Id="rId196" Type="http://schemas.openxmlformats.org/officeDocument/2006/relationships/image" Target="media/image166.png"/><Relationship Id="rId197" Type="http://schemas.openxmlformats.org/officeDocument/2006/relationships/image" Target="media/image167.png"/><Relationship Id="rId198" Type="http://schemas.openxmlformats.org/officeDocument/2006/relationships/image" Target="media/image168.png"/><Relationship Id="rId199" Type="http://schemas.openxmlformats.org/officeDocument/2006/relationships/image" Target="media/image169.png"/><Relationship Id="rId200" Type="http://schemas.openxmlformats.org/officeDocument/2006/relationships/image" Target="media/image170.png"/><Relationship Id="rId201" Type="http://schemas.openxmlformats.org/officeDocument/2006/relationships/image" Target="media/image171.png"/><Relationship Id="rId202" Type="http://schemas.openxmlformats.org/officeDocument/2006/relationships/image" Target="media/image172.png"/><Relationship Id="rId203" Type="http://schemas.openxmlformats.org/officeDocument/2006/relationships/image" Target="media/image173.png"/><Relationship Id="rId204" Type="http://schemas.openxmlformats.org/officeDocument/2006/relationships/image" Target="media/image174.png"/><Relationship Id="rId205" Type="http://schemas.openxmlformats.org/officeDocument/2006/relationships/image" Target="media/image175.png"/><Relationship Id="rId206" Type="http://schemas.openxmlformats.org/officeDocument/2006/relationships/image" Target="media/image176.png"/><Relationship Id="rId207" Type="http://schemas.openxmlformats.org/officeDocument/2006/relationships/image" Target="media/image177.png"/><Relationship Id="rId208" Type="http://schemas.openxmlformats.org/officeDocument/2006/relationships/image" Target="media/image178.png"/><Relationship Id="rId209" Type="http://schemas.openxmlformats.org/officeDocument/2006/relationships/image" Target="media/image179.png"/><Relationship Id="rId210" Type="http://schemas.openxmlformats.org/officeDocument/2006/relationships/image" Target="media/image180.png"/><Relationship Id="rId211" Type="http://schemas.openxmlformats.org/officeDocument/2006/relationships/image" Target="media/image181.png"/><Relationship Id="rId212" Type="http://schemas.openxmlformats.org/officeDocument/2006/relationships/image" Target="media/image182.png"/><Relationship Id="rId213" Type="http://schemas.openxmlformats.org/officeDocument/2006/relationships/image" Target="media/image183.png"/><Relationship Id="rId214" Type="http://schemas.openxmlformats.org/officeDocument/2006/relationships/image" Target="media/image184.png"/><Relationship Id="rId215" Type="http://schemas.openxmlformats.org/officeDocument/2006/relationships/footer" Target="footer12.xml"/><Relationship Id="rId216" Type="http://schemas.openxmlformats.org/officeDocument/2006/relationships/image" Target="media/image185.png"/><Relationship Id="rId217" Type="http://schemas.openxmlformats.org/officeDocument/2006/relationships/image" Target="media/image186.png"/><Relationship Id="rId218" Type="http://schemas.openxmlformats.org/officeDocument/2006/relationships/image" Target="media/image187.png"/><Relationship Id="rId219" Type="http://schemas.openxmlformats.org/officeDocument/2006/relationships/image" Target="media/image188.png"/><Relationship Id="rId220" Type="http://schemas.openxmlformats.org/officeDocument/2006/relationships/image" Target="media/image189.png"/><Relationship Id="rId221" Type="http://schemas.openxmlformats.org/officeDocument/2006/relationships/image" Target="media/image190.png"/><Relationship Id="rId222" Type="http://schemas.openxmlformats.org/officeDocument/2006/relationships/image" Target="media/image1.jpeg"/><Relationship Id="rId223" Type="http://schemas.openxmlformats.org/officeDocument/2006/relationships/footer" Target="footer13.xml"/><Relationship Id="rId224" Type="http://schemas.openxmlformats.org/officeDocument/2006/relationships/image" Target="media/image191.png"/><Relationship Id="rId225" Type="http://schemas.openxmlformats.org/officeDocument/2006/relationships/image" Target="media/image192.png"/><Relationship Id="rId226" Type="http://schemas.openxmlformats.org/officeDocument/2006/relationships/image" Target="media/image193.png"/><Relationship Id="rId227" Type="http://schemas.openxmlformats.org/officeDocument/2006/relationships/image" Target="media/image194.png"/><Relationship Id="rId228" Type="http://schemas.openxmlformats.org/officeDocument/2006/relationships/image" Target="media/image195.png"/><Relationship Id="rId229" Type="http://schemas.openxmlformats.org/officeDocument/2006/relationships/image" Target="media/image196.png"/><Relationship Id="rId230" Type="http://schemas.openxmlformats.org/officeDocument/2006/relationships/image" Target="media/image197.png"/><Relationship Id="rId231" Type="http://schemas.openxmlformats.org/officeDocument/2006/relationships/image" Target="media/image198.png"/><Relationship Id="rId232" Type="http://schemas.openxmlformats.org/officeDocument/2006/relationships/image" Target="media/image199.png"/><Relationship Id="rId233" Type="http://schemas.openxmlformats.org/officeDocument/2006/relationships/image" Target="media/image200.png"/><Relationship Id="rId234" Type="http://schemas.openxmlformats.org/officeDocument/2006/relationships/image" Target="media/image201.png"/><Relationship Id="rId235" Type="http://schemas.openxmlformats.org/officeDocument/2006/relationships/image" Target="media/image202.png"/><Relationship Id="rId236" Type="http://schemas.openxmlformats.org/officeDocument/2006/relationships/image" Target="media/image203.png"/><Relationship Id="rId237" Type="http://schemas.openxmlformats.org/officeDocument/2006/relationships/image" Target="media/image204.png"/><Relationship Id="rId238" Type="http://schemas.openxmlformats.org/officeDocument/2006/relationships/image" Target="media/image205.png"/><Relationship Id="rId239" Type="http://schemas.openxmlformats.org/officeDocument/2006/relationships/image" Target="media/image206.png"/><Relationship Id="rId240" Type="http://schemas.openxmlformats.org/officeDocument/2006/relationships/image" Target="media/image207.png"/><Relationship Id="rId241" Type="http://schemas.openxmlformats.org/officeDocument/2006/relationships/image" Target="media/image208.png"/><Relationship Id="rId242" Type="http://schemas.openxmlformats.org/officeDocument/2006/relationships/image" Target="media/image209.png"/><Relationship Id="rId243" Type="http://schemas.openxmlformats.org/officeDocument/2006/relationships/image" Target="media/image210.png"/><Relationship Id="rId244" Type="http://schemas.openxmlformats.org/officeDocument/2006/relationships/image" Target="media/image211.png"/><Relationship Id="rId245" Type="http://schemas.openxmlformats.org/officeDocument/2006/relationships/image" Target="media/image212.png"/><Relationship Id="rId246" Type="http://schemas.openxmlformats.org/officeDocument/2006/relationships/image" Target="media/image213.png"/><Relationship Id="rId247" Type="http://schemas.openxmlformats.org/officeDocument/2006/relationships/image" Target="media/image214.png"/><Relationship Id="rId248" Type="http://schemas.openxmlformats.org/officeDocument/2006/relationships/image" Target="media/image215.png"/><Relationship Id="rId249" Type="http://schemas.openxmlformats.org/officeDocument/2006/relationships/image" Target="media/image216.png"/><Relationship Id="rId250" Type="http://schemas.openxmlformats.org/officeDocument/2006/relationships/image" Target="media/image217.png"/><Relationship Id="rId251" Type="http://schemas.openxmlformats.org/officeDocument/2006/relationships/image" Target="media/image218.png"/><Relationship Id="rId252" Type="http://schemas.openxmlformats.org/officeDocument/2006/relationships/image" Target="media/image219.png"/><Relationship Id="rId253" Type="http://schemas.openxmlformats.org/officeDocument/2006/relationships/image" Target="media/image220.png"/><Relationship Id="rId254" Type="http://schemas.openxmlformats.org/officeDocument/2006/relationships/image" Target="media/image221.png"/><Relationship Id="rId255" Type="http://schemas.openxmlformats.org/officeDocument/2006/relationships/image" Target="media/image222.png"/><Relationship Id="rId256" Type="http://schemas.openxmlformats.org/officeDocument/2006/relationships/image" Target="media/image223.png"/><Relationship Id="rId257" Type="http://schemas.openxmlformats.org/officeDocument/2006/relationships/image" Target="media/image224.png"/><Relationship Id="rId258" Type="http://schemas.openxmlformats.org/officeDocument/2006/relationships/image" Target="media/image225.png"/><Relationship Id="rId259" Type="http://schemas.openxmlformats.org/officeDocument/2006/relationships/image" Target="media/image226.png"/><Relationship Id="rId260" Type="http://schemas.openxmlformats.org/officeDocument/2006/relationships/image" Target="media/image227.png"/><Relationship Id="rId261" Type="http://schemas.openxmlformats.org/officeDocument/2006/relationships/image" Target="media/image228.png"/><Relationship Id="rId262" Type="http://schemas.openxmlformats.org/officeDocument/2006/relationships/image" Target="media/image229.png"/><Relationship Id="rId263" Type="http://schemas.openxmlformats.org/officeDocument/2006/relationships/image" Target="media/image230.png"/><Relationship Id="rId264" Type="http://schemas.openxmlformats.org/officeDocument/2006/relationships/image" Target="media/image231.png"/><Relationship Id="rId265" Type="http://schemas.openxmlformats.org/officeDocument/2006/relationships/image" Target="media/image232.png"/><Relationship Id="rId266" Type="http://schemas.openxmlformats.org/officeDocument/2006/relationships/image" Target="media/image233.png"/><Relationship Id="rId267" Type="http://schemas.openxmlformats.org/officeDocument/2006/relationships/image" Target="media/image234.png"/><Relationship Id="rId268" Type="http://schemas.openxmlformats.org/officeDocument/2006/relationships/image" Target="media/image235.png"/><Relationship Id="rId269" Type="http://schemas.openxmlformats.org/officeDocument/2006/relationships/image" Target="media/image236.png"/><Relationship Id="rId270" Type="http://schemas.openxmlformats.org/officeDocument/2006/relationships/image" Target="media/image237.png"/><Relationship Id="rId271" Type="http://schemas.openxmlformats.org/officeDocument/2006/relationships/image" Target="media/image238.png"/><Relationship Id="rId272" Type="http://schemas.openxmlformats.org/officeDocument/2006/relationships/image" Target="media/image239.png"/><Relationship Id="rId273" Type="http://schemas.openxmlformats.org/officeDocument/2006/relationships/image" Target="media/image240.png"/><Relationship Id="rId274" Type="http://schemas.openxmlformats.org/officeDocument/2006/relationships/image" Target="media/image241.png"/><Relationship Id="rId275" Type="http://schemas.openxmlformats.org/officeDocument/2006/relationships/image" Target="media/image242.png"/><Relationship Id="rId276" Type="http://schemas.openxmlformats.org/officeDocument/2006/relationships/image" Target="media/image243.png"/><Relationship Id="rId277" Type="http://schemas.openxmlformats.org/officeDocument/2006/relationships/image" Target="media/image244.png"/><Relationship Id="rId278" Type="http://schemas.openxmlformats.org/officeDocument/2006/relationships/image" Target="media/image245.png"/><Relationship Id="rId279" Type="http://schemas.openxmlformats.org/officeDocument/2006/relationships/image" Target="media/image246.png"/><Relationship Id="rId280" Type="http://schemas.openxmlformats.org/officeDocument/2006/relationships/image" Target="media/image247.png"/><Relationship Id="rId281" Type="http://schemas.openxmlformats.org/officeDocument/2006/relationships/image" Target="media/image248.png"/><Relationship Id="rId282" Type="http://schemas.openxmlformats.org/officeDocument/2006/relationships/image" Target="media/image249.png"/><Relationship Id="rId283" Type="http://schemas.openxmlformats.org/officeDocument/2006/relationships/image" Target="media/image250.png"/><Relationship Id="rId284" Type="http://schemas.openxmlformats.org/officeDocument/2006/relationships/image" Target="media/image251.png"/><Relationship Id="rId285" Type="http://schemas.openxmlformats.org/officeDocument/2006/relationships/image" Target="media/image252.png"/><Relationship Id="rId286" Type="http://schemas.openxmlformats.org/officeDocument/2006/relationships/image" Target="media/image253.png"/><Relationship Id="rId287" Type="http://schemas.openxmlformats.org/officeDocument/2006/relationships/image" Target="media/image254.png"/><Relationship Id="rId288" Type="http://schemas.openxmlformats.org/officeDocument/2006/relationships/image" Target="media/image255.png"/><Relationship Id="rId289" Type="http://schemas.openxmlformats.org/officeDocument/2006/relationships/image" Target="media/image256.png"/><Relationship Id="rId290" Type="http://schemas.openxmlformats.org/officeDocument/2006/relationships/image" Target="media/image257.png"/><Relationship Id="rId291" Type="http://schemas.openxmlformats.org/officeDocument/2006/relationships/image" Target="media/image258.png"/><Relationship Id="rId292" Type="http://schemas.openxmlformats.org/officeDocument/2006/relationships/header" Target="header9.xml"/><Relationship Id="rId293" Type="http://schemas.openxmlformats.org/officeDocument/2006/relationships/footer" Target="footer14.xml"/><Relationship Id="rId294" Type="http://schemas.openxmlformats.org/officeDocument/2006/relationships/image" Target="media/image259.png"/><Relationship Id="rId295" Type="http://schemas.openxmlformats.org/officeDocument/2006/relationships/image" Target="media/image260.png"/><Relationship Id="rId296" Type="http://schemas.openxmlformats.org/officeDocument/2006/relationships/image" Target="media/image261.png"/><Relationship Id="rId297" Type="http://schemas.openxmlformats.org/officeDocument/2006/relationships/image" Target="media/image262.png"/><Relationship Id="rId298" Type="http://schemas.openxmlformats.org/officeDocument/2006/relationships/image" Target="media/image263.png"/><Relationship Id="rId299" Type="http://schemas.openxmlformats.org/officeDocument/2006/relationships/image" Target="media/image264.png"/><Relationship Id="rId300" Type="http://schemas.openxmlformats.org/officeDocument/2006/relationships/image" Target="media/image265.png"/><Relationship Id="rId301" Type="http://schemas.openxmlformats.org/officeDocument/2006/relationships/image" Target="media/image266.png"/><Relationship Id="rId302" Type="http://schemas.openxmlformats.org/officeDocument/2006/relationships/image" Target="media/image267.png"/><Relationship Id="rId303" Type="http://schemas.openxmlformats.org/officeDocument/2006/relationships/image" Target="media/image268.png"/><Relationship Id="rId304" Type="http://schemas.openxmlformats.org/officeDocument/2006/relationships/header" Target="header10.xml"/><Relationship Id="rId305" Type="http://schemas.openxmlformats.org/officeDocument/2006/relationships/footer" Target="footer15.xml"/><Relationship Id="rId306" Type="http://schemas.openxmlformats.org/officeDocument/2006/relationships/image" Target="media/image269.png"/><Relationship Id="rId307" Type="http://schemas.openxmlformats.org/officeDocument/2006/relationships/image" Target="media/image270.png"/><Relationship Id="rId308" Type="http://schemas.openxmlformats.org/officeDocument/2006/relationships/image" Target="media/image271.png"/><Relationship Id="rId309" Type="http://schemas.openxmlformats.org/officeDocument/2006/relationships/image" Target="media/image272.png"/><Relationship Id="rId310" Type="http://schemas.openxmlformats.org/officeDocument/2006/relationships/image" Target="media/image273.png"/><Relationship Id="rId311" Type="http://schemas.openxmlformats.org/officeDocument/2006/relationships/image" Target="media/image274.png"/><Relationship Id="rId312" Type="http://schemas.openxmlformats.org/officeDocument/2006/relationships/image" Target="media/image275.png"/><Relationship Id="rId313" Type="http://schemas.openxmlformats.org/officeDocument/2006/relationships/image" Target="media/image276.png"/><Relationship Id="rId314" Type="http://schemas.openxmlformats.org/officeDocument/2006/relationships/image" Target="media/image277.png"/><Relationship Id="rId315" Type="http://schemas.openxmlformats.org/officeDocument/2006/relationships/image" Target="media/image278.png"/><Relationship Id="rId316" Type="http://schemas.openxmlformats.org/officeDocument/2006/relationships/image" Target="media/image279.png"/><Relationship Id="rId317" Type="http://schemas.openxmlformats.org/officeDocument/2006/relationships/image" Target="media/image280.png"/><Relationship Id="rId318" Type="http://schemas.openxmlformats.org/officeDocument/2006/relationships/image" Target="media/image281.png"/><Relationship Id="rId319" Type="http://schemas.openxmlformats.org/officeDocument/2006/relationships/image" Target="media/image282.png"/><Relationship Id="rId320" Type="http://schemas.openxmlformats.org/officeDocument/2006/relationships/image" Target="media/image283.png"/><Relationship Id="rId321" Type="http://schemas.openxmlformats.org/officeDocument/2006/relationships/image" Target="media/image284.png"/><Relationship Id="rId322" Type="http://schemas.openxmlformats.org/officeDocument/2006/relationships/image" Target="media/image285.png"/><Relationship Id="rId323" Type="http://schemas.openxmlformats.org/officeDocument/2006/relationships/image" Target="media/image286.png"/><Relationship Id="rId324" Type="http://schemas.openxmlformats.org/officeDocument/2006/relationships/image" Target="media/image287.png"/><Relationship Id="rId325" Type="http://schemas.openxmlformats.org/officeDocument/2006/relationships/image" Target="media/image288.png"/><Relationship Id="rId326" Type="http://schemas.openxmlformats.org/officeDocument/2006/relationships/image" Target="media/image289.png"/><Relationship Id="rId327" Type="http://schemas.openxmlformats.org/officeDocument/2006/relationships/image" Target="media/image290.png"/><Relationship Id="rId328" Type="http://schemas.openxmlformats.org/officeDocument/2006/relationships/image" Target="media/image291.png"/><Relationship Id="rId329" Type="http://schemas.openxmlformats.org/officeDocument/2006/relationships/image" Target="media/image292.png"/><Relationship Id="rId330" Type="http://schemas.openxmlformats.org/officeDocument/2006/relationships/image" Target="media/image293.png"/><Relationship Id="rId331" Type="http://schemas.openxmlformats.org/officeDocument/2006/relationships/image" Target="media/image294.png"/><Relationship Id="rId332" Type="http://schemas.openxmlformats.org/officeDocument/2006/relationships/image" Target="media/image295.png"/><Relationship Id="rId333" Type="http://schemas.openxmlformats.org/officeDocument/2006/relationships/image" Target="media/image296.png"/><Relationship Id="rId334" Type="http://schemas.openxmlformats.org/officeDocument/2006/relationships/image" Target="media/image297.png"/><Relationship Id="rId335" Type="http://schemas.openxmlformats.org/officeDocument/2006/relationships/image" Target="media/image298.png"/><Relationship Id="rId336" Type="http://schemas.openxmlformats.org/officeDocument/2006/relationships/image" Target="media/image299.png"/><Relationship Id="rId337" Type="http://schemas.openxmlformats.org/officeDocument/2006/relationships/image" Target="media/image300.png"/><Relationship Id="rId338" Type="http://schemas.openxmlformats.org/officeDocument/2006/relationships/image" Target="media/image301.png"/><Relationship Id="rId339" Type="http://schemas.openxmlformats.org/officeDocument/2006/relationships/image" Target="media/image302.png"/><Relationship Id="rId340" Type="http://schemas.openxmlformats.org/officeDocument/2006/relationships/image" Target="media/image303.png"/><Relationship Id="rId341" Type="http://schemas.openxmlformats.org/officeDocument/2006/relationships/image" Target="media/image304.png"/><Relationship Id="rId342" Type="http://schemas.openxmlformats.org/officeDocument/2006/relationships/image" Target="media/image305.png"/><Relationship Id="rId343" Type="http://schemas.openxmlformats.org/officeDocument/2006/relationships/image" Target="media/image306.png"/><Relationship Id="rId344" Type="http://schemas.openxmlformats.org/officeDocument/2006/relationships/image" Target="media/image307.png"/><Relationship Id="rId345" Type="http://schemas.openxmlformats.org/officeDocument/2006/relationships/image" Target="media/image308.png"/><Relationship Id="rId346" Type="http://schemas.openxmlformats.org/officeDocument/2006/relationships/image" Target="media/image309.png"/><Relationship Id="rId347" Type="http://schemas.openxmlformats.org/officeDocument/2006/relationships/image" Target="media/image310.png"/><Relationship Id="rId348" Type="http://schemas.openxmlformats.org/officeDocument/2006/relationships/image" Target="media/image311.png"/><Relationship Id="rId349" Type="http://schemas.openxmlformats.org/officeDocument/2006/relationships/image" Target="media/image312.png"/><Relationship Id="rId350" Type="http://schemas.openxmlformats.org/officeDocument/2006/relationships/image" Target="media/image313.png"/><Relationship Id="rId351" Type="http://schemas.openxmlformats.org/officeDocument/2006/relationships/image" Target="media/image314.png"/><Relationship Id="rId352" Type="http://schemas.openxmlformats.org/officeDocument/2006/relationships/image" Target="media/image315.png"/><Relationship Id="rId353" Type="http://schemas.openxmlformats.org/officeDocument/2006/relationships/image" Target="media/image316.png"/><Relationship Id="rId354" Type="http://schemas.openxmlformats.org/officeDocument/2006/relationships/image" Target="media/image317.png"/><Relationship Id="rId355" Type="http://schemas.openxmlformats.org/officeDocument/2006/relationships/image" Target="media/image318.png"/><Relationship Id="rId356" Type="http://schemas.openxmlformats.org/officeDocument/2006/relationships/image" Target="media/image319.png"/><Relationship Id="rId357" Type="http://schemas.openxmlformats.org/officeDocument/2006/relationships/image" Target="media/image320.png"/><Relationship Id="rId358" Type="http://schemas.openxmlformats.org/officeDocument/2006/relationships/image" Target="media/image321.png"/><Relationship Id="rId359" Type="http://schemas.openxmlformats.org/officeDocument/2006/relationships/image" Target="media/image322.png"/><Relationship Id="rId360" Type="http://schemas.openxmlformats.org/officeDocument/2006/relationships/image" Target="media/image323.png"/><Relationship Id="rId361" Type="http://schemas.openxmlformats.org/officeDocument/2006/relationships/image" Target="media/image324.png"/><Relationship Id="rId362" Type="http://schemas.openxmlformats.org/officeDocument/2006/relationships/image" Target="media/image325.png"/><Relationship Id="rId363" Type="http://schemas.openxmlformats.org/officeDocument/2006/relationships/image" Target="media/image326.png"/><Relationship Id="rId364" Type="http://schemas.openxmlformats.org/officeDocument/2006/relationships/image" Target="media/image327.png"/><Relationship Id="rId365" Type="http://schemas.openxmlformats.org/officeDocument/2006/relationships/image" Target="media/image328.png"/><Relationship Id="rId366" Type="http://schemas.openxmlformats.org/officeDocument/2006/relationships/image" Target="media/image329.png"/><Relationship Id="rId367" Type="http://schemas.openxmlformats.org/officeDocument/2006/relationships/image" Target="media/image330.png"/><Relationship Id="rId368" Type="http://schemas.openxmlformats.org/officeDocument/2006/relationships/image" Target="media/image331.png"/><Relationship Id="rId369" Type="http://schemas.openxmlformats.org/officeDocument/2006/relationships/header" Target="header11.xml"/><Relationship Id="rId370" Type="http://schemas.openxmlformats.org/officeDocument/2006/relationships/footer" Target="footer16.xml"/><Relationship Id="rId371" Type="http://schemas.openxmlformats.org/officeDocument/2006/relationships/image" Target="media/image332.png"/><Relationship Id="rId372" Type="http://schemas.openxmlformats.org/officeDocument/2006/relationships/image" Target="media/image333.png"/><Relationship Id="rId373" Type="http://schemas.openxmlformats.org/officeDocument/2006/relationships/image" Target="media/image334.png"/><Relationship Id="rId374" Type="http://schemas.openxmlformats.org/officeDocument/2006/relationships/image" Target="media/image335.png"/><Relationship Id="rId375" Type="http://schemas.openxmlformats.org/officeDocument/2006/relationships/header" Target="header12.xml"/><Relationship Id="rId376" Type="http://schemas.openxmlformats.org/officeDocument/2006/relationships/footer" Target="footer17.xml"/><Relationship Id="rId377" Type="http://schemas.openxmlformats.org/officeDocument/2006/relationships/image" Target="media/image337.png"/><Relationship Id="rId378" Type="http://schemas.openxmlformats.org/officeDocument/2006/relationships/image" Target="media/image338.png"/><Relationship Id="rId379" Type="http://schemas.openxmlformats.org/officeDocument/2006/relationships/image" Target="media/image339.png"/><Relationship Id="rId380" Type="http://schemas.openxmlformats.org/officeDocument/2006/relationships/image" Target="media/image340.png"/><Relationship Id="rId381" Type="http://schemas.openxmlformats.org/officeDocument/2006/relationships/image" Target="media/image341.png"/><Relationship Id="rId382" Type="http://schemas.openxmlformats.org/officeDocument/2006/relationships/image" Target="media/image342.png"/><Relationship Id="rId383" Type="http://schemas.openxmlformats.org/officeDocument/2006/relationships/image" Target="media/image343.png"/><Relationship Id="rId384" Type="http://schemas.openxmlformats.org/officeDocument/2006/relationships/image" Target="media/image344.png"/><Relationship Id="rId385" Type="http://schemas.openxmlformats.org/officeDocument/2006/relationships/image" Target="media/image345.png"/><Relationship Id="rId386" Type="http://schemas.openxmlformats.org/officeDocument/2006/relationships/image" Target="media/image346.png"/><Relationship Id="rId387" Type="http://schemas.openxmlformats.org/officeDocument/2006/relationships/image" Target="media/image347.png"/><Relationship Id="rId388" Type="http://schemas.openxmlformats.org/officeDocument/2006/relationships/image" Target="media/image348.png"/><Relationship Id="rId389" Type="http://schemas.openxmlformats.org/officeDocument/2006/relationships/image" Target="media/image349.png"/><Relationship Id="rId390" Type="http://schemas.openxmlformats.org/officeDocument/2006/relationships/image" Target="media/image350.png"/><Relationship Id="rId391" Type="http://schemas.openxmlformats.org/officeDocument/2006/relationships/image" Target="media/image351.png"/><Relationship Id="rId392" Type="http://schemas.openxmlformats.org/officeDocument/2006/relationships/image" Target="media/image352.png"/><Relationship Id="rId393" Type="http://schemas.openxmlformats.org/officeDocument/2006/relationships/image" Target="media/image353.png"/><Relationship Id="rId394" Type="http://schemas.openxmlformats.org/officeDocument/2006/relationships/image" Target="media/image354.png"/><Relationship Id="rId395" Type="http://schemas.openxmlformats.org/officeDocument/2006/relationships/image" Target="media/image355.png"/><Relationship Id="rId396" Type="http://schemas.openxmlformats.org/officeDocument/2006/relationships/image" Target="media/image356.png"/><Relationship Id="rId397" Type="http://schemas.openxmlformats.org/officeDocument/2006/relationships/image" Target="media/image357.png"/><Relationship Id="rId398" Type="http://schemas.openxmlformats.org/officeDocument/2006/relationships/footer" Target="footer18.xml"/><Relationship Id="rId399" Type="http://schemas.openxmlformats.org/officeDocument/2006/relationships/image" Target="media/image358.png"/><Relationship Id="rId400" Type="http://schemas.openxmlformats.org/officeDocument/2006/relationships/image" Target="media/image359.png"/><Relationship Id="rId401" Type="http://schemas.openxmlformats.org/officeDocument/2006/relationships/image" Target="media/image360.png"/><Relationship Id="rId402" Type="http://schemas.openxmlformats.org/officeDocument/2006/relationships/image" Target="media/image361.png"/><Relationship Id="rId403" Type="http://schemas.openxmlformats.org/officeDocument/2006/relationships/image" Target="media/image362.png"/><Relationship Id="rId404" Type="http://schemas.openxmlformats.org/officeDocument/2006/relationships/image" Target="media/image363.png"/><Relationship Id="rId405" Type="http://schemas.openxmlformats.org/officeDocument/2006/relationships/image" Target="media/image364.png"/><Relationship Id="rId406" Type="http://schemas.openxmlformats.org/officeDocument/2006/relationships/image" Target="media/image365.png"/><Relationship Id="rId407" Type="http://schemas.openxmlformats.org/officeDocument/2006/relationships/image" Target="media/image366.png"/><Relationship Id="rId408" Type="http://schemas.openxmlformats.org/officeDocument/2006/relationships/image" Target="media/image367.png"/><Relationship Id="rId409" Type="http://schemas.openxmlformats.org/officeDocument/2006/relationships/image" Target="media/image368.png"/><Relationship Id="rId410" Type="http://schemas.openxmlformats.org/officeDocument/2006/relationships/image" Target="media/image369.png"/><Relationship Id="rId411" Type="http://schemas.openxmlformats.org/officeDocument/2006/relationships/image" Target="media/image370.png"/><Relationship Id="rId412" Type="http://schemas.openxmlformats.org/officeDocument/2006/relationships/image" Target="media/image371.png"/><Relationship Id="rId413" Type="http://schemas.openxmlformats.org/officeDocument/2006/relationships/footer" Target="footer19.xml"/><Relationship Id="rId414" Type="http://schemas.openxmlformats.org/officeDocument/2006/relationships/image" Target="media/image372.png"/><Relationship Id="rId415" Type="http://schemas.openxmlformats.org/officeDocument/2006/relationships/image" Target="media/image373.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11.xml.rels><?xml version="1.0" encoding="UTF-8" standalone="yes"?>
<Relationships xmlns="http://schemas.openxmlformats.org/package/2006/relationships"><Relationship Id="rId1" Type="http://schemas.openxmlformats.org/officeDocument/2006/relationships/image" Target="media/image1.jpeg"/></Relationships>

</file>

<file path=word/_rels/footer13.xml.rels><?xml version="1.0" encoding="UTF-8" standalone="yes"?>
<Relationships xmlns="http://schemas.openxmlformats.org/package/2006/relationships"><Relationship Id="rId1" Type="http://schemas.openxmlformats.org/officeDocument/2006/relationships/image" Target="media/image1.jpeg"/></Relationships>

</file>

<file path=word/_rels/footer14.xml.rels><?xml version="1.0" encoding="UTF-8" standalone="yes"?>
<Relationships xmlns="http://schemas.openxmlformats.org/package/2006/relationships"><Relationship Id="rId1" Type="http://schemas.openxmlformats.org/officeDocument/2006/relationships/image" Target="media/image6.jpeg"/></Relationships>

</file>

<file path=word/_rels/footer15.xml.rels><?xml version="1.0" encoding="UTF-8" standalone="yes"?>
<Relationships xmlns="http://schemas.openxmlformats.org/package/2006/relationships"><Relationship Id="rId1" Type="http://schemas.openxmlformats.org/officeDocument/2006/relationships/image" Target="media/image1.jpeg"/></Relationships>

</file>

<file path=word/_rels/footer16.xml.rels><?xml version="1.0" encoding="UTF-8" standalone="yes"?>
<Relationships xmlns="http://schemas.openxmlformats.org/package/2006/relationships"><Relationship Id="rId1" Type="http://schemas.openxmlformats.org/officeDocument/2006/relationships/image" Target="media/image6.jpeg"/></Relationships>

</file>

<file path=word/_rels/footer17.xml.rels><?xml version="1.0" encoding="UTF-8" standalone="yes"?>
<Relationships xmlns="http://schemas.openxmlformats.org/package/2006/relationships"><Relationship Id="rId1" Type="http://schemas.openxmlformats.org/officeDocument/2006/relationships/image" Target="media/image1.jpeg"/></Relationships>

</file>

<file path=word/_rels/footer19.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6.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6.jpeg"/></Relationships>

</file>

<file path=word/_rels/footer9.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3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itle>&lt;4D6963726F736F667420576F7264202D20D3F9D2F8B9C9B7DD32303131C4EAB6C8B1A8B8E62E646F63&gt;</dc:title>
  <dcterms:created xsi:type="dcterms:W3CDTF">2020-05-03T13:51:31Z</dcterms:created>
  <dcterms:modified xsi:type="dcterms:W3CDTF">2020-05-03T13:51:31Z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2012-02-16T00:00:00Z</vt:filetime>
  </property>
  <property fmtid="{D5CDD505-2E9C-101B-9397-08002B2CF9AE}" pid="3" name="Creator">
    <vt:lpwstr>PScript5.dll Version 5.2.2</vt:lpwstr>
  </property>
  <property fmtid="{D5CDD505-2E9C-101B-9397-08002B2CF9AE}" pid="4" name="LastSaved">
    <vt:filetime>2020-05-03T00:00:00Z</vt:filetime>
  </property>
</Properties>
</file>